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F22EF1">
      <w:pPr>
        <w:spacing w:line="440" w:lineRule="exact"/>
        <w:rPr>
          <w:rFonts w:hint="eastAsia" w:ascii="宋体" w:hAnsi="宋体"/>
          <w:b/>
          <w:bCs/>
          <w:color w:val="auto"/>
          <w:spacing w:val="140"/>
          <w:w w:val="50"/>
          <w:sz w:val="52"/>
          <w:szCs w:val="52"/>
          <w:highlight w:val="none"/>
        </w:rPr>
      </w:pPr>
    </w:p>
    <w:p w14:paraId="5EF72EB3">
      <w:pPr>
        <w:jc w:val="center"/>
        <w:rPr>
          <w:rFonts w:hint="eastAsia" w:ascii="宋体" w:hAnsi="宋体"/>
          <w:b/>
          <w:bCs/>
          <w:color w:val="auto"/>
          <w:spacing w:val="20"/>
          <w:sz w:val="84"/>
          <w:szCs w:val="84"/>
          <w:highlight w:val="none"/>
        </w:rPr>
      </w:pPr>
      <w:r>
        <w:rPr>
          <w:rFonts w:hint="eastAsia" w:ascii="宋体" w:hAnsi="宋体"/>
          <w:b/>
          <w:bCs/>
          <w:color w:val="auto"/>
          <w:spacing w:val="20"/>
          <w:sz w:val="84"/>
          <w:szCs w:val="84"/>
          <w:highlight w:val="none"/>
        </w:rPr>
        <w:t>温州市政府（分散）采购</w:t>
      </w:r>
    </w:p>
    <w:p w14:paraId="56B4234E">
      <w:pPr>
        <w:ind w:firstLine="2357" w:firstLineChars="235"/>
        <w:rPr>
          <w:rFonts w:hint="eastAsia" w:ascii="宋体" w:hAnsi="宋体"/>
          <w:b/>
          <w:bCs/>
          <w:color w:val="auto"/>
          <w:spacing w:val="140"/>
          <w:sz w:val="72"/>
          <w:highlight w:val="none"/>
        </w:rPr>
      </w:pPr>
    </w:p>
    <w:p w14:paraId="6FA2F3F8">
      <w:pPr>
        <w:ind w:firstLine="2357" w:firstLineChars="235"/>
        <w:rPr>
          <w:rFonts w:hint="eastAsia" w:ascii="宋体" w:hAnsi="宋体"/>
          <w:b/>
          <w:bCs/>
          <w:color w:val="auto"/>
          <w:spacing w:val="140"/>
          <w:sz w:val="72"/>
          <w:highlight w:val="none"/>
        </w:rPr>
      </w:pPr>
    </w:p>
    <w:p w14:paraId="2D8EB6C3">
      <w:pPr>
        <w:jc w:val="center"/>
        <w:rPr>
          <w:rFonts w:hint="eastAsia" w:ascii="宋体" w:hAnsi="宋体"/>
          <w:b/>
          <w:bCs/>
          <w:color w:val="auto"/>
          <w:spacing w:val="140"/>
          <w:sz w:val="72"/>
          <w:highlight w:val="none"/>
        </w:rPr>
      </w:pPr>
    </w:p>
    <w:p w14:paraId="7ABD8AB1">
      <w:pPr>
        <w:spacing w:line="900" w:lineRule="exact"/>
        <w:jc w:val="center"/>
        <w:rPr>
          <w:rFonts w:hint="eastAsia" w:ascii="宋体" w:hAnsi="宋体"/>
          <w:b/>
          <w:bCs/>
          <w:color w:val="auto"/>
          <w:spacing w:val="140"/>
          <w:sz w:val="84"/>
          <w:szCs w:val="84"/>
          <w:highlight w:val="none"/>
        </w:rPr>
      </w:pPr>
      <w:r>
        <w:rPr>
          <w:rFonts w:hint="eastAsia" w:ascii="宋体" w:hAnsi="宋体"/>
          <w:b/>
          <w:bCs/>
          <w:color w:val="auto"/>
          <w:spacing w:val="140"/>
          <w:sz w:val="84"/>
          <w:szCs w:val="84"/>
          <w:highlight w:val="none"/>
        </w:rPr>
        <w:t>磋 商 文 件</w:t>
      </w:r>
    </w:p>
    <w:p w14:paraId="03EE5DBB">
      <w:pPr>
        <w:spacing w:line="400" w:lineRule="exact"/>
        <w:jc w:val="center"/>
        <w:rPr>
          <w:rFonts w:hint="eastAsia" w:ascii="宋体" w:hAnsi="宋体"/>
          <w:b/>
          <w:bCs/>
          <w:color w:val="auto"/>
          <w:sz w:val="32"/>
          <w:szCs w:val="32"/>
          <w:highlight w:val="none"/>
        </w:rPr>
      </w:pPr>
    </w:p>
    <w:p w14:paraId="1879C740">
      <w:pPr>
        <w:spacing w:line="400" w:lineRule="exact"/>
        <w:jc w:val="center"/>
        <w:rPr>
          <w:rFonts w:hint="eastAsia" w:ascii="宋体" w:hAnsi="宋体"/>
          <w:b/>
          <w:bCs/>
          <w:color w:val="auto"/>
          <w:sz w:val="32"/>
          <w:szCs w:val="32"/>
          <w:highlight w:val="none"/>
        </w:rPr>
      </w:pPr>
      <w:bookmarkStart w:id="120" w:name="_GoBack"/>
      <w:bookmarkEnd w:id="120"/>
    </w:p>
    <w:p w14:paraId="134593E4">
      <w:pPr>
        <w:spacing w:line="400" w:lineRule="exact"/>
        <w:jc w:val="center"/>
        <w:rPr>
          <w:rFonts w:hint="eastAsia" w:ascii="宋体" w:hAnsi="宋体"/>
          <w:b/>
          <w:bCs/>
          <w:color w:val="auto"/>
          <w:sz w:val="24"/>
          <w:highlight w:val="none"/>
        </w:rPr>
      </w:pPr>
    </w:p>
    <w:p w14:paraId="4433D4E1">
      <w:pPr>
        <w:rPr>
          <w:rFonts w:hint="eastAsia" w:ascii="宋体" w:hAnsi="宋体"/>
          <w:b/>
          <w:bCs/>
          <w:color w:val="auto"/>
          <w:sz w:val="24"/>
          <w:highlight w:val="none"/>
        </w:rPr>
      </w:pPr>
    </w:p>
    <w:p w14:paraId="36233282">
      <w:pPr>
        <w:ind w:firstLine="1140" w:firstLineChars="300"/>
        <w:rPr>
          <w:rFonts w:hint="eastAsia" w:ascii="宋体" w:hAnsi="宋体"/>
          <w:color w:val="auto"/>
          <w:spacing w:val="40"/>
          <w:sz w:val="30"/>
          <w:szCs w:val="30"/>
          <w:highlight w:val="none"/>
        </w:rPr>
      </w:pPr>
    </w:p>
    <w:p w14:paraId="108C64C3">
      <w:pPr>
        <w:widowControl/>
        <w:spacing w:line="440" w:lineRule="exact"/>
        <w:ind w:firstLine="1566" w:firstLineChars="450"/>
        <w:rPr>
          <w:rFonts w:hint="eastAsia" w:ascii="宋体" w:hAnsi="宋体" w:eastAsia="宋体"/>
          <w:color w:val="auto"/>
          <w:spacing w:val="24"/>
          <w:sz w:val="30"/>
          <w:szCs w:val="30"/>
          <w:highlight w:val="none"/>
          <w:lang w:eastAsia="zh-CN"/>
        </w:rPr>
      </w:pPr>
      <w:r>
        <w:rPr>
          <w:rFonts w:hint="eastAsia" w:ascii="宋体" w:hAnsi="宋体"/>
          <w:color w:val="auto"/>
          <w:spacing w:val="24"/>
          <w:sz w:val="30"/>
          <w:szCs w:val="30"/>
          <w:highlight w:val="none"/>
        </w:rPr>
        <w:t>项 目 编 号：</w:t>
      </w:r>
      <w:r>
        <w:rPr>
          <w:rFonts w:hint="eastAsia" w:ascii="宋体" w:hAnsi="宋体"/>
          <w:color w:val="auto"/>
          <w:spacing w:val="24"/>
          <w:sz w:val="30"/>
          <w:szCs w:val="30"/>
          <w:highlight w:val="none"/>
          <w:lang w:eastAsia="zh-CN"/>
        </w:rPr>
        <w:t>WZZS-2025-01-003</w:t>
      </w:r>
    </w:p>
    <w:p w14:paraId="247D0637">
      <w:pPr>
        <w:keepNext w:val="0"/>
        <w:keepLines w:val="0"/>
        <w:pageBreakBefore w:val="0"/>
        <w:widowControl w:val="0"/>
        <w:kinsoku/>
        <w:wordWrap/>
        <w:overflowPunct/>
        <w:topLinePunct w:val="0"/>
        <w:autoSpaceDE/>
        <w:autoSpaceDN/>
        <w:bidi w:val="0"/>
        <w:adjustRightInd/>
        <w:snapToGrid/>
        <w:spacing w:line="600" w:lineRule="exact"/>
        <w:ind w:left="4005" w:leftChars="747" w:hanging="2436" w:hangingChars="700"/>
        <w:textAlignment w:val="auto"/>
        <w:rPr>
          <w:rFonts w:hint="eastAsia" w:ascii="宋体" w:hAnsi="宋体" w:eastAsia="宋体"/>
          <w:color w:val="auto"/>
          <w:sz w:val="30"/>
          <w:szCs w:val="30"/>
          <w:highlight w:val="none"/>
          <w:lang w:eastAsia="zh-CN"/>
        </w:rPr>
      </w:pPr>
      <w:r>
        <w:rPr>
          <w:rFonts w:hint="eastAsia" w:ascii="宋体" w:hAnsi="宋体"/>
          <w:color w:val="auto"/>
          <w:spacing w:val="24"/>
          <w:sz w:val="30"/>
          <w:szCs w:val="30"/>
          <w:highlight w:val="none"/>
        </w:rPr>
        <w:t>项 目 名 称：</w:t>
      </w:r>
      <w:r>
        <w:rPr>
          <w:rFonts w:hint="eastAsia" w:ascii="宋体" w:hAnsi="宋体"/>
          <w:color w:val="auto"/>
          <w:spacing w:val="24"/>
          <w:sz w:val="30"/>
          <w:szCs w:val="30"/>
          <w:highlight w:val="none"/>
          <w:lang w:eastAsia="zh-CN"/>
        </w:rPr>
        <w:t>温州市综合行政执法局2*630kVA配电室增容改造工程</w:t>
      </w:r>
    </w:p>
    <w:p w14:paraId="5F787B3B">
      <w:pPr>
        <w:spacing w:line="600" w:lineRule="exact"/>
        <w:ind w:firstLine="1566" w:firstLineChars="450"/>
        <w:rPr>
          <w:rFonts w:hint="eastAsia" w:ascii="宋体" w:hAnsi="宋体"/>
          <w:color w:val="auto"/>
          <w:spacing w:val="24"/>
          <w:sz w:val="30"/>
          <w:szCs w:val="30"/>
          <w:highlight w:val="none"/>
        </w:rPr>
      </w:pPr>
      <w:r>
        <w:rPr>
          <w:rFonts w:hint="eastAsia" w:ascii="宋体" w:hAnsi="宋体"/>
          <w:color w:val="auto"/>
          <w:spacing w:val="24"/>
          <w:sz w:val="30"/>
          <w:szCs w:val="30"/>
          <w:highlight w:val="none"/>
        </w:rPr>
        <w:t>采 购 方 式：</w:t>
      </w:r>
      <w:r>
        <w:rPr>
          <w:rFonts w:hint="eastAsia" w:ascii="宋体" w:hAnsi="宋体"/>
          <w:color w:val="auto"/>
          <w:sz w:val="30"/>
          <w:szCs w:val="30"/>
          <w:highlight w:val="none"/>
        </w:rPr>
        <w:t>竞争性磋商</w:t>
      </w:r>
    </w:p>
    <w:p w14:paraId="19C608BF">
      <w:pPr>
        <w:spacing w:line="600" w:lineRule="exact"/>
        <w:ind w:firstLine="1140" w:firstLineChars="300"/>
        <w:rPr>
          <w:rFonts w:hint="eastAsia" w:ascii="宋体" w:hAnsi="宋体"/>
          <w:color w:val="auto"/>
          <w:spacing w:val="40"/>
          <w:sz w:val="30"/>
          <w:szCs w:val="30"/>
          <w:highlight w:val="none"/>
        </w:rPr>
      </w:pPr>
    </w:p>
    <w:p w14:paraId="721D2D14">
      <w:pPr>
        <w:spacing w:line="600" w:lineRule="exact"/>
        <w:rPr>
          <w:rFonts w:hint="eastAsia" w:ascii="宋体" w:hAnsi="宋体"/>
          <w:color w:val="auto"/>
          <w:spacing w:val="40"/>
          <w:sz w:val="30"/>
          <w:szCs w:val="30"/>
          <w:highlight w:val="none"/>
        </w:rPr>
      </w:pPr>
    </w:p>
    <w:p w14:paraId="2E27C82F">
      <w:pPr>
        <w:spacing w:line="600" w:lineRule="exact"/>
        <w:rPr>
          <w:rFonts w:hint="eastAsia" w:ascii="宋体" w:hAnsi="宋体"/>
          <w:color w:val="auto"/>
          <w:spacing w:val="40"/>
          <w:sz w:val="30"/>
          <w:szCs w:val="30"/>
          <w:highlight w:val="none"/>
        </w:rPr>
      </w:pPr>
    </w:p>
    <w:p w14:paraId="6083735A">
      <w:pPr>
        <w:spacing w:line="600" w:lineRule="exact"/>
        <w:rPr>
          <w:rFonts w:ascii="宋体" w:hAnsi="宋体"/>
          <w:color w:val="auto"/>
          <w:spacing w:val="40"/>
          <w:sz w:val="30"/>
          <w:szCs w:val="30"/>
          <w:highlight w:val="none"/>
        </w:rPr>
      </w:pPr>
    </w:p>
    <w:p w14:paraId="407982FB">
      <w:pPr>
        <w:spacing w:line="600" w:lineRule="exact"/>
        <w:ind w:firstLine="1928" w:firstLineChars="600"/>
        <w:jc w:val="both"/>
        <w:rPr>
          <w:rFonts w:hint="eastAsia" w:ascii="宋体" w:hAnsi="宋体"/>
          <w:b/>
          <w:color w:val="auto"/>
          <w:sz w:val="32"/>
          <w:szCs w:val="32"/>
          <w:highlight w:val="none"/>
          <w:lang w:eastAsia="zh-CN"/>
        </w:rPr>
      </w:pPr>
      <w:r>
        <w:rPr>
          <w:rFonts w:hint="eastAsia" w:ascii="宋体" w:hAnsi="宋体"/>
          <w:b/>
          <w:color w:val="auto"/>
          <w:sz w:val="32"/>
          <w:szCs w:val="32"/>
          <w:highlight w:val="none"/>
        </w:rPr>
        <w:t>采</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购</w:t>
      </w:r>
      <w:r>
        <w:rPr>
          <w:rFonts w:hint="eastAsia" w:ascii="宋体" w:hAnsi="宋体"/>
          <w:b/>
          <w:color w:val="auto"/>
          <w:sz w:val="32"/>
          <w:szCs w:val="32"/>
          <w:highlight w:val="none"/>
          <w:lang w:val="en-US" w:eastAsia="zh-CN"/>
        </w:rPr>
        <w:t xml:space="preserve">   </w:t>
      </w:r>
      <w:r>
        <w:rPr>
          <w:rFonts w:hint="eastAsia" w:ascii="宋体" w:hAnsi="宋体"/>
          <w:b/>
          <w:color w:val="auto"/>
          <w:sz w:val="32"/>
          <w:szCs w:val="32"/>
          <w:highlight w:val="none"/>
        </w:rPr>
        <w:t>人：</w:t>
      </w:r>
      <w:r>
        <w:rPr>
          <w:rFonts w:hint="eastAsia" w:ascii="宋体" w:hAnsi="宋体"/>
          <w:b/>
          <w:color w:val="auto"/>
          <w:sz w:val="32"/>
          <w:szCs w:val="32"/>
          <w:highlight w:val="none"/>
          <w:lang w:eastAsia="zh-CN"/>
        </w:rPr>
        <w:t>温州市综合行政执法局</w:t>
      </w:r>
    </w:p>
    <w:p w14:paraId="720740F2">
      <w:pPr>
        <w:spacing w:line="600" w:lineRule="exact"/>
        <w:ind w:firstLine="1928" w:firstLineChars="600"/>
        <w:jc w:val="both"/>
        <w:rPr>
          <w:rFonts w:hint="eastAsia" w:ascii="宋体" w:hAnsi="宋体" w:eastAsia="宋体"/>
          <w:b/>
          <w:color w:val="auto"/>
          <w:sz w:val="32"/>
          <w:szCs w:val="32"/>
          <w:highlight w:val="none"/>
          <w:lang w:eastAsia="zh-CN"/>
        </w:rPr>
      </w:pPr>
      <w:r>
        <w:rPr>
          <w:rFonts w:hint="eastAsia" w:ascii="宋体" w:hAnsi="宋体"/>
          <w:b/>
          <w:color w:val="auto"/>
          <w:sz w:val="32"/>
          <w:szCs w:val="32"/>
          <w:highlight w:val="none"/>
        </w:rPr>
        <w:t>采购代理机构：</w:t>
      </w:r>
      <w:r>
        <w:rPr>
          <w:rFonts w:hint="eastAsia" w:ascii="宋体" w:hAnsi="宋体"/>
          <w:b/>
          <w:color w:val="auto"/>
          <w:sz w:val="32"/>
          <w:szCs w:val="32"/>
          <w:highlight w:val="none"/>
          <w:lang w:eastAsia="zh-CN"/>
        </w:rPr>
        <w:t>温州众晟工程管理有限公司</w:t>
      </w:r>
    </w:p>
    <w:p w14:paraId="4272CDA2">
      <w:pPr>
        <w:spacing w:line="680" w:lineRule="exact"/>
        <w:jc w:val="center"/>
        <w:rPr>
          <w:rFonts w:hint="eastAsia"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val="en-US" w:eastAsia="zh-CN"/>
        </w:rPr>
        <w:t>三</w:t>
      </w:r>
      <w:r>
        <w:rPr>
          <w:rFonts w:hint="eastAsia" w:ascii="宋体" w:hAnsi="宋体"/>
          <w:b/>
          <w:color w:val="auto"/>
          <w:sz w:val="32"/>
          <w:szCs w:val="32"/>
          <w:highlight w:val="none"/>
        </w:rPr>
        <w:t>月</w:t>
      </w:r>
    </w:p>
    <w:p w14:paraId="1B1E2514">
      <w:pPr>
        <w:pStyle w:val="4"/>
        <w:spacing w:line="560" w:lineRule="exact"/>
        <w:jc w:val="center"/>
        <w:rPr>
          <w:rFonts w:hint="eastAsia" w:ascii="黑体" w:hAnsi="黑体" w:eastAsia="黑体"/>
          <w:color w:val="auto"/>
          <w:sz w:val="32"/>
          <w:szCs w:val="32"/>
          <w:highlight w:val="none"/>
        </w:rPr>
      </w:pPr>
      <w:bookmarkStart w:id="0" w:name="_Toc11531"/>
      <w:bookmarkStart w:id="1" w:name="_Toc22113"/>
      <w:r>
        <w:rPr>
          <w:rFonts w:hint="eastAsia" w:ascii="黑体" w:hAnsi="黑体" w:eastAsia="黑体"/>
          <w:color w:val="auto"/>
          <w:sz w:val="32"/>
          <w:szCs w:val="32"/>
          <w:highlight w:val="none"/>
        </w:rPr>
        <w:t>目    录</w:t>
      </w:r>
      <w:bookmarkEnd w:id="0"/>
      <w:bookmarkEnd w:id="1"/>
    </w:p>
    <w:p w14:paraId="0A5591FD">
      <w:pPr>
        <w:pStyle w:val="27"/>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TOC \o "1-3" \h \z \u </w:instrText>
      </w:r>
      <w:r>
        <w:rPr>
          <w:rFonts w:ascii="宋体" w:hAnsi="宋体"/>
          <w:color w:val="auto"/>
          <w:kern w:val="10"/>
          <w:szCs w:val="21"/>
          <w:highlight w:val="none"/>
        </w:rPr>
        <w:fldChar w:fldCharType="separate"/>
      </w: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_Toc22113 </w:instrText>
      </w:r>
      <w:r>
        <w:rPr>
          <w:rFonts w:ascii="宋体" w:hAnsi="宋体"/>
          <w:color w:val="auto"/>
          <w:kern w:val="10"/>
          <w:szCs w:val="21"/>
          <w:highlight w:val="none"/>
        </w:rPr>
        <w:fldChar w:fldCharType="separate"/>
      </w:r>
      <w:r>
        <w:rPr>
          <w:rFonts w:hint="eastAsia" w:ascii="黑体" w:hAnsi="黑体" w:eastAsia="黑体"/>
          <w:color w:val="auto"/>
          <w:szCs w:val="32"/>
          <w:highlight w:val="none"/>
        </w:rPr>
        <w:t>目    录</w:t>
      </w:r>
      <w:r>
        <w:rPr>
          <w:color w:val="auto"/>
          <w:highlight w:val="none"/>
        </w:rPr>
        <w:tab/>
      </w:r>
      <w:r>
        <w:rPr>
          <w:color w:val="auto"/>
          <w:highlight w:val="none"/>
        </w:rPr>
        <w:fldChar w:fldCharType="begin"/>
      </w:r>
      <w:r>
        <w:rPr>
          <w:color w:val="auto"/>
          <w:highlight w:val="none"/>
        </w:rPr>
        <w:instrText xml:space="preserve"> PAGEREF _Toc22113 \h </w:instrText>
      </w:r>
      <w:r>
        <w:rPr>
          <w:color w:val="auto"/>
          <w:highlight w:val="none"/>
        </w:rPr>
        <w:fldChar w:fldCharType="separate"/>
      </w:r>
      <w:r>
        <w:rPr>
          <w:color w:val="auto"/>
          <w:highlight w:val="none"/>
        </w:rPr>
        <w:t>1</w:t>
      </w:r>
      <w:r>
        <w:rPr>
          <w:color w:val="auto"/>
          <w:highlight w:val="none"/>
        </w:rPr>
        <w:fldChar w:fldCharType="end"/>
      </w:r>
      <w:r>
        <w:rPr>
          <w:rFonts w:ascii="宋体" w:hAnsi="宋体"/>
          <w:color w:val="auto"/>
          <w:kern w:val="10"/>
          <w:szCs w:val="21"/>
          <w:highlight w:val="none"/>
        </w:rPr>
        <w:fldChar w:fldCharType="end"/>
      </w:r>
    </w:p>
    <w:p w14:paraId="51D02788">
      <w:pPr>
        <w:pStyle w:val="27"/>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_Toc17904 </w:instrText>
      </w:r>
      <w:r>
        <w:rPr>
          <w:rFonts w:ascii="宋体" w:hAnsi="宋体"/>
          <w:color w:val="auto"/>
          <w:kern w:val="10"/>
          <w:szCs w:val="21"/>
          <w:highlight w:val="none"/>
        </w:rPr>
        <w:fldChar w:fldCharType="separate"/>
      </w:r>
      <w:r>
        <w:rPr>
          <w:rFonts w:hint="eastAsia" w:ascii="黑体" w:hAnsi="黑体" w:eastAsia="黑体"/>
          <w:color w:val="auto"/>
          <w:szCs w:val="32"/>
          <w:highlight w:val="none"/>
        </w:rPr>
        <w:t>第一部分  磋商公告</w:t>
      </w:r>
      <w:r>
        <w:rPr>
          <w:color w:val="auto"/>
          <w:highlight w:val="none"/>
        </w:rPr>
        <w:tab/>
      </w:r>
      <w:r>
        <w:rPr>
          <w:color w:val="auto"/>
          <w:highlight w:val="none"/>
        </w:rPr>
        <w:fldChar w:fldCharType="begin"/>
      </w:r>
      <w:r>
        <w:rPr>
          <w:color w:val="auto"/>
          <w:highlight w:val="none"/>
        </w:rPr>
        <w:instrText xml:space="preserve"> PAGEREF _Toc17904 \h </w:instrText>
      </w:r>
      <w:r>
        <w:rPr>
          <w:color w:val="auto"/>
          <w:highlight w:val="none"/>
        </w:rPr>
        <w:fldChar w:fldCharType="separate"/>
      </w:r>
      <w:r>
        <w:rPr>
          <w:color w:val="auto"/>
          <w:highlight w:val="none"/>
        </w:rPr>
        <w:t>2</w:t>
      </w:r>
      <w:r>
        <w:rPr>
          <w:color w:val="auto"/>
          <w:highlight w:val="none"/>
        </w:rPr>
        <w:fldChar w:fldCharType="end"/>
      </w:r>
      <w:r>
        <w:rPr>
          <w:rFonts w:ascii="宋体" w:hAnsi="宋体"/>
          <w:color w:val="auto"/>
          <w:kern w:val="10"/>
          <w:szCs w:val="21"/>
          <w:highlight w:val="none"/>
        </w:rPr>
        <w:fldChar w:fldCharType="end"/>
      </w:r>
    </w:p>
    <w:p w14:paraId="24B96AA9">
      <w:pPr>
        <w:pStyle w:val="27"/>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_Toc24101 </w:instrText>
      </w:r>
      <w:r>
        <w:rPr>
          <w:rFonts w:ascii="宋体" w:hAnsi="宋体"/>
          <w:color w:val="auto"/>
          <w:kern w:val="10"/>
          <w:szCs w:val="21"/>
          <w:highlight w:val="none"/>
        </w:rPr>
        <w:fldChar w:fldCharType="separate"/>
      </w:r>
      <w:r>
        <w:rPr>
          <w:rFonts w:hint="eastAsia" w:ascii="黑体" w:hAnsi="黑体" w:eastAsia="黑体"/>
          <w:color w:val="auto"/>
          <w:szCs w:val="32"/>
          <w:highlight w:val="none"/>
        </w:rPr>
        <w:t>第二部分  磋商供应商须知</w:t>
      </w:r>
      <w:r>
        <w:rPr>
          <w:color w:val="auto"/>
          <w:highlight w:val="none"/>
        </w:rPr>
        <w:tab/>
      </w:r>
      <w:r>
        <w:rPr>
          <w:color w:val="auto"/>
          <w:highlight w:val="none"/>
        </w:rPr>
        <w:fldChar w:fldCharType="begin"/>
      </w:r>
      <w:r>
        <w:rPr>
          <w:color w:val="auto"/>
          <w:highlight w:val="none"/>
        </w:rPr>
        <w:instrText xml:space="preserve"> PAGEREF _Toc24101 \h </w:instrText>
      </w:r>
      <w:r>
        <w:rPr>
          <w:color w:val="auto"/>
          <w:highlight w:val="none"/>
        </w:rPr>
        <w:fldChar w:fldCharType="separate"/>
      </w:r>
      <w:r>
        <w:rPr>
          <w:color w:val="auto"/>
          <w:highlight w:val="none"/>
        </w:rPr>
        <w:t>5</w:t>
      </w:r>
      <w:r>
        <w:rPr>
          <w:color w:val="auto"/>
          <w:highlight w:val="none"/>
        </w:rPr>
        <w:fldChar w:fldCharType="end"/>
      </w:r>
      <w:r>
        <w:rPr>
          <w:rFonts w:ascii="宋体" w:hAnsi="宋体"/>
          <w:color w:val="auto"/>
          <w:kern w:val="10"/>
          <w:szCs w:val="21"/>
          <w:highlight w:val="none"/>
        </w:rPr>
        <w:fldChar w:fldCharType="end"/>
      </w:r>
    </w:p>
    <w:p w14:paraId="7541051F">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_Toc6797 </w:instrText>
      </w:r>
      <w:r>
        <w:rPr>
          <w:rFonts w:ascii="宋体" w:hAnsi="宋体"/>
          <w:color w:val="auto"/>
          <w:kern w:val="10"/>
          <w:szCs w:val="21"/>
          <w:highlight w:val="none"/>
        </w:rPr>
        <w:fldChar w:fldCharType="separate"/>
      </w:r>
      <w:r>
        <w:rPr>
          <w:rFonts w:hint="eastAsia" w:ascii="宋体" w:hAnsi="宋体" w:eastAsia="宋体"/>
          <w:color w:val="auto"/>
          <w:szCs w:val="28"/>
          <w:highlight w:val="none"/>
        </w:rPr>
        <w:t>磋商供应商须知前附表</w:t>
      </w:r>
      <w:r>
        <w:rPr>
          <w:color w:val="auto"/>
          <w:highlight w:val="none"/>
        </w:rPr>
        <w:tab/>
      </w:r>
      <w:r>
        <w:rPr>
          <w:color w:val="auto"/>
          <w:highlight w:val="none"/>
        </w:rPr>
        <w:fldChar w:fldCharType="begin"/>
      </w:r>
      <w:r>
        <w:rPr>
          <w:color w:val="auto"/>
          <w:highlight w:val="none"/>
        </w:rPr>
        <w:instrText xml:space="preserve"> PAGEREF _Toc6797 \h </w:instrText>
      </w:r>
      <w:r>
        <w:rPr>
          <w:color w:val="auto"/>
          <w:highlight w:val="none"/>
        </w:rPr>
        <w:fldChar w:fldCharType="separate"/>
      </w:r>
      <w:r>
        <w:rPr>
          <w:color w:val="auto"/>
          <w:highlight w:val="none"/>
        </w:rPr>
        <w:t>5</w:t>
      </w:r>
      <w:r>
        <w:rPr>
          <w:color w:val="auto"/>
          <w:highlight w:val="none"/>
        </w:rPr>
        <w:fldChar w:fldCharType="end"/>
      </w:r>
      <w:r>
        <w:rPr>
          <w:rFonts w:ascii="宋体" w:hAnsi="宋体"/>
          <w:color w:val="auto"/>
          <w:kern w:val="10"/>
          <w:szCs w:val="21"/>
          <w:highlight w:val="none"/>
        </w:rPr>
        <w:fldChar w:fldCharType="end"/>
      </w:r>
    </w:p>
    <w:p w14:paraId="3AD6F5D9">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_Toc26925 </w:instrText>
      </w:r>
      <w:r>
        <w:rPr>
          <w:rFonts w:ascii="宋体" w:hAnsi="宋体"/>
          <w:color w:val="auto"/>
          <w:kern w:val="10"/>
          <w:szCs w:val="21"/>
          <w:highlight w:val="none"/>
        </w:rPr>
        <w:fldChar w:fldCharType="separate"/>
      </w:r>
      <w:r>
        <w:rPr>
          <w:rFonts w:hint="eastAsia" w:ascii="宋体" w:hAnsi="宋体" w:eastAsia="宋体"/>
          <w:color w:val="auto"/>
          <w:szCs w:val="28"/>
          <w:highlight w:val="none"/>
        </w:rPr>
        <w:t>一、 说  明</w:t>
      </w:r>
      <w:r>
        <w:rPr>
          <w:color w:val="auto"/>
          <w:highlight w:val="none"/>
        </w:rPr>
        <w:tab/>
      </w:r>
      <w:r>
        <w:rPr>
          <w:color w:val="auto"/>
          <w:highlight w:val="none"/>
        </w:rPr>
        <w:fldChar w:fldCharType="begin"/>
      </w:r>
      <w:r>
        <w:rPr>
          <w:color w:val="auto"/>
          <w:highlight w:val="none"/>
        </w:rPr>
        <w:instrText xml:space="preserve"> PAGEREF _Toc26925 \h </w:instrText>
      </w:r>
      <w:r>
        <w:rPr>
          <w:color w:val="auto"/>
          <w:highlight w:val="none"/>
        </w:rPr>
        <w:fldChar w:fldCharType="separate"/>
      </w:r>
      <w:r>
        <w:rPr>
          <w:color w:val="auto"/>
          <w:highlight w:val="none"/>
        </w:rPr>
        <w:t>10</w:t>
      </w:r>
      <w:r>
        <w:rPr>
          <w:color w:val="auto"/>
          <w:highlight w:val="none"/>
        </w:rPr>
        <w:fldChar w:fldCharType="end"/>
      </w:r>
      <w:r>
        <w:rPr>
          <w:rFonts w:ascii="宋体" w:hAnsi="宋体"/>
          <w:color w:val="auto"/>
          <w:kern w:val="10"/>
          <w:szCs w:val="21"/>
          <w:highlight w:val="none"/>
        </w:rPr>
        <w:fldChar w:fldCharType="end"/>
      </w:r>
    </w:p>
    <w:p w14:paraId="01068793">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_Toc30966 </w:instrText>
      </w:r>
      <w:r>
        <w:rPr>
          <w:rFonts w:ascii="宋体" w:hAnsi="宋体"/>
          <w:color w:val="auto"/>
          <w:kern w:val="10"/>
          <w:szCs w:val="21"/>
          <w:highlight w:val="none"/>
        </w:rPr>
        <w:fldChar w:fldCharType="separate"/>
      </w:r>
      <w:r>
        <w:rPr>
          <w:rFonts w:hint="eastAsia" w:ascii="宋体" w:hAnsi="宋体" w:eastAsia="宋体"/>
          <w:color w:val="auto"/>
          <w:szCs w:val="28"/>
          <w:highlight w:val="none"/>
        </w:rPr>
        <w:t>二、 磋商文件</w:t>
      </w:r>
      <w:r>
        <w:rPr>
          <w:color w:val="auto"/>
          <w:highlight w:val="none"/>
        </w:rPr>
        <w:tab/>
      </w:r>
      <w:r>
        <w:rPr>
          <w:color w:val="auto"/>
          <w:highlight w:val="none"/>
        </w:rPr>
        <w:fldChar w:fldCharType="begin"/>
      </w:r>
      <w:r>
        <w:rPr>
          <w:color w:val="auto"/>
          <w:highlight w:val="none"/>
        </w:rPr>
        <w:instrText xml:space="preserve"> PAGEREF _Toc30966 \h </w:instrText>
      </w:r>
      <w:r>
        <w:rPr>
          <w:color w:val="auto"/>
          <w:highlight w:val="none"/>
        </w:rPr>
        <w:fldChar w:fldCharType="separate"/>
      </w:r>
      <w:r>
        <w:rPr>
          <w:color w:val="auto"/>
          <w:highlight w:val="none"/>
        </w:rPr>
        <w:t>14</w:t>
      </w:r>
      <w:r>
        <w:rPr>
          <w:color w:val="auto"/>
          <w:highlight w:val="none"/>
        </w:rPr>
        <w:fldChar w:fldCharType="end"/>
      </w:r>
      <w:r>
        <w:rPr>
          <w:rFonts w:ascii="宋体" w:hAnsi="宋体"/>
          <w:color w:val="auto"/>
          <w:kern w:val="10"/>
          <w:szCs w:val="21"/>
          <w:highlight w:val="none"/>
        </w:rPr>
        <w:fldChar w:fldCharType="end"/>
      </w:r>
    </w:p>
    <w:p w14:paraId="14CCBEA5">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_Toc276 </w:instrText>
      </w:r>
      <w:r>
        <w:rPr>
          <w:rFonts w:ascii="宋体" w:hAnsi="宋体"/>
          <w:color w:val="auto"/>
          <w:kern w:val="10"/>
          <w:szCs w:val="21"/>
          <w:highlight w:val="none"/>
        </w:rPr>
        <w:fldChar w:fldCharType="separate"/>
      </w:r>
      <w:r>
        <w:rPr>
          <w:rFonts w:hint="eastAsia" w:ascii="宋体" w:hAnsi="宋体" w:eastAsia="宋体"/>
          <w:color w:val="auto"/>
          <w:szCs w:val="28"/>
          <w:highlight w:val="none"/>
        </w:rPr>
        <w:t>三、 磋商响应文件的编制</w:t>
      </w:r>
      <w:r>
        <w:rPr>
          <w:color w:val="auto"/>
          <w:highlight w:val="none"/>
        </w:rPr>
        <w:tab/>
      </w:r>
      <w:r>
        <w:rPr>
          <w:color w:val="auto"/>
          <w:highlight w:val="none"/>
        </w:rPr>
        <w:fldChar w:fldCharType="begin"/>
      </w:r>
      <w:r>
        <w:rPr>
          <w:color w:val="auto"/>
          <w:highlight w:val="none"/>
        </w:rPr>
        <w:instrText xml:space="preserve"> PAGEREF _Toc276 \h </w:instrText>
      </w:r>
      <w:r>
        <w:rPr>
          <w:color w:val="auto"/>
          <w:highlight w:val="none"/>
        </w:rPr>
        <w:fldChar w:fldCharType="separate"/>
      </w:r>
      <w:r>
        <w:rPr>
          <w:color w:val="auto"/>
          <w:highlight w:val="none"/>
        </w:rPr>
        <w:t>14</w:t>
      </w:r>
      <w:r>
        <w:rPr>
          <w:color w:val="auto"/>
          <w:highlight w:val="none"/>
        </w:rPr>
        <w:fldChar w:fldCharType="end"/>
      </w:r>
      <w:r>
        <w:rPr>
          <w:rFonts w:ascii="宋体" w:hAnsi="宋体"/>
          <w:color w:val="auto"/>
          <w:kern w:val="10"/>
          <w:szCs w:val="21"/>
          <w:highlight w:val="none"/>
        </w:rPr>
        <w:fldChar w:fldCharType="end"/>
      </w:r>
    </w:p>
    <w:p w14:paraId="0F6D8243">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_Toc768 </w:instrText>
      </w:r>
      <w:r>
        <w:rPr>
          <w:rFonts w:ascii="宋体" w:hAnsi="宋体"/>
          <w:color w:val="auto"/>
          <w:kern w:val="10"/>
          <w:szCs w:val="21"/>
          <w:highlight w:val="none"/>
        </w:rPr>
        <w:fldChar w:fldCharType="separate"/>
      </w:r>
      <w:r>
        <w:rPr>
          <w:rFonts w:hint="eastAsia" w:ascii="宋体" w:hAnsi="宋体" w:eastAsia="宋体"/>
          <w:color w:val="auto"/>
          <w:szCs w:val="28"/>
          <w:highlight w:val="none"/>
        </w:rPr>
        <w:t>四、 磋商响应文件的递交</w:t>
      </w:r>
      <w:r>
        <w:rPr>
          <w:color w:val="auto"/>
          <w:highlight w:val="none"/>
        </w:rPr>
        <w:tab/>
      </w:r>
      <w:r>
        <w:rPr>
          <w:color w:val="auto"/>
          <w:highlight w:val="none"/>
        </w:rPr>
        <w:fldChar w:fldCharType="begin"/>
      </w:r>
      <w:r>
        <w:rPr>
          <w:color w:val="auto"/>
          <w:highlight w:val="none"/>
        </w:rPr>
        <w:instrText xml:space="preserve"> PAGEREF _Toc768 \h </w:instrText>
      </w:r>
      <w:r>
        <w:rPr>
          <w:color w:val="auto"/>
          <w:highlight w:val="none"/>
        </w:rPr>
        <w:fldChar w:fldCharType="separate"/>
      </w:r>
      <w:r>
        <w:rPr>
          <w:color w:val="auto"/>
          <w:highlight w:val="none"/>
        </w:rPr>
        <w:t>21</w:t>
      </w:r>
      <w:r>
        <w:rPr>
          <w:color w:val="auto"/>
          <w:highlight w:val="none"/>
        </w:rPr>
        <w:fldChar w:fldCharType="end"/>
      </w:r>
      <w:r>
        <w:rPr>
          <w:rFonts w:ascii="宋体" w:hAnsi="宋体"/>
          <w:color w:val="auto"/>
          <w:kern w:val="10"/>
          <w:szCs w:val="21"/>
          <w:highlight w:val="none"/>
        </w:rPr>
        <w:fldChar w:fldCharType="end"/>
      </w:r>
    </w:p>
    <w:p w14:paraId="517618FC">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_Toc11350 </w:instrText>
      </w:r>
      <w:r>
        <w:rPr>
          <w:rFonts w:ascii="宋体" w:hAnsi="宋体"/>
          <w:color w:val="auto"/>
          <w:kern w:val="10"/>
          <w:szCs w:val="21"/>
          <w:highlight w:val="none"/>
        </w:rPr>
        <w:fldChar w:fldCharType="separate"/>
      </w:r>
      <w:r>
        <w:rPr>
          <w:rFonts w:hint="eastAsia"/>
          <w:color w:val="auto"/>
          <w:szCs w:val="28"/>
          <w:highlight w:val="none"/>
        </w:rPr>
        <w:t>五、 开标、评审和定标</w:t>
      </w:r>
      <w:r>
        <w:rPr>
          <w:color w:val="auto"/>
          <w:highlight w:val="none"/>
        </w:rPr>
        <w:tab/>
      </w:r>
      <w:r>
        <w:rPr>
          <w:color w:val="auto"/>
          <w:highlight w:val="none"/>
        </w:rPr>
        <w:fldChar w:fldCharType="begin"/>
      </w:r>
      <w:r>
        <w:rPr>
          <w:color w:val="auto"/>
          <w:highlight w:val="none"/>
        </w:rPr>
        <w:instrText xml:space="preserve"> PAGEREF _Toc11350 \h </w:instrText>
      </w:r>
      <w:r>
        <w:rPr>
          <w:color w:val="auto"/>
          <w:highlight w:val="none"/>
        </w:rPr>
        <w:fldChar w:fldCharType="separate"/>
      </w:r>
      <w:r>
        <w:rPr>
          <w:color w:val="auto"/>
          <w:highlight w:val="none"/>
        </w:rPr>
        <w:t>22</w:t>
      </w:r>
      <w:r>
        <w:rPr>
          <w:color w:val="auto"/>
          <w:highlight w:val="none"/>
        </w:rPr>
        <w:fldChar w:fldCharType="end"/>
      </w:r>
      <w:r>
        <w:rPr>
          <w:rFonts w:ascii="宋体" w:hAnsi="宋体"/>
          <w:color w:val="auto"/>
          <w:kern w:val="10"/>
          <w:szCs w:val="21"/>
          <w:highlight w:val="none"/>
        </w:rPr>
        <w:fldChar w:fldCharType="end"/>
      </w:r>
    </w:p>
    <w:p w14:paraId="1B81F609">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_Toc26929 </w:instrText>
      </w:r>
      <w:r>
        <w:rPr>
          <w:rFonts w:ascii="宋体" w:hAnsi="宋体"/>
          <w:color w:val="auto"/>
          <w:kern w:val="10"/>
          <w:szCs w:val="21"/>
          <w:highlight w:val="none"/>
        </w:rPr>
        <w:fldChar w:fldCharType="separate"/>
      </w:r>
      <w:r>
        <w:rPr>
          <w:rFonts w:hint="eastAsia"/>
          <w:color w:val="auto"/>
          <w:szCs w:val="28"/>
          <w:highlight w:val="none"/>
        </w:rPr>
        <w:t>六、 授予合同</w:t>
      </w:r>
      <w:r>
        <w:rPr>
          <w:color w:val="auto"/>
          <w:highlight w:val="none"/>
        </w:rPr>
        <w:tab/>
      </w:r>
      <w:r>
        <w:rPr>
          <w:color w:val="auto"/>
          <w:highlight w:val="none"/>
        </w:rPr>
        <w:fldChar w:fldCharType="begin"/>
      </w:r>
      <w:r>
        <w:rPr>
          <w:color w:val="auto"/>
          <w:highlight w:val="none"/>
        </w:rPr>
        <w:instrText xml:space="preserve"> PAGEREF _Toc26929 \h </w:instrText>
      </w:r>
      <w:r>
        <w:rPr>
          <w:color w:val="auto"/>
          <w:highlight w:val="none"/>
        </w:rPr>
        <w:fldChar w:fldCharType="separate"/>
      </w:r>
      <w:r>
        <w:rPr>
          <w:color w:val="auto"/>
          <w:highlight w:val="none"/>
        </w:rPr>
        <w:t>24</w:t>
      </w:r>
      <w:r>
        <w:rPr>
          <w:color w:val="auto"/>
          <w:highlight w:val="none"/>
        </w:rPr>
        <w:fldChar w:fldCharType="end"/>
      </w:r>
      <w:r>
        <w:rPr>
          <w:rFonts w:ascii="宋体" w:hAnsi="宋体"/>
          <w:color w:val="auto"/>
          <w:kern w:val="10"/>
          <w:szCs w:val="21"/>
          <w:highlight w:val="none"/>
        </w:rPr>
        <w:fldChar w:fldCharType="end"/>
      </w:r>
    </w:p>
    <w:p w14:paraId="7EB074D1">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_Toc30075 </w:instrText>
      </w:r>
      <w:r>
        <w:rPr>
          <w:rFonts w:ascii="宋体" w:hAnsi="宋体"/>
          <w:color w:val="auto"/>
          <w:kern w:val="10"/>
          <w:szCs w:val="21"/>
          <w:highlight w:val="none"/>
        </w:rPr>
        <w:fldChar w:fldCharType="separate"/>
      </w:r>
      <w:r>
        <w:rPr>
          <w:rFonts w:hint="eastAsia"/>
          <w:color w:val="auto"/>
          <w:szCs w:val="28"/>
          <w:highlight w:val="none"/>
        </w:rPr>
        <w:t>七、 其他注意事项</w:t>
      </w:r>
      <w:r>
        <w:rPr>
          <w:color w:val="auto"/>
          <w:highlight w:val="none"/>
        </w:rPr>
        <w:tab/>
      </w:r>
      <w:r>
        <w:rPr>
          <w:color w:val="auto"/>
          <w:highlight w:val="none"/>
        </w:rPr>
        <w:fldChar w:fldCharType="begin"/>
      </w:r>
      <w:r>
        <w:rPr>
          <w:color w:val="auto"/>
          <w:highlight w:val="none"/>
        </w:rPr>
        <w:instrText xml:space="preserve"> PAGEREF _Toc30075 \h </w:instrText>
      </w:r>
      <w:r>
        <w:rPr>
          <w:color w:val="auto"/>
          <w:highlight w:val="none"/>
        </w:rPr>
        <w:fldChar w:fldCharType="separate"/>
      </w:r>
      <w:r>
        <w:rPr>
          <w:color w:val="auto"/>
          <w:highlight w:val="none"/>
        </w:rPr>
        <w:t>26</w:t>
      </w:r>
      <w:r>
        <w:rPr>
          <w:color w:val="auto"/>
          <w:highlight w:val="none"/>
        </w:rPr>
        <w:fldChar w:fldCharType="end"/>
      </w:r>
      <w:r>
        <w:rPr>
          <w:rFonts w:ascii="宋体" w:hAnsi="宋体"/>
          <w:color w:val="auto"/>
          <w:kern w:val="10"/>
          <w:szCs w:val="21"/>
          <w:highlight w:val="none"/>
        </w:rPr>
        <w:fldChar w:fldCharType="end"/>
      </w:r>
    </w:p>
    <w:p w14:paraId="5F50CB3C">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_Toc32702 </w:instrText>
      </w:r>
      <w:r>
        <w:rPr>
          <w:rFonts w:ascii="宋体" w:hAnsi="宋体"/>
          <w:color w:val="auto"/>
          <w:kern w:val="10"/>
          <w:szCs w:val="21"/>
          <w:highlight w:val="none"/>
        </w:rPr>
        <w:fldChar w:fldCharType="separate"/>
      </w:r>
      <w:r>
        <w:rPr>
          <w:rFonts w:hint="eastAsia"/>
          <w:color w:val="auto"/>
          <w:szCs w:val="28"/>
          <w:highlight w:val="none"/>
        </w:rPr>
        <w:t>八、 可中止电子交易活动的情形</w:t>
      </w:r>
      <w:r>
        <w:rPr>
          <w:color w:val="auto"/>
          <w:highlight w:val="none"/>
        </w:rPr>
        <w:tab/>
      </w:r>
      <w:r>
        <w:rPr>
          <w:color w:val="auto"/>
          <w:highlight w:val="none"/>
        </w:rPr>
        <w:fldChar w:fldCharType="begin"/>
      </w:r>
      <w:r>
        <w:rPr>
          <w:color w:val="auto"/>
          <w:highlight w:val="none"/>
        </w:rPr>
        <w:instrText xml:space="preserve"> PAGEREF _Toc32702 \h </w:instrText>
      </w:r>
      <w:r>
        <w:rPr>
          <w:color w:val="auto"/>
          <w:highlight w:val="none"/>
        </w:rPr>
        <w:fldChar w:fldCharType="separate"/>
      </w:r>
      <w:r>
        <w:rPr>
          <w:color w:val="auto"/>
          <w:highlight w:val="none"/>
        </w:rPr>
        <w:t>26</w:t>
      </w:r>
      <w:r>
        <w:rPr>
          <w:color w:val="auto"/>
          <w:highlight w:val="none"/>
        </w:rPr>
        <w:fldChar w:fldCharType="end"/>
      </w:r>
      <w:r>
        <w:rPr>
          <w:rFonts w:ascii="宋体" w:hAnsi="宋体"/>
          <w:color w:val="auto"/>
          <w:kern w:val="10"/>
          <w:szCs w:val="21"/>
          <w:highlight w:val="none"/>
        </w:rPr>
        <w:fldChar w:fldCharType="end"/>
      </w:r>
    </w:p>
    <w:p w14:paraId="240CC3F3">
      <w:pPr>
        <w:pStyle w:val="27"/>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_Toc11391 </w:instrText>
      </w:r>
      <w:r>
        <w:rPr>
          <w:rFonts w:ascii="宋体" w:hAnsi="宋体"/>
          <w:color w:val="auto"/>
          <w:kern w:val="10"/>
          <w:szCs w:val="21"/>
          <w:highlight w:val="none"/>
        </w:rPr>
        <w:fldChar w:fldCharType="separate"/>
      </w:r>
      <w:r>
        <w:rPr>
          <w:rFonts w:hint="eastAsia" w:ascii="黑体" w:hAnsi="黑体" w:eastAsia="黑体"/>
          <w:color w:val="auto"/>
          <w:szCs w:val="32"/>
          <w:highlight w:val="none"/>
        </w:rPr>
        <w:t>第三部分  合同主要条款</w:t>
      </w:r>
      <w:r>
        <w:rPr>
          <w:color w:val="auto"/>
          <w:highlight w:val="none"/>
        </w:rPr>
        <w:tab/>
      </w:r>
      <w:r>
        <w:rPr>
          <w:color w:val="auto"/>
          <w:highlight w:val="none"/>
        </w:rPr>
        <w:fldChar w:fldCharType="begin"/>
      </w:r>
      <w:r>
        <w:rPr>
          <w:color w:val="auto"/>
          <w:highlight w:val="none"/>
        </w:rPr>
        <w:instrText xml:space="preserve"> PAGEREF _Toc11391 \h </w:instrText>
      </w:r>
      <w:r>
        <w:rPr>
          <w:color w:val="auto"/>
          <w:highlight w:val="none"/>
        </w:rPr>
        <w:fldChar w:fldCharType="separate"/>
      </w:r>
      <w:r>
        <w:rPr>
          <w:color w:val="auto"/>
          <w:highlight w:val="none"/>
        </w:rPr>
        <w:t>28</w:t>
      </w:r>
      <w:r>
        <w:rPr>
          <w:color w:val="auto"/>
          <w:highlight w:val="none"/>
        </w:rPr>
        <w:fldChar w:fldCharType="end"/>
      </w:r>
      <w:r>
        <w:rPr>
          <w:rFonts w:ascii="宋体" w:hAnsi="宋体"/>
          <w:color w:val="auto"/>
          <w:kern w:val="10"/>
          <w:szCs w:val="21"/>
          <w:highlight w:val="none"/>
        </w:rPr>
        <w:fldChar w:fldCharType="end"/>
      </w:r>
    </w:p>
    <w:p w14:paraId="1C90F83D">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_Toc30921 </w:instrText>
      </w:r>
      <w:r>
        <w:rPr>
          <w:rFonts w:ascii="宋体" w:hAnsi="宋体"/>
          <w:color w:val="auto"/>
          <w:kern w:val="10"/>
          <w:szCs w:val="21"/>
          <w:highlight w:val="none"/>
        </w:rPr>
        <w:fldChar w:fldCharType="separate"/>
      </w:r>
      <w:r>
        <w:rPr>
          <w:rFonts w:hint="eastAsia"/>
          <w:color w:val="auto"/>
          <w:szCs w:val="28"/>
          <w:highlight w:val="none"/>
        </w:rPr>
        <w:t>（一）合同协议书</w:t>
      </w:r>
      <w:r>
        <w:rPr>
          <w:color w:val="auto"/>
          <w:highlight w:val="none"/>
        </w:rPr>
        <w:tab/>
      </w:r>
      <w:r>
        <w:rPr>
          <w:color w:val="auto"/>
          <w:highlight w:val="none"/>
        </w:rPr>
        <w:fldChar w:fldCharType="begin"/>
      </w:r>
      <w:r>
        <w:rPr>
          <w:color w:val="auto"/>
          <w:highlight w:val="none"/>
        </w:rPr>
        <w:instrText xml:space="preserve"> PAGEREF _Toc30921 \h </w:instrText>
      </w:r>
      <w:r>
        <w:rPr>
          <w:color w:val="auto"/>
          <w:highlight w:val="none"/>
        </w:rPr>
        <w:fldChar w:fldCharType="separate"/>
      </w:r>
      <w:r>
        <w:rPr>
          <w:color w:val="auto"/>
          <w:highlight w:val="none"/>
        </w:rPr>
        <w:t>28</w:t>
      </w:r>
      <w:r>
        <w:rPr>
          <w:color w:val="auto"/>
          <w:highlight w:val="none"/>
        </w:rPr>
        <w:fldChar w:fldCharType="end"/>
      </w:r>
      <w:r>
        <w:rPr>
          <w:rFonts w:ascii="宋体" w:hAnsi="宋体"/>
          <w:color w:val="auto"/>
          <w:kern w:val="10"/>
          <w:szCs w:val="21"/>
          <w:highlight w:val="none"/>
        </w:rPr>
        <w:fldChar w:fldCharType="end"/>
      </w:r>
    </w:p>
    <w:p w14:paraId="5C6CD64D">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_Toc15540 </w:instrText>
      </w:r>
      <w:r>
        <w:rPr>
          <w:rFonts w:ascii="宋体" w:hAnsi="宋体"/>
          <w:color w:val="auto"/>
          <w:kern w:val="10"/>
          <w:szCs w:val="21"/>
          <w:highlight w:val="none"/>
        </w:rPr>
        <w:fldChar w:fldCharType="separate"/>
      </w:r>
      <w:r>
        <w:rPr>
          <w:rFonts w:hint="eastAsia"/>
          <w:color w:val="auto"/>
          <w:szCs w:val="28"/>
          <w:highlight w:val="none"/>
        </w:rPr>
        <w:t>（二）通用条款（略）</w:t>
      </w:r>
      <w:r>
        <w:rPr>
          <w:color w:val="auto"/>
          <w:highlight w:val="none"/>
        </w:rPr>
        <w:tab/>
      </w:r>
      <w:r>
        <w:rPr>
          <w:color w:val="auto"/>
          <w:highlight w:val="none"/>
        </w:rPr>
        <w:fldChar w:fldCharType="begin"/>
      </w:r>
      <w:r>
        <w:rPr>
          <w:color w:val="auto"/>
          <w:highlight w:val="none"/>
        </w:rPr>
        <w:instrText xml:space="preserve"> PAGEREF _Toc15540 \h </w:instrText>
      </w:r>
      <w:r>
        <w:rPr>
          <w:color w:val="auto"/>
          <w:highlight w:val="none"/>
        </w:rPr>
        <w:fldChar w:fldCharType="separate"/>
      </w:r>
      <w:r>
        <w:rPr>
          <w:color w:val="auto"/>
          <w:highlight w:val="none"/>
        </w:rPr>
        <w:t>31</w:t>
      </w:r>
      <w:r>
        <w:rPr>
          <w:color w:val="auto"/>
          <w:highlight w:val="none"/>
        </w:rPr>
        <w:fldChar w:fldCharType="end"/>
      </w:r>
      <w:r>
        <w:rPr>
          <w:rFonts w:ascii="宋体" w:hAnsi="宋体"/>
          <w:color w:val="auto"/>
          <w:kern w:val="10"/>
          <w:szCs w:val="21"/>
          <w:highlight w:val="none"/>
        </w:rPr>
        <w:fldChar w:fldCharType="end"/>
      </w:r>
    </w:p>
    <w:p w14:paraId="50292589">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_Toc21837 </w:instrText>
      </w:r>
      <w:r>
        <w:rPr>
          <w:rFonts w:ascii="宋体" w:hAnsi="宋体"/>
          <w:color w:val="auto"/>
          <w:kern w:val="10"/>
          <w:szCs w:val="21"/>
          <w:highlight w:val="none"/>
        </w:rPr>
        <w:fldChar w:fldCharType="separate"/>
      </w:r>
      <w:r>
        <w:rPr>
          <w:rFonts w:hint="eastAsia"/>
          <w:color w:val="auto"/>
          <w:szCs w:val="28"/>
          <w:highlight w:val="none"/>
        </w:rPr>
        <w:t>（三）专用条款</w:t>
      </w:r>
      <w:r>
        <w:rPr>
          <w:color w:val="auto"/>
          <w:highlight w:val="none"/>
        </w:rPr>
        <w:tab/>
      </w:r>
      <w:r>
        <w:rPr>
          <w:color w:val="auto"/>
          <w:highlight w:val="none"/>
        </w:rPr>
        <w:fldChar w:fldCharType="begin"/>
      </w:r>
      <w:r>
        <w:rPr>
          <w:color w:val="auto"/>
          <w:highlight w:val="none"/>
        </w:rPr>
        <w:instrText xml:space="preserve"> PAGEREF _Toc21837 \h </w:instrText>
      </w:r>
      <w:r>
        <w:rPr>
          <w:color w:val="auto"/>
          <w:highlight w:val="none"/>
        </w:rPr>
        <w:fldChar w:fldCharType="separate"/>
      </w:r>
      <w:r>
        <w:rPr>
          <w:color w:val="auto"/>
          <w:highlight w:val="none"/>
        </w:rPr>
        <w:t>31</w:t>
      </w:r>
      <w:r>
        <w:rPr>
          <w:color w:val="auto"/>
          <w:highlight w:val="none"/>
        </w:rPr>
        <w:fldChar w:fldCharType="end"/>
      </w:r>
      <w:r>
        <w:rPr>
          <w:rFonts w:ascii="宋体" w:hAnsi="宋体"/>
          <w:color w:val="auto"/>
          <w:kern w:val="10"/>
          <w:szCs w:val="21"/>
          <w:highlight w:val="none"/>
        </w:rPr>
        <w:fldChar w:fldCharType="end"/>
      </w:r>
    </w:p>
    <w:p w14:paraId="738424BD">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_Toc617 </w:instrText>
      </w:r>
      <w:r>
        <w:rPr>
          <w:rFonts w:ascii="宋体" w:hAnsi="宋体"/>
          <w:color w:val="auto"/>
          <w:kern w:val="10"/>
          <w:szCs w:val="21"/>
          <w:highlight w:val="none"/>
        </w:rPr>
        <w:fldChar w:fldCharType="separate"/>
      </w:r>
      <w:r>
        <w:rPr>
          <w:rFonts w:hint="eastAsia"/>
          <w:color w:val="auto"/>
          <w:szCs w:val="28"/>
          <w:highlight w:val="none"/>
        </w:rPr>
        <w:t>（四）</w:t>
      </w:r>
      <w:r>
        <w:rPr>
          <w:color w:val="auto"/>
          <w:szCs w:val="28"/>
          <w:highlight w:val="none"/>
        </w:rPr>
        <w:t>工程质量保修书</w:t>
      </w:r>
      <w:r>
        <w:rPr>
          <w:color w:val="auto"/>
          <w:highlight w:val="none"/>
        </w:rPr>
        <w:tab/>
      </w:r>
      <w:r>
        <w:rPr>
          <w:color w:val="auto"/>
          <w:highlight w:val="none"/>
        </w:rPr>
        <w:fldChar w:fldCharType="begin"/>
      </w:r>
      <w:r>
        <w:rPr>
          <w:color w:val="auto"/>
          <w:highlight w:val="none"/>
        </w:rPr>
        <w:instrText xml:space="preserve"> PAGEREF _Toc617 \h </w:instrText>
      </w:r>
      <w:r>
        <w:rPr>
          <w:color w:val="auto"/>
          <w:highlight w:val="none"/>
        </w:rPr>
        <w:fldChar w:fldCharType="separate"/>
      </w:r>
      <w:r>
        <w:rPr>
          <w:color w:val="auto"/>
          <w:highlight w:val="none"/>
        </w:rPr>
        <w:t>50</w:t>
      </w:r>
      <w:r>
        <w:rPr>
          <w:color w:val="auto"/>
          <w:highlight w:val="none"/>
        </w:rPr>
        <w:fldChar w:fldCharType="end"/>
      </w:r>
      <w:r>
        <w:rPr>
          <w:rFonts w:ascii="宋体" w:hAnsi="宋体"/>
          <w:color w:val="auto"/>
          <w:kern w:val="10"/>
          <w:szCs w:val="21"/>
          <w:highlight w:val="none"/>
        </w:rPr>
        <w:fldChar w:fldCharType="end"/>
      </w:r>
    </w:p>
    <w:p w14:paraId="4D64A825">
      <w:pPr>
        <w:pStyle w:val="27"/>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_Toc27279 </w:instrText>
      </w:r>
      <w:r>
        <w:rPr>
          <w:rFonts w:ascii="宋体" w:hAnsi="宋体"/>
          <w:color w:val="auto"/>
          <w:kern w:val="10"/>
          <w:szCs w:val="21"/>
          <w:highlight w:val="none"/>
        </w:rPr>
        <w:fldChar w:fldCharType="separate"/>
      </w:r>
      <w:r>
        <w:rPr>
          <w:rFonts w:hint="eastAsia" w:ascii="黑体" w:eastAsia="黑体"/>
          <w:color w:val="auto"/>
          <w:szCs w:val="32"/>
          <w:highlight w:val="none"/>
        </w:rPr>
        <w:t>第四部分  附 件</w:t>
      </w:r>
      <w:r>
        <w:rPr>
          <w:color w:val="auto"/>
          <w:highlight w:val="none"/>
        </w:rPr>
        <w:tab/>
      </w:r>
      <w:r>
        <w:rPr>
          <w:color w:val="auto"/>
          <w:highlight w:val="none"/>
        </w:rPr>
        <w:fldChar w:fldCharType="begin"/>
      </w:r>
      <w:r>
        <w:rPr>
          <w:color w:val="auto"/>
          <w:highlight w:val="none"/>
        </w:rPr>
        <w:instrText xml:space="preserve"> PAGEREF _Toc27279 \h </w:instrText>
      </w:r>
      <w:r>
        <w:rPr>
          <w:color w:val="auto"/>
          <w:highlight w:val="none"/>
        </w:rPr>
        <w:fldChar w:fldCharType="separate"/>
      </w:r>
      <w:r>
        <w:rPr>
          <w:color w:val="auto"/>
          <w:highlight w:val="none"/>
        </w:rPr>
        <w:t>52</w:t>
      </w:r>
      <w:r>
        <w:rPr>
          <w:color w:val="auto"/>
          <w:highlight w:val="none"/>
        </w:rPr>
        <w:fldChar w:fldCharType="end"/>
      </w:r>
      <w:r>
        <w:rPr>
          <w:rFonts w:ascii="宋体" w:hAnsi="宋体"/>
          <w:color w:val="auto"/>
          <w:kern w:val="10"/>
          <w:szCs w:val="21"/>
          <w:highlight w:val="none"/>
        </w:rPr>
        <w:fldChar w:fldCharType="end"/>
      </w:r>
    </w:p>
    <w:p w14:paraId="7C0C827D">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_Toc10014 </w:instrText>
      </w:r>
      <w:r>
        <w:rPr>
          <w:rFonts w:ascii="宋体" w:hAnsi="宋体"/>
          <w:color w:val="auto"/>
          <w:kern w:val="10"/>
          <w:szCs w:val="21"/>
          <w:highlight w:val="none"/>
        </w:rPr>
        <w:fldChar w:fldCharType="separate"/>
      </w:r>
      <w:r>
        <w:rPr>
          <w:rFonts w:hint="eastAsia" w:ascii="黑体" w:hAnsi="宋体"/>
          <w:color w:val="auto"/>
          <w:szCs w:val="24"/>
          <w:highlight w:val="none"/>
        </w:rPr>
        <w:t>附件1 磋商响应函</w:t>
      </w:r>
      <w:r>
        <w:rPr>
          <w:color w:val="auto"/>
          <w:highlight w:val="none"/>
        </w:rPr>
        <w:tab/>
      </w:r>
      <w:r>
        <w:rPr>
          <w:color w:val="auto"/>
          <w:highlight w:val="none"/>
        </w:rPr>
        <w:fldChar w:fldCharType="begin"/>
      </w:r>
      <w:r>
        <w:rPr>
          <w:color w:val="auto"/>
          <w:highlight w:val="none"/>
        </w:rPr>
        <w:instrText xml:space="preserve"> PAGEREF _Toc10014 \h </w:instrText>
      </w:r>
      <w:r>
        <w:rPr>
          <w:color w:val="auto"/>
          <w:highlight w:val="none"/>
        </w:rPr>
        <w:fldChar w:fldCharType="separate"/>
      </w:r>
      <w:r>
        <w:rPr>
          <w:color w:val="auto"/>
          <w:highlight w:val="none"/>
        </w:rPr>
        <w:t>52</w:t>
      </w:r>
      <w:r>
        <w:rPr>
          <w:color w:val="auto"/>
          <w:highlight w:val="none"/>
        </w:rPr>
        <w:fldChar w:fldCharType="end"/>
      </w:r>
      <w:r>
        <w:rPr>
          <w:rFonts w:ascii="宋体" w:hAnsi="宋体"/>
          <w:color w:val="auto"/>
          <w:kern w:val="10"/>
          <w:szCs w:val="21"/>
          <w:highlight w:val="none"/>
        </w:rPr>
        <w:fldChar w:fldCharType="end"/>
      </w:r>
    </w:p>
    <w:p w14:paraId="5AEA1DAB">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_Toc2075 </w:instrText>
      </w:r>
      <w:r>
        <w:rPr>
          <w:rFonts w:ascii="宋体" w:hAnsi="宋体"/>
          <w:color w:val="auto"/>
          <w:kern w:val="10"/>
          <w:szCs w:val="21"/>
          <w:highlight w:val="none"/>
        </w:rPr>
        <w:fldChar w:fldCharType="separate"/>
      </w:r>
      <w:r>
        <w:rPr>
          <w:rFonts w:hint="eastAsia" w:ascii="黑体" w:hAnsi="宋体"/>
          <w:color w:val="auto"/>
          <w:szCs w:val="24"/>
          <w:highlight w:val="none"/>
        </w:rPr>
        <w:t>附件2 工程量报价表</w:t>
      </w:r>
      <w:r>
        <w:rPr>
          <w:color w:val="auto"/>
          <w:highlight w:val="none"/>
        </w:rPr>
        <w:tab/>
      </w:r>
      <w:r>
        <w:rPr>
          <w:color w:val="auto"/>
          <w:highlight w:val="none"/>
        </w:rPr>
        <w:fldChar w:fldCharType="begin"/>
      </w:r>
      <w:r>
        <w:rPr>
          <w:color w:val="auto"/>
          <w:highlight w:val="none"/>
        </w:rPr>
        <w:instrText xml:space="preserve"> PAGEREF _Toc2075 \h </w:instrText>
      </w:r>
      <w:r>
        <w:rPr>
          <w:color w:val="auto"/>
          <w:highlight w:val="none"/>
        </w:rPr>
        <w:fldChar w:fldCharType="separate"/>
      </w:r>
      <w:r>
        <w:rPr>
          <w:color w:val="auto"/>
          <w:highlight w:val="none"/>
        </w:rPr>
        <w:t>53</w:t>
      </w:r>
      <w:r>
        <w:rPr>
          <w:color w:val="auto"/>
          <w:highlight w:val="none"/>
        </w:rPr>
        <w:fldChar w:fldCharType="end"/>
      </w:r>
      <w:r>
        <w:rPr>
          <w:rFonts w:ascii="宋体" w:hAnsi="宋体"/>
          <w:color w:val="auto"/>
          <w:kern w:val="10"/>
          <w:szCs w:val="21"/>
          <w:highlight w:val="none"/>
        </w:rPr>
        <w:fldChar w:fldCharType="end"/>
      </w:r>
    </w:p>
    <w:p w14:paraId="5825161B">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_Toc19 </w:instrText>
      </w:r>
      <w:r>
        <w:rPr>
          <w:rFonts w:ascii="宋体" w:hAnsi="宋体"/>
          <w:color w:val="auto"/>
          <w:kern w:val="10"/>
          <w:szCs w:val="21"/>
          <w:highlight w:val="none"/>
        </w:rPr>
        <w:fldChar w:fldCharType="separate"/>
      </w:r>
      <w:r>
        <w:rPr>
          <w:rFonts w:hint="eastAsia" w:ascii="黑体" w:hAnsi="宋体"/>
          <w:color w:val="auto"/>
          <w:szCs w:val="24"/>
          <w:highlight w:val="none"/>
        </w:rPr>
        <w:t>附件3 编制说明</w:t>
      </w:r>
      <w:r>
        <w:rPr>
          <w:color w:val="auto"/>
          <w:highlight w:val="none"/>
        </w:rPr>
        <w:tab/>
      </w:r>
      <w:r>
        <w:rPr>
          <w:color w:val="auto"/>
          <w:highlight w:val="none"/>
        </w:rPr>
        <w:fldChar w:fldCharType="begin"/>
      </w:r>
      <w:r>
        <w:rPr>
          <w:color w:val="auto"/>
          <w:highlight w:val="none"/>
        </w:rPr>
        <w:instrText xml:space="preserve"> PAGEREF _Toc19 \h </w:instrText>
      </w:r>
      <w:r>
        <w:rPr>
          <w:color w:val="auto"/>
          <w:highlight w:val="none"/>
        </w:rPr>
        <w:fldChar w:fldCharType="separate"/>
      </w:r>
      <w:r>
        <w:rPr>
          <w:color w:val="auto"/>
          <w:highlight w:val="none"/>
        </w:rPr>
        <w:t>54</w:t>
      </w:r>
      <w:r>
        <w:rPr>
          <w:color w:val="auto"/>
          <w:highlight w:val="none"/>
        </w:rPr>
        <w:fldChar w:fldCharType="end"/>
      </w:r>
      <w:r>
        <w:rPr>
          <w:rFonts w:ascii="宋体" w:hAnsi="宋体"/>
          <w:color w:val="auto"/>
          <w:kern w:val="10"/>
          <w:szCs w:val="21"/>
          <w:highlight w:val="none"/>
        </w:rPr>
        <w:fldChar w:fldCharType="end"/>
      </w:r>
    </w:p>
    <w:p w14:paraId="02F40307">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_Toc27278 </w:instrText>
      </w:r>
      <w:r>
        <w:rPr>
          <w:rFonts w:ascii="宋体" w:hAnsi="宋体"/>
          <w:color w:val="auto"/>
          <w:kern w:val="10"/>
          <w:szCs w:val="21"/>
          <w:highlight w:val="none"/>
        </w:rPr>
        <w:fldChar w:fldCharType="separate"/>
      </w:r>
      <w:r>
        <w:rPr>
          <w:rFonts w:hint="eastAsia" w:ascii="黑体" w:hAnsi="宋体"/>
          <w:color w:val="auto"/>
          <w:szCs w:val="24"/>
          <w:highlight w:val="none"/>
        </w:rPr>
        <w:t>附件4 磋商总价</w:t>
      </w:r>
      <w:r>
        <w:rPr>
          <w:color w:val="auto"/>
          <w:highlight w:val="none"/>
        </w:rPr>
        <w:tab/>
      </w:r>
      <w:r>
        <w:rPr>
          <w:color w:val="auto"/>
          <w:highlight w:val="none"/>
        </w:rPr>
        <w:fldChar w:fldCharType="begin"/>
      </w:r>
      <w:r>
        <w:rPr>
          <w:color w:val="auto"/>
          <w:highlight w:val="none"/>
        </w:rPr>
        <w:instrText xml:space="preserve"> PAGEREF _Toc27278 \h </w:instrText>
      </w:r>
      <w:r>
        <w:rPr>
          <w:color w:val="auto"/>
          <w:highlight w:val="none"/>
        </w:rPr>
        <w:fldChar w:fldCharType="separate"/>
      </w:r>
      <w:r>
        <w:rPr>
          <w:color w:val="auto"/>
          <w:highlight w:val="none"/>
        </w:rPr>
        <w:t>55</w:t>
      </w:r>
      <w:r>
        <w:rPr>
          <w:color w:val="auto"/>
          <w:highlight w:val="none"/>
        </w:rPr>
        <w:fldChar w:fldCharType="end"/>
      </w:r>
      <w:r>
        <w:rPr>
          <w:rFonts w:ascii="宋体" w:hAnsi="宋体"/>
          <w:color w:val="auto"/>
          <w:kern w:val="10"/>
          <w:szCs w:val="21"/>
          <w:highlight w:val="none"/>
        </w:rPr>
        <w:fldChar w:fldCharType="end"/>
      </w:r>
    </w:p>
    <w:p w14:paraId="757C7181">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_Toc2662 </w:instrText>
      </w:r>
      <w:r>
        <w:rPr>
          <w:rFonts w:ascii="宋体" w:hAnsi="宋体"/>
          <w:color w:val="auto"/>
          <w:kern w:val="10"/>
          <w:szCs w:val="21"/>
          <w:highlight w:val="none"/>
        </w:rPr>
        <w:fldChar w:fldCharType="separate"/>
      </w:r>
      <w:r>
        <w:rPr>
          <w:rFonts w:hint="eastAsia" w:ascii="黑体" w:hAnsi="宋体"/>
          <w:color w:val="auto"/>
          <w:szCs w:val="24"/>
          <w:highlight w:val="none"/>
        </w:rPr>
        <w:t>附件5 工程项目磋商报价汇总表</w:t>
      </w:r>
      <w:r>
        <w:rPr>
          <w:color w:val="auto"/>
          <w:highlight w:val="none"/>
        </w:rPr>
        <w:tab/>
      </w:r>
      <w:r>
        <w:rPr>
          <w:color w:val="auto"/>
          <w:highlight w:val="none"/>
        </w:rPr>
        <w:fldChar w:fldCharType="begin"/>
      </w:r>
      <w:r>
        <w:rPr>
          <w:color w:val="auto"/>
          <w:highlight w:val="none"/>
        </w:rPr>
        <w:instrText xml:space="preserve"> PAGEREF _Toc2662 \h </w:instrText>
      </w:r>
      <w:r>
        <w:rPr>
          <w:color w:val="auto"/>
          <w:highlight w:val="none"/>
        </w:rPr>
        <w:fldChar w:fldCharType="separate"/>
      </w:r>
      <w:r>
        <w:rPr>
          <w:color w:val="auto"/>
          <w:highlight w:val="none"/>
        </w:rPr>
        <w:t>56</w:t>
      </w:r>
      <w:r>
        <w:rPr>
          <w:color w:val="auto"/>
          <w:highlight w:val="none"/>
        </w:rPr>
        <w:fldChar w:fldCharType="end"/>
      </w:r>
      <w:r>
        <w:rPr>
          <w:rFonts w:ascii="宋体" w:hAnsi="宋体"/>
          <w:color w:val="auto"/>
          <w:kern w:val="10"/>
          <w:szCs w:val="21"/>
          <w:highlight w:val="none"/>
        </w:rPr>
        <w:fldChar w:fldCharType="end"/>
      </w:r>
    </w:p>
    <w:p w14:paraId="1F46802C">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_Toc18871 </w:instrText>
      </w:r>
      <w:r>
        <w:rPr>
          <w:rFonts w:ascii="宋体" w:hAnsi="宋体"/>
          <w:color w:val="auto"/>
          <w:kern w:val="10"/>
          <w:szCs w:val="21"/>
          <w:highlight w:val="none"/>
        </w:rPr>
        <w:fldChar w:fldCharType="separate"/>
      </w:r>
      <w:r>
        <w:rPr>
          <w:rFonts w:hint="eastAsia" w:ascii="黑体" w:hAnsi="宋体"/>
          <w:color w:val="auto"/>
          <w:szCs w:val="24"/>
          <w:highlight w:val="none"/>
        </w:rPr>
        <w:t>附件6 单位（专业）工程招标控制价（磋商报价）费用表</w:t>
      </w:r>
      <w:r>
        <w:rPr>
          <w:color w:val="auto"/>
          <w:highlight w:val="none"/>
        </w:rPr>
        <w:tab/>
      </w:r>
      <w:r>
        <w:rPr>
          <w:color w:val="auto"/>
          <w:highlight w:val="none"/>
        </w:rPr>
        <w:fldChar w:fldCharType="begin"/>
      </w:r>
      <w:r>
        <w:rPr>
          <w:color w:val="auto"/>
          <w:highlight w:val="none"/>
        </w:rPr>
        <w:instrText xml:space="preserve"> PAGEREF _Toc18871 \h </w:instrText>
      </w:r>
      <w:r>
        <w:rPr>
          <w:color w:val="auto"/>
          <w:highlight w:val="none"/>
        </w:rPr>
        <w:fldChar w:fldCharType="separate"/>
      </w:r>
      <w:r>
        <w:rPr>
          <w:color w:val="auto"/>
          <w:highlight w:val="none"/>
        </w:rPr>
        <w:t>57</w:t>
      </w:r>
      <w:r>
        <w:rPr>
          <w:color w:val="auto"/>
          <w:highlight w:val="none"/>
        </w:rPr>
        <w:fldChar w:fldCharType="end"/>
      </w:r>
      <w:r>
        <w:rPr>
          <w:rFonts w:ascii="宋体" w:hAnsi="宋体"/>
          <w:color w:val="auto"/>
          <w:kern w:val="10"/>
          <w:szCs w:val="21"/>
          <w:highlight w:val="none"/>
        </w:rPr>
        <w:fldChar w:fldCharType="end"/>
      </w:r>
    </w:p>
    <w:p w14:paraId="672B398B">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_Toc14630 </w:instrText>
      </w:r>
      <w:r>
        <w:rPr>
          <w:rFonts w:ascii="宋体" w:hAnsi="宋体"/>
          <w:color w:val="auto"/>
          <w:kern w:val="10"/>
          <w:szCs w:val="21"/>
          <w:highlight w:val="none"/>
        </w:rPr>
        <w:fldChar w:fldCharType="separate"/>
      </w:r>
      <w:r>
        <w:rPr>
          <w:rFonts w:hint="eastAsia" w:ascii="黑体" w:hAnsi="宋体"/>
          <w:color w:val="auto"/>
          <w:szCs w:val="24"/>
          <w:highlight w:val="none"/>
        </w:rPr>
        <w:t>附件7 分部分项工程清单与计价表</w:t>
      </w:r>
      <w:r>
        <w:rPr>
          <w:color w:val="auto"/>
          <w:highlight w:val="none"/>
        </w:rPr>
        <w:tab/>
      </w:r>
      <w:r>
        <w:rPr>
          <w:color w:val="auto"/>
          <w:highlight w:val="none"/>
        </w:rPr>
        <w:fldChar w:fldCharType="begin"/>
      </w:r>
      <w:r>
        <w:rPr>
          <w:color w:val="auto"/>
          <w:highlight w:val="none"/>
        </w:rPr>
        <w:instrText xml:space="preserve"> PAGEREF _Toc14630 \h </w:instrText>
      </w:r>
      <w:r>
        <w:rPr>
          <w:color w:val="auto"/>
          <w:highlight w:val="none"/>
        </w:rPr>
        <w:fldChar w:fldCharType="separate"/>
      </w:r>
      <w:r>
        <w:rPr>
          <w:color w:val="auto"/>
          <w:highlight w:val="none"/>
        </w:rPr>
        <w:t>58</w:t>
      </w:r>
      <w:r>
        <w:rPr>
          <w:color w:val="auto"/>
          <w:highlight w:val="none"/>
        </w:rPr>
        <w:fldChar w:fldCharType="end"/>
      </w:r>
      <w:r>
        <w:rPr>
          <w:rFonts w:ascii="宋体" w:hAnsi="宋体"/>
          <w:color w:val="auto"/>
          <w:kern w:val="10"/>
          <w:szCs w:val="21"/>
          <w:highlight w:val="none"/>
        </w:rPr>
        <w:fldChar w:fldCharType="end"/>
      </w:r>
    </w:p>
    <w:p w14:paraId="42C1AD6C">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_Toc1250 </w:instrText>
      </w:r>
      <w:r>
        <w:rPr>
          <w:rFonts w:ascii="宋体" w:hAnsi="宋体"/>
          <w:color w:val="auto"/>
          <w:kern w:val="10"/>
          <w:szCs w:val="21"/>
          <w:highlight w:val="none"/>
        </w:rPr>
        <w:fldChar w:fldCharType="separate"/>
      </w:r>
      <w:r>
        <w:rPr>
          <w:rFonts w:hint="eastAsia" w:ascii="黑体" w:hAnsi="宋体"/>
          <w:color w:val="auto"/>
          <w:szCs w:val="24"/>
          <w:highlight w:val="none"/>
        </w:rPr>
        <w:t>附件8 施工组织（总价）措施项目清单与计价表</w:t>
      </w:r>
      <w:r>
        <w:rPr>
          <w:color w:val="auto"/>
          <w:highlight w:val="none"/>
        </w:rPr>
        <w:tab/>
      </w:r>
      <w:r>
        <w:rPr>
          <w:color w:val="auto"/>
          <w:highlight w:val="none"/>
        </w:rPr>
        <w:fldChar w:fldCharType="begin"/>
      </w:r>
      <w:r>
        <w:rPr>
          <w:color w:val="auto"/>
          <w:highlight w:val="none"/>
        </w:rPr>
        <w:instrText xml:space="preserve"> PAGEREF _Toc1250 \h </w:instrText>
      </w:r>
      <w:r>
        <w:rPr>
          <w:color w:val="auto"/>
          <w:highlight w:val="none"/>
        </w:rPr>
        <w:fldChar w:fldCharType="separate"/>
      </w:r>
      <w:r>
        <w:rPr>
          <w:color w:val="auto"/>
          <w:highlight w:val="none"/>
        </w:rPr>
        <w:t>60</w:t>
      </w:r>
      <w:r>
        <w:rPr>
          <w:color w:val="auto"/>
          <w:highlight w:val="none"/>
        </w:rPr>
        <w:fldChar w:fldCharType="end"/>
      </w:r>
      <w:r>
        <w:rPr>
          <w:rFonts w:ascii="宋体" w:hAnsi="宋体"/>
          <w:color w:val="auto"/>
          <w:kern w:val="10"/>
          <w:szCs w:val="21"/>
          <w:highlight w:val="none"/>
        </w:rPr>
        <w:fldChar w:fldCharType="end"/>
      </w:r>
    </w:p>
    <w:p w14:paraId="27B0BCA9">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_Toc11525 </w:instrText>
      </w:r>
      <w:r>
        <w:rPr>
          <w:rFonts w:ascii="宋体" w:hAnsi="宋体"/>
          <w:color w:val="auto"/>
          <w:kern w:val="10"/>
          <w:szCs w:val="21"/>
          <w:highlight w:val="none"/>
        </w:rPr>
        <w:fldChar w:fldCharType="separate"/>
      </w:r>
      <w:r>
        <w:rPr>
          <w:rFonts w:hint="eastAsia" w:ascii="黑体" w:hAnsi="宋体"/>
          <w:color w:val="auto"/>
          <w:szCs w:val="24"/>
          <w:highlight w:val="none"/>
        </w:rPr>
        <w:t>附件9 其他项目清单与计价汇总表</w:t>
      </w:r>
      <w:r>
        <w:rPr>
          <w:color w:val="auto"/>
          <w:highlight w:val="none"/>
        </w:rPr>
        <w:tab/>
      </w:r>
      <w:r>
        <w:rPr>
          <w:color w:val="auto"/>
          <w:highlight w:val="none"/>
        </w:rPr>
        <w:fldChar w:fldCharType="begin"/>
      </w:r>
      <w:r>
        <w:rPr>
          <w:color w:val="auto"/>
          <w:highlight w:val="none"/>
        </w:rPr>
        <w:instrText xml:space="preserve"> PAGEREF _Toc11525 \h </w:instrText>
      </w:r>
      <w:r>
        <w:rPr>
          <w:color w:val="auto"/>
          <w:highlight w:val="none"/>
        </w:rPr>
        <w:fldChar w:fldCharType="separate"/>
      </w:r>
      <w:r>
        <w:rPr>
          <w:color w:val="auto"/>
          <w:highlight w:val="none"/>
        </w:rPr>
        <w:t>61</w:t>
      </w:r>
      <w:r>
        <w:rPr>
          <w:color w:val="auto"/>
          <w:highlight w:val="none"/>
        </w:rPr>
        <w:fldChar w:fldCharType="end"/>
      </w:r>
      <w:r>
        <w:rPr>
          <w:rFonts w:ascii="宋体" w:hAnsi="宋体"/>
          <w:color w:val="auto"/>
          <w:kern w:val="10"/>
          <w:szCs w:val="21"/>
          <w:highlight w:val="none"/>
        </w:rPr>
        <w:fldChar w:fldCharType="end"/>
      </w:r>
    </w:p>
    <w:p w14:paraId="70BD77C7">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_Toc17985 </w:instrText>
      </w:r>
      <w:r>
        <w:rPr>
          <w:rFonts w:ascii="宋体" w:hAnsi="宋体"/>
          <w:color w:val="auto"/>
          <w:kern w:val="10"/>
          <w:szCs w:val="21"/>
          <w:highlight w:val="none"/>
        </w:rPr>
        <w:fldChar w:fldCharType="separate"/>
      </w:r>
      <w:r>
        <w:rPr>
          <w:rFonts w:hint="eastAsia" w:ascii="黑体" w:hAnsi="宋体"/>
          <w:color w:val="auto"/>
          <w:szCs w:val="24"/>
          <w:highlight w:val="none"/>
        </w:rPr>
        <w:t>附件</w:t>
      </w:r>
      <w:r>
        <w:rPr>
          <w:rFonts w:hint="eastAsia" w:ascii="黑体" w:hAnsi="宋体"/>
          <w:color w:val="auto"/>
          <w:szCs w:val="24"/>
          <w:highlight w:val="none"/>
          <w:lang w:val="en-US" w:eastAsia="zh-CN"/>
        </w:rPr>
        <w:t>10</w:t>
      </w:r>
      <w:r>
        <w:rPr>
          <w:rFonts w:hint="eastAsia" w:ascii="黑体" w:hAnsi="宋体"/>
          <w:color w:val="auto"/>
          <w:szCs w:val="24"/>
          <w:highlight w:val="none"/>
        </w:rPr>
        <w:t xml:space="preserve"> 资格证明文件</w:t>
      </w:r>
      <w:r>
        <w:rPr>
          <w:color w:val="auto"/>
          <w:highlight w:val="none"/>
        </w:rPr>
        <w:tab/>
      </w:r>
      <w:r>
        <w:rPr>
          <w:color w:val="auto"/>
          <w:highlight w:val="none"/>
        </w:rPr>
        <w:fldChar w:fldCharType="begin"/>
      </w:r>
      <w:r>
        <w:rPr>
          <w:color w:val="auto"/>
          <w:highlight w:val="none"/>
        </w:rPr>
        <w:instrText xml:space="preserve"> PAGEREF _Toc17985 \h </w:instrText>
      </w:r>
      <w:r>
        <w:rPr>
          <w:color w:val="auto"/>
          <w:highlight w:val="none"/>
        </w:rPr>
        <w:fldChar w:fldCharType="separate"/>
      </w:r>
      <w:r>
        <w:rPr>
          <w:color w:val="auto"/>
          <w:highlight w:val="none"/>
        </w:rPr>
        <w:t>62</w:t>
      </w:r>
      <w:r>
        <w:rPr>
          <w:color w:val="auto"/>
          <w:highlight w:val="none"/>
        </w:rPr>
        <w:fldChar w:fldCharType="end"/>
      </w:r>
      <w:r>
        <w:rPr>
          <w:rFonts w:ascii="宋体" w:hAnsi="宋体"/>
          <w:color w:val="auto"/>
          <w:kern w:val="10"/>
          <w:szCs w:val="21"/>
          <w:highlight w:val="none"/>
        </w:rPr>
        <w:fldChar w:fldCharType="end"/>
      </w:r>
    </w:p>
    <w:p w14:paraId="0F9E2EC0">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_Toc32462 </w:instrText>
      </w:r>
      <w:r>
        <w:rPr>
          <w:rFonts w:ascii="宋体" w:hAnsi="宋体"/>
          <w:color w:val="auto"/>
          <w:kern w:val="10"/>
          <w:szCs w:val="21"/>
          <w:highlight w:val="none"/>
        </w:rPr>
        <w:fldChar w:fldCharType="separate"/>
      </w:r>
      <w:r>
        <w:rPr>
          <w:rFonts w:hint="eastAsia" w:ascii="黑体" w:hAnsi="宋体"/>
          <w:color w:val="auto"/>
          <w:szCs w:val="24"/>
          <w:highlight w:val="none"/>
        </w:rPr>
        <w:t>附件</w:t>
      </w:r>
      <w:r>
        <w:rPr>
          <w:rFonts w:hint="eastAsia" w:ascii="黑体" w:hAnsi="宋体"/>
          <w:color w:val="auto"/>
          <w:szCs w:val="24"/>
          <w:highlight w:val="none"/>
          <w:lang w:val="en-US" w:eastAsia="zh-CN"/>
        </w:rPr>
        <w:t>11</w:t>
      </w:r>
      <w:r>
        <w:rPr>
          <w:rFonts w:hint="eastAsia" w:ascii="黑体" w:hAnsi="宋体"/>
          <w:color w:val="auto"/>
          <w:szCs w:val="24"/>
          <w:highlight w:val="none"/>
        </w:rPr>
        <w:t xml:space="preserve"> 商务条款、技术规格偏离表</w:t>
      </w:r>
      <w:r>
        <w:rPr>
          <w:color w:val="auto"/>
          <w:highlight w:val="none"/>
        </w:rPr>
        <w:tab/>
      </w:r>
      <w:r>
        <w:rPr>
          <w:color w:val="auto"/>
          <w:highlight w:val="none"/>
        </w:rPr>
        <w:fldChar w:fldCharType="begin"/>
      </w:r>
      <w:r>
        <w:rPr>
          <w:color w:val="auto"/>
          <w:highlight w:val="none"/>
        </w:rPr>
        <w:instrText xml:space="preserve"> PAGEREF _Toc32462 \h </w:instrText>
      </w:r>
      <w:r>
        <w:rPr>
          <w:color w:val="auto"/>
          <w:highlight w:val="none"/>
        </w:rPr>
        <w:fldChar w:fldCharType="separate"/>
      </w:r>
      <w:r>
        <w:rPr>
          <w:color w:val="auto"/>
          <w:highlight w:val="none"/>
        </w:rPr>
        <w:t>66</w:t>
      </w:r>
      <w:r>
        <w:rPr>
          <w:color w:val="auto"/>
          <w:highlight w:val="none"/>
        </w:rPr>
        <w:fldChar w:fldCharType="end"/>
      </w:r>
      <w:r>
        <w:rPr>
          <w:rFonts w:ascii="宋体" w:hAnsi="宋体"/>
          <w:color w:val="auto"/>
          <w:kern w:val="10"/>
          <w:szCs w:val="21"/>
          <w:highlight w:val="none"/>
        </w:rPr>
        <w:fldChar w:fldCharType="end"/>
      </w:r>
    </w:p>
    <w:p w14:paraId="5212130D">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_Toc2826 </w:instrText>
      </w:r>
      <w:r>
        <w:rPr>
          <w:rFonts w:ascii="宋体" w:hAnsi="宋体"/>
          <w:color w:val="auto"/>
          <w:kern w:val="10"/>
          <w:szCs w:val="21"/>
          <w:highlight w:val="none"/>
        </w:rPr>
        <w:fldChar w:fldCharType="separate"/>
      </w:r>
      <w:r>
        <w:rPr>
          <w:rFonts w:hint="eastAsia" w:ascii="黑体" w:hAnsi="宋体"/>
          <w:color w:val="auto"/>
          <w:szCs w:val="24"/>
          <w:highlight w:val="none"/>
        </w:rPr>
        <w:t>附件1</w:t>
      </w:r>
      <w:r>
        <w:rPr>
          <w:rFonts w:hint="eastAsia" w:ascii="黑体" w:hAnsi="宋体"/>
          <w:color w:val="auto"/>
          <w:szCs w:val="24"/>
          <w:highlight w:val="none"/>
          <w:lang w:val="en-US" w:eastAsia="zh-CN"/>
        </w:rPr>
        <w:t>2</w:t>
      </w:r>
      <w:r>
        <w:rPr>
          <w:rFonts w:ascii="黑体" w:hAnsi="宋体"/>
          <w:color w:val="auto"/>
          <w:szCs w:val="24"/>
          <w:highlight w:val="none"/>
        </w:rPr>
        <w:t xml:space="preserve"> </w:t>
      </w:r>
      <w:r>
        <w:rPr>
          <w:rFonts w:hint="eastAsia" w:ascii="黑体" w:hAnsi="宋体"/>
          <w:color w:val="auto"/>
          <w:szCs w:val="24"/>
          <w:highlight w:val="none"/>
        </w:rPr>
        <w:t>选用主要材料的品牌表</w:t>
      </w:r>
      <w:r>
        <w:rPr>
          <w:color w:val="auto"/>
          <w:highlight w:val="none"/>
        </w:rPr>
        <w:tab/>
      </w:r>
      <w:r>
        <w:rPr>
          <w:color w:val="auto"/>
          <w:highlight w:val="none"/>
        </w:rPr>
        <w:fldChar w:fldCharType="begin"/>
      </w:r>
      <w:r>
        <w:rPr>
          <w:color w:val="auto"/>
          <w:highlight w:val="none"/>
        </w:rPr>
        <w:instrText xml:space="preserve"> PAGEREF _Toc2826 \h </w:instrText>
      </w:r>
      <w:r>
        <w:rPr>
          <w:color w:val="auto"/>
          <w:highlight w:val="none"/>
        </w:rPr>
        <w:fldChar w:fldCharType="separate"/>
      </w:r>
      <w:r>
        <w:rPr>
          <w:color w:val="auto"/>
          <w:highlight w:val="none"/>
        </w:rPr>
        <w:t>67</w:t>
      </w:r>
      <w:r>
        <w:rPr>
          <w:color w:val="auto"/>
          <w:highlight w:val="none"/>
        </w:rPr>
        <w:fldChar w:fldCharType="end"/>
      </w:r>
      <w:r>
        <w:rPr>
          <w:rFonts w:ascii="宋体" w:hAnsi="宋体"/>
          <w:color w:val="auto"/>
          <w:kern w:val="10"/>
          <w:szCs w:val="21"/>
          <w:highlight w:val="none"/>
        </w:rPr>
        <w:fldChar w:fldCharType="end"/>
      </w:r>
    </w:p>
    <w:p w14:paraId="07A11693">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_Toc26144 </w:instrText>
      </w:r>
      <w:r>
        <w:rPr>
          <w:rFonts w:ascii="宋体" w:hAnsi="宋体"/>
          <w:color w:val="auto"/>
          <w:kern w:val="10"/>
          <w:szCs w:val="21"/>
          <w:highlight w:val="none"/>
        </w:rPr>
        <w:fldChar w:fldCharType="separate"/>
      </w:r>
      <w:r>
        <w:rPr>
          <w:rFonts w:hint="eastAsia" w:ascii="黑体" w:hAnsi="宋体"/>
          <w:color w:val="auto"/>
          <w:szCs w:val="24"/>
          <w:highlight w:val="none"/>
        </w:rPr>
        <w:t>附件1</w:t>
      </w:r>
      <w:r>
        <w:rPr>
          <w:rFonts w:hint="eastAsia" w:ascii="黑体" w:hAnsi="宋体"/>
          <w:color w:val="auto"/>
          <w:szCs w:val="24"/>
          <w:highlight w:val="none"/>
          <w:lang w:val="en-US" w:eastAsia="zh-CN"/>
        </w:rPr>
        <w:t>3</w:t>
      </w:r>
      <w:r>
        <w:rPr>
          <w:rFonts w:hint="eastAsia" w:ascii="黑体" w:hAnsi="宋体"/>
          <w:color w:val="auto"/>
          <w:szCs w:val="24"/>
          <w:highlight w:val="none"/>
        </w:rPr>
        <w:t xml:space="preserve"> 同类项目业绩</w:t>
      </w:r>
      <w:r>
        <w:rPr>
          <w:color w:val="auto"/>
          <w:highlight w:val="none"/>
        </w:rPr>
        <w:tab/>
      </w:r>
      <w:r>
        <w:rPr>
          <w:color w:val="auto"/>
          <w:highlight w:val="none"/>
        </w:rPr>
        <w:fldChar w:fldCharType="begin"/>
      </w:r>
      <w:r>
        <w:rPr>
          <w:color w:val="auto"/>
          <w:highlight w:val="none"/>
        </w:rPr>
        <w:instrText xml:space="preserve"> PAGEREF _Toc26144 \h </w:instrText>
      </w:r>
      <w:r>
        <w:rPr>
          <w:color w:val="auto"/>
          <w:highlight w:val="none"/>
        </w:rPr>
        <w:fldChar w:fldCharType="separate"/>
      </w:r>
      <w:r>
        <w:rPr>
          <w:color w:val="auto"/>
          <w:highlight w:val="none"/>
        </w:rPr>
        <w:t>68</w:t>
      </w:r>
      <w:r>
        <w:rPr>
          <w:color w:val="auto"/>
          <w:highlight w:val="none"/>
        </w:rPr>
        <w:fldChar w:fldCharType="end"/>
      </w:r>
      <w:r>
        <w:rPr>
          <w:rFonts w:ascii="宋体" w:hAnsi="宋体"/>
          <w:color w:val="auto"/>
          <w:kern w:val="10"/>
          <w:szCs w:val="21"/>
          <w:highlight w:val="none"/>
        </w:rPr>
        <w:fldChar w:fldCharType="end"/>
      </w:r>
    </w:p>
    <w:p w14:paraId="674DF632">
      <w:pPr>
        <w:pStyle w:val="32"/>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_Toc1390 </w:instrText>
      </w:r>
      <w:r>
        <w:rPr>
          <w:rFonts w:ascii="宋体" w:hAnsi="宋体"/>
          <w:color w:val="auto"/>
          <w:kern w:val="10"/>
          <w:szCs w:val="21"/>
          <w:highlight w:val="none"/>
        </w:rPr>
        <w:fldChar w:fldCharType="separate"/>
      </w:r>
      <w:r>
        <w:rPr>
          <w:rFonts w:ascii="黑体" w:hAnsi="宋体"/>
          <w:color w:val="auto"/>
          <w:szCs w:val="24"/>
          <w:highlight w:val="none"/>
        </w:rPr>
        <w:t>附件</w:t>
      </w:r>
      <w:r>
        <w:rPr>
          <w:rFonts w:hint="eastAsia" w:ascii="黑体" w:hAnsi="宋体"/>
          <w:color w:val="auto"/>
          <w:szCs w:val="24"/>
          <w:highlight w:val="none"/>
        </w:rPr>
        <w:t>1</w:t>
      </w:r>
      <w:r>
        <w:rPr>
          <w:rFonts w:hint="eastAsia" w:ascii="黑体" w:hAnsi="宋体"/>
          <w:color w:val="auto"/>
          <w:szCs w:val="24"/>
          <w:highlight w:val="none"/>
          <w:lang w:val="en-US" w:eastAsia="zh-CN"/>
        </w:rPr>
        <w:t>4</w:t>
      </w:r>
      <w:r>
        <w:rPr>
          <w:rFonts w:hint="eastAsia" w:ascii="黑体" w:hAnsi="宋体"/>
          <w:color w:val="auto"/>
          <w:szCs w:val="24"/>
          <w:highlight w:val="none"/>
        </w:rPr>
        <w:t xml:space="preserve"> 政府采购政策功能相关说明</w:t>
      </w:r>
      <w:r>
        <w:rPr>
          <w:color w:val="auto"/>
          <w:highlight w:val="none"/>
        </w:rPr>
        <w:tab/>
      </w:r>
      <w:r>
        <w:rPr>
          <w:color w:val="auto"/>
          <w:highlight w:val="none"/>
        </w:rPr>
        <w:fldChar w:fldCharType="begin"/>
      </w:r>
      <w:r>
        <w:rPr>
          <w:color w:val="auto"/>
          <w:highlight w:val="none"/>
        </w:rPr>
        <w:instrText xml:space="preserve"> PAGEREF _Toc1390 \h </w:instrText>
      </w:r>
      <w:r>
        <w:rPr>
          <w:color w:val="auto"/>
          <w:highlight w:val="none"/>
        </w:rPr>
        <w:fldChar w:fldCharType="separate"/>
      </w:r>
      <w:r>
        <w:rPr>
          <w:color w:val="auto"/>
          <w:highlight w:val="none"/>
        </w:rPr>
        <w:t>69</w:t>
      </w:r>
      <w:r>
        <w:rPr>
          <w:color w:val="auto"/>
          <w:highlight w:val="none"/>
        </w:rPr>
        <w:fldChar w:fldCharType="end"/>
      </w:r>
      <w:r>
        <w:rPr>
          <w:rFonts w:ascii="宋体" w:hAnsi="宋体"/>
          <w:color w:val="auto"/>
          <w:kern w:val="10"/>
          <w:szCs w:val="21"/>
          <w:highlight w:val="none"/>
        </w:rPr>
        <w:fldChar w:fldCharType="end"/>
      </w:r>
    </w:p>
    <w:p w14:paraId="40F9EE04">
      <w:pPr>
        <w:pStyle w:val="27"/>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_Toc17928 </w:instrText>
      </w:r>
      <w:r>
        <w:rPr>
          <w:rFonts w:ascii="宋体" w:hAnsi="宋体"/>
          <w:color w:val="auto"/>
          <w:kern w:val="10"/>
          <w:szCs w:val="21"/>
          <w:highlight w:val="none"/>
        </w:rPr>
        <w:fldChar w:fldCharType="separate"/>
      </w:r>
      <w:r>
        <w:rPr>
          <w:rFonts w:hint="eastAsia" w:ascii="黑体" w:eastAsia="黑体"/>
          <w:color w:val="auto"/>
          <w:szCs w:val="32"/>
          <w:highlight w:val="none"/>
        </w:rPr>
        <w:t>第五部分  采购内容</w:t>
      </w:r>
      <w:r>
        <w:rPr>
          <w:color w:val="auto"/>
          <w:highlight w:val="none"/>
        </w:rPr>
        <w:tab/>
      </w:r>
      <w:r>
        <w:rPr>
          <w:color w:val="auto"/>
          <w:highlight w:val="none"/>
        </w:rPr>
        <w:fldChar w:fldCharType="begin"/>
      </w:r>
      <w:r>
        <w:rPr>
          <w:color w:val="auto"/>
          <w:highlight w:val="none"/>
        </w:rPr>
        <w:instrText xml:space="preserve"> PAGEREF _Toc17928 \h </w:instrText>
      </w:r>
      <w:r>
        <w:rPr>
          <w:color w:val="auto"/>
          <w:highlight w:val="none"/>
        </w:rPr>
        <w:fldChar w:fldCharType="separate"/>
      </w:r>
      <w:r>
        <w:rPr>
          <w:color w:val="auto"/>
          <w:highlight w:val="none"/>
        </w:rPr>
        <w:t>75</w:t>
      </w:r>
      <w:r>
        <w:rPr>
          <w:color w:val="auto"/>
          <w:highlight w:val="none"/>
        </w:rPr>
        <w:fldChar w:fldCharType="end"/>
      </w:r>
      <w:r>
        <w:rPr>
          <w:rFonts w:ascii="宋体" w:hAnsi="宋体"/>
          <w:color w:val="auto"/>
          <w:kern w:val="10"/>
          <w:szCs w:val="21"/>
          <w:highlight w:val="none"/>
        </w:rPr>
        <w:fldChar w:fldCharType="end"/>
      </w:r>
    </w:p>
    <w:p w14:paraId="09426432">
      <w:pPr>
        <w:pStyle w:val="27"/>
        <w:tabs>
          <w:tab w:val="right" w:leader="dot" w:pos="9638"/>
        </w:tabs>
        <w:rPr>
          <w:color w:val="auto"/>
          <w:highlight w:val="none"/>
        </w:rPr>
      </w:pPr>
      <w:r>
        <w:rPr>
          <w:rFonts w:ascii="宋体" w:hAnsi="宋体"/>
          <w:color w:val="auto"/>
          <w:kern w:val="10"/>
          <w:szCs w:val="21"/>
          <w:highlight w:val="none"/>
        </w:rPr>
        <w:fldChar w:fldCharType="begin"/>
      </w:r>
      <w:r>
        <w:rPr>
          <w:rFonts w:ascii="宋体" w:hAnsi="宋体"/>
          <w:color w:val="auto"/>
          <w:kern w:val="10"/>
          <w:szCs w:val="21"/>
          <w:highlight w:val="none"/>
        </w:rPr>
        <w:instrText xml:space="preserve"> HYPERLINK \l _Toc22554 </w:instrText>
      </w:r>
      <w:r>
        <w:rPr>
          <w:rFonts w:ascii="宋体" w:hAnsi="宋体"/>
          <w:color w:val="auto"/>
          <w:kern w:val="10"/>
          <w:szCs w:val="21"/>
          <w:highlight w:val="none"/>
        </w:rPr>
        <w:fldChar w:fldCharType="separate"/>
      </w:r>
      <w:r>
        <w:rPr>
          <w:rFonts w:hint="eastAsia" w:ascii="黑体" w:eastAsia="黑体"/>
          <w:color w:val="auto"/>
          <w:szCs w:val="32"/>
          <w:highlight w:val="none"/>
        </w:rPr>
        <w:t>第六部分  磋商原则及方法</w:t>
      </w:r>
      <w:r>
        <w:rPr>
          <w:color w:val="auto"/>
          <w:highlight w:val="none"/>
        </w:rPr>
        <w:tab/>
      </w:r>
      <w:r>
        <w:rPr>
          <w:color w:val="auto"/>
          <w:highlight w:val="none"/>
        </w:rPr>
        <w:fldChar w:fldCharType="begin"/>
      </w:r>
      <w:r>
        <w:rPr>
          <w:color w:val="auto"/>
          <w:highlight w:val="none"/>
        </w:rPr>
        <w:instrText xml:space="preserve"> PAGEREF _Toc22554 \h </w:instrText>
      </w:r>
      <w:r>
        <w:rPr>
          <w:color w:val="auto"/>
          <w:highlight w:val="none"/>
        </w:rPr>
        <w:fldChar w:fldCharType="separate"/>
      </w:r>
      <w:r>
        <w:rPr>
          <w:color w:val="auto"/>
          <w:highlight w:val="none"/>
        </w:rPr>
        <w:t>77</w:t>
      </w:r>
      <w:r>
        <w:rPr>
          <w:color w:val="auto"/>
          <w:highlight w:val="none"/>
        </w:rPr>
        <w:fldChar w:fldCharType="end"/>
      </w:r>
      <w:r>
        <w:rPr>
          <w:rFonts w:ascii="宋体" w:hAnsi="宋体"/>
          <w:color w:val="auto"/>
          <w:kern w:val="10"/>
          <w:szCs w:val="21"/>
          <w:highlight w:val="none"/>
        </w:rPr>
        <w:fldChar w:fldCharType="end"/>
      </w:r>
    </w:p>
    <w:p w14:paraId="46C563A3">
      <w:pPr>
        <w:spacing w:line="440" w:lineRule="exact"/>
        <w:rPr>
          <w:rFonts w:hint="eastAsia" w:ascii="宋体" w:hAnsi="宋体"/>
          <w:b/>
          <w:color w:val="auto"/>
          <w:kern w:val="10"/>
          <w:szCs w:val="21"/>
          <w:highlight w:val="none"/>
          <w:u w:val="single"/>
        </w:rPr>
      </w:pPr>
      <w:r>
        <w:rPr>
          <w:rFonts w:ascii="宋体" w:hAnsi="宋体"/>
          <w:color w:val="auto"/>
          <w:kern w:val="10"/>
          <w:szCs w:val="21"/>
          <w:highlight w:val="none"/>
        </w:rPr>
        <w:fldChar w:fldCharType="end"/>
      </w:r>
      <w:r>
        <w:rPr>
          <w:rFonts w:hint="eastAsia" w:ascii="宋体" w:hAnsi="宋体"/>
          <w:b/>
          <w:color w:val="auto"/>
          <w:kern w:val="10"/>
          <w:szCs w:val="21"/>
          <w:highlight w:val="none"/>
          <w:u w:val="single"/>
        </w:rPr>
        <w:t>备注：磋商文件中带下“▲</w:t>
      </w:r>
      <w:r>
        <w:rPr>
          <w:rFonts w:ascii="宋体" w:hAnsi="宋体"/>
          <w:b/>
          <w:color w:val="auto"/>
          <w:kern w:val="10"/>
          <w:szCs w:val="21"/>
          <w:highlight w:val="none"/>
          <w:u w:val="single"/>
        </w:rPr>
        <w:t>”</w:t>
      </w:r>
      <w:r>
        <w:rPr>
          <w:rFonts w:hint="eastAsia" w:ascii="宋体" w:hAnsi="宋体"/>
          <w:b/>
          <w:color w:val="auto"/>
          <w:kern w:val="10"/>
          <w:szCs w:val="21"/>
          <w:highlight w:val="none"/>
          <w:u w:val="single"/>
        </w:rPr>
        <w:t>并加划线的内容为磋商文件实质性条款或要求，带深色底纹或加下划线的内容为磋商文件重要内容，提醒磋商供应商审慎阅读。</w:t>
      </w:r>
    </w:p>
    <w:p w14:paraId="09796C63">
      <w:pPr>
        <w:pStyle w:val="32"/>
        <w:rPr>
          <w:rFonts w:hint="eastAsia" w:ascii="宋体" w:hAnsi="宋体"/>
          <w:b/>
          <w:color w:val="auto"/>
          <w:kern w:val="10"/>
          <w:szCs w:val="21"/>
          <w:highlight w:val="none"/>
          <w:u w:val="single"/>
        </w:rPr>
      </w:pPr>
    </w:p>
    <w:p w14:paraId="5B09A503">
      <w:pPr>
        <w:rPr>
          <w:rFonts w:hint="eastAsia" w:ascii="宋体" w:hAnsi="宋体"/>
          <w:b/>
          <w:color w:val="auto"/>
          <w:kern w:val="10"/>
          <w:szCs w:val="21"/>
          <w:highlight w:val="none"/>
          <w:u w:val="single"/>
        </w:rPr>
      </w:pPr>
    </w:p>
    <w:p w14:paraId="359BDEBC">
      <w:pPr>
        <w:pStyle w:val="32"/>
        <w:rPr>
          <w:rFonts w:hint="eastAsia" w:ascii="宋体" w:hAnsi="宋体"/>
          <w:b/>
          <w:color w:val="auto"/>
          <w:kern w:val="10"/>
          <w:szCs w:val="21"/>
          <w:highlight w:val="none"/>
          <w:u w:val="single"/>
        </w:rPr>
      </w:pPr>
    </w:p>
    <w:p w14:paraId="2DEE377F">
      <w:pPr>
        <w:rPr>
          <w:rFonts w:hint="eastAsia" w:ascii="宋体" w:hAnsi="宋体"/>
          <w:b/>
          <w:color w:val="auto"/>
          <w:kern w:val="10"/>
          <w:szCs w:val="21"/>
          <w:highlight w:val="none"/>
          <w:u w:val="single"/>
        </w:rPr>
      </w:pPr>
    </w:p>
    <w:p w14:paraId="77BD493E">
      <w:pPr>
        <w:pStyle w:val="32"/>
        <w:rPr>
          <w:rFonts w:hint="eastAsia" w:ascii="宋体" w:hAnsi="宋体"/>
          <w:b/>
          <w:color w:val="auto"/>
          <w:kern w:val="10"/>
          <w:szCs w:val="21"/>
          <w:highlight w:val="none"/>
          <w:u w:val="single"/>
        </w:rPr>
      </w:pPr>
    </w:p>
    <w:p w14:paraId="4A6A75F4">
      <w:pPr>
        <w:rPr>
          <w:rFonts w:hint="eastAsia"/>
          <w:color w:val="auto"/>
          <w:highlight w:val="none"/>
        </w:rPr>
      </w:pPr>
    </w:p>
    <w:p w14:paraId="2FD9201C">
      <w:pPr>
        <w:pStyle w:val="4"/>
        <w:spacing w:line="560" w:lineRule="exact"/>
        <w:jc w:val="center"/>
        <w:rPr>
          <w:rFonts w:hint="eastAsia" w:ascii="黑体" w:hAnsi="黑体" w:eastAsia="黑体"/>
          <w:color w:val="auto"/>
          <w:sz w:val="32"/>
          <w:szCs w:val="32"/>
          <w:highlight w:val="none"/>
        </w:rPr>
      </w:pPr>
      <w:bookmarkStart w:id="2" w:name="_Toc17904"/>
      <w:bookmarkStart w:id="3" w:name="_Toc6749"/>
      <w:r>
        <w:rPr>
          <w:rFonts w:hint="eastAsia" w:ascii="黑体" w:hAnsi="黑体" w:eastAsia="黑体"/>
          <w:color w:val="auto"/>
          <w:sz w:val="32"/>
          <w:szCs w:val="32"/>
          <w:highlight w:val="none"/>
        </w:rPr>
        <w:t>第一部分  磋商公告</w:t>
      </w:r>
      <w:bookmarkEnd w:id="2"/>
      <w:bookmarkEnd w:id="3"/>
    </w:p>
    <w:tbl>
      <w:tblPr>
        <w:tblStyle w:val="3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14:paraId="5DB66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14:paraId="7158C76E">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项目概况</w:t>
            </w:r>
          </w:p>
          <w:p w14:paraId="2E07DEE4">
            <w:pPr>
              <w:adjustRightInd w:val="0"/>
              <w:snapToGrid w:val="0"/>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w:t>
            </w:r>
            <w:r>
              <w:rPr>
                <w:rFonts w:hint="eastAsia" w:ascii="宋体" w:hAnsi="宋体" w:cs="宋体"/>
                <w:color w:val="auto"/>
                <w:sz w:val="22"/>
                <w:szCs w:val="22"/>
                <w:highlight w:val="none"/>
                <w:u w:val="single"/>
                <w:lang w:eastAsia="zh-CN"/>
              </w:rPr>
              <w:t>温州市综合行政执法局2*630kVA配电室增容改造工程</w:t>
            </w:r>
            <w:r>
              <w:rPr>
                <w:rFonts w:hint="eastAsia" w:ascii="宋体" w:hAnsi="宋体" w:cs="宋体"/>
                <w:color w:val="auto"/>
                <w:sz w:val="22"/>
                <w:szCs w:val="22"/>
                <w:highlight w:val="none"/>
              </w:rPr>
              <w:t>项目的潜在供应商应在政采云平台（https://www.zcygov.cn）获取（下载）采购文件，并于202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 xml:space="preserve">日 </w:t>
            </w:r>
            <w:r>
              <w:rPr>
                <w:rFonts w:ascii="宋体" w:hAnsi="宋体" w:cs="宋体"/>
                <w:color w:val="auto"/>
                <w:sz w:val="22"/>
                <w:szCs w:val="22"/>
                <w:highlight w:val="none"/>
              </w:rPr>
              <w:t>14</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0（北京时间）前递交（上传）响应文件。 </w:t>
            </w:r>
          </w:p>
        </w:tc>
      </w:tr>
    </w:tbl>
    <w:p w14:paraId="52524D00">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一、项目基本情况</w:t>
      </w:r>
    </w:p>
    <w:p w14:paraId="3AC23453">
      <w:pPr>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项目编号：</w:t>
      </w:r>
      <w:r>
        <w:rPr>
          <w:rFonts w:hint="eastAsia" w:ascii="宋体" w:hAnsi="宋体"/>
          <w:color w:val="auto"/>
          <w:sz w:val="22"/>
          <w:szCs w:val="22"/>
          <w:highlight w:val="none"/>
          <w:lang w:eastAsia="zh-CN"/>
        </w:rPr>
        <w:t>WZZS-2025-01-003</w:t>
      </w:r>
    </w:p>
    <w:p w14:paraId="183709E2">
      <w:pPr>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项目名称：</w:t>
      </w:r>
      <w:r>
        <w:rPr>
          <w:rFonts w:hint="eastAsia" w:ascii="宋体" w:hAnsi="宋体" w:cs="宋体"/>
          <w:color w:val="auto"/>
          <w:sz w:val="22"/>
          <w:szCs w:val="22"/>
          <w:highlight w:val="none"/>
          <w:lang w:eastAsia="zh-CN"/>
        </w:rPr>
        <w:t>温州市综合行政执法局2*630kVA配电室增容改造工程</w:t>
      </w:r>
    </w:p>
    <w:p w14:paraId="61FDA2D2">
      <w:pPr>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预算金额（元）：</w:t>
      </w:r>
      <w:r>
        <w:rPr>
          <w:rFonts w:hint="eastAsia" w:ascii="宋体" w:hAnsi="宋体"/>
          <w:color w:val="auto"/>
          <w:sz w:val="22"/>
          <w:szCs w:val="22"/>
          <w:highlight w:val="none"/>
          <w:lang w:val="en-US" w:eastAsia="zh-CN"/>
        </w:rPr>
        <w:t>1255000</w:t>
      </w:r>
    </w:p>
    <w:p w14:paraId="3D049B6D">
      <w:pPr>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最高限价（元）：1093787</w:t>
      </w:r>
      <w:r>
        <w:rPr>
          <w:rFonts w:hint="eastAsia" w:ascii="宋体" w:hAnsi="宋体" w:cs="宋体"/>
          <w:color w:val="auto"/>
          <w:sz w:val="22"/>
          <w:szCs w:val="22"/>
          <w:highlight w:val="none"/>
          <w:lang w:val="en-US" w:eastAsia="zh-CN"/>
        </w:rPr>
        <w:t xml:space="preserve"> </w:t>
      </w:r>
    </w:p>
    <w:p w14:paraId="7C365ADC">
      <w:pPr>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采购需求：</w:t>
      </w:r>
    </w:p>
    <w:p w14:paraId="505F19D3">
      <w:pPr>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标项一：</w:t>
      </w:r>
    </w:p>
    <w:p w14:paraId="0869EEE3">
      <w:pPr>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标项名称：</w:t>
      </w:r>
      <w:r>
        <w:rPr>
          <w:rFonts w:hint="eastAsia" w:ascii="宋体" w:hAnsi="宋体" w:cs="宋体"/>
          <w:color w:val="auto"/>
          <w:sz w:val="22"/>
          <w:szCs w:val="22"/>
          <w:highlight w:val="none"/>
          <w:lang w:eastAsia="zh-CN"/>
        </w:rPr>
        <w:t>温州市综合行政执法局2*630kVA配电室增容改造工程</w:t>
      </w:r>
    </w:p>
    <w:p w14:paraId="63E8BD0B">
      <w:pPr>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数量：1</w:t>
      </w:r>
    </w:p>
    <w:p w14:paraId="62141260">
      <w:pPr>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预算金额（元）：</w:t>
      </w:r>
      <w:r>
        <w:rPr>
          <w:rFonts w:hint="eastAsia" w:ascii="宋体" w:hAnsi="宋体"/>
          <w:color w:val="auto"/>
          <w:sz w:val="22"/>
          <w:szCs w:val="22"/>
          <w:highlight w:val="none"/>
          <w:lang w:val="en-US" w:eastAsia="zh-CN"/>
        </w:rPr>
        <w:t>1255000</w:t>
      </w:r>
    </w:p>
    <w:p w14:paraId="67DBE7DD">
      <w:pPr>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单位：批</w:t>
      </w:r>
    </w:p>
    <w:p w14:paraId="47AFD944">
      <w:pPr>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简要规格描述或项目基本概况介绍、用途：</w:t>
      </w:r>
      <w:r>
        <w:rPr>
          <w:rFonts w:hint="eastAsia" w:ascii="宋体" w:hAnsi="宋体" w:cs="宋体"/>
          <w:color w:val="auto"/>
          <w:sz w:val="22"/>
          <w:szCs w:val="22"/>
          <w:highlight w:val="none"/>
          <w:lang w:eastAsia="zh-CN"/>
        </w:rPr>
        <w:t>温州市综合行政执法局2*630kVA配电室增容改造工程</w:t>
      </w:r>
      <w:r>
        <w:rPr>
          <w:rFonts w:hint="eastAsia" w:ascii="宋体" w:hAnsi="宋体" w:cs="宋体"/>
          <w:color w:val="auto"/>
          <w:sz w:val="22"/>
          <w:szCs w:val="22"/>
          <w:highlight w:val="none"/>
        </w:rPr>
        <w:t>，详见磋商文件第五部分。</w:t>
      </w:r>
    </w:p>
    <w:p w14:paraId="28F390AF">
      <w:pPr>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备注：/</w:t>
      </w:r>
    </w:p>
    <w:p w14:paraId="2AA35D2D">
      <w:pPr>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合同履约期限：</w:t>
      </w:r>
      <w:r>
        <w:rPr>
          <w:rFonts w:hint="eastAsia" w:ascii="宋体"/>
          <w:color w:val="auto"/>
          <w:sz w:val="22"/>
          <w:szCs w:val="22"/>
          <w:highlight w:val="none"/>
          <w:u w:val="single"/>
        </w:rPr>
        <w:t>工期计划：</w:t>
      </w:r>
      <w:r>
        <w:rPr>
          <w:rFonts w:hint="eastAsia" w:ascii="宋体"/>
          <w:color w:val="auto"/>
          <w:sz w:val="22"/>
          <w:szCs w:val="22"/>
          <w:highlight w:val="none"/>
          <w:u w:val="single"/>
          <w:lang w:val="en-US" w:eastAsia="zh-CN"/>
        </w:rPr>
        <w:t>35日历天，</w:t>
      </w:r>
      <w:r>
        <w:rPr>
          <w:rFonts w:hint="eastAsia" w:ascii="宋体"/>
          <w:color w:val="auto"/>
          <w:sz w:val="22"/>
          <w:szCs w:val="22"/>
          <w:highlight w:val="none"/>
          <w:u w:val="single"/>
        </w:rPr>
        <w:t>材料备货2</w:t>
      </w:r>
      <w:r>
        <w:rPr>
          <w:rFonts w:hint="eastAsia" w:ascii="宋体"/>
          <w:color w:val="auto"/>
          <w:sz w:val="22"/>
          <w:szCs w:val="22"/>
          <w:highlight w:val="none"/>
          <w:u w:val="single"/>
          <w:lang w:val="en-US" w:eastAsia="zh-CN"/>
        </w:rPr>
        <w:t>0日历天</w:t>
      </w:r>
      <w:r>
        <w:rPr>
          <w:rFonts w:hint="eastAsia" w:ascii="宋体"/>
          <w:color w:val="auto"/>
          <w:sz w:val="22"/>
          <w:szCs w:val="22"/>
          <w:highlight w:val="none"/>
          <w:u w:val="single"/>
        </w:rPr>
        <w:t>，施工工期</w:t>
      </w:r>
      <w:r>
        <w:rPr>
          <w:rFonts w:hint="eastAsia" w:ascii="宋体"/>
          <w:color w:val="auto"/>
          <w:sz w:val="22"/>
          <w:szCs w:val="22"/>
          <w:highlight w:val="none"/>
          <w:u w:val="single"/>
          <w:lang w:val="en-US" w:eastAsia="zh-CN"/>
        </w:rPr>
        <w:t>15日历天</w:t>
      </w:r>
      <w:r>
        <w:rPr>
          <w:rFonts w:hint="eastAsia" w:ascii="宋体" w:hAnsi="宋体" w:cs="宋体"/>
          <w:color w:val="auto"/>
          <w:sz w:val="22"/>
          <w:szCs w:val="22"/>
          <w:highlight w:val="none"/>
        </w:rPr>
        <w:t>。</w:t>
      </w:r>
    </w:p>
    <w:p w14:paraId="55263294">
      <w:pPr>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本项目（</w:t>
      </w:r>
      <w:r>
        <w:rPr>
          <w:rFonts w:hint="eastAsia" w:ascii="宋体" w:hAnsi="宋体" w:cs="宋体"/>
          <w:color w:val="auto"/>
          <w:sz w:val="22"/>
          <w:szCs w:val="22"/>
          <w:highlight w:val="none"/>
          <w:lang w:eastAsia="zh-CN"/>
        </w:rPr>
        <w:t>否</w:t>
      </w:r>
      <w:r>
        <w:rPr>
          <w:rFonts w:hint="eastAsia" w:ascii="宋体" w:hAnsi="宋体" w:cs="宋体"/>
          <w:color w:val="auto"/>
          <w:sz w:val="22"/>
          <w:szCs w:val="22"/>
          <w:highlight w:val="none"/>
        </w:rPr>
        <w:t>）接受联合体投标。</w:t>
      </w:r>
    </w:p>
    <w:p w14:paraId="047F4A7F">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二、申请人的资格要求：</w:t>
      </w:r>
    </w:p>
    <w:p w14:paraId="647F3F03">
      <w:pPr>
        <w:keepNext w:val="0"/>
        <w:keepLines w:val="0"/>
        <w:pageBreakBefore w:val="0"/>
        <w:numPr>
          <w:ilvl w:val="0"/>
          <w:numId w:val="4"/>
        </w:numPr>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p w14:paraId="74A831E0">
      <w:pPr>
        <w:keepNext w:val="0"/>
        <w:keepLines w:val="0"/>
        <w:pageBreakBefore w:val="0"/>
        <w:numPr>
          <w:ilvl w:val="0"/>
          <w:numId w:val="4"/>
        </w:numPr>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落实政府采购政策需满足的资格要求：</w:t>
      </w:r>
      <w:r>
        <w:rPr>
          <w:rFonts w:hint="eastAsia" w:ascii="新宋体" w:hAnsi="新宋体" w:eastAsia="新宋体" w:cs="新宋体"/>
          <w:color w:val="auto"/>
          <w:sz w:val="22"/>
          <w:szCs w:val="22"/>
          <w:highlight w:val="none"/>
          <w:u w:val="single"/>
        </w:rPr>
        <w:t>无</w:t>
      </w:r>
      <w:r>
        <w:rPr>
          <w:rFonts w:hint="eastAsia" w:ascii="宋体" w:hAnsi="宋体" w:cs="宋体"/>
          <w:b/>
          <w:bCs/>
          <w:color w:val="auto"/>
          <w:kern w:val="0"/>
          <w:sz w:val="22"/>
          <w:szCs w:val="22"/>
          <w:highlight w:val="none"/>
          <w:lang w:bidi="ar"/>
        </w:rPr>
        <w:t>；</w:t>
      </w:r>
    </w:p>
    <w:p w14:paraId="5B5BEF00">
      <w:pPr>
        <w:keepNext w:val="0"/>
        <w:keepLines w:val="0"/>
        <w:pageBreakBefore w:val="0"/>
        <w:numPr>
          <w:ilvl w:val="0"/>
          <w:numId w:val="4"/>
        </w:numPr>
        <w:kinsoku/>
        <w:wordWrap/>
        <w:overflowPunct/>
        <w:topLinePunct w:val="0"/>
        <w:autoSpaceDE/>
        <w:autoSpaceDN/>
        <w:bidi w:val="0"/>
        <w:adjustRightInd w:val="0"/>
        <w:snapToGrid w:val="0"/>
        <w:spacing w:line="360" w:lineRule="exact"/>
        <w:ind w:firstLine="440"/>
        <w:textAlignment w:val="auto"/>
        <w:rPr>
          <w:rFonts w:hint="eastAsia" w:ascii="宋体" w:hAnsi="宋体"/>
          <w:color w:val="auto"/>
          <w:sz w:val="22"/>
          <w:szCs w:val="22"/>
          <w:highlight w:val="none"/>
        </w:rPr>
      </w:pPr>
      <w:r>
        <w:rPr>
          <w:rFonts w:hint="eastAsia" w:ascii="宋体" w:hAnsi="宋体" w:cs="宋体"/>
          <w:color w:val="auto"/>
          <w:sz w:val="22"/>
          <w:szCs w:val="22"/>
          <w:highlight w:val="none"/>
        </w:rPr>
        <w:t>本项目的特定资格要求：</w:t>
      </w:r>
    </w:p>
    <w:p w14:paraId="472984D5">
      <w:pPr>
        <w:keepNext w:val="0"/>
        <w:keepLines w:val="0"/>
        <w:pageBreakBefore w:val="0"/>
        <w:kinsoku/>
        <w:wordWrap/>
        <w:overflowPunct/>
        <w:topLinePunct w:val="0"/>
        <w:autoSpaceDE/>
        <w:autoSpaceDN/>
        <w:bidi w:val="0"/>
        <w:adjustRightInd w:val="0"/>
        <w:snapToGrid w:val="0"/>
        <w:spacing w:line="360" w:lineRule="exact"/>
        <w:ind w:left="44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lang w:eastAsia="zh-CN"/>
        </w:rPr>
        <w:t>具备电力工程施工总承包三级及以上资质（</w:t>
      </w:r>
      <w:r>
        <w:rPr>
          <w:rFonts w:hint="eastAsia" w:ascii="宋体" w:hAnsi="宋体" w:cs="宋体"/>
          <w:color w:val="auto"/>
          <w:sz w:val="22"/>
          <w:szCs w:val="22"/>
          <w:highlight w:val="none"/>
          <w:u w:val="single"/>
          <w:lang w:val="en-US" w:eastAsia="zh-CN"/>
        </w:rPr>
        <w:t>或</w:t>
      </w:r>
      <w:r>
        <w:rPr>
          <w:rFonts w:hint="eastAsia" w:ascii="宋体" w:hAnsi="宋体" w:cs="宋体"/>
          <w:color w:val="auto"/>
          <w:sz w:val="22"/>
          <w:szCs w:val="22"/>
          <w:highlight w:val="none"/>
          <w:u w:val="single"/>
          <w:lang w:eastAsia="zh-CN"/>
        </w:rPr>
        <w:t>输变电工程专业承包三级及以上资质）</w:t>
      </w:r>
      <w:r>
        <w:rPr>
          <w:rFonts w:hint="eastAsia" w:ascii="宋体" w:hAnsi="宋体" w:cs="宋体"/>
          <w:color w:val="auto"/>
          <w:sz w:val="22"/>
          <w:szCs w:val="22"/>
          <w:highlight w:val="none"/>
          <w:u w:val="single"/>
        </w:rPr>
        <w:t>；</w:t>
      </w:r>
    </w:p>
    <w:p w14:paraId="18408ADE">
      <w:pPr>
        <w:keepNext w:val="0"/>
        <w:keepLines w:val="0"/>
        <w:pageBreakBefore w:val="0"/>
        <w:kinsoku/>
        <w:wordWrap/>
        <w:overflowPunct/>
        <w:topLinePunct w:val="0"/>
        <w:autoSpaceDE/>
        <w:autoSpaceDN/>
        <w:bidi w:val="0"/>
        <w:adjustRightInd w:val="0"/>
        <w:snapToGrid w:val="0"/>
        <w:spacing w:line="360" w:lineRule="exact"/>
        <w:ind w:left="440"/>
        <w:textAlignment w:val="auto"/>
        <w:rPr>
          <w:rFonts w:ascii="宋体" w:hAnsi="宋体" w:cs="宋体"/>
          <w:color w:val="auto"/>
          <w:kern w:val="0"/>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u w:val="single"/>
          <w:lang w:eastAsia="zh-CN"/>
        </w:rPr>
        <w:t>具备国家电力监督委员会颁发的承装（修、试）电力设施五级及以上建筑业企业资质</w:t>
      </w:r>
      <w:r>
        <w:rPr>
          <w:rFonts w:hint="eastAsia" w:ascii="宋体" w:hAnsi="宋体" w:cs="宋体"/>
          <w:color w:val="auto"/>
          <w:kern w:val="0"/>
          <w:sz w:val="22"/>
          <w:szCs w:val="22"/>
          <w:highlight w:val="none"/>
        </w:rPr>
        <w:t>；</w:t>
      </w:r>
    </w:p>
    <w:p w14:paraId="39684BA5">
      <w:pPr>
        <w:keepNext w:val="0"/>
        <w:keepLines w:val="0"/>
        <w:pageBreakBefore w:val="0"/>
        <w:tabs>
          <w:tab w:val="left" w:pos="312"/>
        </w:tabs>
        <w:kinsoku/>
        <w:wordWrap/>
        <w:overflowPunct/>
        <w:topLinePunct w:val="0"/>
        <w:autoSpaceDE/>
        <w:autoSpaceDN/>
        <w:bidi w:val="0"/>
        <w:adjustRightInd w:val="0"/>
        <w:snapToGrid w:val="0"/>
        <w:spacing w:line="360" w:lineRule="exact"/>
        <w:ind w:left="440"/>
        <w:textAlignment w:val="auto"/>
        <w:rPr>
          <w:rFonts w:ascii="宋体" w:hAnsi="宋体" w:cs="宋体"/>
          <w:color w:val="auto"/>
          <w:kern w:val="0"/>
          <w:sz w:val="22"/>
          <w:szCs w:val="22"/>
          <w:highlight w:val="none"/>
        </w:rPr>
      </w:pPr>
      <w:r>
        <w:rPr>
          <w:rFonts w:hint="eastAsia" w:ascii="宋体" w:hAnsi="宋体"/>
          <w:color w:val="auto"/>
          <w:sz w:val="22"/>
          <w:szCs w:val="22"/>
          <w:highlight w:val="none"/>
        </w:rPr>
        <w:t>（3）</w:t>
      </w:r>
      <w:r>
        <w:rPr>
          <w:rFonts w:hint="eastAsia" w:ascii="宋体" w:hAnsi="宋体"/>
          <w:color w:val="auto"/>
          <w:sz w:val="22"/>
          <w:szCs w:val="22"/>
          <w:highlight w:val="none"/>
          <w:u w:val="single"/>
        </w:rPr>
        <w:t>具有有效安全生产许可证（或有效的安全生产许可证电子证书打印件）</w:t>
      </w:r>
      <w:r>
        <w:rPr>
          <w:rFonts w:hint="eastAsia" w:ascii="宋体" w:hAnsi="宋体" w:cs="宋体"/>
          <w:color w:val="auto"/>
          <w:kern w:val="0"/>
          <w:sz w:val="22"/>
          <w:szCs w:val="22"/>
          <w:highlight w:val="none"/>
        </w:rPr>
        <w:t>；</w:t>
      </w:r>
    </w:p>
    <w:p w14:paraId="3DA16B44">
      <w:pPr>
        <w:keepNext w:val="0"/>
        <w:keepLines w:val="0"/>
        <w:pageBreakBefore w:val="0"/>
        <w:tabs>
          <w:tab w:val="left" w:pos="312"/>
        </w:tabs>
        <w:kinsoku/>
        <w:wordWrap/>
        <w:overflowPunct/>
        <w:topLinePunct w:val="0"/>
        <w:autoSpaceDE/>
        <w:autoSpaceDN/>
        <w:bidi w:val="0"/>
        <w:adjustRightInd w:val="0"/>
        <w:snapToGrid w:val="0"/>
        <w:spacing w:line="360" w:lineRule="exact"/>
        <w:ind w:left="440"/>
        <w:textAlignment w:val="auto"/>
        <w:rPr>
          <w:rFonts w:hint="eastAsia" w:ascii="宋体" w:hAnsi="宋体" w:eastAsia="宋体"/>
          <w:color w:val="auto"/>
          <w:sz w:val="22"/>
          <w:szCs w:val="22"/>
          <w:highlight w:val="none"/>
          <w:lang w:eastAsia="zh-CN"/>
        </w:rPr>
      </w:pPr>
      <w:r>
        <w:rPr>
          <w:rFonts w:hint="eastAsia" w:ascii="宋体" w:hAnsi="宋体" w:cs="宋体"/>
          <w:color w:val="auto"/>
          <w:kern w:val="0"/>
          <w:sz w:val="22"/>
          <w:szCs w:val="22"/>
          <w:highlight w:val="none"/>
        </w:rPr>
        <w:t>（4）</w:t>
      </w:r>
      <w:r>
        <w:rPr>
          <w:rFonts w:hint="eastAsia" w:ascii="宋体" w:hAnsi="宋体" w:cs="宋体"/>
          <w:color w:val="auto"/>
          <w:kern w:val="0"/>
          <w:sz w:val="22"/>
          <w:szCs w:val="22"/>
          <w:highlight w:val="none"/>
          <w:u w:val="single"/>
        </w:rPr>
        <w:t>企业主要负责人具有“三类人员”A类证书</w:t>
      </w:r>
      <w:r>
        <w:rPr>
          <w:rFonts w:hint="eastAsia" w:ascii="宋体" w:hAnsi="宋体" w:cs="宋体"/>
          <w:color w:val="auto"/>
          <w:kern w:val="0"/>
          <w:sz w:val="22"/>
          <w:szCs w:val="22"/>
          <w:highlight w:val="none"/>
          <w:u w:val="single"/>
          <w:lang w:eastAsia="zh-CN"/>
        </w:rPr>
        <w:t>（在有效期内）</w:t>
      </w:r>
      <w:r>
        <w:rPr>
          <w:rFonts w:hint="eastAsia" w:ascii="宋体" w:hAnsi="宋体" w:cs="宋体"/>
          <w:color w:val="auto"/>
          <w:kern w:val="0"/>
          <w:sz w:val="22"/>
          <w:szCs w:val="22"/>
          <w:highlight w:val="none"/>
          <w:lang w:eastAsia="zh-CN"/>
        </w:rPr>
        <w:t>；</w:t>
      </w:r>
    </w:p>
    <w:p w14:paraId="07683AB4">
      <w:pPr>
        <w:keepNext w:val="0"/>
        <w:keepLines w:val="0"/>
        <w:pageBreakBefore w:val="0"/>
        <w:tabs>
          <w:tab w:val="left" w:pos="312"/>
        </w:tabs>
        <w:kinsoku/>
        <w:wordWrap/>
        <w:overflowPunct/>
        <w:topLinePunct w:val="0"/>
        <w:autoSpaceDE/>
        <w:autoSpaceDN/>
        <w:bidi w:val="0"/>
        <w:adjustRightInd w:val="0"/>
        <w:snapToGrid w:val="0"/>
        <w:spacing w:line="360" w:lineRule="exact"/>
        <w:ind w:left="440"/>
        <w:textAlignment w:val="auto"/>
        <w:rPr>
          <w:rFonts w:hint="eastAsia" w:ascii="宋体" w:hAnsi="宋体"/>
          <w:color w:val="auto"/>
          <w:sz w:val="22"/>
          <w:szCs w:val="22"/>
          <w:highlight w:val="none"/>
        </w:rPr>
      </w:pP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val="en-US" w:eastAsia="zh-CN"/>
        </w:rPr>
        <w:t>5</w:t>
      </w:r>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u w:val="single"/>
        </w:rPr>
        <w:t>拟派项目经理具有</w:t>
      </w:r>
      <w:r>
        <w:rPr>
          <w:rFonts w:hint="eastAsia" w:ascii="宋体" w:hAnsi="宋体" w:cs="宋体"/>
          <w:color w:val="auto"/>
          <w:kern w:val="0"/>
          <w:sz w:val="22"/>
          <w:szCs w:val="22"/>
          <w:highlight w:val="none"/>
          <w:u w:val="single"/>
          <w:lang w:eastAsia="zh-CN"/>
        </w:rPr>
        <w:t>机电工程专业</w:t>
      </w:r>
      <w:r>
        <w:rPr>
          <w:rFonts w:hint="eastAsia" w:ascii="宋体" w:hAnsi="宋体" w:cs="宋体"/>
          <w:color w:val="auto"/>
          <w:kern w:val="0"/>
          <w:sz w:val="22"/>
          <w:szCs w:val="22"/>
          <w:highlight w:val="none"/>
          <w:u w:val="single"/>
        </w:rPr>
        <w:t>注册建造师二级及以上资格</w:t>
      </w:r>
      <w:r>
        <w:rPr>
          <w:rFonts w:hint="eastAsia" w:ascii="宋体" w:hAnsi="宋体" w:cs="宋体"/>
          <w:color w:val="auto"/>
          <w:kern w:val="0"/>
          <w:sz w:val="22"/>
          <w:szCs w:val="22"/>
          <w:highlight w:val="none"/>
        </w:rPr>
        <w:t>。</w:t>
      </w:r>
    </w:p>
    <w:p w14:paraId="78ABDFA9">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三、获取（下载）采购文件</w:t>
      </w:r>
    </w:p>
    <w:p w14:paraId="3A65B7BB">
      <w:pPr>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时间：</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至202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日</w:t>
      </w:r>
      <w:r>
        <w:rPr>
          <w:rFonts w:hint="eastAsia" w:ascii="宋体" w:hAnsi="宋体" w:cs="宋体"/>
          <w:color w:val="auto"/>
          <w:sz w:val="22"/>
          <w:szCs w:val="22"/>
          <w:highlight w:val="none"/>
        </w:rPr>
        <w:t>，每天上午00:00至12:00，下午12:00至23:59（北京时间，线上获取法定节假日均可，线下获取文件法定节假日除外）</w:t>
      </w:r>
    </w:p>
    <w:p w14:paraId="69C3041B">
      <w:pPr>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地点（网址）：政采云平台（https://www.zcygov.cn） </w:t>
      </w:r>
    </w:p>
    <w:p w14:paraId="18DF87EF">
      <w:pPr>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方式：供应商登录政采云平台https://www.zcygov.cn/在线申请获取采购文件（进入“项目采购”应用，在获取采购文件菜单中选择项目，申请获取采购文件）</w:t>
      </w:r>
    </w:p>
    <w:p w14:paraId="41D80E2E">
      <w:pPr>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售价（元）：0</w:t>
      </w:r>
    </w:p>
    <w:p w14:paraId="34A9016B">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四、响应文件提交（上传）</w:t>
      </w:r>
    </w:p>
    <w:p w14:paraId="528B5CA7">
      <w:pPr>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截止时间：</w:t>
      </w:r>
      <w:r>
        <w:rPr>
          <w:rFonts w:hint="eastAsia" w:ascii="宋体" w:hAnsi="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日</w:t>
      </w:r>
      <w:r>
        <w:rPr>
          <w:rFonts w:ascii="宋体" w:hAnsi="宋体" w:cs="宋体"/>
          <w:color w:val="auto"/>
          <w:sz w:val="22"/>
          <w:szCs w:val="22"/>
          <w:highlight w:val="none"/>
        </w:rPr>
        <w:t>14</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0（北京时间）</w:t>
      </w:r>
    </w:p>
    <w:p w14:paraId="2B6444B3">
      <w:pPr>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地点（网址）：https://www.zcygov.cn政采云平台在线递交</w:t>
      </w:r>
    </w:p>
    <w:p w14:paraId="20C27334">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五、响应文件开启</w:t>
      </w:r>
    </w:p>
    <w:p w14:paraId="65A6BD5C">
      <w:pPr>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开启时间：</w:t>
      </w:r>
      <w:r>
        <w:rPr>
          <w:rFonts w:hint="eastAsia" w:ascii="宋体" w:hAnsi="宋体" w:cs="宋体"/>
          <w:color w:val="auto"/>
          <w:sz w:val="22"/>
          <w:szCs w:val="22"/>
          <w:highlight w:val="none"/>
        </w:rPr>
        <w:t>202</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年</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月</w:t>
      </w:r>
      <w:r>
        <w:rPr>
          <w:rFonts w:hint="eastAsia" w:ascii="宋体" w:hAnsi="宋体" w:cs="宋体"/>
          <w:color w:val="auto"/>
          <w:sz w:val="22"/>
          <w:szCs w:val="22"/>
          <w:highlight w:val="none"/>
          <w:u w:val="single"/>
          <w:lang w:val="en-US" w:eastAsia="zh-CN"/>
        </w:rPr>
        <w:t xml:space="preserve">  </w:t>
      </w:r>
      <w:r>
        <w:rPr>
          <w:rFonts w:hint="eastAsia" w:ascii="宋体" w:hAnsi="宋体" w:cs="宋体"/>
          <w:color w:val="auto"/>
          <w:sz w:val="22"/>
          <w:szCs w:val="22"/>
          <w:highlight w:val="none"/>
        </w:rPr>
        <w:t>日</w:t>
      </w:r>
      <w:r>
        <w:rPr>
          <w:rFonts w:ascii="宋体" w:hAnsi="宋体" w:cs="宋体"/>
          <w:color w:val="auto"/>
          <w:sz w:val="22"/>
          <w:szCs w:val="22"/>
          <w:highlight w:val="none"/>
        </w:rPr>
        <w:t>14</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0（北京时间）</w:t>
      </w:r>
    </w:p>
    <w:p w14:paraId="4111631E">
      <w:pPr>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eastAsia="宋体" w:cs="宋体"/>
          <w:color w:val="auto"/>
          <w:sz w:val="22"/>
          <w:szCs w:val="22"/>
          <w:highlight w:val="none"/>
        </w:rPr>
      </w:pPr>
      <w:r>
        <w:rPr>
          <w:rFonts w:hint="eastAsia" w:ascii="宋体" w:hAnsi="宋体" w:cs="宋体"/>
          <w:color w:val="auto"/>
          <w:sz w:val="22"/>
          <w:szCs w:val="22"/>
          <w:highlight w:val="none"/>
        </w:rPr>
        <w:t>地点（网址）：</w:t>
      </w:r>
      <w:r>
        <w:rPr>
          <w:rFonts w:hint="eastAsia" w:ascii="宋体" w:hAnsi="宋体" w:cs="宋体"/>
          <w:color w:val="auto"/>
          <w:sz w:val="22"/>
          <w:szCs w:val="22"/>
          <w:highlight w:val="none"/>
          <w:lang w:eastAsia="zh-CN"/>
        </w:rPr>
        <w:t>温州市瓯海区新桥街道金达路33号2楼</w:t>
      </w:r>
      <w:r>
        <w:rPr>
          <w:rFonts w:hint="eastAsia" w:ascii="宋体" w:hAnsi="宋体" w:eastAsia="宋体" w:cs="宋体"/>
          <w:color w:val="auto"/>
          <w:sz w:val="22"/>
          <w:szCs w:val="22"/>
          <w:highlight w:val="none"/>
        </w:rPr>
        <w:t>，政采云平台（https://www.zcygov.cn）在线评标</w:t>
      </w:r>
    </w:p>
    <w:p w14:paraId="307CF22A">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六、公告期限 </w:t>
      </w:r>
    </w:p>
    <w:p w14:paraId="3CD78142">
      <w:pPr>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hint="eastAsia" w:ascii="宋体" w:hAnsi="宋体" w:cs="宋体"/>
          <w:color w:val="auto"/>
          <w:sz w:val="22"/>
          <w:szCs w:val="22"/>
          <w:highlight w:val="none"/>
        </w:rPr>
        <w:t>自本公告发布之日起3个工作日。</w:t>
      </w:r>
    </w:p>
    <w:p w14:paraId="679F4AF5">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七、其他补充事宜</w:t>
      </w:r>
    </w:p>
    <w:p w14:paraId="1710DCC7">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1.《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14:paraId="0E60078D">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hint="eastAsia" w:ascii="宋体" w:hAnsi="宋体" w:cs="宋体"/>
          <w:color w:val="auto"/>
          <w:kern w:val="0"/>
          <w:sz w:val="22"/>
          <w:szCs w:val="22"/>
          <w:highlight w:val="none"/>
          <w:lang w:bidi="ar"/>
        </w:rPr>
      </w:pPr>
      <w:r>
        <w:rPr>
          <w:rFonts w:hint="eastAsia" w:ascii="宋体" w:hAnsi="宋体" w:cs="宋体"/>
          <w:color w:val="auto"/>
          <w:kern w:val="0"/>
          <w:sz w:val="22"/>
          <w:szCs w:val="22"/>
          <w:highlight w:val="none"/>
          <w:lang w:bidi="ar"/>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DC2CEC2">
      <w:pPr>
        <w:keepNext w:val="0"/>
        <w:keepLines w:val="0"/>
        <w:pageBreakBefore w:val="0"/>
        <w:kinsoku/>
        <w:wordWrap/>
        <w:overflowPunct/>
        <w:topLinePunct w:val="0"/>
        <w:autoSpaceDE/>
        <w:autoSpaceDN/>
        <w:bidi w:val="0"/>
        <w:adjustRightInd w:val="0"/>
        <w:snapToGrid w:val="0"/>
        <w:spacing w:line="360" w:lineRule="exact"/>
        <w:ind w:firstLine="440" w:firstLineChars="200"/>
        <w:textAlignment w:val="auto"/>
        <w:rPr>
          <w:rFonts w:hint="eastAsia" w:ascii="宋体" w:hAnsi="宋体" w:cs="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.其他事项：</w:t>
      </w:r>
    </w:p>
    <w:p w14:paraId="50330908">
      <w:pPr>
        <w:keepNext w:val="0"/>
        <w:keepLines w:val="0"/>
        <w:pageBreakBefore w:val="0"/>
        <w:widowControl/>
        <w:kinsoku/>
        <w:wordWrap/>
        <w:overflowPunct/>
        <w:topLinePunct w:val="0"/>
        <w:autoSpaceDE/>
        <w:autoSpaceDN/>
        <w:bidi w:val="0"/>
        <w:spacing w:line="360" w:lineRule="exact"/>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3.1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85EB28C">
      <w:pPr>
        <w:keepNext w:val="0"/>
        <w:keepLines w:val="0"/>
        <w:pageBreakBefore w:val="0"/>
        <w:widowControl/>
        <w:kinsoku/>
        <w:wordWrap/>
        <w:overflowPunct/>
        <w:topLinePunct w:val="0"/>
        <w:autoSpaceDE/>
        <w:autoSpaceDN/>
        <w:bidi w:val="0"/>
        <w:spacing w:line="360" w:lineRule="exact"/>
        <w:ind w:firstLine="440" w:firstLineChars="200"/>
        <w:textAlignment w:val="auto"/>
        <w:rPr>
          <w:rFonts w:ascii="宋体" w:hAnsi="宋体" w:cs="宋体"/>
          <w:color w:val="auto"/>
          <w:sz w:val="22"/>
          <w:szCs w:val="22"/>
          <w:highlight w:val="none"/>
        </w:rPr>
      </w:pPr>
      <w:r>
        <w:rPr>
          <w:rFonts w:hint="eastAsia" w:ascii="宋体" w:hAnsi="宋体" w:cs="宋体"/>
          <w:color w:val="auto"/>
          <w:sz w:val="22"/>
          <w:szCs w:val="22"/>
          <w:highlight w:val="none"/>
        </w:rPr>
        <w:t>3.2（1）本项目实行电子投标，应按照本项目招标文件和政采云平台的要求编制、加密并递交投标文件。供应商在使用系统进行投标的过程中遇到涉及平台使用的任何问题，可致电政采云平台技术支持热线咨询，联系方式：400-881-7190。（2）投标人应在开标前完成CA数字证书办理。（办理流程详见：http://www.zjzfcg.gov.cn/bidClientTemplate/2019-05-27/12945.html）。完成CA数字证书办理预计一周左右，建议各投标人抓紧时间办理。(3)投标人通过政采云平台电子投标工具制作投标文件，电子投标工具请供应商自行前往浙江省政府采购网下载并安装，（下载网址：http://www.zjzfcg.gov.cn/bidClientTemplate/2019-05-27/12946.html），电子投标具体流程详见（网址：</w:t>
      </w:r>
      <w:r>
        <w:rPr>
          <w:rFonts w:hint="eastAsia"/>
          <w:color w:val="auto"/>
          <w:highlight w:val="none"/>
        </w:rPr>
        <w:fldChar w:fldCharType="begin"/>
      </w:r>
      <w:r>
        <w:rPr>
          <w:color w:val="auto"/>
          <w:highlight w:val="none"/>
        </w:rPr>
        <w:instrText xml:space="preserve"> HYPERLINK "https://help.zcygov.cn/web/site_2/2018/12/25/2547.html）。" </w:instrText>
      </w:r>
      <w:r>
        <w:rPr>
          <w:rFonts w:hint="eastAsia"/>
          <w:color w:val="auto"/>
          <w:highlight w:val="none"/>
        </w:rPr>
        <w:fldChar w:fldCharType="separate"/>
      </w:r>
      <w:r>
        <w:rPr>
          <w:rStyle w:val="43"/>
          <w:rFonts w:hint="eastAsia" w:ascii="宋体" w:hAnsi="宋体" w:cs="宋体"/>
          <w:color w:val="auto"/>
          <w:sz w:val="22"/>
          <w:szCs w:val="22"/>
          <w:highlight w:val="none"/>
        </w:rPr>
        <w:t>https://help.zcygov.cn/web/site_2/2018/12/25/2547.html）。</w:t>
      </w:r>
      <w:r>
        <w:rPr>
          <w:rStyle w:val="43"/>
          <w:rFonts w:hint="eastAsia" w:ascii="宋体" w:hAnsi="宋体" w:cs="宋体"/>
          <w:color w:val="auto"/>
          <w:sz w:val="22"/>
          <w:szCs w:val="22"/>
          <w:highlight w:val="none"/>
        </w:rPr>
        <w:fldChar w:fldCharType="end"/>
      </w:r>
    </w:p>
    <w:p w14:paraId="258DC620">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八、对本次采购提出询问、质疑、投诉，请按以下方式联系</w:t>
      </w:r>
    </w:p>
    <w:p w14:paraId="797F154C">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　　1.采购人信息</w:t>
      </w:r>
    </w:p>
    <w:p w14:paraId="4A021F40">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Cs w:val="22"/>
          <w:highlight w:val="none"/>
          <w:lang w:eastAsia="zh-CN" w:bidi="ar"/>
        </w:rPr>
      </w:pPr>
      <w:r>
        <w:rPr>
          <w:rFonts w:hint="eastAsia" w:ascii="宋体" w:hAnsi="宋体" w:cs="宋体"/>
          <w:color w:val="auto"/>
          <w:szCs w:val="22"/>
          <w:highlight w:val="none"/>
          <w:lang w:bidi="ar"/>
        </w:rPr>
        <w:t>    名    称：</w:t>
      </w:r>
      <w:r>
        <w:rPr>
          <w:rFonts w:hint="eastAsia" w:ascii="宋体" w:hAnsi="宋体" w:cs="宋体"/>
          <w:color w:val="auto"/>
          <w:szCs w:val="22"/>
          <w:highlight w:val="none"/>
          <w:lang w:eastAsia="zh-CN" w:bidi="ar"/>
        </w:rPr>
        <w:t>温州市综合行政执法局</w:t>
      </w:r>
    </w:p>
    <w:p w14:paraId="647F87E3">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Cs w:val="22"/>
          <w:highlight w:val="none"/>
          <w:lang w:eastAsia="zh-CN" w:bidi="ar"/>
        </w:rPr>
      </w:pPr>
      <w:r>
        <w:rPr>
          <w:rFonts w:hint="eastAsia" w:ascii="宋体" w:hAnsi="宋体" w:cs="宋体"/>
          <w:color w:val="auto"/>
          <w:szCs w:val="22"/>
          <w:highlight w:val="none"/>
          <w:lang w:bidi="ar"/>
        </w:rPr>
        <w:t>    地    址：</w:t>
      </w:r>
      <w:r>
        <w:rPr>
          <w:rFonts w:hint="eastAsia" w:ascii="宋体" w:hAnsi="宋体" w:cs="宋体"/>
          <w:color w:val="auto"/>
          <w:szCs w:val="22"/>
          <w:highlight w:val="none"/>
          <w:lang w:eastAsia="zh-CN"/>
        </w:rPr>
        <w:t>温州市鹿城区惠民路858号</w:t>
      </w:r>
    </w:p>
    <w:p w14:paraId="61C31654">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auto"/>
          <w:szCs w:val="22"/>
          <w:highlight w:val="none"/>
          <w:lang w:bidi="ar"/>
        </w:rPr>
      </w:pPr>
      <w:r>
        <w:rPr>
          <w:rFonts w:hint="eastAsia" w:ascii="宋体" w:hAnsi="宋体" w:cs="宋体"/>
          <w:color w:val="auto"/>
          <w:szCs w:val="22"/>
          <w:highlight w:val="none"/>
          <w:lang w:bidi="ar"/>
        </w:rPr>
        <w:t>    传    真：/</w:t>
      </w:r>
    </w:p>
    <w:p w14:paraId="30ED21B0">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auto"/>
          <w:szCs w:val="22"/>
          <w:highlight w:val="none"/>
        </w:rPr>
      </w:pPr>
      <w:r>
        <w:rPr>
          <w:rFonts w:hint="eastAsia" w:ascii="宋体" w:hAnsi="宋体" w:cs="宋体"/>
          <w:color w:val="auto"/>
          <w:szCs w:val="22"/>
          <w:highlight w:val="none"/>
          <w:lang w:bidi="ar"/>
        </w:rPr>
        <w:t>   </w:t>
      </w:r>
      <w:bookmarkStart w:id="4" w:name="_Hlk47793869"/>
      <w:r>
        <w:rPr>
          <w:rFonts w:hint="eastAsia" w:ascii="宋体" w:hAnsi="宋体" w:cs="宋体"/>
          <w:color w:val="auto"/>
          <w:szCs w:val="22"/>
          <w:highlight w:val="none"/>
          <w:lang w:bidi="ar"/>
        </w:rPr>
        <w:t xml:space="preserve"> </w:t>
      </w:r>
      <w:r>
        <w:rPr>
          <w:rFonts w:hint="eastAsia" w:ascii="宋体" w:hAnsi="宋体" w:cs="宋体"/>
          <w:color w:val="auto"/>
          <w:szCs w:val="22"/>
          <w:highlight w:val="none"/>
        </w:rPr>
        <w:t>项目联系人（询问）：</w:t>
      </w:r>
      <w:r>
        <w:rPr>
          <w:rFonts w:hint="eastAsia" w:ascii="宋体" w:hAnsi="宋体" w:cs="宋体"/>
          <w:color w:val="auto"/>
          <w:szCs w:val="22"/>
          <w:highlight w:val="none"/>
          <w:lang w:val="en-US" w:eastAsia="zh-CN"/>
        </w:rPr>
        <w:t xml:space="preserve"> </w:t>
      </w:r>
    </w:p>
    <w:p w14:paraId="12872DAF">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Cs w:val="22"/>
          <w:highlight w:val="none"/>
          <w:lang w:eastAsia="zh-CN"/>
        </w:rPr>
      </w:pPr>
      <w:r>
        <w:rPr>
          <w:rFonts w:hint="eastAsia" w:ascii="宋体" w:hAnsi="宋体" w:cs="宋体"/>
          <w:color w:val="auto"/>
          <w:szCs w:val="22"/>
          <w:highlight w:val="none"/>
        </w:rPr>
        <w:t>    项目联系方式（询问）：0577-</w:t>
      </w:r>
      <w:r>
        <w:rPr>
          <w:rFonts w:hint="eastAsia" w:ascii="宋体" w:hAnsi="宋体" w:cs="宋体"/>
          <w:color w:val="auto"/>
          <w:szCs w:val="22"/>
          <w:highlight w:val="none"/>
          <w:lang w:val="en-US" w:eastAsia="zh-CN"/>
        </w:rPr>
        <w:t xml:space="preserve"> </w:t>
      </w:r>
    </w:p>
    <w:p w14:paraId="4186A272">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auto"/>
          <w:szCs w:val="22"/>
          <w:highlight w:val="none"/>
        </w:rPr>
      </w:pPr>
      <w:r>
        <w:rPr>
          <w:rFonts w:hint="eastAsia" w:ascii="宋体" w:hAnsi="宋体" w:cs="宋体"/>
          <w:color w:val="auto"/>
          <w:szCs w:val="22"/>
          <w:highlight w:val="none"/>
        </w:rPr>
        <w:t>    质疑联系人：</w:t>
      </w:r>
    </w:p>
    <w:p w14:paraId="3517C018">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Cs w:val="22"/>
          <w:highlight w:val="none"/>
          <w:lang w:eastAsia="zh-CN"/>
        </w:rPr>
      </w:pPr>
      <w:r>
        <w:rPr>
          <w:rFonts w:hint="eastAsia" w:ascii="宋体" w:hAnsi="宋体" w:cs="宋体"/>
          <w:color w:val="auto"/>
          <w:szCs w:val="22"/>
          <w:highlight w:val="none"/>
        </w:rPr>
        <w:t>    质疑联系方式：</w:t>
      </w:r>
      <w:r>
        <w:rPr>
          <w:rFonts w:hint="eastAsia" w:ascii="宋体" w:hAnsi="宋体" w:cs="宋体"/>
          <w:bCs/>
          <w:color w:val="auto"/>
          <w:sz w:val="22"/>
          <w:szCs w:val="22"/>
          <w:highlight w:val="none"/>
        </w:rPr>
        <w:t>0577-</w:t>
      </w:r>
      <w:r>
        <w:rPr>
          <w:rFonts w:hint="eastAsia" w:ascii="宋体" w:hAnsi="宋体" w:cs="宋体"/>
          <w:bCs/>
          <w:color w:val="auto"/>
          <w:sz w:val="22"/>
          <w:szCs w:val="22"/>
          <w:highlight w:val="none"/>
          <w:lang w:val="en-US" w:eastAsia="zh-CN"/>
        </w:rPr>
        <w:t xml:space="preserve"> </w:t>
      </w:r>
    </w:p>
    <w:bookmarkEnd w:id="4"/>
    <w:p w14:paraId="2CB26D27">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2.采购代理机构信息</w:t>
      </w:r>
    </w:p>
    <w:p w14:paraId="58DEC587">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名    称：</w:t>
      </w:r>
      <w:r>
        <w:rPr>
          <w:rFonts w:hint="eastAsia" w:ascii="宋体" w:hAnsi="宋体" w:cs="宋体"/>
          <w:color w:val="auto"/>
          <w:sz w:val="22"/>
          <w:szCs w:val="22"/>
          <w:highlight w:val="none"/>
          <w:lang w:eastAsia="zh-CN"/>
        </w:rPr>
        <w:t>温州众晟工程管理有限公司</w:t>
      </w:r>
    </w:p>
    <w:p w14:paraId="27AC52E2">
      <w:pPr>
        <w:keepNext w:val="0"/>
        <w:keepLines w:val="0"/>
        <w:pageBreakBefore w:val="0"/>
        <w:widowControl/>
        <w:kinsoku/>
        <w:wordWrap/>
        <w:overflowPunct/>
        <w:topLinePunct w:val="0"/>
        <w:autoSpaceDE/>
        <w:autoSpaceDN/>
        <w:bidi w:val="0"/>
        <w:spacing w:line="360" w:lineRule="exact"/>
        <w:jc w:val="left"/>
        <w:textAlignment w:val="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地    址：</w:t>
      </w:r>
      <w:r>
        <w:rPr>
          <w:rFonts w:hint="eastAsia" w:ascii="宋体" w:hAnsi="宋体" w:cs="宋体"/>
          <w:color w:val="auto"/>
          <w:sz w:val="22"/>
          <w:szCs w:val="22"/>
          <w:highlight w:val="none"/>
          <w:lang w:eastAsia="zh-CN"/>
        </w:rPr>
        <w:t>温州市瓯海区新桥街道金达路33号2楼</w:t>
      </w:r>
    </w:p>
    <w:p w14:paraId="56DD2704">
      <w:pPr>
        <w:keepNext w:val="0"/>
        <w:keepLines w:val="0"/>
        <w:pageBreakBefore w:val="0"/>
        <w:widowControl/>
        <w:kinsoku/>
        <w:wordWrap/>
        <w:overflowPunct/>
        <w:topLinePunct w:val="0"/>
        <w:autoSpaceDE/>
        <w:autoSpaceDN/>
        <w:bidi w:val="0"/>
        <w:spacing w:line="360" w:lineRule="exact"/>
        <w:jc w:val="left"/>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    项目联系人（询问）：</w:t>
      </w:r>
      <w:r>
        <w:rPr>
          <w:rFonts w:hint="eastAsia" w:eastAsia="宋体" w:cs="宋体"/>
          <w:color w:val="auto"/>
          <w:sz w:val="22"/>
          <w:szCs w:val="22"/>
          <w:highlight w:val="none"/>
          <w:lang w:eastAsia="zh-CN"/>
        </w:rPr>
        <w:t>林中一</w:t>
      </w:r>
    </w:p>
    <w:p w14:paraId="1118A208">
      <w:pPr>
        <w:keepNext w:val="0"/>
        <w:keepLines w:val="0"/>
        <w:pageBreakBefore w:val="0"/>
        <w:widowControl/>
        <w:kinsoku/>
        <w:wordWrap/>
        <w:overflowPunct/>
        <w:topLinePunct w:val="0"/>
        <w:autoSpaceDE/>
        <w:autoSpaceDN/>
        <w:bidi w:val="0"/>
        <w:spacing w:line="360" w:lineRule="exact"/>
        <w:ind w:firstLine="660" w:firstLineChars="300"/>
        <w:jc w:val="left"/>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项目联系方式（询问）：</w:t>
      </w:r>
      <w:r>
        <w:rPr>
          <w:rFonts w:hint="eastAsia" w:ascii="宋体" w:hAnsi="宋体" w:eastAsia="宋体" w:cs="宋体"/>
          <w:bCs/>
          <w:color w:val="auto"/>
          <w:kern w:val="0"/>
          <w:sz w:val="22"/>
          <w:szCs w:val="22"/>
          <w:highlight w:val="none"/>
          <w:lang w:val="en-US" w:eastAsia="zh-CN"/>
        </w:rPr>
        <w:t>13758789923</w:t>
      </w:r>
    </w:p>
    <w:p w14:paraId="5BFC62EF">
      <w:pPr>
        <w:keepNext w:val="0"/>
        <w:keepLines w:val="0"/>
        <w:pageBreakBefore w:val="0"/>
        <w:widowControl/>
        <w:kinsoku/>
        <w:wordWrap/>
        <w:overflowPunct/>
        <w:topLinePunct w:val="0"/>
        <w:autoSpaceDE/>
        <w:autoSpaceDN/>
        <w:bidi w:val="0"/>
        <w:spacing w:line="360" w:lineRule="exact"/>
        <w:ind w:firstLine="660"/>
        <w:jc w:val="left"/>
        <w:textAlignment w:val="auto"/>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rPr>
        <w:t>质疑联系人：</w:t>
      </w:r>
      <w:r>
        <w:rPr>
          <w:rFonts w:hint="eastAsia" w:ascii="宋体" w:hAnsi="宋体" w:eastAsia="宋体" w:cs="宋体"/>
          <w:bCs/>
          <w:color w:val="auto"/>
          <w:kern w:val="0"/>
          <w:sz w:val="22"/>
          <w:szCs w:val="22"/>
          <w:highlight w:val="none"/>
          <w:lang w:eastAsia="zh-CN"/>
        </w:rPr>
        <w:t>金先生</w:t>
      </w:r>
    </w:p>
    <w:p w14:paraId="1EEEF7B7">
      <w:pPr>
        <w:keepNext w:val="0"/>
        <w:keepLines w:val="0"/>
        <w:pageBreakBefore w:val="0"/>
        <w:widowControl/>
        <w:kinsoku/>
        <w:wordWrap/>
        <w:overflowPunct/>
        <w:topLinePunct w:val="0"/>
        <w:autoSpaceDE/>
        <w:autoSpaceDN/>
        <w:bidi w:val="0"/>
        <w:spacing w:line="360" w:lineRule="exact"/>
        <w:ind w:firstLine="66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质疑联系方式：</w:t>
      </w:r>
      <w:r>
        <w:rPr>
          <w:rFonts w:hint="eastAsia" w:ascii="宋体" w:hAnsi="宋体" w:eastAsia="宋体" w:cs="宋体"/>
          <w:bCs/>
          <w:color w:val="auto"/>
          <w:kern w:val="0"/>
          <w:sz w:val="22"/>
          <w:szCs w:val="22"/>
          <w:highlight w:val="none"/>
        </w:rPr>
        <w:t>0577-</w:t>
      </w:r>
      <w:r>
        <w:rPr>
          <w:rFonts w:hint="eastAsia" w:ascii="宋体" w:hAnsi="宋体" w:eastAsia="宋体" w:cs="宋体"/>
          <w:bCs/>
          <w:color w:val="auto"/>
          <w:kern w:val="0"/>
          <w:sz w:val="22"/>
          <w:szCs w:val="22"/>
          <w:highlight w:val="none"/>
          <w:lang w:val="en-US" w:eastAsia="zh-CN"/>
        </w:rPr>
        <w:t>88722889</w:t>
      </w:r>
    </w:p>
    <w:p w14:paraId="3EA991A8">
      <w:pPr>
        <w:keepNext w:val="0"/>
        <w:keepLines w:val="0"/>
        <w:pageBreakBefore w:val="0"/>
        <w:widowControl/>
        <w:kinsoku/>
        <w:wordWrap/>
        <w:overflowPunct/>
        <w:topLinePunct w:val="0"/>
        <w:autoSpaceDE/>
        <w:autoSpaceDN/>
        <w:bidi w:val="0"/>
        <w:spacing w:line="360" w:lineRule="exact"/>
        <w:ind w:firstLine="440" w:firstLineChars="200"/>
        <w:jc w:val="left"/>
        <w:textAlignment w:val="auto"/>
        <w:rPr>
          <w:rFonts w:ascii="宋体" w:hAnsi="宋体" w:cs="宋体"/>
          <w:color w:val="auto"/>
          <w:sz w:val="22"/>
          <w:szCs w:val="22"/>
          <w:highlight w:val="none"/>
        </w:rPr>
      </w:pPr>
      <w:r>
        <w:rPr>
          <w:rFonts w:hint="eastAsia" w:ascii="宋体" w:hAnsi="宋体" w:cs="宋体"/>
          <w:color w:val="auto"/>
          <w:sz w:val="22"/>
          <w:szCs w:val="22"/>
          <w:highlight w:val="none"/>
        </w:rPr>
        <w:t>3.同级政府采购监督管理部门</w:t>
      </w:r>
    </w:p>
    <w:p w14:paraId="19797DE3">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auto"/>
          <w:szCs w:val="22"/>
          <w:highlight w:val="none"/>
          <w:lang w:bidi="ar"/>
        </w:rPr>
      </w:pPr>
      <w:r>
        <w:rPr>
          <w:rFonts w:hint="eastAsia" w:ascii="宋体" w:hAnsi="宋体" w:cs="宋体"/>
          <w:color w:val="auto"/>
          <w:szCs w:val="22"/>
          <w:highlight w:val="none"/>
          <w:lang w:bidi="ar"/>
        </w:rPr>
        <w:t>    名    称：温州市财政局政府采购监管处 </w:t>
      </w:r>
    </w:p>
    <w:p w14:paraId="4ACBF556">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auto"/>
          <w:szCs w:val="22"/>
          <w:highlight w:val="none"/>
          <w:lang w:bidi="ar"/>
        </w:rPr>
      </w:pPr>
      <w:r>
        <w:rPr>
          <w:rFonts w:hint="eastAsia" w:ascii="宋体" w:hAnsi="宋体" w:cs="宋体"/>
          <w:color w:val="auto"/>
          <w:szCs w:val="22"/>
          <w:highlight w:val="none"/>
          <w:lang w:bidi="ar"/>
        </w:rPr>
        <w:t>    地    址：温州市鹿城</w:t>
      </w:r>
      <w:r>
        <w:rPr>
          <w:rFonts w:hint="eastAsia" w:ascii="宋体" w:hAnsi="宋体" w:eastAsia="宋体" w:cs="宋体"/>
          <w:color w:val="auto"/>
          <w:szCs w:val="22"/>
          <w:highlight w:val="none"/>
          <w:lang w:bidi="ar"/>
        </w:rPr>
        <w:t>区绣山路299号（建议使用邮政EMS寄送材料）</w:t>
      </w:r>
      <w:r>
        <w:rPr>
          <w:rFonts w:hint="eastAsia" w:ascii="宋体" w:hAnsi="宋体" w:cs="宋体"/>
          <w:color w:val="auto"/>
          <w:szCs w:val="22"/>
          <w:highlight w:val="none"/>
          <w:lang w:bidi="ar"/>
        </w:rPr>
        <w:t> </w:t>
      </w:r>
    </w:p>
    <w:p w14:paraId="5CA59124">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auto"/>
          <w:szCs w:val="22"/>
          <w:highlight w:val="none"/>
          <w:lang w:bidi="ar"/>
        </w:rPr>
      </w:pPr>
      <w:r>
        <w:rPr>
          <w:rFonts w:hint="eastAsia" w:ascii="宋体" w:hAnsi="宋体" w:cs="宋体"/>
          <w:color w:val="auto"/>
          <w:szCs w:val="22"/>
          <w:highlight w:val="none"/>
          <w:lang w:bidi="ar"/>
        </w:rPr>
        <w:t>    传     真：/</w:t>
      </w:r>
    </w:p>
    <w:p w14:paraId="33AEA1FC">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auto"/>
          <w:szCs w:val="22"/>
          <w:highlight w:val="none"/>
          <w:lang w:bidi="ar"/>
        </w:rPr>
      </w:pPr>
      <w:r>
        <w:rPr>
          <w:rFonts w:hint="eastAsia" w:ascii="宋体" w:hAnsi="宋体" w:cs="宋体"/>
          <w:color w:val="auto"/>
          <w:szCs w:val="22"/>
          <w:highlight w:val="none"/>
          <w:lang w:bidi="ar"/>
        </w:rPr>
        <w:t>    联系人 ：项先生、蔡女士 </w:t>
      </w:r>
    </w:p>
    <w:p w14:paraId="7769178A">
      <w:pPr>
        <w:keepNext w:val="0"/>
        <w:keepLines w:val="0"/>
        <w:pageBreakBefore w:val="0"/>
        <w:widowControl/>
        <w:kinsoku/>
        <w:wordWrap/>
        <w:overflowPunct/>
        <w:topLinePunct w:val="0"/>
        <w:autoSpaceDE/>
        <w:autoSpaceDN/>
        <w:bidi w:val="0"/>
        <w:spacing w:line="360" w:lineRule="exact"/>
        <w:jc w:val="left"/>
        <w:textAlignment w:val="auto"/>
        <w:rPr>
          <w:rFonts w:ascii="宋体" w:hAnsi="宋体" w:cs="宋体"/>
          <w:color w:val="auto"/>
          <w:sz w:val="24"/>
          <w:highlight w:val="none"/>
          <w:lang w:bidi="ar"/>
        </w:rPr>
      </w:pPr>
      <w:r>
        <w:rPr>
          <w:rFonts w:hint="eastAsia" w:ascii="宋体" w:hAnsi="宋体" w:cs="宋体"/>
          <w:color w:val="auto"/>
          <w:szCs w:val="22"/>
          <w:highlight w:val="none"/>
          <w:lang w:bidi="ar"/>
        </w:rPr>
        <w:t>    监督投诉电话：0577-88532725、88521948</w:t>
      </w:r>
    </w:p>
    <w:p w14:paraId="379E450C">
      <w:pPr>
        <w:keepNext w:val="0"/>
        <w:keepLines w:val="0"/>
        <w:pageBreakBefore w:val="0"/>
        <w:kinsoku/>
        <w:wordWrap/>
        <w:overflowPunct/>
        <w:topLinePunct w:val="0"/>
        <w:autoSpaceDE/>
        <w:autoSpaceDN/>
        <w:bidi w:val="0"/>
        <w:adjustRightInd w:val="0"/>
        <w:snapToGrid w:val="0"/>
        <w:spacing w:line="360" w:lineRule="exact"/>
        <w:ind w:firstLine="660"/>
        <w:textAlignment w:val="auto"/>
        <w:rPr>
          <w:rFonts w:ascii="宋体" w:hAnsi="宋体" w:cs="宋体"/>
          <w:color w:val="auto"/>
          <w:sz w:val="22"/>
          <w:szCs w:val="22"/>
          <w:highlight w:val="none"/>
        </w:rPr>
      </w:pPr>
    </w:p>
    <w:p w14:paraId="0674C0DD">
      <w:pPr>
        <w:keepNext w:val="0"/>
        <w:keepLines w:val="0"/>
        <w:pageBreakBefore w:val="0"/>
        <w:kinsoku/>
        <w:wordWrap/>
        <w:overflowPunct/>
        <w:topLinePunct w:val="0"/>
        <w:autoSpaceDE/>
        <w:autoSpaceDN/>
        <w:bidi w:val="0"/>
        <w:adjustRightInd w:val="0"/>
        <w:snapToGrid w:val="0"/>
        <w:spacing w:line="360" w:lineRule="exact"/>
        <w:ind w:firstLine="660"/>
        <w:textAlignment w:val="auto"/>
        <w:rPr>
          <w:rFonts w:ascii="宋体" w:hAnsi="宋体" w:cs="宋体"/>
          <w:color w:val="auto"/>
          <w:sz w:val="22"/>
          <w:szCs w:val="22"/>
          <w:highlight w:val="none"/>
        </w:rPr>
      </w:pPr>
    </w:p>
    <w:p w14:paraId="477BFE62">
      <w:pPr>
        <w:keepNext w:val="0"/>
        <w:keepLines w:val="0"/>
        <w:pageBreakBefore w:val="0"/>
        <w:kinsoku/>
        <w:wordWrap/>
        <w:overflowPunct/>
        <w:topLinePunct w:val="0"/>
        <w:autoSpaceDE/>
        <w:autoSpaceDN/>
        <w:bidi w:val="0"/>
        <w:adjustRightInd w:val="0"/>
        <w:snapToGrid w:val="0"/>
        <w:spacing w:line="360" w:lineRule="exact"/>
        <w:ind w:firstLine="660"/>
        <w:textAlignment w:val="auto"/>
        <w:rPr>
          <w:rFonts w:hint="eastAsia" w:ascii="宋体" w:hAnsi="宋体" w:cs="宋体"/>
          <w:color w:val="auto"/>
          <w:sz w:val="22"/>
          <w:szCs w:val="22"/>
          <w:highlight w:val="none"/>
        </w:rPr>
      </w:pPr>
    </w:p>
    <w:p w14:paraId="3F551B2B">
      <w:pPr>
        <w:keepNext w:val="0"/>
        <w:keepLines w:val="0"/>
        <w:pageBreakBefore w:val="0"/>
        <w:kinsoku/>
        <w:wordWrap/>
        <w:overflowPunct/>
        <w:topLinePunct w:val="0"/>
        <w:autoSpaceDE/>
        <w:autoSpaceDN/>
        <w:bidi w:val="0"/>
        <w:adjustRightInd w:val="0"/>
        <w:snapToGrid w:val="0"/>
        <w:spacing w:line="360" w:lineRule="exact"/>
        <w:ind w:firstLine="660"/>
        <w:textAlignment w:val="auto"/>
        <w:rPr>
          <w:rFonts w:ascii="宋体" w:hAnsi="宋体" w:cs="宋体"/>
          <w:color w:val="auto"/>
          <w:sz w:val="22"/>
          <w:szCs w:val="22"/>
          <w:highlight w:val="none"/>
        </w:rPr>
      </w:pPr>
      <w:r>
        <w:rPr>
          <w:rFonts w:hint="eastAsia" w:ascii="宋体" w:hAnsi="宋体" w:cs="宋体"/>
          <w:color w:val="auto"/>
          <w:sz w:val="22"/>
          <w:szCs w:val="22"/>
          <w:highlight w:val="none"/>
        </w:rPr>
        <w:t>若对项目采购电子交易系统操作有疑问，可登录政采云（https://www.zcygov.cn/），点击右侧咨询小采，获取采小蜜智能服务管家帮助，或拨打政采云服务热线400-881-7190获取热线服务帮助。</w:t>
      </w:r>
    </w:p>
    <w:p w14:paraId="1AD631B4">
      <w:pPr>
        <w:keepNext w:val="0"/>
        <w:keepLines w:val="0"/>
        <w:pageBreakBefore w:val="0"/>
        <w:kinsoku/>
        <w:wordWrap/>
        <w:overflowPunct/>
        <w:topLinePunct w:val="0"/>
        <w:autoSpaceDE/>
        <w:autoSpaceDN/>
        <w:bidi w:val="0"/>
        <w:adjustRightInd w:val="0"/>
        <w:snapToGrid w:val="0"/>
        <w:spacing w:line="360" w:lineRule="exact"/>
        <w:ind w:firstLine="660"/>
        <w:textAlignment w:val="auto"/>
        <w:rPr>
          <w:rFonts w:ascii="宋体" w:hAnsi="宋体" w:cs="宋体"/>
          <w:color w:val="auto"/>
          <w:sz w:val="22"/>
          <w:szCs w:val="22"/>
          <w:highlight w:val="none"/>
        </w:rPr>
      </w:pPr>
      <w:r>
        <w:rPr>
          <w:rFonts w:hint="eastAsia" w:ascii="宋体" w:hAnsi="宋体" w:cs="宋体"/>
          <w:color w:val="auto"/>
          <w:sz w:val="22"/>
          <w:szCs w:val="22"/>
          <w:highlight w:val="none"/>
        </w:rPr>
        <w:t>CA问题联系电话（人工）：汇信CA 400-888-4636；天谷CA 400-087-8198。</w:t>
      </w:r>
    </w:p>
    <w:p w14:paraId="6F7BAA71">
      <w:pPr>
        <w:adjustRightInd w:val="0"/>
        <w:snapToGrid w:val="0"/>
        <w:spacing w:line="440" w:lineRule="exact"/>
        <w:ind w:firstLine="660"/>
        <w:rPr>
          <w:rFonts w:ascii="宋体" w:hAnsi="宋体" w:cs="宋体"/>
          <w:color w:val="auto"/>
          <w:sz w:val="22"/>
          <w:szCs w:val="22"/>
          <w:highlight w:val="none"/>
        </w:rPr>
      </w:pPr>
    </w:p>
    <w:p w14:paraId="32CA2D2F">
      <w:pPr>
        <w:spacing w:line="440" w:lineRule="exact"/>
        <w:ind w:right="440"/>
        <w:rPr>
          <w:rFonts w:hint="eastAsia" w:ascii="宋体" w:hAnsi="宋体"/>
          <w:color w:val="auto"/>
          <w:sz w:val="22"/>
          <w:szCs w:val="22"/>
          <w:highlight w:val="none"/>
        </w:rPr>
      </w:pPr>
    </w:p>
    <w:p w14:paraId="7F183C8B">
      <w:pPr>
        <w:pStyle w:val="4"/>
        <w:spacing w:line="560" w:lineRule="exact"/>
        <w:jc w:val="center"/>
        <w:rPr>
          <w:rFonts w:hint="eastAsia" w:ascii="黑体" w:hAnsi="黑体" w:eastAsia="黑体"/>
          <w:color w:val="auto"/>
          <w:sz w:val="32"/>
          <w:szCs w:val="32"/>
          <w:highlight w:val="none"/>
        </w:rPr>
      </w:pPr>
      <w:r>
        <w:rPr>
          <w:rFonts w:ascii="黑体" w:hAnsi="黑体" w:eastAsia="黑体"/>
          <w:color w:val="auto"/>
          <w:sz w:val="32"/>
          <w:szCs w:val="32"/>
          <w:highlight w:val="none"/>
        </w:rPr>
        <w:br w:type="page"/>
      </w:r>
      <w:bookmarkStart w:id="5" w:name="_Toc24101"/>
      <w:bookmarkStart w:id="6" w:name="_Toc19377"/>
      <w:r>
        <w:rPr>
          <w:rFonts w:hint="eastAsia" w:ascii="黑体" w:hAnsi="黑体" w:eastAsia="黑体"/>
          <w:color w:val="auto"/>
          <w:sz w:val="32"/>
          <w:szCs w:val="32"/>
          <w:highlight w:val="none"/>
        </w:rPr>
        <w:t>第二部分  磋商供应商须知</w:t>
      </w:r>
      <w:bookmarkEnd w:id="5"/>
      <w:bookmarkEnd w:id="6"/>
    </w:p>
    <w:p w14:paraId="12FB542A">
      <w:pPr>
        <w:pStyle w:val="5"/>
        <w:spacing w:line="480" w:lineRule="exact"/>
        <w:jc w:val="center"/>
        <w:rPr>
          <w:rFonts w:hint="eastAsia" w:ascii="宋体" w:hAnsi="宋体" w:eastAsia="宋体"/>
          <w:color w:val="auto"/>
          <w:sz w:val="28"/>
          <w:szCs w:val="28"/>
          <w:highlight w:val="none"/>
        </w:rPr>
      </w:pPr>
      <w:bookmarkStart w:id="7" w:name="_Toc13581"/>
      <w:bookmarkStart w:id="8" w:name="_Toc6797"/>
      <w:r>
        <w:rPr>
          <w:rFonts w:hint="eastAsia" w:ascii="宋体" w:hAnsi="宋体" w:eastAsia="宋体"/>
          <w:color w:val="auto"/>
          <w:sz w:val="28"/>
          <w:szCs w:val="28"/>
          <w:highlight w:val="none"/>
        </w:rPr>
        <w:t>磋商供应商须知前附表</w:t>
      </w:r>
      <w:bookmarkEnd w:id="7"/>
      <w:bookmarkEnd w:id="8"/>
    </w:p>
    <w:tbl>
      <w:tblPr>
        <w:tblStyle w:val="38"/>
        <w:tblW w:w="9956" w:type="dxa"/>
        <w:tblInd w:w="108" w:type="dxa"/>
        <w:tblLayout w:type="fixed"/>
        <w:tblCellMar>
          <w:top w:w="0" w:type="dxa"/>
          <w:left w:w="108" w:type="dxa"/>
          <w:bottom w:w="0" w:type="dxa"/>
          <w:right w:w="108" w:type="dxa"/>
        </w:tblCellMar>
      </w:tblPr>
      <w:tblGrid>
        <w:gridCol w:w="1769"/>
        <w:gridCol w:w="3147"/>
        <w:gridCol w:w="900"/>
        <w:gridCol w:w="360"/>
        <w:gridCol w:w="540"/>
        <w:gridCol w:w="3240"/>
      </w:tblGrid>
      <w:tr w14:paraId="7DC707E7">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right w:val="single" w:color="auto" w:sz="6" w:space="0"/>
            </w:tcBorders>
            <w:vAlign w:val="center"/>
          </w:tcPr>
          <w:p w14:paraId="2265B2E5">
            <w:pPr>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工程名称</w:t>
            </w:r>
          </w:p>
        </w:tc>
        <w:tc>
          <w:tcPr>
            <w:tcW w:w="3147" w:type="dxa"/>
            <w:tcBorders>
              <w:top w:val="single" w:color="auto" w:sz="6" w:space="0"/>
              <w:left w:val="single" w:color="auto" w:sz="6" w:space="0"/>
              <w:right w:val="single" w:color="auto" w:sz="6" w:space="0"/>
            </w:tcBorders>
            <w:vAlign w:val="center"/>
          </w:tcPr>
          <w:p w14:paraId="6E45FF67">
            <w:pPr>
              <w:spacing w:line="360" w:lineRule="exact"/>
              <w:rPr>
                <w:rFonts w:hint="eastAsia" w:ascii="宋体" w:hAnsi="宋体"/>
                <w:color w:val="auto"/>
                <w:spacing w:val="24"/>
                <w:sz w:val="22"/>
                <w:szCs w:val="22"/>
                <w:highlight w:val="none"/>
              </w:rPr>
            </w:pPr>
            <w:r>
              <w:rPr>
                <w:rFonts w:hint="eastAsia" w:ascii="宋体" w:hAnsi="宋体"/>
                <w:color w:val="auto"/>
                <w:sz w:val="22"/>
                <w:szCs w:val="22"/>
                <w:highlight w:val="none"/>
              </w:rPr>
              <w:t>见第一部分“磋商公告”</w:t>
            </w:r>
          </w:p>
        </w:tc>
        <w:tc>
          <w:tcPr>
            <w:tcW w:w="1260" w:type="dxa"/>
            <w:gridSpan w:val="2"/>
            <w:tcBorders>
              <w:top w:val="single" w:color="auto" w:sz="6" w:space="0"/>
              <w:left w:val="single" w:color="auto" w:sz="6" w:space="0"/>
              <w:right w:val="single" w:color="auto" w:sz="6" w:space="0"/>
            </w:tcBorders>
            <w:vAlign w:val="center"/>
          </w:tcPr>
          <w:p w14:paraId="403E9E9F">
            <w:pPr>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联系人</w:t>
            </w:r>
          </w:p>
        </w:tc>
        <w:tc>
          <w:tcPr>
            <w:tcW w:w="3780" w:type="dxa"/>
            <w:gridSpan w:val="2"/>
            <w:tcBorders>
              <w:top w:val="single" w:color="auto" w:sz="6" w:space="0"/>
              <w:left w:val="single" w:color="auto" w:sz="6" w:space="0"/>
              <w:right w:val="single" w:color="auto" w:sz="6" w:space="0"/>
            </w:tcBorders>
            <w:vAlign w:val="center"/>
          </w:tcPr>
          <w:p w14:paraId="722EFFAB">
            <w:pPr>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见第一部分“磋商公告”</w:t>
            </w:r>
          </w:p>
        </w:tc>
      </w:tr>
      <w:tr w14:paraId="48E2B27F">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right w:val="single" w:color="auto" w:sz="6" w:space="0"/>
            </w:tcBorders>
            <w:vAlign w:val="center"/>
          </w:tcPr>
          <w:p w14:paraId="27ADB1E2">
            <w:pPr>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建设地点</w:t>
            </w:r>
          </w:p>
        </w:tc>
        <w:tc>
          <w:tcPr>
            <w:tcW w:w="3147" w:type="dxa"/>
            <w:tcBorders>
              <w:top w:val="single" w:color="auto" w:sz="6" w:space="0"/>
              <w:left w:val="single" w:color="auto" w:sz="6" w:space="0"/>
              <w:right w:val="single" w:color="auto" w:sz="6" w:space="0"/>
            </w:tcBorders>
            <w:vAlign w:val="center"/>
          </w:tcPr>
          <w:p w14:paraId="05D6EBAA">
            <w:pPr>
              <w:spacing w:line="360" w:lineRule="exact"/>
              <w:rPr>
                <w:rFonts w:hint="default" w:ascii="宋体" w:hAnsi="宋体"/>
                <w:color w:val="auto"/>
                <w:sz w:val="22"/>
                <w:szCs w:val="22"/>
                <w:highlight w:val="none"/>
                <w:lang w:val="en-US"/>
              </w:rPr>
            </w:pPr>
            <w:r>
              <w:rPr>
                <w:rFonts w:hint="eastAsia" w:ascii="宋体" w:hAnsi="宋体"/>
                <w:color w:val="auto"/>
                <w:sz w:val="22"/>
                <w:szCs w:val="22"/>
                <w:highlight w:val="none"/>
                <w:lang w:eastAsia="zh-CN"/>
              </w:rPr>
              <w:t>温州市综合行政执法局（温州市鹿城区惠民路858号）</w:t>
            </w:r>
          </w:p>
        </w:tc>
        <w:tc>
          <w:tcPr>
            <w:tcW w:w="1260" w:type="dxa"/>
            <w:gridSpan w:val="2"/>
            <w:tcBorders>
              <w:top w:val="single" w:color="auto" w:sz="6" w:space="0"/>
              <w:left w:val="single" w:color="auto" w:sz="6" w:space="0"/>
              <w:right w:val="single" w:color="auto" w:sz="6" w:space="0"/>
            </w:tcBorders>
            <w:vAlign w:val="center"/>
          </w:tcPr>
          <w:p w14:paraId="7A73966A">
            <w:pPr>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联系电话</w:t>
            </w:r>
          </w:p>
        </w:tc>
        <w:tc>
          <w:tcPr>
            <w:tcW w:w="3780" w:type="dxa"/>
            <w:gridSpan w:val="2"/>
            <w:tcBorders>
              <w:top w:val="single" w:color="auto" w:sz="6" w:space="0"/>
              <w:left w:val="single" w:color="auto" w:sz="6" w:space="0"/>
              <w:right w:val="single" w:color="auto" w:sz="6" w:space="0"/>
            </w:tcBorders>
            <w:vAlign w:val="center"/>
          </w:tcPr>
          <w:p w14:paraId="4875A7B7">
            <w:pPr>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见第一部分“磋商公告”</w:t>
            </w:r>
          </w:p>
        </w:tc>
      </w:tr>
      <w:tr w14:paraId="592A2535">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347A2E27">
            <w:pPr>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资金来源</w:t>
            </w:r>
          </w:p>
        </w:tc>
        <w:tc>
          <w:tcPr>
            <w:tcW w:w="3147" w:type="dxa"/>
            <w:tcBorders>
              <w:top w:val="single" w:color="auto" w:sz="6" w:space="0"/>
              <w:left w:val="single" w:color="auto" w:sz="6" w:space="0"/>
              <w:bottom w:val="single" w:color="auto" w:sz="6" w:space="0"/>
              <w:right w:val="single" w:color="auto" w:sz="6" w:space="0"/>
            </w:tcBorders>
            <w:vAlign w:val="center"/>
          </w:tcPr>
          <w:p w14:paraId="4083F2C6">
            <w:pPr>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财政经费</w:t>
            </w:r>
          </w:p>
        </w:tc>
        <w:tc>
          <w:tcPr>
            <w:tcW w:w="1260" w:type="dxa"/>
            <w:gridSpan w:val="2"/>
            <w:tcBorders>
              <w:top w:val="single" w:color="auto" w:sz="6" w:space="0"/>
              <w:left w:val="single" w:color="auto" w:sz="6" w:space="0"/>
              <w:bottom w:val="single" w:color="auto" w:sz="6" w:space="0"/>
              <w:right w:val="single" w:color="auto" w:sz="6" w:space="0"/>
            </w:tcBorders>
            <w:vAlign w:val="center"/>
          </w:tcPr>
          <w:p w14:paraId="211F1BCF">
            <w:pPr>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磋商有效期</w:t>
            </w:r>
          </w:p>
        </w:tc>
        <w:tc>
          <w:tcPr>
            <w:tcW w:w="3780" w:type="dxa"/>
            <w:gridSpan w:val="2"/>
            <w:tcBorders>
              <w:top w:val="single" w:color="auto" w:sz="6" w:space="0"/>
              <w:left w:val="single" w:color="auto" w:sz="6" w:space="0"/>
              <w:bottom w:val="single" w:color="auto" w:sz="6" w:space="0"/>
              <w:right w:val="single" w:color="auto" w:sz="6" w:space="0"/>
            </w:tcBorders>
            <w:vAlign w:val="center"/>
          </w:tcPr>
          <w:p w14:paraId="1BFF5955">
            <w:pPr>
              <w:spacing w:line="360" w:lineRule="exact"/>
              <w:rPr>
                <w:rFonts w:hint="eastAsia" w:ascii="宋体" w:hAnsi="宋体"/>
                <w:color w:val="auto"/>
                <w:sz w:val="22"/>
                <w:szCs w:val="22"/>
                <w:highlight w:val="none"/>
                <w:u w:val="none"/>
              </w:rPr>
            </w:pPr>
            <w:r>
              <w:rPr>
                <w:rFonts w:hint="eastAsia" w:ascii="宋体" w:hAnsi="宋体"/>
                <w:color w:val="auto"/>
                <w:sz w:val="22"/>
                <w:szCs w:val="22"/>
                <w:highlight w:val="none"/>
                <w:u w:val="none"/>
              </w:rPr>
              <w:t>60日历天（从磋商响应截止之日算起）</w:t>
            </w:r>
          </w:p>
        </w:tc>
      </w:tr>
      <w:tr w14:paraId="20F9F55D">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3727249E">
            <w:pPr>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承包方式</w:t>
            </w:r>
          </w:p>
        </w:tc>
        <w:tc>
          <w:tcPr>
            <w:tcW w:w="3147" w:type="dxa"/>
            <w:tcBorders>
              <w:top w:val="single" w:color="auto" w:sz="6" w:space="0"/>
              <w:left w:val="single" w:color="auto" w:sz="6" w:space="0"/>
              <w:bottom w:val="single" w:color="auto" w:sz="6" w:space="0"/>
              <w:right w:val="single" w:color="auto" w:sz="6" w:space="0"/>
            </w:tcBorders>
            <w:vAlign w:val="center"/>
          </w:tcPr>
          <w:p w14:paraId="0F3D6166">
            <w:pPr>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包工包料</w:t>
            </w:r>
          </w:p>
        </w:tc>
        <w:tc>
          <w:tcPr>
            <w:tcW w:w="1260" w:type="dxa"/>
            <w:gridSpan w:val="2"/>
            <w:tcBorders>
              <w:top w:val="single" w:color="auto" w:sz="6" w:space="0"/>
              <w:left w:val="single" w:color="auto" w:sz="6" w:space="0"/>
              <w:bottom w:val="single" w:color="auto" w:sz="6" w:space="0"/>
              <w:right w:val="single" w:color="auto" w:sz="6" w:space="0"/>
            </w:tcBorders>
            <w:vAlign w:val="center"/>
          </w:tcPr>
          <w:p w14:paraId="0021DE12">
            <w:pPr>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质量要求</w:t>
            </w:r>
          </w:p>
        </w:tc>
        <w:tc>
          <w:tcPr>
            <w:tcW w:w="3780" w:type="dxa"/>
            <w:gridSpan w:val="2"/>
            <w:tcBorders>
              <w:top w:val="single" w:color="auto" w:sz="6" w:space="0"/>
              <w:left w:val="single" w:color="auto" w:sz="6" w:space="0"/>
              <w:bottom w:val="single" w:color="auto" w:sz="6" w:space="0"/>
              <w:right w:val="single" w:color="auto" w:sz="6" w:space="0"/>
            </w:tcBorders>
            <w:vAlign w:val="center"/>
          </w:tcPr>
          <w:p w14:paraId="5CC15F20">
            <w:pPr>
              <w:spacing w:line="360" w:lineRule="exact"/>
              <w:rPr>
                <w:rFonts w:hint="eastAsia" w:ascii="宋体" w:hAnsi="宋体" w:eastAsia="宋体"/>
                <w:color w:val="auto"/>
                <w:sz w:val="22"/>
                <w:szCs w:val="22"/>
                <w:highlight w:val="none"/>
                <w:u w:val="none"/>
                <w:lang w:eastAsia="zh-CN"/>
              </w:rPr>
            </w:pPr>
            <w:r>
              <w:rPr>
                <w:rFonts w:hint="eastAsia" w:ascii="宋体" w:hAnsi="宋体"/>
                <w:color w:val="auto"/>
                <w:sz w:val="22"/>
                <w:szCs w:val="22"/>
                <w:highlight w:val="none"/>
                <w:u w:val="none"/>
              </w:rPr>
              <w:t>现行标准合格</w:t>
            </w:r>
            <w:r>
              <w:rPr>
                <w:rFonts w:hint="eastAsia" w:ascii="宋体" w:hAnsi="宋体"/>
                <w:color w:val="auto"/>
                <w:sz w:val="22"/>
                <w:szCs w:val="22"/>
                <w:highlight w:val="none"/>
                <w:u w:val="none"/>
                <w:lang w:eastAsia="zh-CN"/>
              </w:rPr>
              <w:t>，</w:t>
            </w:r>
            <w:r>
              <w:rPr>
                <w:rFonts w:hint="eastAsia" w:ascii="宋体" w:hAnsi="宋体"/>
                <w:color w:val="auto"/>
                <w:sz w:val="22"/>
                <w:szCs w:val="22"/>
                <w:highlight w:val="none"/>
                <w:u w:val="none"/>
                <w:lang w:val="en-US" w:eastAsia="zh-CN"/>
              </w:rPr>
              <w:t>供电部门验收</w:t>
            </w:r>
            <w:r>
              <w:rPr>
                <w:rFonts w:hint="eastAsia" w:ascii="宋体" w:hAnsi="宋体"/>
                <w:color w:val="auto"/>
                <w:sz w:val="22"/>
                <w:szCs w:val="22"/>
                <w:highlight w:val="none"/>
                <w:u w:val="none"/>
                <w:lang w:eastAsia="zh-CN"/>
              </w:rPr>
              <w:t>合格</w:t>
            </w:r>
            <w:r>
              <w:rPr>
                <w:rFonts w:hint="eastAsia" w:ascii="宋体" w:hAnsi="宋体"/>
                <w:color w:val="auto"/>
                <w:sz w:val="22"/>
                <w:szCs w:val="22"/>
                <w:highlight w:val="none"/>
                <w:u w:val="none"/>
                <w:lang w:val="en-US" w:eastAsia="zh-CN"/>
              </w:rPr>
              <w:t>并通电</w:t>
            </w:r>
          </w:p>
        </w:tc>
      </w:tr>
      <w:tr w14:paraId="75C986A3">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2314B677">
            <w:pPr>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工程范围</w:t>
            </w:r>
          </w:p>
        </w:tc>
        <w:tc>
          <w:tcPr>
            <w:tcW w:w="3147" w:type="dxa"/>
            <w:tcBorders>
              <w:top w:val="single" w:color="auto" w:sz="6" w:space="0"/>
              <w:left w:val="single" w:color="auto" w:sz="6" w:space="0"/>
              <w:bottom w:val="single" w:color="auto" w:sz="6" w:space="0"/>
              <w:right w:val="single" w:color="auto" w:sz="6" w:space="0"/>
            </w:tcBorders>
            <w:vAlign w:val="center"/>
          </w:tcPr>
          <w:p w14:paraId="37F70B3E">
            <w:pPr>
              <w:spacing w:line="360" w:lineRule="exact"/>
              <w:rPr>
                <w:rFonts w:hint="eastAsia" w:ascii="宋体" w:hAnsi="宋体"/>
                <w:color w:val="auto"/>
                <w:sz w:val="22"/>
                <w:szCs w:val="22"/>
                <w:highlight w:val="none"/>
              </w:rPr>
            </w:pPr>
            <w:r>
              <w:rPr>
                <w:rFonts w:hint="eastAsia" w:ascii="宋体" w:hAnsi="宋体" w:cs="宋体"/>
                <w:color w:val="auto"/>
                <w:kern w:val="0"/>
                <w:sz w:val="22"/>
                <w:szCs w:val="22"/>
                <w:highlight w:val="none"/>
              </w:rPr>
              <w:t>见施工图和工程量清单及编制说明</w:t>
            </w:r>
          </w:p>
        </w:tc>
        <w:tc>
          <w:tcPr>
            <w:tcW w:w="1260" w:type="dxa"/>
            <w:gridSpan w:val="2"/>
            <w:tcBorders>
              <w:top w:val="single" w:color="auto" w:sz="6" w:space="0"/>
              <w:left w:val="single" w:color="auto" w:sz="6" w:space="0"/>
              <w:bottom w:val="single" w:color="auto" w:sz="6" w:space="0"/>
              <w:right w:val="single" w:color="auto" w:sz="6" w:space="0"/>
            </w:tcBorders>
            <w:vAlign w:val="center"/>
          </w:tcPr>
          <w:p w14:paraId="52E8F51A">
            <w:pPr>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工期要求</w:t>
            </w:r>
          </w:p>
        </w:tc>
        <w:tc>
          <w:tcPr>
            <w:tcW w:w="3780" w:type="dxa"/>
            <w:gridSpan w:val="2"/>
            <w:tcBorders>
              <w:top w:val="single" w:color="auto" w:sz="6" w:space="0"/>
              <w:left w:val="single" w:color="auto" w:sz="6" w:space="0"/>
              <w:bottom w:val="single" w:color="auto" w:sz="6" w:space="0"/>
              <w:right w:val="single" w:color="auto" w:sz="6" w:space="0"/>
            </w:tcBorders>
            <w:vAlign w:val="center"/>
          </w:tcPr>
          <w:p w14:paraId="4C26A321">
            <w:pPr>
              <w:spacing w:line="360" w:lineRule="exact"/>
              <w:rPr>
                <w:rFonts w:hint="eastAsia" w:ascii="宋体" w:hAnsi="宋体"/>
                <w:b/>
                <w:color w:val="auto"/>
                <w:sz w:val="22"/>
                <w:szCs w:val="22"/>
                <w:highlight w:val="none"/>
                <w:u w:val="single"/>
              </w:rPr>
            </w:pPr>
            <w:r>
              <w:rPr>
                <w:rFonts w:hint="eastAsia" w:ascii="宋体" w:hAnsi="宋体"/>
                <w:color w:val="auto"/>
                <w:sz w:val="22"/>
                <w:szCs w:val="22"/>
                <w:highlight w:val="none"/>
              </w:rPr>
              <w:t>见第一部分“磋商公告”</w:t>
            </w:r>
          </w:p>
        </w:tc>
      </w:tr>
      <w:tr w14:paraId="739070C7">
        <w:tblPrEx>
          <w:tblCellMar>
            <w:top w:w="0" w:type="dxa"/>
            <w:left w:w="108" w:type="dxa"/>
            <w:bottom w:w="0" w:type="dxa"/>
            <w:right w:w="108" w:type="dxa"/>
          </w:tblCellMar>
        </w:tblPrEx>
        <w:trPr>
          <w:trHeight w:val="538" w:hRule="atLeast"/>
        </w:trPr>
        <w:tc>
          <w:tcPr>
            <w:tcW w:w="1769" w:type="dxa"/>
            <w:tcBorders>
              <w:top w:val="single" w:color="auto" w:sz="6" w:space="0"/>
              <w:left w:val="single" w:color="auto" w:sz="6" w:space="0"/>
              <w:bottom w:val="single" w:color="auto" w:sz="6" w:space="0"/>
              <w:right w:val="single" w:color="auto" w:sz="6" w:space="0"/>
            </w:tcBorders>
            <w:vAlign w:val="center"/>
          </w:tcPr>
          <w:p w14:paraId="411F84E7">
            <w:pPr>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lang w:val="en-US" w:eastAsia="zh-CN"/>
              </w:rPr>
              <w:t>项目属性</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07ABC48F">
            <w:pPr>
              <w:spacing w:line="360" w:lineRule="exact"/>
              <w:rPr>
                <w:rFonts w:hint="eastAsia" w:ascii="宋体" w:hAnsi="宋体"/>
                <w:color w:val="auto"/>
                <w:sz w:val="22"/>
                <w:szCs w:val="22"/>
                <w:highlight w:val="none"/>
              </w:rPr>
            </w:pPr>
            <w:r>
              <w:rPr>
                <w:rFonts w:hint="eastAsia" w:ascii="宋体" w:hAnsi="宋体"/>
                <w:color w:val="auto"/>
                <w:sz w:val="22"/>
                <w:szCs w:val="22"/>
                <w:highlight w:val="none"/>
                <w:lang w:val="en-US" w:eastAsia="zh-CN"/>
              </w:rPr>
              <w:t>本项目属于政府采购工程类</w:t>
            </w:r>
          </w:p>
        </w:tc>
      </w:tr>
      <w:tr w14:paraId="3E5A839A">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7E5C4655">
            <w:pPr>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磋商供应商</w:t>
            </w:r>
          </w:p>
          <w:p w14:paraId="566643F9">
            <w:pPr>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资格条件要求</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70F4E8AD">
            <w:pPr>
              <w:spacing w:line="360" w:lineRule="exact"/>
              <w:rPr>
                <w:rFonts w:hint="eastAsia" w:ascii="宋体" w:hAnsi="宋体"/>
                <w:color w:val="auto"/>
                <w:sz w:val="22"/>
                <w:szCs w:val="22"/>
                <w:highlight w:val="none"/>
              </w:rPr>
            </w:pPr>
            <w:r>
              <w:rPr>
                <w:rFonts w:hint="eastAsia" w:ascii="宋体" w:hAnsi="宋体"/>
                <w:color w:val="auto"/>
                <w:sz w:val="22"/>
                <w:szCs w:val="22"/>
                <w:highlight w:val="none"/>
              </w:rPr>
              <w:t>见第一部分“磋商公告”</w:t>
            </w:r>
          </w:p>
        </w:tc>
      </w:tr>
      <w:tr w14:paraId="7D6A8DB4">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59A35773">
            <w:pPr>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是否接受联合体投标</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18C535AF">
            <w:pPr>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w:t>
            </w:r>
            <w:r>
              <w:rPr>
                <w:rFonts w:hint="eastAsia" w:ascii="宋体" w:hAnsi="宋体" w:cs="宋体"/>
                <w:color w:val="auto"/>
                <w:kern w:val="0"/>
                <w:sz w:val="22"/>
                <w:szCs w:val="22"/>
                <w:highlight w:val="none"/>
              </w:rPr>
              <w:t>不接受</w:t>
            </w:r>
          </w:p>
          <w:p w14:paraId="102E1454">
            <w:pPr>
              <w:spacing w:line="360" w:lineRule="exact"/>
              <w:rPr>
                <w:rFonts w:hint="eastAsia" w:ascii="宋体" w:hAnsi="宋体" w:eastAsia="宋体"/>
                <w:color w:val="auto"/>
                <w:sz w:val="22"/>
                <w:szCs w:val="22"/>
                <w:highlight w:val="none"/>
                <w:lang w:val="en-US" w:eastAsia="zh-CN"/>
              </w:rPr>
            </w:pPr>
            <w:r>
              <w:rPr>
                <w:rFonts w:hint="eastAsia" w:ascii="宋体" w:hAnsi="宋体" w:cs="宋体"/>
                <w:color w:val="auto"/>
                <w:kern w:val="0"/>
                <w:sz w:val="22"/>
                <w:szCs w:val="22"/>
                <w:highlight w:val="none"/>
              </w:rPr>
              <w:sym w:font="Wingdings 2" w:char="00A3"/>
            </w:r>
            <w:r>
              <w:rPr>
                <w:rFonts w:hint="eastAsia" w:ascii="宋体" w:hAnsi="宋体" w:cs="宋体"/>
                <w:color w:val="auto"/>
                <w:kern w:val="0"/>
                <w:sz w:val="22"/>
                <w:szCs w:val="22"/>
                <w:highlight w:val="none"/>
              </w:rPr>
              <w:t>接受，应满足下列要求：</w:t>
            </w:r>
          </w:p>
        </w:tc>
      </w:tr>
      <w:tr w14:paraId="07D5FDD9">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32D7C886">
            <w:pPr>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现场踏勘</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4F22411F">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□组织，</w:t>
            </w:r>
            <w:r>
              <w:rPr>
                <w:rFonts w:hint="eastAsia" w:ascii="宋体" w:hAnsi="宋体" w:cs="宋体"/>
                <w:color w:val="auto"/>
                <w:kern w:val="0"/>
                <w:sz w:val="22"/>
                <w:szCs w:val="22"/>
                <w:highlight w:val="none"/>
              </w:rPr>
              <w:t>时间：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,地点：</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，联系人：</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，联系方式</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w:t>
            </w:r>
          </w:p>
          <w:p w14:paraId="26D07889">
            <w:pPr>
              <w:spacing w:line="360" w:lineRule="exact"/>
              <w:rPr>
                <w:rFonts w:hint="eastAsia" w:ascii="宋体" w:hAnsi="宋体"/>
                <w:color w:val="auto"/>
                <w:sz w:val="22"/>
                <w:szCs w:val="22"/>
                <w:highlight w:val="none"/>
              </w:rPr>
            </w:pPr>
            <w:r>
              <w:rPr>
                <w:rFonts w:hint="eastAsia" w:ascii="宋体" w:hAnsi="宋体" w:cs="宋体"/>
                <w:bCs/>
                <w:snapToGrid w:val="0"/>
                <w:color w:val="auto"/>
                <w:sz w:val="22"/>
                <w:szCs w:val="22"/>
                <w:highlight w:val="none"/>
              </w:rPr>
              <w:sym w:font="Wingdings" w:char="00FE"/>
            </w:r>
            <w:r>
              <w:rPr>
                <w:rFonts w:hint="eastAsia" w:ascii="宋体" w:hAnsi="宋体" w:cs="宋体"/>
                <w:color w:val="auto"/>
                <w:sz w:val="22"/>
                <w:szCs w:val="22"/>
                <w:highlight w:val="none"/>
              </w:rPr>
              <w:t>不组织</w:t>
            </w:r>
          </w:p>
        </w:tc>
      </w:tr>
      <w:tr w14:paraId="4D8F92DF">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274DD1C9">
            <w:pPr>
              <w:spacing w:line="360" w:lineRule="exact"/>
              <w:jc w:val="center"/>
              <w:rPr>
                <w:rFonts w:hint="eastAsia" w:ascii="宋体" w:hAnsi="宋体"/>
                <w:color w:val="auto"/>
                <w:sz w:val="22"/>
                <w:szCs w:val="22"/>
                <w:highlight w:val="none"/>
              </w:rPr>
            </w:pPr>
            <w:r>
              <w:rPr>
                <w:rFonts w:hint="eastAsia" w:ascii="宋体" w:hAnsi="宋体" w:cs="宋体"/>
                <w:color w:val="auto"/>
                <w:kern w:val="0"/>
                <w:sz w:val="22"/>
                <w:szCs w:val="22"/>
                <w:highlight w:val="none"/>
              </w:rPr>
              <w:t>投标预备会</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58FFD749">
            <w:pPr>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□召开</w:t>
            </w:r>
          </w:p>
          <w:p w14:paraId="0272791E">
            <w:pPr>
              <w:spacing w:line="36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sym w:font="Wingdings 2" w:char="0052"/>
            </w:r>
            <w:r>
              <w:rPr>
                <w:rFonts w:hint="eastAsia" w:ascii="宋体" w:hAnsi="宋体" w:cs="宋体"/>
                <w:color w:val="auto"/>
                <w:kern w:val="0"/>
                <w:sz w:val="22"/>
                <w:szCs w:val="22"/>
                <w:highlight w:val="none"/>
              </w:rPr>
              <w:t>不召开</w:t>
            </w:r>
          </w:p>
        </w:tc>
      </w:tr>
      <w:tr w14:paraId="2FEE19AA">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3F0A8B08">
            <w:pPr>
              <w:spacing w:line="360" w:lineRule="exact"/>
              <w:jc w:val="center"/>
              <w:rPr>
                <w:rFonts w:hint="eastAsia" w:ascii="宋体" w:hAnsi="宋体"/>
                <w:color w:val="auto"/>
                <w:sz w:val="22"/>
                <w:szCs w:val="22"/>
                <w:highlight w:val="none"/>
              </w:rPr>
            </w:pPr>
            <w:r>
              <w:rPr>
                <w:rFonts w:hint="eastAsia" w:ascii="宋体" w:hAnsi="宋体" w:cs="宋体"/>
                <w:bCs/>
                <w:color w:val="auto"/>
                <w:sz w:val="22"/>
                <w:szCs w:val="22"/>
                <w:highlight w:val="none"/>
              </w:rPr>
              <w:t>分包与转包</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79A600FC">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（1）分包：</w:t>
            </w:r>
          </w:p>
          <w:p w14:paraId="51D92D2D">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sym w:font="Wingdings" w:char="00A8"/>
            </w:r>
            <w:r>
              <w:rPr>
                <w:rFonts w:hint="eastAsia" w:ascii="宋体" w:hAnsi="宋体" w:cs="宋体"/>
                <w:color w:val="auto"/>
                <w:sz w:val="22"/>
                <w:szCs w:val="22"/>
                <w:highlight w:val="none"/>
              </w:rPr>
              <w:t xml:space="preserve"> 同意将非主体、非关键性的工作分包。</w:t>
            </w:r>
          </w:p>
          <w:p w14:paraId="31DD012F">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sym w:font="Wingdings" w:char="00FE"/>
            </w:r>
            <w:r>
              <w:rPr>
                <w:rFonts w:hint="eastAsia" w:ascii="宋体" w:hAnsi="宋体" w:cs="宋体"/>
                <w:color w:val="auto"/>
                <w:sz w:val="22"/>
                <w:szCs w:val="22"/>
                <w:highlight w:val="none"/>
              </w:rPr>
              <w:t>不同意分包。</w:t>
            </w:r>
          </w:p>
          <w:p w14:paraId="069EDF00">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（2）转包：本项目不允许转包。</w:t>
            </w:r>
          </w:p>
        </w:tc>
      </w:tr>
      <w:tr w14:paraId="3CDABF98">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26242F72">
            <w:pPr>
              <w:spacing w:line="360" w:lineRule="exact"/>
              <w:jc w:val="center"/>
              <w:rPr>
                <w:rFonts w:hint="eastAsia" w:ascii="宋体" w:hAnsi="宋体" w:cs="宋体"/>
                <w:bCs/>
                <w:color w:val="auto"/>
                <w:sz w:val="22"/>
                <w:szCs w:val="22"/>
                <w:highlight w:val="none"/>
              </w:rPr>
            </w:pPr>
            <w:r>
              <w:rPr>
                <w:rFonts w:hint="eastAsia" w:ascii="宋体" w:hAnsi="宋体" w:cs="宋体"/>
                <w:snapToGrid w:val="0"/>
                <w:color w:val="auto"/>
                <w:sz w:val="22"/>
                <w:szCs w:val="22"/>
                <w:highlight w:val="none"/>
              </w:rPr>
              <w:t>报价要求</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3B44398E">
            <w:pPr>
              <w:adjustRightInd w:val="0"/>
              <w:snapToGrid w:val="0"/>
              <w:spacing w:line="3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本项目采用人民币报价</w:t>
            </w:r>
          </w:p>
          <w:p w14:paraId="7AEFEAD5">
            <w:pPr>
              <w:adjustRightInd w:val="0"/>
              <w:snapToGrid w:val="0"/>
              <w:spacing w:line="360" w:lineRule="exact"/>
              <w:rPr>
                <w:rFonts w:hint="eastAsia" w:ascii="宋体" w:hAnsi="宋体" w:cs="宋体"/>
                <w:color w:val="auto"/>
                <w:sz w:val="22"/>
                <w:szCs w:val="22"/>
                <w:highlight w:val="none"/>
              </w:rPr>
            </w:pPr>
            <w:r>
              <w:rPr>
                <w:rFonts w:hint="eastAsia" w:ascii="宋体" w:hAnsi="宋体" w:cs="宋体"/>
                <w:snapToGrid w:val="0"/>
                <w:color w:val="auto"/>
                <w:sz w:val="22"/>
                <w:szCs w:val="22"/>
                <w:highlight w:val="none"/>
              </w:rPr>
              <w:t>客户端填写的报价与以pdf格式上传文件中的报价不一致的，应以Pdf格式上传文件中的报价为准。</w:t>
            </w:r>
          </w:p>
          <w:p w14:paraId="07EFDA09">
            <w:pPr>
              <w:spacing w:line="360" w:lineRule="exact"/>
              <w:rPr>
                <w:rFonts w:hint="eastAsia" w:ascii="宋体" w:hAnsi="宋体" w:cs="宋体"/>
                <w:color w:val="auto"/>
                <w:sz w:val="22"/>
                <w:szCs w:val="22"/>
                <w:highlight w:val="none"/>
              </w:rPr>
            </w:pPr>
            <w:r>
              <w:rPr>
                <w:rFonts w:hint="eastAsia" w:ascii="宋体" w:hAnsi="宋体" w:cs="宋体"/>
                <w:snapToGrid w:val="0"/>
                <w:color w:val="auto"/>
                <w:sz w:val="22"/>
                <w:szCs w:val="22"/>
                <w:highlight w:val="none"/>
              </w:rPr>
              <w:t>竞争性磋商以最后报价为合同价。</w:t>
            </w:r>
          </w:p>
        </w:tc>
      </w:tr>
      <w:tr w14:paraId="7FD7F979">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6F09A477">
            <w:pPr>
              <w:spacing w:line="360" w:lineRule="exact"/>
              <w:jc w:val="center"/>
              <w:rPr>
                <w:rFonts w:hint="eastAsia" w:ascii="宋体" w:hAnsi="宋体" w:eastAsia="宋体" w:cs="宋体"/>
                <w:b/>
                <w:color w:val="auto"/>
                <w:sz w:val="22"/>
                <w:szCs w:val="22"/>
                <w:highlight w:val="none"/>
              </w:rPr>
            </w:pPr>
            <w:r>
              <w:rPr>
                <w:rFonts w:hint="eastAsia" w:ascii="宋体" w:hAnsi="宋体" w:eastAsia="宋体" w:cs="宋体"/>
                <w:color w:val="auto"/>
                <w:kern w:val="0"/>
                <w:sz w:val="22"/>
                <w:szCs w:val="22"/>
                <w:highlight w:val="none"/>
              </w:rPr>
              <w:t>最高限价</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013C606E">
            <w:pPr>
              <w:numPr>
                <w:ilvl w:val="0"/>
                <w:numId w:val="0"/>
              </w:numPr>
              <w:spacing w:line="360" w:lineRule="exact"/>
              <w:ind w:leftChars="0"/>
              <w:rPr>
                <w:rFonts w:hint="default" w:ascii="宋体" w:hAnsi="宋体" w:eastAsia="宋体" w:cs="宋体"/>
                <w:color w:val="auto"/>
                <w:kern w:val="0"/>
                <w:sz w:val="22"/>
                <w:szCs w:val="22"/>
                <w:highlight w:val="none"/>
                <w:lang w:val="en-US" w:eastAsia="zh-CN"/>
              </w:rPr>
            </w:pPr>
            <w:r>
              <w:rPr>
                <w:rFonts w:hint="eastAsia" w:ascii="宋体" w:hAnsi="宋体" w:cs="宋体"/>
                <w:b/>
                <w:color w:val="auto"/>
                <w:sz w:val="22"/>
                <w:szCs w:val="22"/>
                <w:highlight w:val="none"/>
                <w:u w:val="single"/>
                <w:lang w:val="en-US" w:eastAsia="zh-CN"/>
              </w:rPr>
              <w:t>1、</w:t>
            </w:r>
            <w:r>
              <w:rPr>
                <w:rFonts w:hint="eastAsia" w:ascii="宋体" w:hAnsi="宋体" w:eastAsia="宋体" w:cs="宋体"/>
                <w:b/>
                <w:color w:val="auto"/>
                <w:sz w:val="22"/>
                <w:szCs w:val="22"/>
                <w:highlight w:val="none"/>
                <w:u w:val="single"/>
              </w:rPr>
              <w:t>本项目最高限价为</w:t>
            </w:r>
            <w:r>
              <w:rPr>
                <w:rFonts w:hint="eastAsia" w:ascii="宋体" w:hAnsi="宋体" w:eastAsia="宋体" w:cs="宋体"/>
                <w:b/>
                <w:color w:val="auto"/>
                <w:kern w:val="0"/>
                <w:sz w:val="22"/>
                <w:szCs w:val="22"/>
                <w:highlight w:val="none"/>
                <w:u w:val="single"/>
              </w:rPr>
              <w:t>人民币</w:t>
            </w:r>
            <w:r>
              <w:rPr>
                <w:rFonts w:hint="eastAsia" w:ascii="宋体" w:hAnsi="宋体" w:cs="宋体"/>
                <w:b/>
                <w:color w:val="auto"/>
                <w:kern w:val="0"/>
                <w:sz w:val="22"/>
                <w:szCs w:val="22"/>
                <w:highlight w:val="none"/>
                <w:u w:val="single"/>
                <w:lang w:eastAsia="zh-CN"/>
              </w:rPr>
              <w:t>壹佰零玖万叁仟柒佰捌拾柒</w:t>
            </w:r>
            <w:r>
              <w:rPr>
                <w:rFonts w:hint="eastAsia" w:ascii="宋体" w:hAnsi="宋体" w:cs="宋体"/>
                <w:b/>
                <w:color w:val="auto"/>
                <w:kern w:val="0"/>
                <w:sz w:val="22"/>
                <w:szCs w:val="22"/>
                <w:highlight w:val="none"/>
                <w:u w:val="single"/>
                <w:lang w:val="en-US" w:eastAsia="zh-CN"/>
              </w:rPr>
              <w:t>元整</w:t>
            </w:r>
            <w:r>
              <w:rPr>
                <w:rFonts w:hint="eastAsia" w:ascii="宋体" w:hAnsi="宋体" w:eastAsia="宋体" w:cs="宋体"/>
                <w:b/>
                <w:color w:val="auto"/>
                <w:kern w:val="0"/>
                <w:sz w:val="22"/>
                <w:szCs w:val="22"/>
                <w:highlight w:val="none"/>
                <w:u w:val="single"/>
              </w:rPr>
              <w:t>（￥</w:t>
            </w:r>
            <w:r>
              <w:rPr>
                <w:rFonts w:hint="eastAsia" w:ascii="宋体" w:hAnsi="宋体" w:cs="宋体"/>
                <w:b/>
                <w:color w:val="auto"/>
                <w:kern w:val="0"/>
                <w:sz w:val="22"/>
                <w:szCs w:val="22"/>
                <w:highlight w:val="none"/>
                <w:u w:val="single"/>
                <w:lang w:val="en-US" w:eastAsia="zh-CN"/>
              </w:rPr>
              <w:t>1093787</w:t>
            </w:r>
            <w:r>
              <w:rPr>
                <w:rFonts w:hint="eastAsia" w:ascii="宋体" w:hAnsi="宋体" w:eastAsia="宋体" w:cs="宋体"/>
                <w:b/>
                <w:color w:val="auto"/>
                <w:kern w:val="0"/>
                <w:sz w:val="22"/>
                <w:szCs w:val="22"/>
                <w:highlight w:val="none"/>
                <w:u w:val="single"/>
              </w:rPr>
              <w:t>元），</w:t>
            </w:r>
            <w:r>
              <w:rPr>
                <w:rFonts w:hint="eastAsia" w:ascii="宋体" w:hAnsi="宋体" w:eastAsia="宋体" w:cs="宋体"/>
                <w:bCs/>
                <w:color w:val="auto"/>
                <w:kern w:val="0"/>
                <w:sz w:val="22"/>
                <w:szCs w:val="22"/>
                <w:highlight w:val="none"/>
                <w:u w:val="single"/>
              </w:rPr>
              <w:t>磋</w:t>
            </w:r>
            <w:r>
              <w:rPr>
                <w:rFonts w:hint="eastAsia" w:ascii="宋体" w:hAnsi="宋体" w:eastAsia="宋体" w:cs="宋体"/>
                <w:color w:val="auto"/>
                <w:kern w:val="0"/>
                <w:sz w:val="22"/>
                <w:szCs w:val="22"/>
                <w:highlight w:val="none"/>
                <w:u w:val="single"/>
              </w:rPr>
              <w:t>商供应商的报价超过最高限价的，按无效标处理</w:t>
            </w:r>
            <w:r>
              <w:rPr>
                <w:rFonts w:hint="eastAsia" w:ascii="宋体" w:hAnsi="宋体" w:eastAsia="宋体" w:cs="宋体"/>
                <w:color w:val="auto"/>
                <w:kern w:val="0"/>
                <w:sz w:val="22"/>
                <w:szCs w:val="22"/>
                <w:highlight w:val="none"/>
              </w:rPr>
              <w:t>。</w:t>
            </w:r>
          </w:p>
        </w:tc>
      </w:tr>
      <w:tr w14:paraId="0AAEDAD0">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173BCFDC">
            <w:pPr>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磋商响应文件递交地点</w:t>
            </w:r>
          </w:p>
        </w:tc>
        <w:tc>
          <w:tcPr>
            <w:tcW w:w="4047" w:type="dxa"/>
            <w:gridSpan w:val="2"/>
            <w:tcBorders>
              <w:top w:val="single" w:color="auto" w:sz="6" w:space="0"/>
              <w:left w:val="single" w:color="auto" w:sz="6" w:space="0"/>
              <w:bottom w:val="single" w:color="auto" w:sz="6" w:space="0"/>
              <w:right w:val="single" w:color="auto" w:sz="6" w:space="0"/>
            </w:tcBorders>
            <w:vAlign w:val="center"/>
          </w:tcPr>
          <w:p w14:paraId="4CE290FF">
            <w:pPr>
              <w:spacing w:line="360" w:lineRule="exact"/>
              <w:rPr>
                <w:rFonts w:hint="eastAsia" w:ascii="宋体" w:hAnsi="宋体"/>
                <w:color w:val="auto"/>
                <w:sz w:val="22"/>
                <w:szCs w:val="22"/>
                <w:highlight w:val="none"/>
              </w:rPr>
            </w:pPr>
            <w:r>
              <w:rPr>
                <w:rFonts w:hint="eastAsia" w:ascii="宋体" w:hAnsi="宋体" w:cs="宋体"/>
                <w:color w:val="auto"/>
                <w:kern w:val="0"/>
                <w:sz w:val="22"/>
                <w:szCs w:val="22"/>
                <w:highlight w:val="none"/>
              </w:rPr>
              <w:t>见第一部分“磋商公告”</w:t>
            </w:r>
          </w:p>
        </w:tc>
        <w:tc>
          <w:tcPr>
            <w:tcW w:w="900" w:type="dxa"/>
            <w:gridSpan w:val="2"/>
            <w:tcBorders>
              <w:top w:val="single" w:color="auto" w:sz="6" w:space="0"/>
              <w:left w:val="single" w:color="auto" w:sz="6" w:space="0"/>
              <w:bottom w:val="single" w:color="auto" w:sz="6" w:space="0"/>
              <w:right w:val="single" w:color="auto" w:sz="6" w:space="0"/>
            </w:tcBorders>
            <w:vAlign w:val="center"/>
          </w:tcPr>
          <w:p w14:paraId="7374C62A">
            <w:pPr>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递 交</w:t>
            </w:r>
          </w:p>
          <w:p w14:paraId="3447E6F5">
            <w:pPr>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地 点</w:t>
            </w:r>
          </w:p>
        </w:tc>
        <w:tc>
          <w:tcPr>
            <w:tcW w:w="3240" w:type="dxa"/>
            <w:tcBorders>
              <w:top w:val="single" w:color="auto" w:sz="6" w:space="0"/>
              <w:left w:val="single" w:color="auto" w:sz="6" w:space="0"/>
              <w:bottom w:val="single" w:color="auto" w:sz="6" w:space="0"/>
              <w:right w:val="single" w:color="auto" w:sz="6" w:space="0"/>
            </w:tcBorders>
            <w:vAlign w:val="center"/>
          </w:tcPr>
          <w:p w14:paraId="7E06F297">
            <w:pPr>
              <w:spacing w:line="360" w:lineRule="exact"/>
              <w:rPr>
                <w:rFonts w:hint="eastAsia" w:ascii="宋体" w:hAnsi="宋体"/>
                <w:color w:val="auto"/>
                <w:sz w:val="22"/>
                <w:szCs w:val="22"/>
                <w:highlight w:val="none"/>
              </w:rPr>
            </w:pPr>
            <w:r>
              <w:rPr>
                <w:rFonts w:hint="eastAsia" w:ascii="宋体" w:hAnsi="宋体" w:cs="宋体"/>
                <w:color w:val="auto"/>
                <w:kern w:val="0"/>
                <w:sz w:val="22"/>
                <w:szCs w:val="22"/>
                <w:highlight w:val="none"/>
              </w:rPr>
              <w:t>见第一部分“磋商公告”</w:t>
            </w:r>
          </w:p>
        </w:tc>
      </w:tr>
      <w:tr w14:paraId="1A009679">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420403D2">
            <w:pPr>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磋商响应截止时间</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5D1ECB57">
            <w:pPr>
              <w:spacing w:line="360" w:lineRule="exact"/>
              <w:rPr>
                <w:rFonts w:hint="eastAsia" w:ascii="宋体" w:hAnsi="宋体"/>
                <w:color w:val="auto"/>
                <w:sz w:val="22"/>
                <w:szCs w:val="22"/>
                <w:highlight w:val="none"/>
              </w:rPr>
            </w:pPr>
            <w:r>
              <w:rPr>
                <w:rFonts w:hint="eastAsia" w:ascii="宋体" w:hAnsi="宋体" w:cs="宋体"/>
                <w:color w:val="auto"/>
                <w:kern w:val="0"/>
                <w:sz w:val="22"/>
                <w:szCs w:val="22"/>
                <w:highlight w:val="none"/>
              </w:rPr>
              <w:t>见第一部分“磋商公告”</w:t>
            </w:r>
          </w:p>
        </w:tc>
      </w:tr>
      <w:tr w14:paraId="2FC00B18">
        <w:tblPrEx>
          <w:tblCellMar>
            <w:top w:w="0" w:type="dxa"/>
            <w:left w:w="108" w:type="dxa"/>
            <w:bottom w:w="0" w:type="dxa"/>
            <w:right w:w="108" w:type="dxa"/>
          </w:tblCellMar>
        </w:tblPrEx>
        <w:trPr>
          <w:trHeight w:val="495" w:hRule="atLeast"/>
        </w:trPr>
        <w:tc>
          <w:tcPr>
            <w:tcW w:w="1769" w:type="dxa"/>
            <w:tcBorders>
              <w:top w:val="single" w:color="auto" w:sz="6" w:space="0"/>
              <w:left w:val="single" w:color="auto" w:sz="6" w:space="0"/>
              <w:bottom w:val="single" w:color="auto" w:sz="6" w:space="0"/>
              <w:right w:val="single" w:color="auto" w:sz="6" w:space="0"/>
            </w:tcBorders>
            <w:vAlign w:val="center"/>
          </w:tcPr>
          <w:p w14:paraId="7696C74D">
            <w:pPr>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开标时间</w:t>
            </w:r>
          </w:p>
        </w:tc>
        <w:tc>
          <w:tcPr>
            <w:tcW w:w="4047" w:type="dxa"/>
            <w:gridSpan w:val="2"/>
            <w:tcBorders>
              <w:top w:val="single" w:color="auto" w:sz="6" w:space="0"/>
              <w:left w:val="single" w:color="auto" w:sz="6" w:space="0"/>
              <w:bottom w:val="single" w:color="auto" w:sz="6" w:space="0"/>
              <w:right w:val="single" w:color="auto" w:sz="6" w:space="0"/>
            </w:tcBorders>
            <w:vAlign w:val="center"/>
          </w:tcPr>
          <w:p w14:paraId="6801ADAC">
            <w:pPr>
              <w:spacing w:line="360" w:lineRule="exact"/>
              <w:rPr>
                <w:rFonts w:hint="eastAsia" w:ascii="宋体" w:hAnsi="宋体"/>
                <w:color w:val="auto"/>
                <w:sz w:val="22"/>
                <w:szCs w:val="22"/>
                <w:highlight w:val="none"/>
              </w:rPr>
            </w:pPr>
            <w:r>
              <w:rPr>
                <w:rFonts w:hint="eastAsia" w:ascii="宋体" w:hAnsi="宋体" w:cs="宋体"/>
                <w:color w:val="auto"/>
                <w:kern w:val="0"/>
                <w:sz w:val="22"/>
                <w:szCs w:val="22"/>
                <w:highlight w:val="none"/>
              </w:rPr>
              <w:t>见第一部分“磋商公告”</w:t>
            </w:r>
          </w:p>
        </w:tc>
        <w:tc>
          <w:tcPr>
            <w:tcW w:w="900" w:type="dxa"/>
            <w:gridSpan w:val="2"/>
            <w:tcBorders>
              <w:top w:val="single" w:color="auto" w:sz="6" w:space="0"/>
              <w:left w:val="single" w:color="auto" w:sz="6" w:space="0"/>
              <w:bottom w:val="single" w:color="auto" w:sz="6" w:space="0"/>
              <w:right w:val="single" w:color="auto" w:sz="6" w:space="0"/>
            </w:tcBorders>
            <w:vAlign w:val="center"/>
          </w:tcPr>
          <w:p w14:paraId="0E742860">
            <w:pPr>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地点</w:t>
            </w:r>
          </w:p>
        </w:tc>
        <w:tc>
          <w:tcPr>
            <w:tcW w:w="3240" w:type="dxa"/>
            <w:tcBorders>
              <w:top w:val="single" w:color="auto" w:sz="6" w:space="0"/>
              <w:left w:val="single" w:color="auto" w:sz="6" w:space="0"/>
              <w:bottom w:val="single" w:color="auto" w:sz="6" w:space="0"/>
              <w:right w:val="single" w:color="auto" w:sz="6" w:space="0"/>
            </w:tcBorders>
            <w:vAlign w:val="center"/>
          </w:tcPr>
          <w:p w14:paraId="3736E4A3">
            <w:pPr>
              <w:spacing w:line="360" w:lineRule="exact"/>
              <w:rPr>
                <w:rFonts w:hint="eastAsia" w:ascii="宋体" w:hAnsi="宋体"/>
                <w:color w:val="auto"/>
                <w:sz w:val="22"/>
                <w:szCs w:val="22"/>
                <w:highlight w:val="none"/>
              </w:rPr>
            </w:pPr>
            <w:r>
              <w:rPr>
                <w:rFonts w:hint="eastAsia" w:ascii="宋体" w:hAnsi="宋体" w:cs="宋体"/>
                <w:color w:val="auto"/>
                <w:kern w:val="0"/>
                <w:sz w:val="22"/>
                <w:szCs w:val="22"/>
                <w:highlight w:val="none"/>
              </w:rPr>
              <w:t>见第一部分“磋商公告”</w:t>
            </w:r>
          </w:p>
        </w:tc>
      </w:tr>
      <w:tr w14:paraId="620BC14D">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2C5562F0">
            <w:pPr>
              <w:spacing w:line="360" w:lineRule="exact"/>
              <w:jc w:val="center"/>
              <w:rPr>
                <w:rFonts w:hint="eastAsia" w:ascii="宋体" w:hAnsi="宋体"/>
                <w:color w:val="auto"/>
                <w:sz w:val="22"/>
                <w:szCs w:val="22"/>
                <w:highlight w:val="none"/>
              </w:rPr>
            </w:pPr>
            <w:r>
              <w:rPr>
                <w:rFonts w:hint="eastAsia" w:ascii="宋体" w:hAnsi="宋体" w:cs="宋体"/>
                <w:color w:val="auto"/>
                <w:kern w:val="0"/>
                <w:sz w:val="22"/>
                <w:szCs w:val="22"/>
                <w:highlight w:val="none"/>
              </w:rPr>
              <w:t>响应文件形式、制作及组成</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2190B99C">
            <w:pPr>
              <w:pStyle w:val="20"/>
              <w:snapToGrid w:val="0"/>
              <w:spacing w:line="360" w:lineRule="exact"/>
              <w:rPr>
                <w:rFonts w:hint="eastAsia" w:hAnsi="宋体" w:cs="宋体"/>
                <w:b/>
                <w:bCs/>
                <w:color w:val="auto"/>
                <w:sz w:val="22"/>
                <w:szCs w:val="22"/>
                <w:highlight w:val="none"/>
              </w:rPr>
            </w:pPr>
            <w:r>
              <w:rPr>
                <w:rFonts w:hint="eastAsia" w:hAnsi="宋体" w:cs="宋体"/>
                <w:b/>
                <w:bCs/>
                <w:color w:val="auto"/>
                <w:sz w:val="22"/>
                <w:szCs w:val="22"/>
                <w:highlight w:val="none"/>
              </w:rPr>
              <w:t>本项目实行网上电子投标。</w:t>
            </w:r>
          </w:p>
          <w:p w14:paraId="5A8AC142">
            <w:pPr>
              <w:pStyle w:val="20"/>
              <w:snapToGrid w:val="0"/>
              <w:spacing w:line="360" w:lineRule="exact"/>
              <w:rPr>
                <w:rFonts w:hint="eastAsia" w:hAnsi="宋体" w:cs="宋体"/>
                <w:b/>
                <w:bCs/>
                <w:color w:val="auto"/>
                <w:sz w:val="22"/>
                <w:szCs w:val="22"/>
                <w:highlight w:val="none"/>
              </w:rPr>
            </w:pPr>
            <w:r>
              <w:rPr>
                <w:rFonts w:hint="eastAsia" w:hAnsi="宋体" w:cs="宋体"/>
                <w:b/>
                <w:bCs/>
                <w:color w:val="auto"/>
                <w:sz w:val="22"/>
                <w:szCs w:val="22"/>
                <w:highlight w:val="none"/>
              </w:rPr>
              <w:t>供应商应准备电子响应文件、以介质存储的数据电文形式的备份响应文件二类：</w:t>
            </w:r>
          </w:p>
          <w:p w14:paraId="1BACEBC2">
            <w:pPr>
              <w:pStyle w:val="20"/>
              <w:snapToGrid w:val="0"/>
              <w:spacing w:line="360" w:lineRule="exact"/>
              <w:ind w:firstLine="221" w:firstLineChars="100"/>
              <w:rPr>
                <w:rFonts w:hint="eastAsia" w:hAnsi="宋体" w:cs="宋体"/>
                <w:b/>
                <w:bCs/>
                <w:color w:val="auto"/>
                <w:sz w:val="22"/>
                <w:szCs w:val="22"/>
                <w:highlight w:val="none"/>
              </w:rPr>
            </w:pPr>
            <w:r>
              <w:rPr>
                <w:rFonts w:hint="eastAsia" w:hAnsi="宋体" w:cs="宋体"/>
                <w:b/>
                <w:bCs/>
                <w:color w:val="auto"/>
                <w:sz w:val="22"/>
                <w:szCs w:val="22"/>
                <w:highlight w:val="none"/>
              </w:rPr>
              <w:t>(1)电子响应文件：通过政采云电子交易客户端（政采云投标客户端）完成响应文件编制后生成并加密的数据电文形式的响应文件（文件扩展名为.jmbs）</w:t>
            </w:r>
            <w:r>
              <w:rPr>
                <w:rFonts w:hint="eastAsia" w:hAnsi="宋体" w:cs="宋体"/>
                <w:b/>
                <w:bCs/>
                <w:color w:val="auto"/>
                <w:sz w:val="22"/>
                <w:szCs w:val="22"/>
                <w:highlight w:val="none"/>
                <w:lang w:val="zh-CN"/>
              </w:rPr>
              <w:t>。</w:t>
            </w:r>
          </w:p>
          <w:p w14:paraId="5CC9B215">
            <w:pPr>
              <w:spacing w:line="360" w:lineRule="exact"/>
              <w:ind w:firstLine="221" w:firstLineChars="100"/>
              <w:rPr>
                <w:rStyle w:val="41"/>
                <w:rFonts w:hint="eastAsia" w:ascii="宋体" w:hAnsi="宋体" w:cs="宋体"/>
                <w:bCs w:val="0"/>
                <w:color w:val="auto"/>
                <w:sz w:val="22"/>
                <w:szCs w:val="22"/>
                <w:highlight w:val="none"/>
              </w:rPr>
            </w:pPr>
            <w:r>
              <w:rPr>
                <w:rFonts w:hint="eastAsia" w:ascii="宋体" w:hAnsi="宋体" w:cs="宋体"/>
                <w:b/>
                <w:bCs/>
                <w:color w:val="auto"/>
                <w:sz w:val="22"/>
                <w:szCs w:val="22"/>
                <w:highlight w:val="none"/>
              </w:rPr>
              <w:t>(2)以介质存储的数据电文形式的备份响应文件：</w:t>
            </w:r>
            <w:r>
              <w:rPr>
                <w:rStyle w:val="41"/>
                <w:rFonts w:hint="eastAsia" w:ascii="宋体" w:hAnsi="宋体" w:cs="宋体"/>
                <w:bCs w:val="0"/>
                <w:color w:val="auto"/>
                <w:sz w:val="22"/>
                <w:szCs w:val="22"/>
                <w:highlight w:val="none"/>
              </w:rPr>
              <w:t>与“电子响应文件”同时生成的数据电文形式的备份响应文件(文件扩展名为.bfbs)</w:t>
            </w:r>
            <w:r>
              <w:rPr>
                <w:rFonts w:hint="eastAsia" w:ascii="宋体" w:hAnsi="宋体" w:cs="宋体"/>
                <w:b/>
                <w:bCs/>
                <w:color w:val="auto"/>
                <w:sz w:val="22"/>
                <w:szCs w:val="22"/>
                <w:highlight w:val="none"/>
              </w:rPr>
              <w:t>，响应文件提交截止时间前以</w:t>
            </w:r>
            <w:r>
              <w:rPr>
                <w:rFonts w:hint="eastAsia" w:ascii="宋体" w:hAnsi="宋体" w:cs="宋体"/>
                <w:b/>
                <w:bCs/>
                <w:color w:val="auto"/>
                <w:sz w:val="22"/>
                <w:szCs w:val="22"/>
                <w:highlight w:val="none"/>
                <w:lang w:val="zh-CN"/>
              </w:rPr>
              <w:t>电子邮件方式传送至</w:t>
            </w:r>
            <w:r>
              <w:rPr>
                <w:rFonts w:hint="eastAsia" w:ascii="宋体" w:hAnsi="宋体" w:cs="宋体"/>
                <w:b/>
                <w:bCs/>
                <w:color w:val="auto"/>
                <w:sz w:val="22"/>
                <w:szCs w:val="22"/>
                <w:highlight w:val="none"/>
                <w:lang w:eastAsia="zh-CN"/>
              </w:rPr>
              <w:t>温州众晟工程管理有限公司</w:t>
            </w:r>
            <w:r>
              <w:rPr>
                <w:rFonts w:hint="eastAsia" w:ascii="宋体" w:hAnsi="宋体" w:cs="宋体"/>
                <w:b/>
                <w:bCs/>
                <w:color w:val="auto"/>
                <w:sz w:val="22"/>
                <w:szCs w:val="22"/>
                <w:highlight w:val="none"/>
                <w:lang w:val="zh-CN"/>
              </w:rPr>
              <w:t>电子邮箱</w:t>
            </w:r>
            <w:r>
              <w:rPr>
                <w:rFonts w:hint="eastAsia" w:ascii="宋体" w:hAnsi="宋体"/>
                <w:b/>
                <w:bCs/>
                <w:color w:val="auto"/>
                <w:sz w:val="22"/>
                <w:szCs w:val="22"/>
                <w:highlight w:val="none"/>
                <w:u w:val="single"/>
                <w:lang w:eastAsia="zh-CN"/>
              </w:rPr>
              <w:t>404133810@qq.com</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zh-CN"/>
              </w:rPr>
              <w:t>递交</w:t>
            </w:r>
            <w:r>
              <w:rPr>
                <w:rFonts w:hint="eastAsia" w:ascii="宋体" w:hAnsi="宋体" w:cs="宋体"/>
                <w:b/>
                <w:bCs/>
                <w:color w:val="auto"/>
                <w:sz w:val="22"/>
                <w:szCs w:val="22"/>
                <w:highlight w:val="none"/>
              </w:rPr>
              <w:t>1</w:t>
            </w:r>
            <w:r>
              <w:rPr>
                <w:rFonts w:hint="eastAsia" w:ascii="宋体" w:hAnsi="宋体" w:cs="宋体"/>
                <w:b/>
                <w:bCs/>
                <w:color w:val="auto"/>
                <w:sz w:val="22"/>
                <w:szCs w:val="22"/>
                <w:highlight w:val="none"/>
                <w:lang w:val="zh-CN"/>
              </w:rPr>
              <w:t>份</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zh-CN"/>
              </w:rPr>
              <w:t>传送的备份响应文件需打包压缩并加密</w:t>
            </w:r>
            <w:r>
              <w:rPr>
                <w:rFonts w:hint="eastAsia" w:ascii="宋体" w:hAnsi="宋体" w:cs="宋体"/>
                <w:b/>
                <w:bCs/>
                <w:color w:val="auto"/>
                <w:sz w:val="22"/>
                <w:szCs w:val="22"/>
                <w:highlight w:val="none"/>
              </w:rPr>
              <w:t>，</w:t>
            </w:r>
            <w:r>
              <w:rPr>
                <w:rFonts w:hint="eastAsia" w:ascii="宋体" w:hAnsi="宋体" w:cs="宋体"/>
                <w:b/>
                <w:bCs/>
                <w:color w:val="auto"/>
                <w:sz w:val="22"/>
                <w:szCs w:val="22"/>
                <w:highlight w:val="none"/>
                <w:lang w:val="zh-CN"/>
              </w:rPr>
              <w:t>加密密码由供应商自行保管</w:t>
            </w:r>
            <w:r>
              <w:rPr>
                <w:rFonts w:hint="eastAsia" w:ascii="宋体" w:hAnsi="宋体" w:cs="宋体"/>
                <w:b/>
                <w:bCs/>
                <w:color w:val="auto"/>
                <w:sz w:val="22"/>
                <w:szCs w:val="22"/>
                <w:highlight w:val="none"/>
              </w:rPr>
              <w:t>，未加密导致投标信息泄露的风险由供应商自行承担。</w:t>
            </w:r>
          </w:p>
          <w:p w14:paraId="55BA804D">
            <w:pPr>
              <w:pStyle w:val="20"/>
              <w:snapToGrid w:val="0"/>
              <w:spacing w:line="360" w:lineRule="exact"/>
              <w:rPr>
                <w:rFonts w:hint="eastAsia" w:hAnsi="宋体" w:cs="宋体"/>
                <w:b/>
                <w:bCs/>
                <w:color w:val="auto"/>
                <w:sz w:val="22"/>
                <w:szCs w:val="22"/>
                <w:highlight w:val="none"/>
              </w:rPr>
            </w:pPr>
            <w:r>
              <w:rPr>
                <w:rFonts w:hint="eastAsia" w:hAnsi="宋体" w:cs="宋体"/>
                <w:b/>
                <w:bCs/>
                <w:color w:val="auto"/>
                <w:sz w:val="22"/>
                <w:szCs w:val="22"/>
                <w:highlight w:val="none"/>
              </w:rPr>
              <w:t>响应文件由报价文件、</w:t>
            </w:r>
            <w:r>
              <w:rPr>
                <w:rFonts w:hint="eastAsia" w:hAnsi="宋体" w:cs="宋体"/>
                <w:b/>
                <w:color w:val="auto"/>
                <w:sz w:val="22"/>
                <w:szCs w:val="22"/>
                <w:highlight w:val="none"/>
              </w:rPr>
              <w:t>资格文件、商务</w:t>
            </w:r>
            <w:r>
              <w:rPr>
                <w:rFonts w:hint="eastAsia" w:hAnsi="宋体" w:cs="宋体"/>
                <w:b/>
                <w:bCs/>
                <w:color w:val="auto"/>
                <w:sz w:val="22"/>
                <w:szCs w:val="22"/>
                <w:highlight w:val="none"/>
              </w:rPr>
              <w:t>技术文件三部分组成。</w:t>
            </w:r>
          </w:p>
          <w:p w14:paraId="5453045A">
            <w:pPr>
              <w:spacing w:line="360" w:lineRule="exact"/>
              <w:rPr>
                <w:rFonts w:hint="eastAsia" w:ascii="宋体" w:hAnsi="宋体"/>
                <w:color w:val="auto"/>
                <w:sz w:val="22"/>
                <w:szCs w:val="22"/>
                <w:highlight w:val="none"/>
              </w:rPr>
            </w:pPr>
            <w:r>
              <w:rPr>
                <w:rFonts w:hint="eastAsia" w:ascii="宋体" w:hAnsi="宋体" w:cs="宋体"/>
                <w:b/>
                <w:bCs/>
                <w:color w:val="auto"/>
                <w:sz w:val="22"/>
                <w:szCs w:val="22"/>
                <w:highlight w:val="none"/>
              </w:rPr>
              <w:t>注：成交供应商在收到成交通知书时按采购人要求提供全套纸质响应文件贰份。</w:t>
            </w:r>
          </w:p>
        </w:tc>
      </w:tr>
      <w:tr w14:paraId="33FA9DF6">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1F148293">
            <w:pPr>
              <w:spacing w:line="360" w:lineRule="exact"/>
              <w:jc w:val="cente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电子招投标特殊情况处理方式</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37D0CD3D">
            <w:pPr>
              <w:spacing w:line="3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本项目原则上采用政采云电子招投标开标及评审程序，但有下情形之一的，按以下情况处理：</w:t>
            </w:r>
          </w:p>
          <w:p w14:paraId="2BB2A9F8">
            <w:pPr>
              <w:pStyle w:val="20"/>
              <w:snapToGrid w:val="0"/>
              <w:spacing w:line="360" w:lineRule="exact"/>
              <w:rPr>
                <w:rFonts w:hint="eastAsia" w:hAnsi="宋体" w:cs="宋体"/>
                <w:b/>
                <w:bCs/>
                <w:color w:val="auto"/>
                <w:sz w:val="22"/>
                <w:szCs w:val="22"/>
                <w:highlight w:val="none"/>
              </w:rPr>
            </w:pPr>
            <w:r>
              <w:rPr>
                <w:rFonts w:hint="eastAsia" w:hAnsi="宋体" w:cs="宋体"/>
                <w:b/>
                <w:bCs/>
                <w:color w:val="auto"/>
                <w:sz w:val="22"/>
                <w:szCs w:val="22"/>
                <w:highlight w:val="none"/>
              </w:rPr>
              <w:t>若供应商在规定时间内无法解密或解密失败，采购代理机构将开启所有供应商递交的以介质存储的数据电文形式的备份响应文件，上传至政采云平台项目采购模块，以完成开标，电子响应文件自动失效。</w:t>
            </w:r>
          </w:p>
        </w:tc>
      </w:tr>
      <w:tr w14:paraId="544A5226">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7451FA0E">
            <w:pPr>
              <w:spacing w:line="360" w:lineRule="exact"/>
              <w:jc w:val="center"/>
              <w:rPr>
                <w:rFonts w:hint="eastAsia" w:ascii="宋体" w:hAnsi="宋体"/>
                <w:color w:val="auto"/>
                <w:kern w:val="0"/>
                <w:sz w:val="22"/>
                <w:szCs w:val="22"/>
                <w:highlight w:val="none"/>
              </w:rPr>
            </w:pPr>
            <w:r>
              <w:rPr>
                <w:rFonts w:hint="eastAsia" w:ascii="宋体" w:hAnsi="宋体" w:cs="宋体"/>
                <w:color w:val="auto"/>
                <w:kern w:val="0"/>
                <w:sz w:val="22"/>
                <w:szCs w:val="22"/>
                <w:highlight w:val="none"/>
              </w:rPr>
              <w:t>开评标程序</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25E38497">
            <w:pPr>
              <w:spacing w:line="360" w:lineRule="exact"/>
              <w:rPr>
                <w:rFonts w:ascii="宋体" w:hAnsi="宋体" w:cs="宋体"/>
                <w:color w:val="auto"/>
                <w:sz w:val="22"/>
                <w:szCs w:val="22"/>
                <w:highlight w:val="none"/>
              </w:rPr>
            </w:pPr>
            <w:r>
              <w:rPr>
                <w:rFonts w:hint="eastAsia" w:ascii="宋体" w:hAnsi="宋体" w:cs="宋体"/>
                <w:color w:val="auto"/>
                <w:kern w:val="0"/>
                <w:sz w:val="22"/>
                <w:szCs w:val="22"/>
                <w:highlight w:val="none"/>
              </w:rPr>
              <w:t>待开标→磋商响应文件在线解密→代理机构或采购人在线</w:t>
            </w:r>
            <w:r>
              <w:rPr>
                <w:rFonts w:hint="eastAsia" w:ascii="宋体" w:hAnsi="宋体" w:cs="宋体"/>
                <w:color w:val="auto"/>
                <w:sz w:val="22"/>
                <w:szCs w:val="22"/>
                <w:highlight w:val="none"/>
              </w:rPr>
              <w:t>资格性审查</w:t>
            </w:r>
            <w:r>
              <w:rPr>
                <w:rFonts w:hint="eastAsia" w:ascii="宋体" w:hAnsi="宋体" w:cs="宋体"/>
                <w:color w:val="auto"/>
                <w:kern w:val="0"/>
                <w:sz w:val="22"/>
                <w:szCs w:val="22"/>
                <w:highlight w:val="none"/>
              </w:rPr>
              <w:t>→磋商小组在线符合性审查→</w:t>
            </w:r>
            <w:r>
              <w:rPr>
                <w:rFonts w:hint="eastAsia" w:ascii="宋体" w:hAnsi="宋体" w:cs="宋体"/>
                <w:color w:val="auto"/>
                <w:kern w:val="0"/>
                <w:sz w:val="22"/>
                <w:szCs w:val="22"/>
                <w:highlight w:val="none"/>
                <w:lang w:val="en-US" w:eastAsia="zh-CN"/>
              </w:rPr>
              <w:t>磋商小组在线磋商（如有）</w:t>
            </w:r>
            <w:r>
              <w:rPr>
                <w:rFonts w:hint="eastAsia" w:ascii="宋体" w:hAnsi="宋体" w:cs="宋体"/>
                <w:color w:val="auto"/>
                <w:kern w:val="0"/>
                <w:sz w:val="22"/>
                <w:szCs w:val="22"/>
                <w:highlight w:val="none"/>
              </w:rPr>
              <w:t>→系统开启二次报价→磋商小组在线</w:t>
            </w:r>
            <w:r>
              <w:rPr>
                <w:rFonts w:hint="eastAsia" w:ascii="宋体" w:hAnsi="宋体" w:cs="宋体"/>
                <w:color w:val="auto"/>
                <w:kern w:val="0"/>
                <w:sz w:val="22"/>
                <w:szCs w:val="22"/>
                <w:highlight w:val="none"/>
                <w:lang w:val="en-US" w:eastAsia="zh-CN"/>
              </w:rPr>
              <w:t>商务价格</w:t>
            </w:r>
            <w:r>
              <w:rPr>
                <w:rFonts w:hint="eastAsia" w:ascii="宋体" w:hAnsi="宋体" w:cs="宋体"/>
                <w:color w:val="auto"/>
                <w:kern w:val="0"/>
                <w:sz w:val="22"/>
                <w:szCs w:val="22"/>
                <w:highlight w:val="none"/>
              </w:rPr>
              <w:t>评</w:t>
            </w:r>
            <w:r>
              <w:rPr>
                <w:rFonts w:hint="eastAsia" w:ascii="宋体" w:hAnsi="宋体" w:cs="宋体"/>
                <w:color w:val="auto"/>
                <w:kern w:val="0"/>
                <w:sz w:val="22"/>
                <w:szCs w:val="22"/>
                <w:highlight w:val="none"/>
                <w:lang w:val="en-US" w:eastAsia="zh-CN"/>
              </w:rPr>
              <w:t>审</w:t>
            </w:r>
            <w:r>
              <w:rPr>
                <w:rFonts w:hint="eastAsia" w:ascii="宋体" w:hAnsi="宋体" w:cs="宋体"/>
                <w:color w:val="auto"/>
                <w:kern w:val="0"/>
                <w:sz w:val="22"/>
                <w:szCs w:val="22"/>
                <w:highlight w:val="none"/>
              </w:rPr>
              <w:t>→磋商小组对最终报价情况进行评审→</w:t>
            </w:r>
            <w:r>
              <w:rPr>
                <w:rFonts w:hint="eastAsia" w:ascii="宋体" w:hAnsi="宋体" w:cs="宋体"/>
                <w:color w:val="auto"/>
                <w:sz w:val="22"/>
                <w:szCs w:val="22"/>
                <w:highlight w:val="none"/>
              </w:rPr>
              <w:t>系统公布评审结果</w:t>
            </w:r>
          </w:p>
          <w:p w14:paraId="25F0F3DF">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上述程序将根据政采云电子评标系统的调整而变动。</w:t>
            </w:r>
          </w:p>
        </w:tc>
      </w:tr>
      <w:tr w14:paraId="7757C9D8">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72628D25">
            <w:pPr>
              <w:spacing w:line="360" w:lineRule="exact"/>
              <w:jc w:val="center"/>
              <w:rPr>
                <w:rFonts w:hint="eastAsia" w:ascii="宋体" w:hAnsi="宋体" w:cs="宋体"/>
                <w:color w:val="auto"/>
                <w:kern w:val="0"/>
                <w:sz w:val="22"/>
                <w:szCs w:val="22"/>
                <w:highlight w:val="none"/>
              </w:rPr>
            </w:pPr>
            <w:r>
              <w:rPr>
                <w:rFonts w:hint="eastAsia" w:ascii="宋体" w:hAnsi="宋体"/>
                <w:color w:val="auto"/>
                <w:kern w:val="0"/>
                <w:sz w:val="22"/>
                <w:szCs w:val="22"/>
                <w:highlight w:val="none"/>
              </w:rPr>
              <w:t>磋商小组的组建</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3E6C2914">
            <w:pPr>
              <w:spacing w:line="360" w:lineRule="exact"/>
              <w:rPr>
                <w:rFonts w:hint="eastAsia" w:ascii="宋体" w:hAnsi="宋体" w:cs="宋体"/>
                <w:color w:val="auto"/>
                <w:kern w:val="0"/>
                <w:sz w:val="22"/>
                <w:szCs w:val="22"/>
                <w:highlight w:val="none"/>
              </w:rPr>
            </w:pPr>
            <w:r>
              <w:rPr>
                <w:rFonts w:hint="eastAsia" w:ascii="宋体" w:hAnsi="宋体"/>
                <w:color w:val="auto"/>
                <w:kern w:val="0"/>
                <w:sz w:val="22"/>
                <w:szCs w:val="22"/>
                <w:highlight w:val="none"/>
              </w:rPr>
              <w:t>磋商小组由采购人代表和有关技术、经济等方面的专家组成，成员人数为</w:t>
            </w:r>
            <w:r>
              <w:rPr>
                <w:rFonts w:ascii="宋体" w:hAnsi="宋体"/>
                <w:color w:val="auto"/>
                <w:kern w:val="0"/>
                <w:sz w:val="22"/>
                <w:szCs w:val="22"/>
                <w:highlight w:val="none"/>
              </w:rPr>
              <w:t>3</w:t>
            </w:r>
            <w:r>
              <w:rPr>
                <w:rFonts w:hint="eastAsia" w:ascii="宋体" w:hAnsi="宋体"/>
                <w:color w:val="auto"/>
                <w:kern w:val="0"/>
                <w:sz w:val="22"/>
                <w:szCs w:val="22"/>
                <w:highlight w:val="none"/>
              </w:rPr>
              <w:t>人或以上单数，除采购人代表外的专家将在温州市财政局的评标专家库中随机抽取产生。</w:t>
            </w:r>
          </w:p>
        </w:tc>
      </w:tr>
      <w:tr w14:paraId="429BAA6A">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068E7F81">
            <w:pPr>
              <w:spacing w:line="360" w:lineRule="exact"/>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磋商响应文件无效标条款</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2A19BA4C">
            <w:pPr>
              <w:spacing w:line="360" w:lineRule="exact"/>
              <w:rPr>
                <w:rFonts w:hint="eastAsia" w:ascii="宋体" w:hAnsi="宋体"/>
                <w:color w:val="auto"/>
                <w:kern w:val="0"/>
                <w:sz w:val="22"/>
                <w:szCs w:val="22"/>
                <w:highlight w:val="none"/>
              </w:rPr>
            </w:pPr>
            <w:r>
              <w:rPr>
                <w:rFonts w:hint="eastAsia" w:ascii="宋体" w:hAnsi="宋体"/>
                <w:b/>
                <w:color w:val="auto"/>
                <w:kern w:val="0"/>
                <w:sz w:val="22"/>
                <w:szCs w:val="22"/>
                <w:highlight w:val="none"/>
              </w:rPr>
              <w:t>详见竞争性磋商文件第25页，第6</w:t>
            </w:r>
            <w:r>
              <w:rPr>
                <w:rFonts w:hint="eastAsia" w:ascii="宋体" w:hAnsi="宋体"/>
                <w:b/>
                <w:color w:val="auto"/>
                <w:sz w:val="22"/>
                <w:szCs w:val="22"/>
                <w:highlight w:val="none"/>
              </w:rPr>
              <w:t>点</w:t>
            </w:r>
            <w:r>
              <w:rPr>
                <w:rFonts w:hint="eastAsia" w:ascii="宋体" w:hAnsi="宋体"/>
                <w:b/>
                <w:color w:val="auto"/>
                <w:kern w:val="0"/>
                <w:sz w:val="22"/>
                <w:szCs w:val="22"/>
                <w:highlight w:val="none"/>
              </w:rPr>
              <w:t>。</w:t>
            </w:r>
          </w:p>
        </w:tc>
      </w:tr>
      <w:tr w14:paraId="3A1ADC07">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3A6E674D">
            <w:pPr>
              <w:spacing w:line="360" w:lineRule="exact"/>
              <w:jc w:val="center"/>
              <w:rPr>
                <w:rFonts w:hint="eastAsia" w:ascii="宋体" w:hAnsi="宋体"/>
                <w:color w:val="auto"/>
                <w:kern w:val="0"/>
                <w:sz w:val="22"/>
                <w:szCs w:val="22"/>
                <w:highlight w:val="none"/>
              </w:rPr>
            </w:pPr>
            <w:r>
              <w:rPr>
                <w:rFonts w:hint="eastAsia" w:ascii="宋体" w:hAnsi="宋体" w:cs="宋体"/>
                <w:color w:val="auto"/>
                <w:sz w:val="22"/>
                <w:szCs w:val="22"/>
                <w:highlight w:val="none"/>
              </w:rPr>
              <w:t>供应商信用信息查询</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4A21E02B">
            <w:pPr>
              <w:adjustRightInd w:val="0"/>
              <w:snapToGrid w:val="0"/>
              <w:spacing w:line="36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根据财库[2016]125号《关于在政府采购活动中查询及使用信用记录有关问题的通知》要求，采购代理机构会对供应商信用记录进行查询并甄别。</w:t>
            </w:r>
          </w:p>
          <w:p w14:paraId="4780B0F9">
            <w:pPr>
              <w:adjustRightInd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1.信用信息查询的截止时点：响应文件递交截止时间；</w:t>
            </w:r>
          </w:p>
          <w:p w14:paraId="410C6A17">
            <w:pPr>
              <w:adjustRightInd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Style w:val="43"/>
                <w:rFonts w:hint="eastAsia" w:ascii="宋体" w:hAnsi="宋体" w:cs="宋体"/>
                <w:color w:val="auto"/>
                <w:sz w:val="22"/>
                <w:szCs w:val="22"/>
                <w:highlight w:val="none"/>
              </w:rPr>
              <w:t>www.creditchina.gov.cn</w:t>
            </w:r>
            <w:r>
              <w:rPr>
                <w:rStyle w:val="43"/>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Style w:val="43"/>
                <w:rFonts w:hint="eastAsia" w:ascii="宋体" w:hAnsi="宋体" w:cs="宋体"/>
                <w:color w:val="auto"/>
                <w:sz w:val="22"/>
                <w:szCs w:val="22"/>
                <w:highlight w:val="none"/>
              </w:rPr>
              <w:t>www.ccgp.gov.cn</w:t>
            </w:r>
            <w:r>
              <w:rPr>
                <w:rStyle w:val="43"/>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w:t>
            </w:r>
          </w:p>
          <w:p w14:paraId="005014FF">
            <w:pPr>
              <w:adjustRightInd w:val="0"/>
              <w:snapToGrid w:val="0"/>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3.信用信息的使用规则：供应商存在不良信用记录的，其投标将被作为无效投标被拒绝；</w:t>
            </w:r>
          </w:p>
          <w:p w14:paraId="38D72833">
            <w:pPr>
              <w:spacing w:line="360" w:lineRule="exact"/>
              <w:rPr>
                <w:rFonts w:hint="eastAsia" w:ascii="宋体" w:hAnsi="宋体"/>
                <w:b/>
                <w:color w:val="auto"/>
                <w:kern w:val="0"/>
                <w:sz w:val="22"/>
                <w:szCs w:val="22"/>
                <w:highlight w:val="none"/>
              </w:rPr>
            </w:pPr>
            <w:r>
              <w:rPr>
                <w:rFonts w:hint="eastAsia" w:ascii="宋体" w:hAnsi="宋体" w:cs="宋体"/>
                <w:color w:val="auto"/>
                <w:sz w:val="22"/>
                <w:szCs w:val="22"/>
                <w:highlight w:val="none"/>
              </w:rPr>
              <w:t>4.不良信用记录指：“信用中国”被列入失信被执行人和重大税收违法案件当事人名单或存在 《中华人民共和国政府采购法实施条例》 第十九条规定；中国政府采购网被列入政府采购严重违法失信行为记录名单。</w:t>
            </w:r>
          </w:p>
        </w:tc>
      </w:tr>
      <w:tr w14:paraId="60EA50DC">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3CACA28D">
            <w:pPr>
              <w:spacing w:line="360" w:lineRule="exact"/>
              <w:jc w:val="center"/>
              <w:rPr>
                <w:rFonts w:hint="eastAsia" w:ascii="宋体" w:hAnsi="宋体" w:cs="宋体"/>
                <w:color w:val="auto"/>
                <w:sz w:val="22"/>
                <w:szCs w:val="22"/>
                <w:highlight w:val="none"/>
              </w:rPr>
            </w:pPr>
            <w:r>
              <w:rPr>
                <w:rFonts w:hint="eastAsia" w:ascii="宋体" w:hAnsi="宋体" w:cs="宋体"/>
                <w:color w:val="auto"/>
                <w:kern w:val="0"/>
                <w:sz w:val="22"/>
                <w:szCs w:val="22"/>
                <w:highlight w:val="none"/>
              </w:rPr>
              <w:t>政府采购节能环保产品</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7DD985CD">
            <w:pPr>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投标产品若属于节能（环保）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14:paraId="1B90440A">
            <w:pPr>
              <w:adjustRightInd w:val="0"/>
              <w:snapToGrid w:val="0"/>
              <w:spacing w:line="360" w:lineRule="exact"/>
              <w:rPr>
                <w:rFonts w:hint="eastAsia" w:ascii="宋体" w:hAnsi="宋体" w:cs="宋体"/>
                <w:color w:val="auto"/>
                <w:sz w:val="22"/>
                <w:szCs w:val="22"/>
                <w:highlight w:val="none"/>
              </w:rPr>
            </w:pPr>
            <w:r>
              <w:rPr>
                <w:rFonts w:hint="eastAsia" w:ascii="宋体" w:hAnsi="宋体" w:cs="宋体"/>
                <w:color w:val="auto"/>
                <w:kern w:val="0"/>
                <w:sz w:val="22"/>
                <w:szCs w:val="22"/>
                <w:highlight w:val="none"/>
              </w:rPr>
              <w:t>2.产品属于政府强制采购节能品目的（详见《关于印发节能产品政府采购品目清单的通知》财库〔2019〕19号），供应商须按上款要求提供节能产品认证证书或规定网站证书查询截图。产品属于政府强制采购节能产品品目的，投供应商未提供节能产品的，其投标将作无效标处理；本文件另有规定的除外。</w:t>
            </w:r>
          </w:p>
        </w:tc>
      </w:tr>
      <w:tr w14:paraId="61F227AD">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61F98BBD">
            <w:pPr>
              <w:spacing w:line="360" w:lineRule="exact"/>
              <w:jc w:val="center"/>
              <w:rPr>
                <w:rFonts w:hint="eastAsia" w:ascii="宋体" w:hAnsi="宋体" w:cs="宋体"/>
                <w:color w:val="auto"/>
                <w:kern w:val="0"/>
                <w:sz w:val="22"/>
                <w:szCs w:val="22"/>
                <w:highlight w:val="none"/>
              </w:rPr>
            </w:pPr>
            <w:r>
              <w:rPr>
                <w:rFonts w:hint="eastAsia" w:ascii="宋体" w:hAnsi="宋体" w:cs="宋体"/>
                <w:bCs/>
                <w:color w:val="auto"/>
                <w:kern w:val="0"/>
                <w:sz w:val="22"/>
                <w:szCs w:val="22"/>
                <w:highlight w:val="none"/>
              </w:rPr>
              <w:t>本项目扶持中小企业（监狱企业、残疾人福利性单位）有关政策</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2B3F7BBC">
            <w:pPr>
              <w:spacing w:line="36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 xml:space="preserve">1、扶持中小企业（监狱企业、残疾人福利性单位）： </w:t>
            </w:r>
          </w:p>
          <w:p w14:paraId="226CE3ED">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（1）根据工信部等部委发布的《关于印发中小企业划型标准规定的通知》（工信部联企业〔2011〕300号），本项目属于</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农、林、牧、渔业，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工业（包括采矿业，制造业，电力、热力、燃气及水生产和供应业），</w:t>
            </w:r>
            <w:r>
              <w:rPr>
                <w:rFonts w:hint="eastAsia" w:ascii="宋体" w:hAnsi="宋体" w:cs="宋体"/>
                <w:b/>
                <w:bCs/>
                <w:color w:val="auto"/>
                <w:sz w:val="22"/>
                <w:szCs w:val="22"/>
                <w:highlight w:val="none"/>
                <w:u w:val="single"/>
              </w:rPr>
              <w:sym w:font="Wingdings" w:char="00FE"/>
            </w:r>
            <w:r>
              <w:rPr>
                <w:rFonts w:hint="eastAsia" w:ascii="宋体" w:hAnsi="宋体" w:cs="宋体"/>
                <w:b/>
                <w:bCs/>
                <w:color w:val="auto"/>
                <w:sz w:val="22"/>
                <w:szCs w:val="22"/>
                <w:highlight w:val="none"/>
                <w:u w:val="single"/>
              </w:rPr>
              <w:t>建筑业</w:t>
            </w:r>
            <w:r>
              <w:rPr>
                <w:rFonts w:hint="eastAsia" w:ascii="宋体" w:hAnsi="宋体" w:cs="宋体"/>
                <w:color w:val="auto"/>
                <w:sz w:val="22"/>
                <w:szCs w:val="22"/>
                <w:highlight w:val="none"/>
                <w:u w:val="single"/>
              </w:rPr>
              <w:t>，</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批发业，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零售业，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交通运输业（不含铁路运输业），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仓储业，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邮政业，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住宿业，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餐饮业，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信息传输业（包括电信、互联网和相关服务），</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软件和信息技术服务业，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房地产开发经营，</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物业管理，</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租赁和商务服务业，</w:t>
            </w:r>
            <w:r>
              <w:rPr>
                <w:rFonts w:hint="eastAsia" w:ascii="宋体" w:hAnsi="宋体" w:cs="宋体"/>
                <w:color w:val="auto"/>
                <w:sz w:val="22"/>
                <w:szCs w:val="22"/>
                <w:highlight w:val="none"/>
                <w:u w:val="single"/>
              </w:rPr>
              <w:sym w:font="Wingdings" w:char="00A8"/>
            </w:r>
            <w:r>
              <w:rPr>
                <w:rFonts w:hint="eastAsia" w:ascii="宋体" w:hAnsi="宋体" w:cs="宋体"/>
                <w:color w:val="auto"/>
                <w:sz w:val="22"/>
                <w:szCs w:val="22"/>
                <w:highlight w:val="none"/>
                <w:u w:val="single"/>
              </w:rPr>
              <w:t xml:space="preserve">其他未列明行业（包括科学研究和技术服务业，水利、环境和公共设施管理业，居民服务、修理和其他服务业，社会工作，文化、体育和娱乐业等） </w:t>
            </w:r>
            <w:r>
              <w:rPr>
                <w:rFonts w:hint="eastAsia" w:ascii="宋体" w:hAnsi="宋体" w:cs="宋体"/>
                <w:color w:val="auto"/>
                <w:sz w:val="22"/>
                <w:szCs w:val="22"/>
                <w:highlight w:val="none"/>
              </w:rPr>
              <w:t xml:space="preserve"> 行业。</w:t>
            </w:r>
          </w:p>
          <w:p w14:paraId="60A14877">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（2）中小企业划型标准：根据（关于印发《中小企业划型标准规定》的通知）（工信部联企业【2</w:t>
            </w:r>
            <w:r>
              <w:rPr>
                <w:rFonts w:ascii="宋体" w:hAnsi="宋体" w:cs="宋体"/>
                <w:color w:val="auto"/>
                <w:sz w:val="22"/>
                <w:szCs w:val="22"/>
                <w:highlight w:val="none"/>
              </w:rPr>
              <w:t>011</w:t>
            </w:r>
            <w:r>
              <w:rPr>
                <w:rFonts w:hint="eastAsia" w:ascii="宋体" w:hAnsi="宋体" w:cs="宋体"/>
                <w:color w:val="auto"/>
                <w:sz w:val="22"/>
                <w:szCs w:val="22"/>
                <w:highlight w:val="none"/>
              </w:rPr>
              <w:t>】3</w:t>
            </w:r>
            <w:r>
              <w:rPr>
                <w:rFonts w:ascii="宋体" w:hAnsi="宋体" w:cs="宋体"/>
                <w:color w:val="auto"/>
                <w:sz w:val="22"/>
                <w:szCs w:val="22"/>
                <w:highlight w:val="none"/>
              </w:rPr>
              <w:t>00</w:t>
            </w:r>
            <w:r>
              <w:rPr>
                <w:rFonts w:hint="eastAsia" w:ascii="宋体" w:hAnsi="宋体" w:cs="宋体"/>
                <w:color w:val="auto"/>
                <w:sz w:val="22"/>
                <w:szCs w:val="22"/>
                <w:highlight w:val="none"/>
              </w:rPr>
              <w:t>号）的文件规定确定。</w:t>
            </w:r>
          </w:p>
          <w:p w14:paraId="6E85993F">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2、根据财政部发布的《政府采购促进中小企业发展管理办法》财库（2020）46号、《浙江省财政厅关于进一步发挥政府采购政策功能全力推动经济稳进提质的通知》（浙财采监〔2022〕3号）、（浙财采监〔2022〕</w:t>
            </w:r>
            <w:r>
              <w:rPr>
                <w:rFonts w:ascii="宋体" w:hAnsi="宋体" w:cs="宋体"/>
                <w:color w:val="auto"/>
                <w:sz w:val="22"/>
                <w:szCs w:val="22"/>
                <w:highlight w:val="none"/>
              </w:rPr>
              <w:t>8</w:t>
            </w:r>
            <w:r>
              <w:rPr>
                <w:rFonts w:hint="eastAsia" w:ascii="宋体" w:hAnsi="宋体" w:cs="宋体"/>
                <w:color w:val="auto"/>
                <w:sz w:val="22"/>
                <w:szCs w:val="22"/>
                <w:highlight w:val="none"/>
              </w:rPr>
              <w:t>号）、（财库〔2022〕19号）的相关规定：</w:t>
            </w:r>
          </w:p>
          <w:p w14:paraId="461893A7">
            <w:pPr>
              <w:spacing w:line="360" w:lineRule="exact"/>
              <w:ind w:firstLine="110" w:firstLineChars="50"/>
              <w:rPr>
                <w:rFonts w:hint="eastAsia" w:ascii="宋体" w:hAnsi="宋体" w:cs="宋体"/>
                <w:color w:val="auto"/>
                <w:sz w:val="22"/>
                <w:szCs w:val="22"/>
                <w:highlight w:val="none"/>
              </w:rPr>
            </w:pPr>
            <w:r>
              <w:rPr>
                <w:rFonts w:hint="eastAsia" w:ascii="宋体" w:hAnsi="宋体" w:cs="宋体"/>
                <w:color w:val="auto"/>
                <w:sz w:val="22"/>
                <w:szCs w:val="22"/>
                <w:highlight w:val="none"/>
              </w:rPr>
              <w:t>2.1.是否为预留份额项目：</w:t>
            </w:r>
          </w:p>
          <w:p w14:paraId="56AA141C">
            <w:pPr>
              <w:spacing w:line="360" w:lineRule="exact"/>
              <w:rPr>
                <w:rFonts w:hint="eastAsia" w:ascii="宋体" w:hAnsi="宋体" w:cs="宋体"/>
                <w:color w:val="auto"/>
                <w:sz w:val="22"/>
                <w:szCs w:val="22"/>
                <w:highlight w:val="none"/>
              </w:rPr>
            </w:pPr>
            <w:r>
              <w:rPr>
                <w:rFonts w:hint="eastAsia" w:ascii="宋体" w:hAnsi="宋体" w:cs="宋体"/>
                <w:b/>
                <w:snapToGrid w:val="0"/>
                <w:color w:val="auto"/>
                <w:sz w:val="22"/>
                <w:szCs w:val="22"/>
                <w:highlight w:val="none"/>
              </w:rPr>
              <w:sym w:font="Wingdings" w:char="00A8"/>
            </w:r>
            <w:r>
              <w:rPr>
                <w:rFonts w:hint="eastAsia" w:ascii="宋体" w:hAnsi="宋体" w:cs="宋体"/>
                <w:color w:val="auto"/>
                <w:sz w:val="22"/>
                <w:szCs w:val="22"/>
                <w:highlight w:val="none"/>
              </w:rPr>
              <w:t>本项目为预留份额项目，专门面向中小企业采购。</w:t>
            </w:r>
          </w:p>
          <w:p w14:paraId="05C5E8AB">
            <w:pPr>
              <w:spacing w:line="360" w:lineRule="exact"/>
              <w:ind w:left="220" w:hanging="220" w:hangingChars="100"/>
              <w:rPr>
                <w:rFonts w:hint="eastAsia" w:ascii="宋体" w:hAnsi="宋体" w:cs="宋体"/>
                <w:color w:val="auto"/>
                <w:sz w:val="22"/>
                <w:szCs w:val="22"/>
                <w:highlight w:val="none"/>
              </w:rPr>
            </w:pPr>
            <w:r>
              <w:rPr>
                <w:rFonts w:hint="eastAsia" w:ascii="宋体" w:hAnsi="宋体" w:cs="宋体"/>
                <w:color w:val="auto"/>
                <w:sz w:val="22"/>
                <w:szCs w:val="22"/>
                <w:highlight w:val="none"/>
              </w:rPr>
              <w:sym w:font="Wingdings" w:char="00FE"/>
            </w:r>
            <w:r>
              <w:rPr>
                <w:rFonts w:hint="eastAsia" w:ascii="宋体" w:hAnsi="宋体" w:cs="宋体"/>
                <w:color w:val="auto"/>
                <w:sz w:val="22"/>
                <w:szCs w:val="22"/>
                <w:highlight w:val="none"/>
              </w:rPr>
              <w:t>本项目为非预留份额项目、非专门面向中小企业的项目</w:t>
            </w:r>
          </w:p>
          <w:p w14:paraId="4EFD127E">
            <w:pPr>
              <w:spacing w:line="360" w:lineRule="exact"/>
              <w:ind w:left="220" w:hanging="220" w:hangingChars="100"/>
              <w:rPr>
                <w:rFonts w:hint="eastAsia" w:ascii="宋体" w:hAnsi="宋体" w:cs="宋体"/>
                <w:color w:val="auto"/>
                <w:sz w:val="22"/>
                <w:szCs w:val="22"/>
                <w:highlight w:val="none"/>
              </w:rPr>
            </w:pPr>
            <w:r>
              <w:rPr>
                <w:rFonts w:hint="eastAsia" w:ascii="宋体" w:hAnsi="宋体" w:cs="宋体"/>
                <w:color w:val="auto"/>
                <w:sz w:val="22"/>
                <w:szCs w:val="22"/>
                <w:highlight w:val="none"/>
              </w:rPr>
              <w:sym w:font="Wingdings" w:char="00FE"/>
            </w:r>
            <w:r>
              <w:rPr>
                <w:rFonts w:hint="eastAsia" w:ascii="宋体" w:hAnsi="宋体" w:cs="宋体"/>
                <w:color w:val="auto"/>
                <w:sz w:val="22"/>
                <w:szCs w:val="22"/>
                <w:highlight w:val="none"/>
              </w:rPr>
              <w:t>在评审时对小型和微型企业报价给予</w:t>
            </w:r>
            <w:r>
              <w:rPr>
                <w:rFonts w:hint="eastAsia" w:ascii="宋体" w:hAnsi="宋体" w:cs="宋体"/>
                <w:color w:val="auto"/>
                <w:sz w:val="22"/>
                <w:szCs w:val="22"/>
                <w:highlight w:val="none"/>
                <w:u w:val="single"/>
                <w:lang w:val="en-US" w:eastAsia="zh-CN"/>
              </w:rPr>
              <w:t xml:space="preserve"> 10 </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en-US" w:eastAsia="zh-CN"/>
              </w:rPr>
              <w:t>（</w:t>
            </w:r>
            <w:r>
              <w:rPr>
                <w:rFonts w:hint="eastAsia" w:ascii="宋体" w:hAnsi="宋体" w:cs="宋体"/>
                <w:color w:val="auto"/>
                <w:sz w:val="22"/>
                <w:szCs w:val="22"/>
                <w:highlight w:val="none"/>
              </w:rPr>
              <w:t>工程项目为5%）的扣除，</w:t>
            </w:r>
            <w:r>
              <w:rPr>
                <w:rFonts w:hint="eastAsia" w:ascii="宋体" w:hAnsi="宋体" w:cs="宋体"/>
                <w:color w:val="auto"/>
                <w:sz w:val="22"/>
                <w:szCs w:val="22"/>
                <w:highlight w:val="none"/>
              </w:rPr>
              <w:t>用扣除后的价格参加评审。适用招标投标法的政府采购工程建设项目，采用综合评估法但未采用低价优先法计算价格分，评标时在采用原报价进行评分的基础上增加其价格得分的</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%（3%-5%）作为其价格分。</w:t>
            </w:r>
          </w:p>
          <w:p w14:paraId="01E6BDA9">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sym w:font="Wingdings" w:char="00A8"/>
            </w:r>
            <w:r>
              <w:rPr>
                <w:rFonts w:hint="eastAsia" w:ascii="宋体" w:hAnsi="宋体" w:cs="宋体"/>
                <w:color w:val="auto"/>
                <w:sz w:val="22"/>
                <w:szCs w:val="22"/>
                <w:highlight w:val="none"/>
              </w:rPr>
              <w:t>本项目为</w:t>
            </w:r>
            <w:r>
              <w:rPr>
                <w:rFonts w:hint="eastAsia" w:ascii="宋体" w:hAnsi="宋体" w:cs="宋体"/>
                <w:color w:val="auto"/>
                <w:sz w:val="22"/>
                <w:szCs w:val="22"/>
                <w:highlight w:val="none"/>
              </w:rPr>
              <w:sym w:font="Wingdings" w:char="00A8"/>
            </w:r>
            <w:r>
              <w:rPr>
                <w:rFonts w:hint="eastAsia" w:ascii="宋体" w:hAnsi="宋体" w:cs="宋体"/>
                <w:color w:val="auto"/>
                <w:sz w:val="22"/>
                <w:szCs w:val="22"/>
                <w:highlight w:val="none"/>
              </w:rPr>
              <w:t>接受大中型企业与小微企业组成联合体、</w:t>
            </w:r>
            <w:r>
              <w:rPr>
                <w:rFonts w:hint="eastAsia" w:ascii="宋体" w:hAnsi="宋体" w:cs="宋体"/>
                <w:color w:val="auto"/>
                <w:sz w:val="22"/>
                <w:szCs w:val="22"/>
                <w:highlight w:val="none"/>
              </w:rPr>
              <w:sym w:font="Wingdings" w:char="00A8"/>
            </w:r>
            <w:r>
              <w:rPr>
                <w:rFonts w:hint="eastAsia" w:ascii="宋体" w:hAnsi="宋体" w:cs="宋体"/>
                <w:color w:val="auto"/>
                <w:sz w:val="22"/>
                <w:szCs w:val="22"/>
                <w:highlight w:val="none"/>
              </w:rPr>
              <w:t>允许大中型企业向一家或者多家小微企业分包的采购项目，对于联合协议或者分包意向协议约定小微企业的合同份额占到合同总金额30%以上的，对联合体或者大中型企业的报价给予</w:t>
            </w:r>
            <w:r>
              <w:rPr>
                <w:rFonts w:hint="eastAsia" w:ascii="宋体" w:hAnsi="宋体" w:cs="宋体"/>
                <w:color w:val="auto"/>
                <w:sz w:val="22"/>
                <w:szCs w:val="22"/>
                <w:highlight w:val="none"/>
                <w:u w:val="single"/>
                <w:lang w:val="en-US" w:eastAsia="zh-CN"/>
              </w:rPr>
              <w:t>/</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w:t>
            </w:r>
            <w:r>
              <w:rPr>
                <w:rFonts w:hint="eastAsia" w:ascii="新宋体" w:hAnsi="新宋体" w:eastAsia="新宋体" w:cs="新宋体"/>
                <w:color w:val="auto"/>
                <w:kern w:val="0"/>
                <w:sz w:val="22"/>
                <w:szCs w:val="22"/>
                <w:highlight w:val="none"/>
              </w:rPr>
              <w:t>（4%-6%）</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工程项目为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en-US" w:eastAsia="zh-CN"/>
              </w:rPr>
              <w:t>/</w:t>
            </w:r>
            <w:r>
              <w:rPr>
                <w:rFonts w:hint="eastAsia" w:ascii="宋体" w:hAnsi="宋体" w:cs="宋体"/>
                <w:color w:val="auto"/>
                <w:sz w:val="22"/>
                <w:szCs w:val="22"/>
                <w:highlight w:val="none"/>
                <w:u w:val="single"/>
              </w:rPr>
              <w:t xml:space="preserve"> %</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1</w:t>
            </w:r>
            <w:r>
              <w:rPr>
                <w:rFonts w:hint="eastAsia" w:ascii="新宋体" w:hAnsi="新宋体" w:eastAsia="新宋体" w:cs="新宋体"/>
                <w:color w:val="auto"/>
                <w:kern w:val="0"/>
                <w:sz w:val="22"/>
                <w:szCs w:val="22"/>
                <w:highlight w:val="none"/>
              </w:rPr>
              <w:t>%-</w:t>
            </w:r>
            <w:r>
              <w:rPr>
                <w:rFonts w:hint="eastAsia" w:ascii="新宋体" w:hAnsi="新宋体" w:eastAsia="新宋体" w:cs="新宋体"/>
                <w:color w:val="auto"/>
                <w:kern w:val="0"/>
                <w:sz w:val="22"/>
                <w:szCs w:val="22"/>
                <w:highlight w:val="none"/>
                <w:lang w:val="en-US" w:eastAsia="zh-CN"/>
              </w:rPr>
              <w:t>2</w:t>
            </w:r>
            <w:r>
              <w:rPr>
                <w:rFonts w:hint="eastAsia" w:ascii="新宋体" w:hAnsi="新宋体" w:eastAsia="新宋体" w:cs="新宋体"/>
                <w:color w:val="auto"/>
                <w:kern w:val="0"/>
                <w:sz w:val="22"/>
                <w:szCs w:val="22"/>
                <w:highlight w:val="none"/>
              </w:rPr>
              <w:t>%）</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的扣除，</w:t>
            </w:r>
            <w:r>
              <w:rPr>
                <w:rFonts w:hint="eastAsia" w:ascii="宋体" w:hAnsi="宋体" w:cs="宋体"/>
                <w:color w:val="auto"/>
                <w:sz w:val="22"/>
                <w:szCs w:val="22"/>
                <w:highlight w:val="none"/>
              </w:rPr>
              <w:t>用扣除后的价格参加评审。</w:t>
            </w:r>
            <w:r>
              <w:rPr>
                <w:rFonts w:hint="eastAsia" w:ascii="宋体" w:hAnsi="宋体" w:cs="宋体"/>
                <w:color w:val="auto"/>
                <w:sz w:val="22"/>
                <w:szCs w:val="22"/>
                <w:highlight w:val="none"/>
              </w:rPr>
              <w:sym w:font="Wingdings" w:char="00A8"/>
            </w:r>
            <w:r>
              <w:rPr>
                <w:rFonts w:hint="eastAsia" w:ascii="宋体" w:hAnsi="宋体" w:cs="宋体"/>
                <w:color w:val="auto"/>
                <w:sz w:val="22"/>
                <w:szCs w:val="22"/>
                <w:highlight w:val="none"/>
              </w:rPr>
              <w:t>本项目为适用招标投标法的政府采购工程建设项目，采用综合评估法但未采用低价优先法计算价格分，评标时在采用原报价进行评分的基础上增加其价格得分的</w:t>
            </w:r>
            <w:r>
              <w:rPr>
                <w:rFonts w:hint="eastAsia" w:ascii="宋体" w:hAnsi="宋体" w:cs="宋体"/>
                <w:color w:val="auto"/>
                <w:sz w:val="22"/>
                <w:szCs w:val="22"/>
                <w:highlight w:val="none"/>
                <w:u w:val="single"/>
              </w:rPr>
              <w:t xml:space="preserve"> </w:t>
            </w:r>
            <w:r>
              <w:rPr>
                <w:rFonts w:ascii="宋体" w:hAnsi="宋体" w:cs="宋体"/>
                <w:color w:val="auto"/>
                <w:sz w:val="22"/>
                <w:szCs w:val="22"/>
                <w:highlight w:val="none"/>
                <w:u w:val="single"/>
              </w:rPr>
              <w:t>/</w:t>
            </w:r>
            <w:r>
              <w:rPr>
                <w:rFonts w:hint="eastAsia" w:ascii="宋体" w:hAnsi="宋体" w:cs="宋体"/>
                <w:color w:val="auto"/>
                <w:sz w:val="22"/>
                <w:szCs w:val="22"/>
                <w:highlight w:val="none"/>
              </w:rPr>
              <w:t xml:space="preserve"> %（1%—2%）作为其价格分。</w:t>
            </w:r>
          </w:p>
          <w:p w14:paraId="6EF868DB">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2.2组成联合体或者接受分包的小微企业与联合体内其他企业、分包企业之间存在直接控股、管理关系的，不享受价格扣除优惠政策。</w:t>
            </w:r>
          </w:p>
          <w:p w14:paraId="4FCCF6B3">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2.3价格扣除比例或者价格分加分比例对小型企业和微型企业同等对待，不作区分。</w:t>
            </w:r>
          </w:p>
          <w:p w14:paraId="7825C925">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2.4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15D5ADA9">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2.5接受分包的项目，享受扶持政策获得政府采购合同的，小微企业不得将合同分包给大中型企业，中型企业不得将合同分包给大型企业。</w:t>
            </w:r>
          </w:p>
          <w:p w14:paraId="01DEB401">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3、根据财库〔2017〕141号的相关规定，在政府采购活动中，残疾人福利性单位视同小型、微型企业，享受评审中价格扣除政策。属于享受政府采购支持政策的残疾人福利性单位，应满足财库〔2017〕141号文件第一条的规定，并在响应文件中提供残疾人福利性单位声明函。</w:t>
            </w:r>
          </w:p>
          <w:p w14:paraId="06D6D10A">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4、根据财库〔2014〕68号的相关规定，在政府采购活动中，监狱企业视同小型、微型企业，享受评审中价格扣除政策，并在响应文件中提供由省级以上监狱管理局、戒毒管理局（含新疆生产建设兵团）出具的属于监狱企业的证明文件。</w:t>
            </w:r>
          </w:p>
          <w:p w14:paraId="59B3AEC6">
            <w:pPr>
              <w:spacing w:line="360" w:lineRule="exact"/>
              <w:rPr>
                <w:rFonts w:hint="eastAsia" w:ascii="宋体" w:hAnsi="宋体" w:cs="宋体"/>
                <w:color w:val="auto"/>
                <w:kern w:val="0"/>
                <w:sz w:val="22"/>
                <w:szCs w:val="22"/>
                <w:highlight w:val="none"/>
              </w:rPr>
            </w:pPr>
            <w:r>
              <w:rPr>
                <w:rFonts w:hint="eastAsia" w:ascii="宋体" w:hAnsi="宋体" w:cs="宋体"/>
                <w:b/>
                <w:bCs/>
                <w:color w:val="auto"/>
                <w:sz w:val="22"/>
                <w:szCs w:val="22"/>
                <w:highlight w:val="none"/>
              </w:rPr>
              <w:t>(注：未提供以上材料的，均不给予价格扣除，以上优惠政策只享受一次）。</w:t>
            </w:r>
          </w:p>
        </w:tc>
      </w:tr>
      <w:tr w14:paraId="033E4FDB">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11DB8DDD">
            <w:pPr>
              <w:spacing w:line="360" w:lineRule="exact"/>
              <w:jc w:val="center"/>
              <w:rPr>
                <w:rFonts w:hint="eastAsia" w:ascii="宋体" w:hAnsi="宋体" w:cs="宋体"/>
                <w:bCs/>
                <w:color w:val="auto"/>
                <w:kern w:val="0"/>
                <w:sz w:val="22"/>
                <w:szCs w:val="22"/>
                <w:highlight w:val="none"/>
              </w:rPr>
            </w:pPr>
            <w:r>
              <w:rPr>
                <w:rFonts w:hint="eastAsia" w:ascii="宋体" w:hAnsi="宋体" w:cs="宋体"/>
                <w:bCs/>
                <w:color w:val="auto"/>
                <w:sz w:val="22"/>
                <w:szCs w:val="22"/>
                <w:highlight w:val="none"/>
              </w:rPr>
              <w:t>是否允许采购进口产品</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4AA62F8B">
            <w:pPr>
              <w:spacing w:line="360" w:lineRule="exact"/>
              <w:rPr>
                <w:rFonts w:hint="eastAsia" w:ascii="宋体" w:hAnsi="宋体" w:cs="宋体"/>
                <w:bCs/>
                <w:color w:val="auto"/>
                <w:kern w:val="0"/>
                <w:sz w:val="22"/>
                <w:szCs w:val="22"/>
                <w:highlight w:val="none"/>
              </w:rPr>
            </w:pPr>
            <w:r>
              <w:rPr>
                <w:rFonts w:hint="eastAsia" w:ascii="宋体" w:hAnsi="宋体" w:cs="宋体"/>
                <w:color w:val="auto"/>
                <w:sz w:val="22"/>
                <w:szCs w:val="22"/>
                <w:highlight w:val="none"/>
              </w:rPr>
              <w:sym w:font="Wingdings" w:char="F0FE"/>
            </w:r>
            <w:r>
              <w:rPr>
                <w:rFonts w:hint="eastAsia" w:ascii="宋体" w:hAnsi="宋体" w:cs="宋体"/>
                <w:bCs/>
                <w:color w:val="auto"/>
                <w:kern w:val="0"/>
                <w:sz w:val="22"/>
                <w:szCs w:val="22"/>
                <w:highlight w:val="none"/>
              </w:rPr>
              <w:t>本项目不允许采购进口产品。</w:t>
            </w:r>
          </w:p>
          <w:p w14:paraId="494B4C2E">
            <w:pPr>
              <w:spacing w:line="360" w:lineRule="exact"/>
              <w:rPr>
                <w:rFonts w:hint="eastAsia" w:ascii="宋体" w:hAnsi="宋体" w:cs="宋体"/>
                <w:b/>
                <w:bCs/>
                <w:color w:val="auto"/>
                <w:sz w:val="22"/>
                <w:szCs w:val="22"/>
                <w:highlight w:val="none"/>
              </w:rPr>
            </w:pPr>
            <w:r>
              <w:rPr>
                <w:rFonts w:hint="eastAsia" w:ascii="宋体" w:hAnsi="宋体" w:cs="宋体"/>
                <w:bCs/>
                <w:color w:val="auto"/>
                <w:kern w:val="0"/>
                <w:sz w:val="22"/>
                <w:szCs w:val="22"/>
                <w:highlight w:val="none"/>
              </w:rPr>
              <w:sym w:font="Wingdings" w:char="00A8"/>
            </w:r>
            <w:r>
              <w:rPr>
                <w:rFonts w:hint="eastAsia" w:ascii="宋体" w:hAnsi="宋体" w:cs="宋体"/>
                <w:bCs/>
                <w:color w:val="auto"/>
                <w:kern w:val="0"/>
                <w:sz w:val="22"/>
                <w:szCs w:val="22"/>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14:paraId="07002F16">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01CBC53D">
            <w:pPr>
              <w:spacing w:line="360" w:lineRule="exact"/>
              <w:jc w:val="center"/>
              <w:rPr>
                <w:rFonts w:hint="eastAsia" w:ascii="宋体" w:hAnsi="宋体" w:cs="宋体"/>
                <w:bCs/>
                <w:color w:val="auto"/>
                <w:sz w:val="22"/>
                <w:szCs w:val="22"/>
                <w:highlight w:val="none"/>
              </w:rPr>
            </w:pPr>
            <w:r>
              <w:rPr>
                <w:rFonts w:hint="eastAsia" w:ascii="宋体" w:hAnsi="宋体" w:cs="宋体"/>
                <w:color w:val="auto"/>
                <w:sz w:val="22"/>
                <w:szCs w:val="22"/>
                <w:highlight w:val="none"/>
              </w:rPr>
              <w:t>政府采购信用融资</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648BC547">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tc>
      </w:tr>
      <w:tr w14:paraId="287E4ADB">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78F3FB80">
            <w:pPr>
              <w:spacing w:line="360" w:lineRule="exact"/>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履约保证金</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05448EED">
            <w:pPr>
              <w:spacing w:line="36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履约担保</w:t>
            </w:r>
            <w:r>
              <w:rPr>
                <w:rFonts w:hint="eastAsia" w:ascii="宋体" w:hAnsi="宋体" w:cs="宋体"/>
                <w:color w:val="auto"/>
                <w:sz w:val="22"/>
                <w:szCs w:val="22"/>
                <w:highlight w:val="none"/>
              </w:rPr>
              <w:t>的形式：接受支票、汇票、本票或者金融机构、担保机构出具的保函等非现金形式。</w:t>
            </w:r>
          </w:p>
          <w:p w14:paraId="05246FB3">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履约担保的金额：合同金额的</w:t>
            </w:r>
            <w:r>
              <w:rPr>
                <w:rFonts w:ascii="宋体" w:hAnsi="宋体" w:cs="宋体"/>
                <w:color w:val="auto"/>
                <w:sz w:val="22"/>
                <w:szCs w:val="22"/>
                <w:highlight w:val="none"/>
              </w:rPr>
              <w:t>1</w:t>
            </w:r>
            <w:r>
              <w:rPr>
                <w:rFonts w:hint="eastAsia" w:ascii="宋体" w:hAnsi="宋体" w:cs="宋体"/>
                <w:color w:val="auto"/>
                <w:sz w:val="22"/>
                <w:szCs w:val="22"/>
                <w:highlight w:val="none"/>
              </w:rPr>
              <w:t>%</w:t>
            </w:r>
          </w:p>
          <w:p w14:paraId="13D8C8BB">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成交供应商在接到成交通知书签订合同后</w:t>
            </w:r>
            <w:r>
              <w:rPr>
                <w:rFonts w:hint="eastAsia" w:ascii="宋体" w:hAnsi="宋体" w:cs="宋体"/>
                <w:color w:val="auto"/>
                <w:sz w:val="22"/>
                <w:szCs w:val="22"/>
                <w:highlight w:val="none"/>
                <w:lang w:val="en-US" w:eastAsia="zh-CN"/>
              </w:rPr>
              <w:t>7</w:t>
            </w:r>
            <w:r>
              <w:rPr>
                <w:rFonts w:hint="eastAsia" w:ascii="宋体" w:hAnsi="宋体" w:cs="宋体"/>
                <w:color w:val="auto"/>
                <w:sz w:val="22"/>
                <w:szCs w:val="22"/>
                <w:highlight w:val="none"/>
              </w:rPr>
              <w:t>个工作日内须向采购人提交履约担保，并且要保证履约担保在合同履行期间的有效性。</w:t>
            </w:r>
          </w:p>
        </w:tc>
      </w:tr>
      <w:tr w14:paraId="4816912C">
        <w:tblPrEx>
          <w:tblCellMar>
            <w:top w:w="0" w:type="dxa"/>
            <w:left w:w="108" w:type="dxa"/>
            <w:bottom w:w="0" w:type="dxa"/>
            <w:right w:w="108" w:type="dxa"/>
          </w:tblCellMar>
        </w:tblPrEx>
        <w:trPr>
          <w:trHeight w:val="5117" w:hRule="atLeast"/>
        </w:trPr>
        <w:tc>
          <w:tcPr>
            <w:tcW w:w="1769" w:type="dxa"/>
            <w:tcBorders>
              <w:top w:val="single" w:color="auto" w:sz="6" w:space="0"/>
              <w:left w:val="single" w:color="auto" w:sz="6" w:space="0"/>
              <w:bottom w:val="single" w:color="auto" w:sz="6" w:space="0"/>
              <w:right w:val="single" w:color="auto" w:sz="6" w:space="0"/>
            </w:tcBorders>
            <w:vAlign w:val="center"/>
          </w:tcPr>
          <w:p w14:paraId="03A9B6BC">
            <w:pPr>
              <w:spacing w:line="360" w:lineRule="exact"/>
              <w:jc w:val="center"/>
              <w:rPr>
                <w:rFonts w:hint="eastAsia" w:ascii="宋体" w:hAnsi="宋体"/>
                <w:color w:val="auto"/>
                <w:sz w:val="22"/>
                <w:szCs w:val="22"/>
                <w:highlight w:val="none"/>
              </w:rPr>
            </w:pPr>
            <w:r>
              <w:rPr>
                <w:rFonts w:hint="eastAsia" w:ascii="宋体" w:hAnsi="宋体"/>
                <w:color w:val="auto"/>
                <w:sz w:val="22"/>
                <w:szCs w:val="22"/>
                <w:highlight w:val="none"/>
              </w:rPr>
              <w:t>付款方式</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4F73C94E">
            <w:pPr>
              <w:keepNext w:val="0"/>
              <w:keepLines w:val="0"/>
              <w:pageBreakBefore w:val="0"/>
              <w:widowControl w:val="0"/>
              <w:kinsoku/>
              <w:wordWrap/>
              <w:overflowPunct/>
              <w:topLinePunct w:val="0"/>
              <w:autoSpaceDE/>
              <w:autoSpaceDN/>
              <w:bidi w:val="0"/>
              <w:adjustRightInd/>
              <w:spacing w:line="380" w:lineRule="exact"/>
              <w:textAlignment w:val="auto"/>
              <w:rPr>
                <w:rFonts w:ascii="宋体" w:hAnsi="宋体"/>
                <w:b/>
                <w:color w:val="auto"/>
                <w:sz w:val="22"/>
                <w:szCs w:val="22"/>
                <w:highlight w:val="none"/>
                <w:u w:val="single"/>
              </w:rPr>
            </w:pPr>
            <w:r>
              <w:rPr>
                <w:rFonts w:hint="eastAsia" w:ascii="宋体" w:hAnsi="宋体"/>
                <w:b/>
                <w:color w:val="auto"/>
                <w:sz w:val="22"/>
                <w:szCs w:val="22"/>
                <w:highlight w:val="none"/>
                <w:u w:val="single"/>
              </w:rPr>
              <w:t>1）合同签订后，</w:t>
            </w:r>
            <w:r>
              <w:rPr>
                <w:rFonts w:hint="eastAsia" w:ascii="宋体" w:hAnsi="宋体"/>
                <w:b/>
                <w:color w:val="auto"/>
                <w:sz w:val="22"/>
                <w:szCs w:val="22"/>
                <w:highlight w:val="none"/>
                <w:u w:val="single"/>
                <w:lang w:val="en-US" w:eastAsia="zh-CN"/>
              </w:rPr>
              <w:t>待财政资金下达后</w:t>
            </w:r>
            <w:r>
              <w:rPr>
                <w:rFonts w:hint="eastAsia" w:ascii="宋体" w:hAnsi="宋体"/>
                <w:b/>
                <w:color w:val="auto"/>
                <w:sz w:val="22"/>
                <w:szCs w:val="22"/>
                <w:highlight w:val="none"/>
                <w:u w:val="single"/>
              </w:rPr>
              <w:t>采购人支付合同总额30%的预付款；</w:t>
            </w:r>
          </w:p>
          <w:p w14:paraId="4F28B2F4">
            <w:pPr>
              <w:keepNext w:val="0"/>
              <w:keepLines w:val="0"/>
              <w:pageBreakBefore w:val="0"/>
              <w:widowControl w:val="0"/>
              <w:kinsoku/>
              <w:wordWrap/>
              <w:overflowPunct/>
              <w:topLinePunct w:val="0"/>
              <w:autoSpaceDE/>
              <w:autoSpaceDN/>
              <w:bidi w:val="0"/>
              <w:adjustRightInd/>
              <w:spacing w:line="380" w:lineRule="exact"/>
              <w:textAlignment w:val="auto"/>
              <w:rPr>
                <w:rFonts w:ascii="宋体" w:hAnsi="宋体"/>
                <w:b/>
                <w:color w:val="auto"/>
                <w:sz w:val="22"/>
                <w:szCs w:val="22"/>
                <w:highlight w:val="none"/>
                <w:u w:val="single"/>
              </w:rPr>
            </w:pPr>
            <w:r>
              <w:rPr>
                <w:rFonts w:hint="eastAsia" w:ascii="宋体" w:hAnsi="宋体"/>
                <w:b/>
                <w:color w:val="auto"/>
                <w:sz w:val="22"/>
                <w:szCs w:val="22"/>
                <w:highlight w:val="none"/>
                <w:u w:val="single"/>
              </w:rPr>
              <w:t>2）工程竣工验收合格后，</w:t>
            </w:r>
            <w:r>
              <w:rPr>
                <w:rFonts w:hint="eastAsia" w:ascii="宋体" w:hAnsi="宋体"/>
                <w:b/>
                <w:color w:val="auto"/>
                <w:sz w:val="22"/>
                <w:szCs w:val="22"/>
                <w:highlight w:val="none"/>
                <w:u w:val="single"/>
                <w:lang w:val="en-US" w:eastAsia="zh-CN"/>
              </w:rPr>
              <w:t>待财政资金下达后</w:t>
            </w:r>
            <w:r>
              <w:rPr>
                <w:rFonts w:hint="eastAsia" w:ascii="宋体" w:hAnsi="宋体"/>
                <w:b/>
                <w:color w:val="auto"/>
                <w:sz w:val="22"/>
                <w:szCs w:val="22"/>
                <w:highlight w:val="none"/>
                <w:u w:val="single"/>
              </w:rPr>
              <w:t>采购人付至</w:t>
            </w:r>
            <w:r>
              <w:rPr>
                <w:rFonts w:hint="eastAsia" w:ascii="宋体" w:hAnsi="宋体"/>
                <w:b/>
                <w:color w:val="auto"/>
                <w:sz w:val="22"/>
                <w:szCs w:val="22"/>
                <w:highlight w:val="none"/>
                <w:u w:val="single"/>
                <w:lang w:val="en-US" w:eastAsia="zh-CN"/>
              </w:rPr>
              <w:t>合同总额</w:t>
            </w:r>
            <w:r>
              <w:rPr>
                <w:rFonts w:hint="eastAsia" w:ascii="宋体" w:hAnsi="宋体"/>
                <w:b/>
                <w:color w:val="auto"/>
                <w:sz w:val="22"/>
                <w:szCs w:val="22"/>
                <w:highlight w:val="none"/>
                <w:u w:val="single"/>
              </w:rPr>
              <w:t>80%的工程</w:t>
            </w:r>
            <w:r>
              <w:rPr>
                <w:rFonts w:hint="eastAsia" w:ascii="宋体" w:hAnsi="宋体"/>
                <w:b/>
                <w:color w:val="auto"/>
                <w:sz w:val="22"/>
                <w:szCs w:val="22"/>
                <w:highlight w:val="none"/>
                <w:u w:val="single"/>
                <w:lang w:val="en-US" w:eastAsia="zh-CN"/>
              </w:rPr>
              <w:t>进度款</w:t>
            </w:r>
            <w:r>
              <w:rPr>
                <w:rFonts w:hint="eastAsia" w:ascii="宋体" w:hAnsi="宋体"/>
                <w:b/>
                <w:color w:val="auto"/>
                <w:sz w:val="22"/>
                <w:szCs w:val="22"/>
                <w:highlight w:val="none"/>
                <w:u w:val="single"/>
              </w:rPr>
              <w:t>；</w:t>
            </w:r>
          </w:p>
          <w:p w14:paraId="2AD1A43A">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3）竣工结算完成后，采购人付至结算价</w:t>
            </w:r>
            <w:r>
              <w:rPr>
                <w:rFonts w:hint="eastAsia" w:ascii="宋体" w:hAnsi="宋体"/>
                <w:b/>
                <w:color w:val="auto"/>
                <w:sz w:val="22"/>
                <w:szCs w:val="22"/>
                <w:highlight w:val="none"/>
                <w:u w:val="single"/>
                <w:lang w:eastAsia="zh-CN"/>
              </w:rPr>
              <w:t>（</w:t>
            </w:r>
            <w:r>
              <w:rPr>
                <w:rFonts w:hint="eastAsia" w:ascii="宋体" w:hAnsi="宋体"/>
                <w:b/>
                <w:color w:val="auto"/>
                <w:sz w:val="22"/>
                <w:szCs w:val="22"/>
                <w:highlight w:val="none"/>
                <w:u w:val="single"/>
                <w:lang w:val="en-US" w:eastAsia="zh-CN"/>
              </w:rPr>
              <w:t>以第三方审计为准</w:t>
            </w:r>
            <w:r>
              <w:rPr>
                <w:rFonts w:hint="eastAsia" w:ascii="宋体" w:hAnsi="宋体"/>
                <w:b/>
                <w:color w:val="auto"/>
                <w:sz w:val="22"/>
                <w:szCs w:val="22"/>
                <w:highlight w:val="none"/>
                <w:u w:val="single"/>
                <w:lang w:eastAsia="zh-CN"/>
              </w:rPr>
              <w:t>）</w:t>
            </w:r>
            <w:r>
              <w:rPr>
                <w:rFonts w:hint="eastAsia" w:ascii="宋体" w:hAnsi="宋体"/>
                <w:b/>
                <w:color w:val="auto"/>
                <w:sz w:val="22"/>
                <w:szCs w:val="22"/>
                <w:highlight w:val="none"/>
                <w:u w:val="single"/>
              </w:rPr>
              <w:t>的100%，同时无息退还履约保证金，承包人另行提交结算款的1.5%（允许使用银行转账或保函）作为工程质量保修金（不计利息）；</w:t>
            </w:r>
          </w:p>
          <w:p w14:paraId="1DA07D1D">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4）竣工验收完成后2个月内必须提交工程结算资料，否则迟一天罚款1000元人民币；</w:t>
            </w:r>
          </w:p>
          <w:p w14:paraId="0D3C6F68">
            <w:pPr>
              <w:keepNext w:val="0"/>
              <w:keepLines w:val="0"/>
              <w:pageBreakBefore w:val="0"/>
              <w:widowControl w:val="0"/>
              <w:kinsoku/>
              <w:wordWrap/>
              <w:overflowPunct/>
              <w:topLinePunct w:val="0"/>
              <w:autoSpaceDE/>
              <w:autoSpaceDN/>
              <w:bidi w:val="0"/>
              <w:adjustRightInd/>
              <w:spacing w:line="380" w:lineRule="exact"/>
              <w:textAlignment w:val="auto"/>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5）</w:t>
            </w:r>
            <w:r>
              <w:rPr>
                <w:rFonts w:hint="eastAsia" w:ascii="宋体" w:hAnsi="宋体"/>
                <w:b/>
                <w:color w:val="auto"/>
                <w:sz w:val="22"/>
                <w:szCs w:val="22"/>
                <w:highlight w:val="none"/>
                <w:u w:val="single"/>
              </w:rPr>
              <w:t>二年保修期满后</w:t>
            </w:r>
            <w:r>
              <w:rPr>
                <w:rFonts w:hint="eastAsia" w:ascii="宋体" w:hAnsi="宋体"/>
                <w:b/>
                <w:color w:val="auto"/>
                <w:sz w:val="22"/>
                <w:szCs w:val="22"/>
                <w:highlight w:val="none"/>
                <w:u w:val="single"/>
              </w:rPr>
              <w:t>，扣除由发包人垫付的应由承包人承担的维修款后，一次性退还（保修期从竣工验收存在问题全部整改完成并经核实之日起开始计算）。</w:t>
            </w:r>
          </w:p>
          <w:p w14:paraId="079B639B">
            <w:pPr>
              <w:keepNext w:val="0"/>
              <w:keepLines w:val="0"/>
              <w:pageBreakBefore w:val="0"/>
              <w:widowControl w:val="0"/>
              <w:kinsoku/>
              <w:wordWrap/>
              <w:overflowPunct/>
              <w:topLinePunct w:val="0"/>
              <w:autoSpaceDE/>
              <w:autoSpaceDN/>
              <w:bidi w:val="0"/>
              <w:adjustRightInd/>
              <w:snapToGrid w:val="0"/>
              <w:spacing w:line="380" w:lineRule="exact"/>
              <w:jc w:val="left"/>
              <w:textAlignment w:val="auto"/>
              <w:rPr>
                <w:rFonts w:ascii="宋体" w:hAnsi="宋体"/>
                <w:b/>
                <w:color w:val="auto"/>
                <w:sz w:val="22"/>
                <w:szCs w:val="22"/>
                <w:highlight w:val="none"/>
                <w:u w:val="single"/>
              </w:rPr>
            </w:pPr>
            <w:r>
              <w:rPr>
                <w:rFonts w:hint="eastAsia" w:ascii="宋体" w:hAnsi="宋体"/>
                <w:b/>
                <w:color w:val="auto"/>
                <w:sz w:val="22"/>
                <w:szCs w:val="22"/>
                <w:highlight w:val="none"/>
                <w:u w:val="single"/>
                <w:lang w:val="en-US" w:eastAsia="zh-CN"/>
              </w:rPr>
              <w:t>6）</w:t>
            </w:r>
            <w:r>
              <w:rPr>
                <w:rFonts w:hint="eastAsia" w:ascii="宋体" w:hAnsi="宋体"/>
                <w:b/>
                <w:color w:val="auto"/>
                <w:sz w:val="22"/>
                <w:szCs w:val="22"/>
                <w:highlight w:val="none"/>
                <w:u w:val="single"/>
              </w:rPr>
              <w:t>保修期期间如出现质量问题，</w:t>
            </w:r>
            <w:r>
              <w:rPr>
                <w:rFonts w:hint="eastAsia" w:ascii="宋体" w:hAnsi="宋体"/>
                <w:b/>
                <w:color w:val="auto"/>
                <w:sz w:val="22"/>
                <w:szCs w:val="22"/>
                <w:highlight w:val="none"/>
                <w:u w:val="single"/>
                <w:lang w:val="en-US" w:eastAsia="zh-CN"/>
              </w:rPr>
              <w:t>成交供应商</w:t>
            </w:r>
            <w:r>
              <w:rPr>
                <w:rFonts w:hint="eastAsia" w:ascii="宋体" w:hAnsi="宋体"/>
                <w:b/>
                <w:color w:val="auto"/>
                <w:sz w:val="22"/>
                <w:szCs w:val="22"/>
                <w:highlight w:val="none"/>
                <w:u w:val="single"/>
              </w:rPr>
              <w:t>在接到</w:t>
            </w:r>
            <w:r>
              <w:rPr>
                <w:rFonts w:hint="eastAsia" w:ascii="宋体" w:hAnsi="宋体"/>
                <w:b/>
                <w:color w:val="auto"/>
                <w:sz w:val="22"/>
                <w:szCs w:val="22"/>
                <w:highlight w:val="none"/>
                <w:u w:val="single"/>
                <w:lang w:val="en-US" w:eastAsia="zh-CN"/>
              </w:rPr>
              <w:t>采购人</w:t>
            </w:r>
            <w:r>
              <w:rPr>
                <w:rFonts w:hint="eastAsia" w:ascii="宋体" w:hAnsi="宋体"/>
                <w:b/>
                <w:color w:val="auto"/>
                <w:sz w:val="22"/>
                <w:szCs w:val="22"/>
                <w:highlight w:val="none"/>
                <w:u w:val="single"/>
              </w:rPr>
              <w:t>维修通知后2天内没有响应，</w:t>
            </w:r>
            <w:r>
              <w:rPr>
                <w:rFonts w:hint="eastAsia" w:ascii="宋体" w:hAnsi="宋体"/>
                <w:b/>
                <w:color w:val="auto"/>
                <w:sz w:val="22"/>
                <w:szCs w:val="22"/>
                <w:highlight w:val="none"/>
                <w:u w:val="single"/>
                <w:lang w:val="en-US" w:eastAsia="zh-CN"/>
              </w:rPr>
              <w:t>采购人</w:t>
            </w:r>
            <w:r>
              <w:rPr>
                <w:rFonts w:hint="eastAsia" w:ascii="宋体" w:hAnsi="宋体"/>
                <w:b/>
                <w:color w:val="auto"/>
                <w:sz w:val="22"/>
                <w:szCs w:val="22"/>
                <w:highlight w:val="none"/>
                <w:u w:val="single"/>
              </w:rPr>
              <w:t>将自行委托维修，费用在工程质量保修金中扣除，并加收50%管理费用。</w:t>
            </w:r>
          </w:p>
          <w:p w14:paraId="5037DC0D">
            <w:pPr>
              <w:keepNext w:val="0"/>
              <w:keepLines w:val="0"/>
              <w:pageBreakBefore w:val="0"/>
              <w:widowControl w:val="0"/>
              <w:kinsoku/>
              <w:wordWrap/>
              <w:overflowPunct/>
              <w:topLinePunct w:val="0"/>
              <w:autoSpaceDE/>
              <w:autoSpaceDN/>
              <w:bidi w:val="0"/>
              <w:adjustRightInd/>
              <w:snapToGrid w:val="0"/>
              <w:spacing w:line="380" w:lineRule="exact"/>
              <w:textAlignment w:val="auto"/>
              <w:rPr>
                <w:rFonts w:hint="eastAsia"/>
                <w:color w:val="auto"/>
                <w:highlight w:val="none"/>
              </w:rPr>
            </w:pPr>
            <w:r>
              <w:rPr>
                <w:rFonts w:hint="eastAsia" w:ascii="宋体" w:hAnsi="宋体"/>
                <w:b/>
                <w:color w:val="auto"/>
                <w:sz w:val="22"/>
                <w:szCs w:val="22"/>
                <w:highlight w:val="none"/>
                <w:u w:val="single"/>
                <w:lang w:val="en-US" w:eastAsia="zh-CN"/>
              </w:rPr>
              <w:t>7）成交供应商</w:t>
            </w:r>
            <w:r>
              <w:rPr>
                <w:rFonts w:hint="eastAsia" w:ascii="宋体" w:hAnsi="宋体"/>
                <w:b/>
                <w:color w:val="auto"/>
                <w:sz w:val="22"/>
                <w:szCs w:val="22"/>
                <w:highlight w:val="none"/>
                <w:u w:val="single"/>
              </w:rPr>
              <w:t>在预验收后，应该清运建筑垃圾及可能影响其他工程施工的材料。否则</w:t>
            </w:r>
            <w:r>
              <w:rPr>
                <w:rFonts w:hint="eastAsia" w:ascii="宋体" w:hAnsi="宋体"/>
                <w:b/>
                <w:color w:val="auto"/>
                <w:sz w:val="22"/>
                <w:szCs w:val="22"/>
                <w:highlight w:val="none"/>
                <w:u w:val="single"/>
                <w:lang w:val="en-US" w:eastAsia="zh-CN"/>
              </w:rPr>
              <w:t>采购人</w:t>
            </w:r>
            <w:r>
              <w:rPr>
                <w:rFonts w:hint="eastAsia" w:ascii="宋体" w:hAnsi="宋体"/>
                <w:b/>
                <w:color w:val="auto"/>
                <w:sz w:val="22"/>
                <w:szCs w:val="22"/>
                <w:highlight w:val="none"/>
                <w:u w:val="single"/>
              </w:rPr>
              <w:t>有权自行处理，费用由</w:t>
            </w:r>
            <w:r>
              <w:rPr>
                <w:rFonts w:hint="eastAsia" w:ascii="宋体" w:hAnsi="宋体"/>
                <w:b/>
                <w:color w:val="auto"/>
                <w:sz w:val="22"/>
                <w:szCs w:val="22"/>
                <w:highlight w:val="none"/>
                <w:u w:val="single"/>
                <w:lang w:val="en-US" w:eastAsia="zh-CN"/>
              </w:rPr>
              <w:t>成交供应商</w:t>
            </w:r>
            <w:r>
              <w:rPr>
                <w:rFonts w:hint="eastAsia" w:ascii="宋体" w:hAnsi="宋体"/>
                <w:b/>
                <w:color w:val="auto"/>
                <w:sz w:val="22"/>
                <w:szCs w:val="22"/>
                <w:highlight w:val="none"/>
                <w:u w:val="single"/>
              </w:rPr>
              <w:t>承担。</w:t>
            </w:r>
          </w:p>
        </w:tc>
      </w:tr>
      <w:tr w14:paraId="1BC21A7A">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42118207">
            <w:pPr>
              <w:spacing w:line="360" w:lineRule="exact"/>
              <w:jc w:val="center"/>
              <w:rPr>
                <w:rFonts w:hint="eastAsia" w:ascii="宋体" w:hAnsi="宋体"/>
                <w:color w:val="auto"/>
                <w:sz w:val="22"/>
                <w:szCs w:val="22"/>
                <w:highlight w:val="none"/>
              </w:rPr>
            </w:pPr>
            <w:r>
              <w:rPr>
                <w:rFonts w:hint="eastAsia" w:ascii="宋体" w:hAnsi="宋体" w:cs="宋体"/>
                <w:color w:val="auto"/>
                <w:kern w:val="0"/>
                <w:sz w:val="22"/>
                <w:szCs w:val="22"/>
                <w:highlight w:val="none"/>
              </w:rPr>
              <w:t>采购代理服务费</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73C17F2B">
            <w:pPr>
              <w:spacing w:line="360" w:lineRule="exact"/>
              <w:rPr>
                <w:rFonts w:hint="eastAsia" w:ascii="宋体" w:hAnsi="宋体" w:cs="宋体"/>
                <w:color w:val="auto"/>
                <w:sz w:val="22"/>
                <w:szCs w:val="22"/>
                <w:highlight w:val="none"/>
              </w:rPr>
            </w:pPr>
            <w:r>
              <w:rPr>
                <w:rFonts w:hint="eastAsia" w:ascii="宋体" w:hAnsi="宋体" w:cs="宋体"/>
                <w:bCs/>
                <w:caps/>
                <w:color w:val="auto"/>
                <w:sz w:val="22"/>
                <w:szCs w:val="22"/>
                <w:highlight w:val="none"/>
                <w:u w:val="none"/>
              </w:rPr>
              <w:t>1.</w:t>
            </w:r>
            <w:r>
              <w:rPr>
                <w:rFonts w:hint="eastAsia" w:ascii="宋体" w:hAnsi="宋体" w:eastAsia="宋体" w:cs="宋体"/>
                <w:b w:val="0"/>
                <w:bCs w:val="0"/>
                <w:color w:val="auto"/>
                <w:sz w:val="22"/>
                <w:szCs w:val="22"/>
                <w:highlight w:val="none"/>
              </w:rPr>
              <w:t>采购代理服务费按</w:t>
            </w:r>
            <w:r>
              <w:rPr>
                <w:rFonts w:hint="eastAsia" w:ascii="宋体" w:hAnsi="宋体" w:eastAsia="宋体" w:cs="宋体"/>
                <w:b w:val="0"/>
                <w:bCs w:val="0"/>
                <w:color w:val="auto"/>
                <w:sz w:val="22"/>
                <w:szCs w:val="22"/>
                <w:highlight w:val="none"/>
                <w:lang w:val="en-US" w:eastAsia="zh-CN"/>
              </w:rPr>
              <w:t>11</w:t>
            </w:r>
            <w:r>
              <w:rPr>
                <w:rFonts w:hint="eastAsia" w:ascii="宋体" w:hAnsi="宋体" w:cs="宋体"/>
                <w:b w:val="0"/>
                <w:bCs w:val="0"/>
                <w:color w:val="auto"/>
                <w:sz w:val="22"/>
                <w:szCs w:val="22"/>
                <w:highlight w:val="none"/>
                <w:lang w:val="en-US" w:eastAsia="zh-CN"/>
              </w:rPr>
              <w:t>5</w:t>
            </w:r>
            <w:r>
              <w:rPr>
                <w:rFonts w:hint="eastAsia" w:ascii="宋体" w:hAnsi="宋体" w:eastAsia="宋体" w:cs="宋体"/>
                <w:b w:val="0"/>
                <w:bCs w:val="0"/>
                <w:color w:val="auto"/>
                <w:sz w:val="22"/>
                <w:szCs w:val="22"/>
                <w:highlight w:val="none"/>
                <w:lang w:val="en-US" w:eastAsia="zh-CN"/>
              </w:rPr>
              <w:t>00元计</w:t>
            </w:r>
            <w:r>
              <w:rPr>
                <w:rFonts w:hint="eastAsia" w:ascii="宋体" w:hAnsi="宋体" w:eastAsia="宋体" w:cs="宋体"/>
                <w:b w:val="0"/>
                <w:bCs w:val="0"/>
                <w:color w:val="auto"/>
                <w:sz w:val="22"/>
                <w:szCs w:val="22"/>
                <w:highlight w:val="none"/>
                <w:lang w:eastAsia="zh-CN"/>
              </w:rPr>
              <w:t>取</w:t>
            </w:r>
            <w:r>
              <w:rPr>
                <w:rFonts w:hint="eastAsia" w:ascii="宋体" w:hAnsi="宋体" w:eastAsia="宋体" w:cs="宋体"/>
                <w:b w:val="0"/>
                <w:bCs w:val="0"/>
                <w:color w:val="auto"/>
                <w:sz w:val="22"/>
                <w:szCs w:val="22"/>
                <w:highlight w:val="none"/>
                <w:lang w:val="en-US" w:eastAsia="zh-CN"/>
              </w:rPr>
              <w:t>，</w:t>
            </w:r>
            <w:r>
              <w:rPr>
                <w:rFonts w:hint="eastAsia" w:ascii="宋体" w:hAnsi="宋体" w:eastAsia="宋体" w:cs="宋体"/>
                <w:b w:val="0"/>
                <w:bCs w:val="0"/>
                <w:color w:val="auto"/>
                <w:sz w:val="22"/>
                <w:szCs w:val="22"/>
                <w:highlight w:val="none"/>
                <w:lang w:eastAsia="zh-CN"/>
              </w:rPr>
              <w:t>由中标人在领取</w:t>
            </w:r>
            <w:r>
              <w:rPr>
                <w:rFonts w:hint="eastAsia" w:ascii="宋体" w:hAnsi="宋体" w:eastAsia="宋体" w:cs="宋体"/>
                <w:b w:val="0"/>
                <w:bCs w:val="0"/>
                <w:color w:val="auto"/>
                <w:sz w:val="22"/>
                <w:szCs w:val="22"/>
                <w:highlight w:val="none"/>
              </w:rPr>
              <w:t>中标通知书时向采购代理机构进行支付。</w:t>
            </w:r>
          </w:p>
          <w:p w14:paraId="7993A642">
            <w:pPr>
              <w:spacing w:line="360" w:lineRule="exact"/>
              <w:ind w:left="440" w:hanging="440" w:hangingChars="200"/>
              <w:rPr>
                <w:rFonts w:hint="eastAsia" w:ascii="宋体" w:hAnsi="宋体" w:cs="宋体"/>
                <w:color w:val="auto"/>
                <w:spacing w:val="6"/>
                <w:sz w:val="22"/>
                <w:szCs w:val="22"/>
                <w:highlight w:val="none"/>
              </w:rPr>
            </w:pPr>
            <w:r>
              <w:rPr>
                <w:rFonts w:ascii="宋体" w:hAnsi="宋体" w:cs="宋体"/>
                <w:color w:val="auto"/>
                <w:sz w:val="22"/>
                <w:szCs w:val="22"/>
                <w:highlight w:val="none"/>
              </w:rPr>
              <w:t>2.</w:t>
            </w:r>
            <w:r>
              <w:rPr>
                <w:rFonts w:hint="eastAsia" w:ascii="宋体" w:hAnsi="宋体" w:cs="宋体"/>
                <w:color w:val="auto"/>
                <w:sz w:val="22"/>
                <w:szCs w:val="22"/>
                <w:highlight w:val="none"/>
              </w:rPr>
              <w:t>采购代理服务费可以是现金、支票或汇票。</w:t>
            </w:r>
          </w:p>
          <w:p w14:paraId="7A4F2EFC">
            <w:pPr>
              <w:spacing w:line="360" w:lineRule="exact"/>
              <w:rPr>
                <w:rFonts w:hint="eastAsia" w:ascii="宋体" w:hAnsi="宋体" w:cs="宋体"/>
                <w:color w:val="auto"/>
                <w:sz w:val="22"/>
                <w:szCs w:val="22"/>
                <w:highlight w:val="none"/>
              </w:rPr>
            </w:pPr>
            <w:r>
              <w:rPr>
                <w:rFonts w:ascii="宋体" w:hAnsi="宋体" w:cs="宋体"/>
                <w:color w:val="auto"/>
                <w:sz w:val="22"/>
                <w:szCs w:val="22"/>
                <w:highlight w:val="none"/>
              </w:rPr>
              <w:t>3.</w:t>
            </w:r>
            <w:r>
              <w:rPr>
                <w:rFonts w:hint="eastAsia" w:ascii="宋体" w:hAnsi="宋体" w:cs="宋体"/>
                <w:color w:val="auto"/>
                <w:sz w:val="22"/>
                <w:szCs w:val="22"/>
                <w:highlight w:val="none"/>
              </w:rPr>
              <w:t>采购代理服务费汇入账户：</w:t>
            </w:r>
          </w:p>
          <w:p w14:paraId="4790193A">
            <w:pPr>
              <w:spacing w:line="360" w:lineRule="exact"/>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户  名：</w:t>
            </w:r>
            <w:r>
              <w:rPr>
                <w:rFonts w:hint="eastAsia" w:ascii="宋体" w:hAnsi="宋体" w:cs="宋体"/>
                <w:color w:val="auto"/>
                <w:sz w:val="22"/>
                <w:szCs w:val="22"/>
                <w:highlight w:val="none"/>
                <w:lang w:eastAsia="zh-CN"/>
              </w:rPr>
              <w:t>温州众晟工程管理有限公司</w:t>
            </w:r>
          </w:p>
          <w:p w14:paraId="5C3D6F00">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账  号：</w:t>
            </w:r>
            <w:r>
              <w:rPr>
                <w:rFonts w:hint="eastAsia" w:ascii="宋体" w:hAnsi="宋体" w:eastAsia="宋体" w:cs="宋体"/>
                <w:b w:val="0"/>
                <w:bCs w:val="0"/>
                <w:color w:val="auto"/>
                <w:sz w:val="22"/>
                <w:szCs w:val="22"/>
                <w:highlight w:val="none"/>
              </w:rPr>
              <w:t>201000246422733</w:t>
            </w:r>
          </w:p>
          <w:p w14:paraId="3EFA55DF">
            <w:pPr>
              <w:spacing w:line="36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开户行：</w:t>
            </w:r>
            <w:r>
              <w:rPr>
                <w:rFonts w:hint="eastAsia" w:ascii="宋体" w:hAnsi="宋体" w:eastAsia="宋体" w:cs="宋体"/>
                <w:b w:val="0"/>
                <w:bCs w:val="0"/>
                <w:color w:val="auto"/>
                <w:sz w:val="22"/>
                <w:szCs w:val="22"/>
                <w:highlight w:val="none"/>
              </w:rPr>
              <w:t>浙江温州瓯海农村商业银行股份有限公司新桥支行</w:t>
            </w:r>
          </w:p>
        </w:tc>
      </w:tr>
      <w:tr w14:paraId="26AE4486">
        <w:tblPrEx>
          <w:tblCellMar>
            <w:top w:w="0" w:type="dxa"/>
            <w:left w:w="108" w:type="dxa"/>
            <w:bottom w:w="0" w:type="dxa"/>
            <w:right w:w="108" w:type="dxa"/>
          </w:tblCellMar>
        </w:tblPrEx>
        <w:trPr>
          <w:trHeight w:val="340" w:hRule="atLeast"/>
        </w:trPr>
        <w:tc>
          <w:tcPr>
            <w:tcW w:w="1769" w:type="dxa"/>
            <w:tcBorders>
              <w:top w:val="single" w:color="auto" w:sz="6" w:space="0"/>
              <w:left w:val="single" w:color="auto" w:sz="6" w:space="0"/>
              <w:bottom w:val="single" w:color="auto" w:sz="6" w:space="0"/>
              <w:right w:val="single" w:color="auto" w:sz="6" w:space="0"/>
            </w:tcBorders>
            <w:vAlign w:val="center"/>
          </w:tcPr>
          <w:p w14:paraId="3841EDFD">
            <w:pPr>
              <w:spacing w:line="360" w:lineRule="exact"/>
              <w:jc w:val="center"/>
              <w:rPr>
                <w:rFonts w:hint="eastAsia" w:ascii="宋体" w:hAnsi="宋体"/>
                <w:color w:val="auto"/>
                <w:kern w:val="0"/>
                <w:sz w:val="22"/>
                <w:szCs w:val="22"/>
                <w:highlight w:val="none"/>
              </w:rPr>
            </w:pPr>
            <w:r>
              <w:rPr>
                <w:rFonts w:hint="eastAsia" w:ascii="宋体" w:hAnsi="宋体"/>
                <w:color w:val="auto"/>
                <w:kern w:val="0"/>
                <w:sz w:val="22"/>
                <w:szCs w:val="22"/>
                <w:highlight w:val="none"/>
              </w:rPr>
              <w:t>其他事项</w:t>
            </w:r>
          </w:p>
        </w:tc>
        <w:tc>
          <w:tcPr>
            <w:tcW w:w="8187" w:type="dxa"/>
            <w:gridSpan w:val="5"/>
            <w:tcBorders>
              <w:top w:val="single" w:color="auto" w:sz="6" w:space="0"/>
              <w:left w:val="single" w:color="auto" w:sz="6" w:space="0"/>
              <w:bottom w:val="single" w:color="auto" w:sz="6" w:space="0"/>
              <w:right w:val="single" w:color="auto" w:sz="6" w:space="0"/>
            </w:tcBorders>
            <w:vAlign w:val="center"/>
          </w:tcPr>
          <w:p w14:paraId="1700C453">
            <w:pPr>
              <w:spacing w:line="360" w:lineRule="exact"/>
              <w:rPr>
                <w:rFonts w:hint="eastAsia" w:ascii="宋体" w:hAnsi="宋体" w:cs="宋体"/>
                <w:color w:val="auto"/>
                <w:kern w:val="0"/>
                <w:sz w:val="22"/>
                <w:szCs w:val="22"/>
                <w:highlight w:val="none"/>
                <w:u w:val="none"/>
              </w:rPr>
            </w:pPr>
            <w:r>
              <w:rPr>
                <w:rFonts w:hint="eastAsia" w:ascii="宋体" w:hAnsi="宋体" w:cs="宋体"/>
                <w:color w:val="auto"/>
                <w:kern w:val="0"/>
                <w:sz w:val="22"/>
                <w:szCs w:val="22"/>
                <w:highlight w:val="none"/>
                <w:u w:val="none"/>
                <w:lang w:val="en-US" w:eastAsia="zh-CN"/>
              </w:rPr>
              <w:t>1.</w:t>
            </w:r>
            <w:r>
              <w:rPr>
                <w:rFonts w:hint="eastAsia" w:ascii="宋体" w:hAnsi="宋体" w:cs="宋体"/>
                <w:color w:val="auto"/>
                <w:kern w:val="0"/>
                <w:sz w:val="22"/>
                <w:szCs w:val="22"/>
                <w:highlight w:val="none"/>
                <w:u w:val="none"/>
              </w:rPr>
              <w:t>成交供应商应根据要求在进场前办理进场施工许可证。</w:t>
            </w:r>
          </w:p>
          <w:p w14:paraId="7657A4A2">
            <w:pPr>
              <w:pStyle w:val="2"/>
              <w:ind w:left="0" w:leftChars="0" w:firstLine="0" w:firstLineChars="0"/>
              <w:rPr>
                <w:rFonts w:hint="eastAsia" w:eastAsia="宋体"/>
                <w:color w:val="auto"/>
                <w:highlight w:val="none"/>
                <w:lang w:val="en-US" w:eastAsia="zh-CN"/>
              </w:rPr>
            </w:pPr>
            <w:r>
              <w:rPr>
                <w:rFonts w:hint="eastAsia"/>
                <w:color w:val="auto"/>
                <w:highlight w:val="none"/>
                <w:lang w:val="en-US" w:eastAsia="zh-CN"/>
              </w:rPr>
              <w:t>2</w:t>
            </w:r>
            <w:r>
              <w:rPr>
                <w:rFonts w:hint="eastAsia" w:ascii="宋体" w:hAnsi="宋体" w:cs="宋体"/>
                <w:color w:val="auto"/>
                <w:kern w:val="0"/>
                <w:sz w:val="22"/>
                <w:szCs w:val="22"/>
                <w:highlight w:val="none"/>
                <w:u w:val="none"/>
                <w:lang w:val="en-US" w:eastAsia="zh-CN"/>
              </w:rPr>
              <w:t>.</w:t>
            </w:r>
            <w:r>
              <w:rPr>
                <w:rFonts w:hint="eastAsia" w:ascii="宋体" w:hAnsi="宋体" w:cs="宋体"/>
                <w:color w:val="auto"/>
                <w:kern w:val="0"/>
                <w:sz w:val="22"/>
                <w:szCs w:val="22"/>
                <w:highlight w:val="none"/>
                <w:u w:val="none"/>
              </w:rPr>
              <w:t>成交供应商</w:t>
            </w:r>
            <w:r>
              <w:rPr>
                <w:rFonts w:hint="eastAsia"/>
                <w:color w:val="auto"/>
                <w:highlight w:val="none"/>
                <w:lang w:val="en-US" w:eastAsia="zh-CN"/>
              </w:rPr>
              <w:t>在电力改造施工过程中，要保障局机关大楼正常供电，确保局机关工作正常运转，否则采购人有权取消中标合同。</w:t>
            </w:r>
          </w:p>
        </w:tc>
      </w:tr>
    </w:tbl>
    <w:p w14:paraId="02D2B9BF">
      <w:pPr>
        <w:rPr>
          <w:rFonts w:hint="eastAsia" w:ascii="宋体" w:hAnsi="宋体" w:eastAsia="宋体"/>
          <w:color w:val="auto"/>
          <w:sz w:val="28"/>
          <w:szCs w:val="28"/>
          <w:highlight w:val="none"/>
        </w:rPr>
      </w:pPr>
      <w:bookmarkStart w:id="9" w:name="_Toc26925"/>
      <w:bookmarkStart w:id="10" w:name="_Toc1380"/>
      <w:r>
        <w:rPr>
          <w:rFonts w:hint="eastAsia" w:ascii="宋体" w:hAnsi="宋体" w:eastAsia="宋体"/>
          <w:color w:val="auto"/>
          <w:sz w:val="28"/>
          <w:szCs w:val="28"/>
          <w:highlight w:val="none"/>
        </w:rPr>
        <w:br w:type="page"/>
      </w:r>
    </w:p>
    <w:p w14:paraId="4FBF4701">
      <w:pPr>
        <w:pStyle w:val="5"/>
        <w:spacing w:line="480" w:lineRule="exact"/>
        <w:jc w:val="center"/>
        <w:rPr>
          <w:rFonts w:hint="eastAsia" w:ascii="宋体" w:hAnsi="宋体" w:eastAsia="宋体"/>
          <w:color w:val="auto"/>
          <w:sz w:val="28"/>
          <w:szCs w:val="28"/>
          <w:highlight w:val="none"/>
        </w:rPr>
      </w:pPr>
      <w:r>
        <w:rPr>
          <w:rFonts w:hint="eastAsia" w:ascii="宋体" w:hAnsi="宋体" w:eastAsia="宋体"/>
          <w:color w:val="auto"/>
          <w:sz w:val="28"/>
          <w:szCs w:val="28"/>
          <w:highlight w:val="none"/>
        </w:rPr>
        <w:t>一、 说  明</w:t>
      </w:r>
      <w:bookmarkEnd w:id="9"/>
      <w:bookmarkEnd w:id="10"/>
    </w:p>
    <w:p w14:paraId="7217F010">
      <w:pPr>
        <w:tabs>
          <w:tab w:val="left" w:pos="360"/>
        </w:tabs>
        <w:spacing w:line="440" w:lineRule="exact"/>
        <w:ind w:left="55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rPr>
        <w:t>1.   本次采购是按照《中华人民共和国政府采购法》、《中华人民共和国政府采购法实施条例》、《政府采购竞争性磋商采购方式管理暂行办法》《浙江省政府采购项目电子交易管理暂行办法》（浙财采监〔2019〕10号）及省市等法律法规及有关规范性文件组织和实施的。</w:t>
      </w:r>
    </w:p>
    <w:p w14:paraId="49095439">
      <w:pPr>
        <w:tabs>
          <w:tab w:val="left" w:pos="360"/>
        </w:tabs>
        <w:spacing w:line="440" w:lineRule="exact"/>
        <w:ind w:left="550" w:hanging="550" w:hangingChars="250"/>
        <w:rPr>
          <w:rFonts w:hint="eastAsia" w:ascii="宋体" w:hAnsi="宋体" w:cs="宋体"/>
          <w:color w:val="auto"/>
          <w:sz w:val="22"/>
          <w:szCs w:val="22"/>
          <w:highlight w:val="none"/>
        </w:rPr>
      </w:pPr>
      <w:bookmarkStart w:id="11" w:name="_Toc3235"/>
      <w:bookmarkStart w:id="12" w:name="_Toc31546"/>
      <w:bookmarkStart w:id="13" w:name="_Toc19066"/>
      <w:r>
        <w:rPr>
          <w:rFonts w:ascii="宋体" w:hAnsi="宋体" w:cs="宋体"/>
          <w:color w:val="auto"/>
          <w:sz w:val="22"/>
          <w:szCs w:val="22"/>
          <w:highlight w:val="none"/>
        </w:rPr>
        <w:t xml:space="preserve">2.   </w:t>
      </w:r>
      <w:r>
        <w:rPr>
          <w:rFonts w:hint="eastAsia" w:ascii="宋体" w:hAnsi="宋体" w:cs="宋体"/>
          <w:color w:val="auto"/>
          <w:sz w:val="22"/>
          <w:szCs w:val="22"/>
          <w:highlight w:val="none"/>
        </w:rPr>
        <w:t>定义</w:t>
      </w:r>
      <w:bookmarkEnd w:id="11"/>
      <w:bookmarkEnd w:id="12"/>
      <w:bookmarkEnd w:id="13"/>
    </w:p>
    <w:p w14:paraId="6D1E16E6">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2.1 “采购人”系指磋商公告中载明的本项目的采购人。</w:t>
      </w:r>
    </w:p>
    <w:p w14:paraId="6B963ABE">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2.2 “采购代理机构”系指磋商公告中载明的本项目的采购代理机构。</w:t>
      </w:r>
    </w:p>
    <w:p w14:paraId="7221E696">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2.3 “磋商供应商、供应商、申请人”均系指响应招标、参加投标竞争的法人、其他组织或者自然人。</w:t>
      </w:r>
    </w:p>
    <w:p w14:paraId="31455D30">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2.4 “负责人”系指法人企业的法定负责人，或其他组织为法律、行政法规规定代表单位行使职权的主要负责人，或自然人本人。</w:t>
      </w:r>
    </w:p>
    <w:p w14:paraId="71FC35B7">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2.5“电子签名”系指数据电文中以电子形式所含、所附用于识别签名人身份并表明签名人认可其中内容的数据；“公章”系指单位法定名称章。</w:t>
      </w:r>
    </w:p>
    <w:p w14:paraId="51369E6A">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2.6“电子交易平台”是指本项目政府采购活动所依托的政府采购云平台（https://www.zcygov.cn/）。</w:t>
      </w:r>
    </w:p>
    <w:p w14:paraId="1F37B692">
      <w:pPr>
        <w:spacing w:line="440" w:lineRule="exact"/>
        <w:ind w:firstLine="440" w:firstLineChars="200"/>
        <w:rPr>
          <w:rFonts w:hint="eastAsia" w:ascii="宋体" w:hAnsi="宋体" w:cs="仿宋"/>
          <w:color w:val="auto"/>
          <w:sz w:val="22"/>
          <w:szCs w:val="22"/>
          <w:highlight w:val="none"/>
        </w:rPr>
      </w:pPr>
      <w:r>
        <w:rPr>
          <w:rFonts w:hint="eastAsia" w:ascii="宋体" w:hAnsi="宋体" w:cs="仿宋"/>
          <w:color w:val="auto"/>
          <w:sz w:val="22"/>
          <w:szCs w:val="22"/>
          <w:highlight w:val="none"/>
        </w:rPr>
        <w:t>2.7 “▲”</w:t>
      </w:r>
      <w:r>
        <w:rPr>
          <w:rFonts w:hint="eastAsia" w:ascii="宋体" w:hAnsi="宋体" w:cs="仿宋"/>
          <w:snapToGrid w:val="0"/>
          <w:color w:val="auto"/>
          <w:kern w:val="28"/>
          <w:sz w:val="22"/>
          <w:szCs w:val="22"/>
          <w:highlight w:val="none"/>
        </w:rPr>
        <w:t>且加下划线的条款</w:t>
      </w:r>
      <w:r>
        <w:rPr>
          <w:rFonts w:hint="eastAsia" w:ascii="宋体" w:hAnsi="宋体" w:cs="仿宋"/>
          <w:color w:val="auto"/>
          <w:sz w:val="22"/>
          <w:szCs w:val="22"/>
          <w:highlight w:val="none"/>
        </w:rPr>
        <w:t>系指实质性要求条款，“</w:t>
      </w:r>
      <w:r>
        <w:rPr>
          <w:rFonts w:hint="eastAsia" w:ascii="宋体" w:hAnsi="宋体" w:cs="仿宋"/>
          <w:color w:val="auto"/>
          <w:sz w:val="22"/>
          <w:szCs w:val="22"/>
          <w:highlight w:val="none"/>
        </w:rPr>
        <w:sym w:font="Wingdings" w:char="00FE"/>
      </w:r>
      <w:r>
        <w:rPr>
          <w:rFonts w:hint="eastAsia" w:ascii="宋体" w:hAnsi="宋体" w:cs="仿宋"/>
          <w:color w:val="auto"/>
          <w:sz w:val="22"/>
          <w:szCs w:val="22"/>
          <w:highlight w:val="none"/>
        </w:rPr>
        <w:t>” 系指适用本项目的要求，“</w:t>
      </w:r>
      <w:r>
        <w:rPr>
          <w:rFonts w:hint="eastAsia" w:ascii="宋体" w:hAnsi="宋体" w:cs="仿宋"/>
          <w:color w:val="auto"/>
          <w:sz w:val="22"/>
          <w:szCs w:val="22"/>
          <w:highlight w:val="none"/>
        </w:rPr>
        <w:sym w:font="Wingdings" w:char="00A8"/>
      </w:r>
      <w:r>
        <w:rPr>
          <w:rFonts w:hint="eastAsia" w:ascii="宋体" w:hAnsi="宋体" w:cs="仿宋"/>
          <w:color w:val="auto"/>
          <w:sz w:val="22"/>
          <w:szCs w:val="22"/>
          <w:highlight w:val="none"/>
        </w:rPr>
        <w:t>” 系指不适用本项目的要求。</w:t>
      </w:r>
    </w:p>
    <w:p w14:paraId="0C18F6C7">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3.  合格磋商供应商要求</w:t>
      </w:r>
    </w:p>
    <w:p w14:paraId="05E08795">
      <w:pPr>
        <w:tabs>
          <w:tab w:val="left" w:pos="540"/>
          <w:tab w:val="left" w:pos="900"/>
        </w:tabs>
        <w:snapToGrid w:val="0"/>
        <w:spacing w:line="44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3.1合格的磋商供应商应满足磋商文件第一部分“磋商公告”对申请人的资格要求。</w:t>
      </w:r>
    </w:p>
    <w:p w14:paraId="02DB39B3">
      <w:pPr>
        <w:tabs>
          <w:tab w:val="left" w:pos="540"/>
          <w:tab w:val="left" w:pos="900"/>
        </w:tabs>
        <w:snapToGrid w:val="0"/>
        <w:spacing w:line="440" w:lineRule="exact"/>
        <w:ind w:firstLine="440" w:firstLineChars="200"/>
        <w:rPr>
          <w:rFonts w:hint="eastAsia" w:ascii="宋体" w:hAnsi="宋体" w:cs="宋体"/>
          <w:bCs/>
          <w:color w:val="auto"/>
          <w:sz w:val="22"/>
          <w:szCs w:val="22"/>
          <w:highlight w:val="none"/>
        </w:rPr>
      </w:pPr>
      <w:r>
        <w:rPr>
          <w:rFonts w:hint="eastAsia" w:ascii="宋体" w:hAnsi="宋体" w:cs="宋体"/>
          <w:bCs/>
          <w:color w:val="auto"/>
          <w:sz w:val="22"/>
          <w:szCs w:val="22"/>
          <w:highlight w:val="none"/>
        </w:rPr>
        <w:t>3.2</w:t>
      </w:r>
      <w:r>
        <w:rPr>
          <w:rFonts w:hint="eastAsia" w:ascii="宋体" w:hAnsi="宋体" w:cs="宋体"/>
          <w:b/>
          <w:color w:val="auto"/>
          <w:sz w:val="22"/>
          <w:szCs w:val="22"/>
          <w:highlight w:val="none"/>
        </w:rPr>
        <w:t>单位负责人为同一人或者存在直接控股、管理关系的不同磋商供应商，不得参加同一合同项下的政府采购活动。为采购项目提供整体设计、规范编制或者项目管理、监理、检测等服务的磋商供应商，不得再参加该采购项目的其他采购活动。</w:t>
      </w:r>
    </w:p>
    <w:p w14:paraId="712984B8">
      <w:pPr>
        <w:tabs>
          <w:tab w:val="left" w:pos="540"/>
          <w:tab w:val="left" w:pos="900"/>
        </w:tabs>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3.3磋商供应商可授权磋商供应商代表以磋商供应商名义参加本次采购的投标活动（包括磋商响应文件的签署、澄清、说明、补正、递交、撤回、修改等以及签订合同和处理有关事宜）。如果磋商供应商代表不是法定代表人(负责人)，须持有《法定代表人(负责人)授权书》。</w:t>
      </w:r>
    </w:p>
    <w:p w14:paraId="20129117">
      <w:pPr>
        <w:snapToGrid w:val="0"/>
        <w:spacing w:line="440" w:lineRule="exact"/>
        <w:ind w:firstLine="464" w:firstLineChars="200"/>
        <w:rPr>
          <w:rFonts w:hint="eastAsia"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3.4采用最低评标价法的</w:t>
      </w:r>
      <w:r>
        <w:rPr>
          <w:rFonts w:hint="eastAsia" w:ascii="宋体" w:hAnsi="宋体" w:cs="宋体"/>
          <w:color w:val="auto"/>
          <w:sz w:val="22"/>
          <w:szCs w:val="22"/>
          <w:highlight w:val="none"/>
        </w:rPr>
        <w:t>货物类</w:t>
      </w:r>
      <w:r>
        <w:rPr>
          <w:rFonts w:hint="eastAsia" w:ascii="宋体" w:hAnsi="宋体" w:cs="宋体"/>
          <w:bCs/>
          <w:color w:val="auto"/>
          <w:spacing w:val="6"/>
          <w:sz w:val="22"/>
          <w:szCs w:val="22"/>
          <w:highlight w:val="none"/>
        </w:rPr>
        <w:t>采购项目，提供相同品牌产品的不同磋商供应商参加同一合同项下投标的，以其中通过资格审查、符合性审查且报价最低的参加评标；报价相同的，由采购人或者采购人委托评标委员会按照磋商文件规定的方式确定一个参加评标的磋商供应商，磋商文件未规定的采取随机抽取方式确定，其他投标无效。</w:t>
      </w:r>
    </w:p>
    <w:p w14:paraId="14517005">
      <w:pPr>
        <w:snapToGrid w:val="0"/>
        <w:spacing w:line="440" w:lineRule="exact"/>
        <w:ind w:firstLine="464" w:firstLineChars="200"/>
        <w:rPr>
          <w:rFonts w:hint="eastAsia"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使用综合评分法的</w:t>
      </w:r>
      <w:r>
        <w:rPr>
          <w:rFonts w:hint="eastAsia" w:ascii="宋体" w:hAnsi="宋体" w:cs="宋体"/>
          <w:color w:val="auto"/>
          <w:sz w:val="22"/>
          <w:szCs w:val="22"/>
          <w:highlight w:val="none"/>
        </w:rPr>
        <w:t>货物类</w:t>
      </w:r>
      <w:r>
        <w:rPr>
          <w:rFonts w:hint="eastAsia" w:ascii="宋体" w:hAnsi="宋体" w:cs="宋体"/>
          <w:bCs/>
          <w:color w:val="auto"/>
          <w:spacing w:val="6"/>
          <w:sz w:val="22"/>
          <w:szCs w:val="22"/>
          <w:highlight w:val="none"/>
        </w:rPr>
        <w:t>采购项目，提供相同品牌产品且通过资格审查、符合性审查的不同磋商供应商参加同一合同项下投标的，按一家磋商供应商计算，评审后得分最高的同品牌磋商供应商获得成交供应商推荐资格；评审得分相同的，由采购人或者采购人委托评标委员会按照磋商文件规定的方式确定一个磋商供应商获得成交供应商推荐资格，磋商文件未规定的采取随机抽取方式确定，其他同品牌磋商供应商不作为中标候选人。</w:t>
      </w:r>
    </w:p>
    <w:p w14:paraId="79D3BE85">
      <w:pPr>
        <w:snapToGrid w:val="0"/>
        <w:spacing w:line="440" w:lineRule="exact"/>
        <w:ind w:firstLine="464" w:firstLineChars="200"/>
        <w:rPr>
          <w:rFonts w:hint="eastAsia" w:ascii="宋体" w:hAnsi="宋体" w:cs="宋体"/>
          <w:bCs/>
          <w:color w:val="auto"/>
          <w:spacing w:val="6"/>
          <w:sz w:val="22"/>
          <w:szCs w:val="22"/>
          <w:highlight w:val="none"/>
        </w:rPr>
      </w:pPr>
      <w:r>
        <w:rPr>
          <w:rFonts w:hint="eastAsia" w:ascii="宋体" w:hAnsi="宋体" w:cs="宋体"/>
          <w:bCs/>
          <w:color w:val="auto"/>
          <w:spacing w:val="6"/>
          <w:sz w:val="22"/>
          <w:szCs w:val="22"/>
          <w:highlight w:val="none"/>
        </w:rPr>
        <w:t>非单一产品采购项目，多家磋商供应商提供的核心产品（见</w:t>
      </w:r>
      <w:r>
        <w:rPr>
          <w:rFonts w:hint="eastAsia" w:ascii="宋体" w:hAnsi="宋体" w:cs="宋体"/>
          <w:color w:val="auto"/>
          <w:sz w:val="22"/>
          <w:szCs w:val="22"/>
          <w:highlight w:val="none"/>
        </w:rPr>
        <w:t>磋商供应商须知前附表</w:t>
      </w:r>
      <w:r>
        <w:rPr>
          <w:rFonts w:hint="eastAsia" w:ascii="宋体" w:hAnsi="宋体" w:cs="宋体"/>
          <w:bCs/>
          <w:color w:val="auto"/>
          <w:spacing w:val="6"/>
          <w:sz w:val="22"/>
          <w:szCs w:val="22"/>
          <w:highlight w:val="none"/>
        </w:rPr>
        <w:t>）品牌相同的，按前两款规定处理。</w:t>
      </w:r>
    </w:p>
    <w:p w14:paraId="0DBDBD6D">
      <w:pPr>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3.5货物类是否允许采购进口产品、是否要求节能/环境标志产品等情况见磋商供应商须知前附表。</w:t>
      </w:r>
    </w:p>
    <w:p w14:paraId="1DEEEFD2">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4.  采购项目需要落实的政府采购政策</w:t>
      </w:r>
    </w:p>
    <w:p w14:paraId="6A36AF9B">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4.1 根据《政府采购进口产品管理办法》的通知（财库〔2007〕119 号）文件相关规定，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0B4F5CA3">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4.2 支持绿色发展</w:t>
      </w:r>
    </w:p>
    <w:p w14:paraId="61127D89">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4.2.1采购人拟采购的产品属于品目清单范围的，采购人及其委托的采购代理机构将依据国家确定的认证机构出具的、处于有效期之内的节能产品、环境标志产品认证证书，对获得证书的产品实施政府优先采购或强制采购。磋商供应商须按磋商文件要求提供相关产品认证证书。采购人拟采购的产品属于政府强制采购的节能产品品目清单范围的，磋商供应商未按磋商文件要求提供国家确定的认证机构出具的、处于有效期之内的节能产品认证证书的，投标无效。</w:t>
      </w:r>
    </w:p>
    <w:p w14:paraId="7D6691B8">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77ED484D">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4.3支持中小企业发展</w:t>
      </w:r>
    </w:p>
    <w:p w14:paraId="7F057B2C">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4.3.1中小企业，是指在中华人民共和国境内依法设立，依据国务院批准的中小企业划分标准确定的中型企业、小型企业和微型企业，但与大企业的负责人为同一人，或者与大企业存在直接控股、管理关系的除外。</w:t>
      </w:r>
    </w:p>
    <w:p w14:paraId="4CFB90E8">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符合中小企业划分标准的个体工商户，在政府采购活动中视同中小企业。</w:t>
      </w:r>
    </w:p>
    <w:p w14:paraId="751435E9">
      <w:pPr>
        <w:widowControl/>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bCs/>
          <w:color w:val="auto"/>
          <w:sz w:val="22"/>
          <w:szCs w:val="22"/>
          <w:highlight w:val="none"/>
        </w:rPr>
        <w:t>4.3.2</w:t>
      </w:r>
      <w:r>
        <w:rPr>
          <w:rFonts w:hint="eastAsia" w:ascii="宋体" w:hAnsi="宋体" w:cs="宋体"/>
          <w:color w:val="auto"/>
          <w:kern w:val="0"/>
          <w:sz w:val="22"/>
          <w:szCs w:val="22"/>
          <w:highlight w:val="none"/>
        </w:rPr>
        <w:t>在政府采购活动中，磋商供应商提供的货物、工程或者服务符合下列情形的，享受中小企业扶持政策：</w:t>
      </w:r>
    </w:p>
    <w:p w14:paraId="29A3BC5A">
      <w:pPr>
        <w:widowControl/>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4.3.2.1在货物采购项目中，货物由中小企业制造，即货物由中小企业生产且使用该中小企业商号或者注册商标；</w:t>
      </w:r>
    </w:p>
    <w:p w14:paraId="3EF6E422">
      <w:pPr>
        <w:widowControl/>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4.3.2.2在工程采购项目中，工程由中小企业承建，即工程施工单位为中小企业；</w:t>
      </w:r>
    </w:p>
    <w:p w14:paraId="7F1E6961">
      <w:pPr>
        <w:widowControl/>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4.3.2.3在服务采购项目中，服务由中小企业承接，即提供服务的人员为中小企业依照《中华人民共和国劳动合同法》订立劳动合同的从业人员。</w:t>
      </w:r>
    </w:p>
    <w:p w14:paraId="01AED3CE">
      <w:pPr>
        <w:widowControl/>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在货物采购项目中，磋商供应商提供的货物既有中小企业制造货物，也有大型企业制造货物的，不享受中小企业扶持政策。</w:t>
      </w:r>
    </w:p>
    <w:p w14:paraId="29F6D118">
      <w:pPr>
        <w:widowControl/>
        <w:spacing w:line="440" w:lineRule="exact"/>
        <w:ind w:firstLine="440" w:firstLineChars="200"/>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以联合体形式参加政府采购活动，联合体各方均为中小企业的，联合体视同中小企业。其中，联合体各方均为小微企业的，联合体视同小微企业。</w:t>
      </w:r>
    </w:p>
    <w:p w14:paraId="5320EC87">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4.3.3组成联合体或者接受分包的小微企业与联合体内其他企业、分包企业之间存在直接控股、管理关系的，不享受价格扣除优惠政策。</w:t>
      </w:r>
    </w:p>
    <w:p w14:paraId="54E4CF3C">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4.3.4符合《关于促进残疾人就业政府采购政策的通知》（财库〔2017〕141号）规定的条件并提供《残疾人福利性单位声明函》的残疾人福利性单位视同小型、微型企业；</w:t>
      </w:r>
    </w:p>
    <w:p w14:paraId="0E91ABED">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4.3.5符合《关于政府采购支持监狱企业发展有关问题的通知》（财库[2014]68号）规定的监狱企业并提供由省级以上监狱管理局、戒毒管理局（含新疆生产建设兵团）出具的属于监狱企业证明文件的，视同为小型、微型企业。</w:t>
      </w:r>
    </w:p>
    <w:p w14:paraId="7A06A96C">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4.3.6可享受中小企业扶持政策的磋商供应商应按照磋商文件格式要求提供《中小企业声明函》，磋商供应商提供的《中小企业声明函》与实际情况不符的，不享受中小企业扶持政策。声明内容不实的，属于提供虚假材料谋取中标、成交的，依法承担法律责任。</w:t>
      </w:r>
    </w:p>
    <w:p w14:paraId="59CDDDDA">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4.3.7中小企业享受扶持政策获得政府采购合同的，小微企业不得将合同分包给大中型企业，中型企业不得将合同分包给大型企业。</w:t>
      </w:r>
    </w:p>
    <w:p w14:paraId="70D8D96F">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4.4中小企业信用融资：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14:paraId="7E1BC129">
      <w:pPr>
        <w:snapToGrid w:val="0"/>
        <w:spacing w:line="440" w:lineRule="exact"/>
        <w:ind w:firstLine="440" w:firstLineChars="200"/>
        <w:rPr>
          <w:rFonts w:hint="eastAsia" w:ascii="宋体" w:hAnsi="宋体" w:cs="宋体"/>
          <w:color w:val="auto"/>
          <w:sz w:val="22"/>
          <w:szCs w:val="22"/>
          <w:highlight w:val="none"/>
        </w:rPr>
      </w:pPr>
      <w:r>
        <w:rPr>
          <w:rFonts w:hint="eastAsia" w:ascii="宋体" w:hAnsi="宋体" w:cs="宋体"/>
          <w:snapToGrid w:val="0"/>
          <w:color w:val="auto"/>
          <w:kern w:val="28"/>
          <w:sz w:val="22"/>
          <w:szCs w:val="22"/>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p w14:paraId="540BD1AA">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5.  询问、质疑、投诉</w:t>
      </w:r>
    </w:p>
    <w:p w14:paraId="285A8739">
      <w:pPr>
        <w:autoSpaceDE w:val="0"/>
        <w:autoSpaceDN w:val="0"/>
        <w:spacing w:line="440" w:lineRule="exact"/>
        <w:ind w:firstLine="220" w:firstLineChars="100"/>
        <w:jc w:val="lef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5</w:t>
      </w:r>
      <w:r>
        <w:rPr>
          <w:rFonts w:hint="eastAsia" w:ascii="宋体" w:hAnsi="宋体" w:cs="宋体"/>
          <w:color w:val="auto"/>
          <w:kern w:val="0"/>
          <w:sz w:val="22"/>
          <w:szCs w:val="22"/>
          <w:highlight w:val="none"/>
          <w:lang w:val="zh-CN"/>
        </w:rPr>
        <w:t>.1供应商询问</w:t>
      </w:r>
    </w:p>
    <w:p w14:paraId="0C814D1D">
      <w:pPr>
        <w:autoSpaceDE w:val="0"/>
        <w:autoSpaceDN w:val="0"/>
        <w:spacing w:line="440" w:lineRule="exact"/>
        <w:ind w:firstLine="440" w:firstLineChars="200"/>
        <w:jc w:val="lef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621C38AE">
      <w:pPr>
        <w:autoSpaceDE w:val="0"/>
        <w:autoSpaceDN w:val="0"/>
        <w:spacing w:line="440" w:lineRule="exact"/>
        <w:ind w:firstLine="220" w:firstLineChars="100"/>
        <w:jc w:val="left"/>
        <w:rPr>
          <w:rFonts w:hint="eastAsia" w:ascii="宋体" w:hAnsi="宋体" w:cs="宋体"/>
          <w:color w:val="auto"/>
          <w:kern w:val="0"/>
          <w:sz w:val="22"/>
          <w:szCs w:val="22"/>
          <w:highlight w:val="none"/>
          <w:lang w:val="zh-CN"/>
        </w:rPr>
      </w:pPr>
      <w:r>
        <w:rPr>
          <w:rFonts w:hint="eastAsia" w:ascii="宋体" w:hAnsi="宋体" w:cs="宋体"/>
          <w:color w:val="auto"/>
          <w:kern w:val="0"/>
          <w:sz w:val="22"/>
          <w:szCs w:val="22"/>
          <w:highlight w:val="none"/>
        </w:rPr>
        <w:t>5</w:t>
      </w:r>
      <w:r>
        <w:rPr>
          <w:rFonts w:hint="eastAsia" w:ascii="宋体" w:hAnsi="宋体" w:cs="宋体"/>
          <w:color w:val="auto"/>
          <w:kern w:val="0"/>
          <w:sz w:val="22"/>
          <w:szCs w:val="22"/>
          <w:highlight w:val="none"/>
          <w:lang w:val="zh-CN"/>
        </w:rPr>
        <w:t>.2供应商质疑</w:t>
      </w:r>
    </w:p>
    <w:p w14:paraId="6501B505">
      <w:pPr>
        <w:pStyle w:val="2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w:t>
      </w:r>
      <w:r>
        <w:rPr>
          <w:rFonts w:hint="eastAsia" w:hAnsi="宋体" w:cs="宋体"/>
          <w:color w:val="auto"/>
          <w:sz w:val="22"/>
          <w:szCs w:val="22"/>
          <w:highlight w:val="none"/>
          <w:lang w:val="zh-CN"/>
        </w:rPr>
        <w:t>.2</w:t>
      </w:r>
      <w:r>
        <w:rPr>
          <w:rFonts w:hint="eastAsia" w:hAnsi="宋体" w:cs="宋体"/>
          <w:color w:val="auto"/>
          <w:sz w:val="22"/>
          <w:szCs w:val="22"/>
          <w:highlight w:val="none"/>
        </w:rPr>
        <w:t>.1提出质疑的供应商应当是参与所质疑项目采购活动的供应商。潜在供应商已依法获取其可质疑的磋商文件的，可以对该文件提出质疑。</w:t>
      </w:r>
    </w:p>
    <w:p w14:paraId="76CA4BCE">
      <w:pPr>
        <w:pStyle w:val="2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w:t>
      </w:r>
      <w:r>
        <w:rPr>
          <w:rFonts w:hint="eastAsia" w:hAnsi="宋体" w:cs="宋体"/>
          <w:color w:val="auto"/>
          <w:sz w:val="22"/>
          <w:szCs w:val="22"/>
          <w:highlight w:val="none"/>
          <w:lang w:val="zh-CN"/>
        </w:rPr>
        <w:t>.2</w:t>
      </w:r>
      <w:r>
        <w:rPr>
          <w:rFonts w:hint="eastAsia" w:hAnsi="宋体" w:cs="宋体"/>
          <w:color w:val="auto"/>
          <w:sz w:val="22"/>
          <w:szCs w:val="22"/>
          <w:highlight w:val="none"/>
        </w:rPr>
        <w:t>.2供应商认为磋商文件、采购过程和中标结果使自己的权益受到损害的，可以在知道或者应知其权益受到损害之日起七个工作日内，以书面形式向采购人或者采购代理机构提出质疑，否则，采购人或者采购代理机构不予受理：</w:t>
      </w:r>
    </w:p>
    <w:p w14:paraId="773CE110">
      <w:pPr>
        <w:pStyle w:val="9"/>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5.2.2.1质疑提交形式：以书面形式向磋商公告中载明的质疑联系人提交或登录政采云平台（https://www.zcygov.cn/）通过“询问质疑投诉”栏向采购机构内设的质疑联系人提交并上传书面质疑材料。</w:t>
      </w:r>
    </w:p>
    <w:p w14:paraId="5ADB0C0D">
      <w:pPr>
        <w:pStyle w:val="9"/>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5.2.2.2对磋商文件提出质疑的，质疑期限为供应商获得磋商文件之日或者磋商文件公告期限届满之日起计算</w:t>
      </w:r>
      <w:r>
        <w:rPr>
          <w:rFonts w:hint="eastAsia" w:ascii="宋体" w:hAnsi="宋体" w:cs="仿宋"/>
          <w:color w:val="auto"/>
          <w:sz w:val="22"/>
          <w:szCs w:val="22"/>
          <w:highlight w:val="none"/>
        </w:rPr>
        <w:t>（公告期限届满后获取采购文件的，以公告期限届满之日为准）</w:t>
      </w:r>
      <w:r>
        <w:rPr>
          <w:rFonts w:hint="eastAsia" w:ascii="宋体" w:hAnsi="宋体" w:cs="宋体"/>
          <w:color w:val="auto"/>
          <w:sz w:val="22"/>
          <w:szCs w:val="22"/>
          <w:highlight w:val="none"/>
        </w:rPr>
        <w:t>。</w:t>
      </w:r>
    </w:p>
    <w:p w14:paraId="1E60B414">
      <w:pPr>
        <w:pStyle w:val="2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5.2.2.3对采购过程提出质疑的，质疑期限为各采购程序环节结束之日起计算。对同一采购程序环节的质疑，供应商须一次性提出。</w:t>
      </w:r>
    </w:p>
    <w:p w14:paraId="335C8C6A">
      <w:pPr>
        <w:pStyle w:val="20"/>
        <w:spacing w:line="440" w:lineRule="exact"/>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5.2.2.4对采购结果提出质疑的，质疑期限自采购结果公告期限届满之日起计算。</w:t>
      </w:r>
    </w:p>
    <w:p w14:paraId="59B9E67B">
      <w:pPr>
        <w:pStyle w:val="20"/>
        <w:spacing w:line="440" w:lineRule="exact"/>
        <w:ind w:firstLine="440" w:firstLineChars="200"/>
        <w:rPr>
          <w:rFonts w:hint="eastAsia" w:hAnsi="宋体" w:cs="宋体"/>
          <w:color w:val="auto"/>
          <w:sz w:val="22"/>
          <w:szCs w:val="22"/>
          <w:highlight w:val="none"/>
          <w:lang w:val="zh-CN"/>
        </w:rPr>
      </w:pPr>
      <w:r>
        <w:rPr>
          <w:rFonts w:hint="eastAsia" w:hAnsi="宋体" w:cs="宋体"/>
          <w:color w:val="auto"/>
          <w:sz w:val="22"/>
          <w:szCs w:val="22"/>
          <w:highlight w:val="none"/>
        </w:rPr>
        <w:t>5</w:t>
      </w:r>
      <w:r>
        <w:rPr>
          <w:rFonts w:hint="eastAsia" w:hAnsi="宋体" w:cs="宋体"/>
          <w:color w:val="auto"/>
          <w:sz w:val="22"/>
          <w:szCs w:val="22"/>
          <w:highlight w:val="none"/>
          <w:lang w:val="zh-CN"/>
        </w:rPr>
        <w:t>.2.3</w:t>
      </w:r>
      <w:r>
        <w:rPr>
          <w:rFonts w:hint="eastAsia" w:hAnsi="宋体" w:cs="宋体"/>
          <w:color w:val="auto"/>
          <w:sz w:val="22"/>
          <w:szCs w:val="22"/>
          <w:highlight w:val="none"/>
        </w:rPr>
        <w:t>供应商提出质疑应当提交质疑函和必要的证明材料。质疑函应当包括下列内容：</w:t>
      </w:r>
    </w:p>
    <w:p w14:paraId="4BE3C3D4">
      <w:pPr>
        <w:pStyle w:val="20"/>
        <w:spacing w:line="440" w:lineRule="exact"/>
        <w:ind w:firstLine="440" w:firstLineChars="200"/>
        <w:rPr>
          <w:rFonts w:hint="eastAsia" w:hAnsi="宋体" w:cs="宋体"/>
          <w:color w:val="auto"/>
          <w:sz w:val="22"/>
          <w:szCs w:val="22"/>
          <w:highlight w:val="none"/>
          <w:lang w:val="zh-CN"/>
        </w:rPr>
      </w:pPr>
      <w:r>
        <w:rPr>
          <w:rFonts w:hint="eastAsia" w:hAnsi="宋体" w:cs="宋体"/>
          <w:color w:val="auto"/>
          <w:sz w:val="22"/>
          <w:szCs w:val="22"/>
          <w:highlight w:val="none"/>
        </w:rPr>
        <w:t>5</w:t>
      </w:r>
      <w:r>
        <w:rPr>
          <w:rFonts w:hint="eastAsia" w:hAnsi="宋体" w:cs="宋体"/>
          <w:color w:val="auto"/>
          <w:sz w:val="22"/>
          <w:szCs w:val="22"/>
          <w:highlight w:val="none"/>
          <w:lang w:val="zh-CN"/>
        </w:rPr>
        <w:t>.2.3.1供应商的姓名或者名称、地址、邮编、联系人及联系电话；</w:t>
      </w:r>
    </w:p>
    <w:p w14:paraId="42D319F3">
      <w:pPr>
        <w:pStyle w:val="20"/>
        <w:spacing w:line="440" w:lineRule="exact"/>
        <w:ind w:firstLine="440" w:firstLineChars="200"/>
        <w:rPr>
          <w:rFonts w:hint="eastAsia" w:hAnsi="宋体" w:cs="宋体"/>
          <w:color w:val="auto"/>
          <w:sz w:val="22"/>
          <w:szCs w:val="22"/>
          <w:highlight w:val="none"/>
          <w:lang w:val="zh-CN"/>
        </w:rPr>
      </w:pPr>
      <w:r>
        <w:rPr>
          <w:rFonts w:hint="eastAsia" w:hAnsi="宋体" w:cs="宋体"/>
          <w:color w:val="auto"/>
          <w:sz w:val="22"/>
          <w:szCs w:val="22"/>
          <w:highlight w:val="none"/>
        </w:rPr>
        <w:t>5</w:t>
      </w:r>
      <w:r>
        <w:rPr>
          <w:rFonts w:hint="eastAsia" w:hAnsi="宋体" w:cs="宋体"/>
          <w:color w:val="auto"/>
          <w:sz w:val="22"/>
          <w:szCs w:val="22"/>
          <w:highlight w:val="none"/>
          <w:lang w:val="zh-CN"/>
        </w:rPr>
        <w:t>.2.3.2质疑项目的名称、编号；</w:t>
      </w:r>
    </w:p>
    <w:p w14:paraId="232E4857">
      <w:pPr>
        <w:pStyle w:val="20"/>
        <w:spacing w:line="440" w:lineRule="exact"/>
        <w:ind w:firstLine="440" w:firstLineChars="200"/>
        <w:rPr>
          <w:rFonts w:hint="eastAsia" w:hAnsi="宋体" w:cs="宋体"/>
          <w:color w:val="auto"/>
          <w:sz w:val="22"/>
          <w:szCs w:val="22"/>
          <w:highlight w:val="none"/>
          <w:lang w:val="zh-CN"/>
        </w:rPr>
      </w:pPr>
      <w:r>
        <w:rPr>
          <w:rFonts w:hint="eastAsia" w:hAnsi="宋体" w:cs="宋体"/>
          <w:color w:val="auto"/>
          <w:sz w:val="22"/>
          <w:szCs w:val="22"/>
          <w:highlight w:val="none"/>
        </w:rPr>
        <w:t>5</w:t>
      </w:r>
      <w:r>
        <w:rPr>
          <w:rFonts w:hint="eastAsia" w:hAnsi="宋体" w:cs="宋体"/>
          <w:color w:val="auto"/>
          <w:sz w:val="22"/>
          <w:szCs w:val="22"/>
          <w:highlight w:val="none"/>
          <w:lang w:val="zh-CN"/>
        </w:rPr>
        <w:t>.2.3.3具体、明确的质疑事项和与质疑事项相关的请求；</w:t>
      </w:r>
    </w:p>
    <w:p w14:paraId="5DA117B3">
      <w:pPr>
        <w:pStyle w:val="20"/>
        <w:spacing w:line="440" w:lineRule="exact"/>
        <w:ind w:firstLine="440" w:firstLineChars="200"/>
        <w:rPr>
          <w:rFonts w:hint="eastAsia" w:hAnsi="宋体" w:cs="宋体"/>
          <w:color w:val="auto"/>
          <w:sz w:val="22"/>
          <w:szCs w:val="22"/>
          <w:highlight w:val="none"/>
          <w:lang w:val="zh-CN"/>
        </w:rPr>
      </w:pPr>
      <w:r>
        <w:rPr>
          <w:rFonts w:hint="eastAsia" w:hAnsi="宋体" w:cs="宋体"/>
          <w:color w:val="auto"/>
          <w:sz w:val="22"/>
          <w:szCs w:val="22"/>
          <w:highlight w:val="none"/>
        </w:rPr>
        <w:t>5</w:t>
      </w:r>
      <w:r>
        <w:rPr>
          <w:rFonts w:hint="eastAsia" w:hAnsi="宋体" w:cs="宋体"/>
          <w:color w:val="auto"/>
          <w:sz w:val="22"/>
          <w:szCs w:val="22"/>
          <w:highlight w:val="none"/>
          <w:lang w:val="zh-CN"/>
        </w:rPr>
        <w:t>.2.3.4事实依据；</w:t>
      </w:r>
    </w:p>
    <w:p w14:paraId="68FB02C2">
      <w:pPr>
        <w:pStyle w:val="20"/>
        <w:spacing w:line="440" w:lineRule="exact"/>
        <w:ind w:firstLine="440" w:firstLineChars="200"/>
        <w:rPr>
          <w:rFonts w:hint="eastAsia" w:hAnsi="宋体" w:cs="宋体"/>
          <w:color w:val="auto"/>
          <w:sz w:val="22"/>
          <w:szCs w:val="22"/>
          <w:highlight w:val="none"/>
          <w:lang w:val="zh-CN"/>
        </w:rPr>
      </w:pPr>
      <w:r>
        <w:rPr>
          <w:rFonts w:hint="eastAsia" w:hAnsi="宋体" w:cs="宋体"/>
          <w:color w:val="auto"/>
          <w:sz w:val="22"/>
          <w:szCs w:val="22"/>
          <w:highlight w:val="none"/>
        </w:rPr>
        <w:t>5</w:t>
      </w:r>
      <w:r>
        <w:rPr>
          <w:rFonts w:hint="eastAsia" w:hAnsi="宋体" w:cs="宋体"/>
          <w:color w:val="auto"/>
          <w:sz w:val="22"/>
          <w:szCs w:val="22"/>
          <w:highlight w:val="none"/>
          <w:lang w:val="zh-CN"/>
        </w:rPr>
        <w:t>.2.3.5必要的法律依据；</w:t>
      </w:r>
    </w:p>
    <w:p w14:paraId="3AB1EAF8">
      <w:pPr>
        <w:spacing w:line="440" w:lineRule="exac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val="zh-CN"/>
        </w:rPr>
        <w:t>.2.3.6提出质疑的日期。</w:t>
      </w:r>
    </w:p>
    <w:p w14:paraId="0591417E">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供应商为自然人的，应当由本人签字；供应商为法人或者其他组织的，应当由法定代表人、主要负责人，或者其授权代表签字或者盖章，并加盖公章。</w:t>
      </w:r>
    </w:p>
    <w:p w14:paraId="2FC937FC">
      <w:pPr>
        <w:spacing w:line="440" w:lineRule="exact"/>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质疑函范本及制作说明详见浙江政府采购网相关格式内容。</w:t>
      </w:r>
    </w:p>
    <w:p w14:paraId="69529B6D">
      <w:pPr>
        <w:spacing w:line="440" w:lineRule="exac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val="zh-CN"/>
        </w:rPr>
        <w:t>.2.4采购人或者采购代理机构应当在收到供应商的质疑后七个工作日内作出答复，并以书面形式通知质疑供应商和其他与质疑处理结果有利害关系的政府采购当事人，但答复的内容不得涉及商业秘密。根据《浙江省财政厅关于进一步促进政府采购公平竞争打造最优营商环境的通知》（浙财采监〔2021〕22号）,采购人或者采购代理机构在质疑回复后5个工作日内，在浙江政府采购网的“其他公告”栏目公开质疑答复，答复内容应当完整。质疑函作为附件上传。</w:t>
      </w:r>
    </w:p>
    <w:p w14:paraId="70425314">
      <w:pPr>
        <w:spacing w:line="440" w:lineRule="exac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val="zh-CN"/>
        </w:rPr>
        <w:t>.2.5询问或者质疑事项可能影响采购结果的，采购人应当暂停签订合同，已经签订合同的，应当中止履行合同。</w:t>
      </w:r>
    </w:p>
    <w:p w14:paraId="4D66ECEC">
      <w:pPr>
        <w:spacing w:line="440" w:lineRule="exac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5</w:t>
      </w:r>
      <w:r>
        <w:rPr>
          <w:rFonts w:hint="eastAsia" w:ascii="宋体" w:hAnsi="宋体" w:cs="宋体"/>
          <w:color w:val="auto"/>
          <w:sz w:val="22"/>
          <w:szCs w:val="22"/>
          <w:highlight w:val="none"/>
          <w:lang w:val="zh-CN"/>
        </w:rPr>
        <w:t>.3供应商投诉</w:t>
      </w:r>
    </w:p>
    <w:p w14:paraId="2D675EDD">
      <w:pPr>
        <w:spacing w:line="440" w:lineRule="exac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5.3.1质疑供应商对采购人、采购代理机构的答复不满意或者采购人、采购代理机构未在规定的时间内作出答复的，可以在答复期满后十五个工作日内向同级政府采购监督管理部门提出投诉。</w:t>
      </w:r>
    </w:p>
    <w:p w14:paraId="3BFE5DC5">
      <w:pPr>
        <w:spacing w:line="440" w:lineRule="exac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5.3.2供应商投诉的事项不得超出已质疑事项的范围，基于质疑答复内容提出的投诉事项除外。</w:t>
      </w:r>
    </w:p>
    <w:p w14:paraId="6BAD0BB1">
      <w:pPr>
        <w:spacing w:line="440" w:lineRule="exac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5.3.3供应商投诉应当有明确的请求和必要的证明材料。</w:t>
      </w:r>
    </w:p>
    <w:p w14:paraId="08A9E0AE">
      <w:pPr>
        <w:spacing w:line="440" w:lineRule="exac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5.3.</w:t>
      </w:r>
      <w:r>
        <w:rPr>
          <w:rFonts w:ascii="宋体" w:hAnsi="宋体" w:cs="宋体"/>
          <w:color w:val="auto"/>
          <w:sz w:val="22"/>
          <w:szCs w:val="22"/>
          <w:highlight w:val="none"/>
          <w:lang w:val="zh-CN"/>
        </w:rPr>
        <w:t>4</w:t>
      </w:r>
      <w:r>
        <w:rPr>
          <w:rFonts w:hint="eastAsia" w:ascii="宋体" w:hAnsi="宋体" w:cs="宋体"/>
          <w:color w:val="auto"/>
          <w:sz w:val="22"/>
          <w:szCs w:val="22"/>
          <w:highlight w:val="none"/>
          <w:lang w:val="zh-CN"/>
        </w:rPr>
        <w:t>以联合体形式参加政府采购活动的，其投诉应当由组成联合体的所有供应商共同提出。</w:t>
      </w:r>
    </w:p>
    <w:p w14:paraId="54833F0E">
      <w:pPr>
        <w:spacing w:line="440" w:lineRule="exact"/>
        <w:ind w:firstLine="440" w:firstLineChars="200"/>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投诉书范本及制作说明详见浙江政府采购网相关格式内容。</w:t>
      </w:r>
    </w:p>
    <w:p w14:paraId="25EF64AC">
      <w:pPr>
        <w:pStyle w:val="5"/>
        <w:spacing w:line="480" w:lineRule="exact"/>
        <w:jc w:val="center"/>
        <w:rPr>
          <w:rFonts w:hint="eastAsia" w:ascii="宋体" w:hAnsi="宋体" w:eastAsia="宋体"/>
          <w:color w:val="auto"/>
          <w:sz w:val="28"/>
          <w:szCs w:val="28"/>
          <w:highlight w:val="none"/>
        </w:rPr>
      </w:pPr>
      <w:bookmarkStart w:id="14" w:name="_Toc30966"/>
      <w:bookmarkStart w:id="15" w:name="_Toc8647"/>
      <w:r>
        <w:rPr>
          <w:rFonts w:hint="eastAsia" w:ascii="宋体" w:hAnsi="宋体" w:eastAsia="宋体"/>
          <w:color w:val="auto"/>
          <w:sz w:val="28"/>
          <w:szCs w:val="28"/>
          <w:highlight w:val="none"/>
        </w:rPr>
        <w:t>二、 磋商文件</w:t>
      </w:r>
      <w:bookmarkEnd w:id="14"/>
      <w:bookmarkEnd w:id="15"/>
    </w:p>
    <w:p w14:paraId="746FD5A8">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1.   磋商文件由磋商文件目录所列内容及相关资料组成。</w:t>
      </w:r>
    </w:p>
    <w:p w14:paraId="2B78F7DC">
      <w:pPr>
        <w:spacing w:line="440" w:lineRule="exact"/>
        <w:rPr>
          <w:rFonts w:hint="eastAsia" w:ascii="宋体" w:hAnsi="宋体"/>
          <w:b/>
          <w:color w:val="auto"/>
          <w:sz w:val="22"/>
          <w:highlight w:val="none"/>
        </w:rPr>
      </w:pPr>
      <w:r>
        <w:rPr>
          <w:rFonts w:hint="eastAsia" w:ascii="宋体" w:hAnsi="宋体"/>
          <w:b/>
          <w:color w:val="auto"/>
          <w:sz w:val="22"/>
          <w:highlight w:val="none"/>
        </w:rPr>
        <w:t xml:space="preserve">2． </w:t>
      </w:r>
      <w:r>
        <w:rPr>
          <w:rFonts w:ascii="宋体" w:hAnsi="宋体"/>
          <w:b/>
          <w:color w:val="auto"/>
          <w:sz w:val="22"/>
          <w:highlight w:val="none"/>
        </w:rPr>
        <w:t xml:space="preserve"> </w:t>
      </w:r>
      <w:r>
        <w:rPr>
          <w:rFonts w:hint="eastAsia" w:ascii="宋体" w:hAnsi="宋体"/>
          <w:b/>
          <w:color w:val="auto"/>
          <w:sz w:val="22"/>
          <w:highlight w:val="none"/>
        </w:rPr>
        <w:t>磋商文件的澄清和修改</w:t>
      </w:r>
    </w:p>
    <w:p w14:paraId="36F8D64F">
      <w:pPr>
        <w:spacing w:line="440" w:lineRule="exact"/>
        <w:ind w:left="550" w:hanging="550" w:hangingChars="250"/>
        <w:rPr>
          <w:rFonts w:ascii="宋体" w:hAnsi="宋体"/>
          <w:color w:val="auto"/>
          <w:sz w:val="22"/>
          <w:highlight w:val="none"/>
        </w:rPr>
      </w:pPr>
      <w:r>
        <w:rPr>
          <w:rFonts w:hint="eastAsia" w:ascii="宋体" w:hAnsi="宋体"/>
          <w:color w:val="auto"/>
          <w:sz w:val="22"/>
          <w:highlight w:val="none"/>
        </w:rPr>
        <w:t>2.1  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w:t>
      </w:r>
      <w:r>
        <w:rPr>
          <w:rFonts w:ascii="宋体" w:hAnsi="宋体"/>
          <w:color w:val="auto"/>
          <w:sz w:val="22"/>
          <w:highlight w:val="none"/>
        </w:rPr>
        <w:t>5</w:t>
      </w:r>
      <w:r>
        <w:rPr>
          <w:rFonts w:hint="eastAsia" w:ascii="宋体" w:hAnsi="宋体"/>
          <w:color w:val="auto"/>
          <w:sz w:val="22"/>
          <w:highlight w:val="none"/>
        </w:rPr>
        <w:t>日前，以书面形式通知所有获取磋商文件的供应商；不足</w:t>
      </w:r>
      <w:r>
        <w:rPr>
          <w:rFonts w:ascii="宋体" w:hAnsi="宋体"/>
          <w:color w:val="auto"/>
          <w:sz w:val="22"/>
          <w:highlight w:val="none"/>
        </w:rPr>
        <w:t>5</w:t>
      </w:r>
      <w:r>
        <w:rPr>
          <w:rFonts w:hint="eastAsia" w:ascii="宋体" w:hAnsi="宋体"/>
          <w:color w:val="auto"/>
          <w:sz w:val="22"/>
          <w:highlight w:val="none"/>
        </w:rPr>
        <w:t>日的，采购人、采购代理机构应当顺延提交首次响应文件截止时间。</w:t>
      </w:r>
    </w:p>
    <w:p w14:paraId="7FF660C0">
      <w:pPr>
        <w:pStyle w:val="5"/>
        <w:spacing w:line="480" w:lineRule="exact"/>
        <w:jc w:val="center"/>
        <w:rPr>
          <w:rFonts w:hint="eastAsia" w:ascii="宋体" w:hAnsi="宋体" w:eastAsia="宋体"/>
          <w:color w:val="auto"/>
          <w:sz w:val="28"/>
          <w:szCs w:val="28"/>
          <w:highlight w:val="none"/>
        </w:rPr>
      </w:pPr>
      <w:bookmarkStart w:id="16" w:name="_Toc276"/>
      <w:bookmarkStart w:id="17" w:name="_Toc19539"/>
      <w:r>
        <w:rPr>
          <w:rFonts w:hint="eastAsia" w:ascii="宋体" w:hAnsi="宋体" w:eastAsia="宋体"/>
          <w:color w:val="auto"/>
          <w:sz w:val="28"/>
          <w:szCs w:val="28"/>
          <w:highlight w:val="none"/>
        </w:rPr>
        <w:t>三、 磋商响应文件的编制</w:t>
      </w:r>
      <w:bookmarkEnd w:id="16"/>
      <w:bookmarkEnd w:id="17"/>
    </w:p>
    <w:p w14:paraId="729ED62E">
      <w:pPr>
        <w:spacing w:line="440" w:lineRule="exact"/>
        <w:ind w:left="539" w:hanging="539" w:hangingChars="245"/>
        <w:rPr>
          <w:rFonts w:hint="eastAsia" w:ascii="宋体" w:hAnsi="宋体"/>
          <w:color w:val="auto"/>
          <w:sz w:val="22"/>
          <w:szCs w:val="22"/>
          <w:highlight w:val="none"/>
        </w:rPr>
      </w:pPr>
      <w:r>
        <w:rPr>
          <w:rFonts w:hint="eastAsia" w:ascii="宋体" w:hAnsi="宋体"/>
          <w:color w:val="auto"/>
          <w:sz w:val="22"/>
          <w:szCs w:val="22"/>
          <w:highlight w:val="none"/>
        </w:rPr>
        <w:t>1．  磋商供应商应认真阅读磋商文件中所有事项、格式、条款、技术规范和其它要求等。磋商供应商没有按照</w:t>
      </w:r>
      <w:r>
        <w:rPr>
          <w:rFonts w:hint="eastAsia" w:ascii="宋体" w:hAnsi="宋体"/>
          <w:b/>
          <w:bCs/>
          <w:color w:val="auto"/>
          <w:sz w:val="22"/>
          <w:szCs w:val="22"/>
          <w:highlight w:val="none"/>
        </w:rPr>
        <w:t>磋商文件要求提交的全部资料，或者没有对磋商文件各个方面作出实质性响应，是磋商供应商的风险，并可能导致其响应被拒绝</w:t>
      </w:r>
      <w:r>
        <w:rPr>
          <w:rFonts w:hint="eastAsia" w:ascii="宋体" w:hAnsi="宋体"/>
          <w:color w:val="auto"/>
          <w:sz w:val="22"/>
          <w:szCs w:val="22"/>
          <w:highlight w:val="none"/>
        </w:rPr>
        <w:t>。</w:t>
      </w:r>
    </w:p>
    <w:p w14:paraId="52D85B43">
      <w:pPr>
        <w:spacing w:line="440" w:lineRule="exact"/>
        <w:ind w:left="539" w:hanging="539" w:hangingChars="245"/>
        <w:rPr>
          <w:rFonts w:hint="eastAsia" w:ascii="宋体" w:hAnsi="宋体"/>
          <w:b/>
          <w:color w:val="auto"/>
          <w:sz w:val="22"/>
          <w:szCs w:val="22"/>
          <w:highlight w:val="none"/>
        </w:rPr>
      </w:pPr>
      <w:r>
        <w:rPr>
          <w:rFonts w:hint="eastAsia" w:ascii="宋体" w:hAnsi="宋体"/>
          <w:color w:val="auto"/>
          <w:sz w:val="22"/>
          <w:szCs w:val="22"/>
          <w:highlight w:val="none"/>
        </w:rPr>
        <w:t xml:space="preserve">2． </w:t>
      </w:r>
      <w:r>
        <w:rPr>
          <w:rFonts w:hint="eastAsia" w:ascii="宋体" w:hAnsi="宋体"/>
          <w:b/>
          <w:color w:val="auto"/>
          <w:sz w:val="22"/>
          <w:szCs w:val="22"/>
          <w:highlight w:val="none"/>
        </w:rPr>
        <w:t xml:space="preserve"> 磋商供应商应保证所提供所有文件资料的真实性，所有文件资料必须是针对本次磋商的。如发现磋商供应商提供了虚假文件资料，其响应将被拒绝，并承担相应的法律责任。</w:t>
      </w:r>
    </w:p>
    <w:p w14:paraId="6141ADA8">
      <w:pPr>
        <w:spacing w:line="440" w:lineRule="exact"/>
        <w:ind w:left="550" w:hanging="550" w:hangingChars="250"/>
        <w:rPr>
          <w:rFonts w:hint="eastAsia" w:ascii="宋体" w:hAnsi="宋体"/>
          <w:b/>
          <w:bCs/>
          <w:color w:val="auto"/>
          <w:sz w:val="22"/>
          <w:szCs w:val="22"/>
          <w:highlight w:val="none"/>
        </w:rPr>
      </w:pPr>
      <w:r>
        <w:rPr>
          <w:rFonts w:hint="eastAsia" w:ascii="宋体" w:hAnsi="宋体"/>
          <w:color w:val="auto"/>
          <w:sz w:val="22"/>
          <w:szCs w:val="22"/>
          <w:highlight w:val="none"/>
        </w:rPr>
        <w:t xml:space="preserve">3.   </w:t>
      </w:r>
      <w:r>
        <w:rPr>
          <w:rFonts w:hint="eastAsia" w:ascii="宋体" w:hAnsi="宋体"/>
          <w:b/>
          <w:bCs/>
          <w:color w:val="auto"/>
          <w:sz w:val="22"/>
          <w:szCs w:val="22"/>
          <w:highlight w:val="none"/>
        </w:rPr>
        <w:t>磋商响应文件分为电子磋商响应文件以及备份磋商响应文件。</w:t>
      </w:r>
    </w:p>
    <w:p w14:paraId="72A458D1">
      <w:pPr>
        <w:spacing w:line="440" w:lineRule="exact"/>
        <w:ind w:left="550" w:hanging="550" w:hangingChars="250"/>
        <w:rPr>
          <w:rFonts w:hint="eastAsia" w:ascii="宋体" w:hAnsi="宋体"/>
          <w:b/>
          <w:bCs/>
          <w:color w:val="auto"/>
          <w:sz w:val="22"/>
          <w:szCs w:val="22"/>
          <w:highlight w:val="none"/>
          <w:u w:val="single"/>
        </w:rPr>
      </w:pPr>
      <w:r>
        <w:rPr>
          <w:rFonts w:hint="eastAsia" w:ascii="宋体" w:hAnsi="宋体"/>
          <w:color w:val="auto"/>
          <w:sz w:val="22"/>
          <w:szCs w:val="22"/>
          <w:highlight w:val="none"/>
        </w:rPr>
        <w:t xml:space="preserve">3.1 </w:t>
      </w:r>
      <w:r>
        <w:rPr>
          <w:rFonts w:hint="eastAsia" w:ascii="宋体" w:hAnsi="宋体"/>
          <w:bCs/>
          <w:color w:val="auto"/>
          <w:sz w:val="22"/>
          <w:szCs w:val="22"/>
          <w:highlight w:val="none"/>
        </w:rPr>
        <w:t xml:space="preserve"> </w:t>
      </w:r>
      <w:r>
        <w:rPr>
          <w:rFonts w:hint="eastAsia" w:ascii="宋体" w:hAnsi="宋体"/>
          <w:b/>
          <w:bCs/>
          <w:color w:val="auto"/>
          <w:sz w:val="22"/>
          <w:szCs w:val="22"/>
          <w:highlight w:val="none"/>
          <w:u w:val="single"/>
        </w:rPr>
        <w:t>电子磋商响应文件：供应商根据“政采云供应商项目采购-电子招投标操作指南”及本磋商文件规定的格式和顺序编制电子磋商响应文件关联定位、加密并递交。</w:t>
      </w:r>
    </w:p>
    <w:p w14:paraId="314FBBE1">
      <w:pPr>
        <w:spacing w:line="440" w:lineRule="exact"/>
        <w:ind w:left="552" w:hanging="552" w:hangingChars="250"/>
        <w:rPr>
          <w:rFonts w:hint="eastAsia" w:ascii="宋体" w:hAnsi="宋体"/>
          <w:b/>
          <w:bCs/>
          <w:color w:val="auto"/>
          <w:sz w:val="22"/>
          <w:szCs w:val="22"/>
          <w:highlight w:val="none"/>
          <w:u w:val="single"/>
        </w:rPr>
      </w:pPr>
      <w:r>
        <w:rPr>
          <w:rFonts w:hint="eastAsia" w:ascii="宋体" w:hAnsi="宋体"/>
          <w:b/>
          <w:bCs/>
          <w:color w:val="auto"/>
          <w:sz w:val="22"/>
          <w:szCs w:val="22"/>
          <w:highlight w:val="none"/>
        </w:rPr>
        <w:t xml:space="preserve">3.2  </w:t>
      </w:r>
      <w:r>
        <w:rPr>
          <w:rFonts w:hint="eastAsia" w:ascii="宋体" w:hAnsi="宋体"/>
          <w:b/>
          <w:bCs/>
          <w:color w:val="auto"/>
          <w:sz w:val="22"/>
          <w:szCs w:val="22"/>
          <w:highlight w:val="none"/>
          <w:u w:val="single"/>
        </w:rPr>
        <w:t>备份磋商响应文件：供应商</w:t>
      </w:r>
      <w:r>
        <w:rPr>
          <w:rFonts w:ascii="宋体" w:hAnsi="宋体"/>
          <w:b/>
          <w:bCs/>
          <w:color w:val="auto"/>
          <w:sz w:val="22"/>
          <w:szCs w:val="22"/>
          <w:highlight w:val="none"/>
          <w:u w:val="single"/>
        </w:rPr>
        <w:t>在</w:t>
      </w:r>
      <w:r>
        <w:rPr>
          <w:rFonts w:hint="eastAsia" w:ascii="宋体" w:hAnsi="宋体"/>
          <w:b/>
          <w:bCs/>
          <w:color w:val="auto"/>
          <w:sz w:val="22"/>
          <w:szCs w:val="22"/>
          <w:highlight w:val="none"/>
          <w:u w:val="single"/>
        </w:rPr>
        <w:t>政采云</w:t>
      </w:r>
      <w:r>
        <w:rPr>
          <w:rFonts w:ascii="宋体" w:hAnsi="宋体"/>
          <w:b/>
          <w:bCs/>
          <w:color w:val="auto"/>
          <w:sz w:val="22"/>
          <w:szCs w:val="22"/>
          <w:highlight w:val="none"/>
          <w:u w:val="single"/>
        </w:rPr>
        <w:t>平台传输递交</w:t>
      </w:r>
      <w:r>
        <w:rPr>
          <w:rFonts w:hint="eastAsia" w:ascii="宋体" w:hAnsi="宋体"/>
          <w:b/>
          <w:bCs/>
          <w:color w:val="auto"/>
          <w:sz w:val="22"/>
          <w:szCs w:val="22"/>
          <w:highlight w:val="none"/>
          <w:u w:val="single"/>
        </w:rPr>
        <w:t>磋商响应</w:t>
      </w:r>
      <w:r>
        <w:rPr>
          <w:rFonts w:ascii="宋体" w:hAnsi="宋体"/>
          <w:b/>
          <w:bCs/>
          <w:color w:val="auto"/>
          <w:sz w:val="22"/>
          <w:szCs w:val="22"/>
          <w:highlight w:val="none"/>
          <w:u w:val="single"/>
        </w:rPr>
        <w:t>文件后，还可以在</w:t>
      </w:r>
      <w:r>
        <w:rPr>
          <w:rFonts w:hint="eastAsia" w:ascii="宋体" w:hAnsi="宋体"/>
          <w:b/>
          <w:bCs/>
          <w:color w:val="auto"/>
          <w:sz w:val="22"/>
          <w:szCs w:val="22"/>
          <w:highlight w:val="none"/>
          <w:u w:val="single"/>
        </w:rPr>
        <w:t>磋商</w:t>
      </w:r>
      <w:r>
        <w:rPr>
          <w:rFonts w:ascii="宋体" w:hAnsi="宋体"/>
          <w:b/>
          <w:bCs/>
          <w:color w:val="auto"/>
          <w:sz w:val="22"/>
          <w:szCs w:val="22"/>
          <w:highlight w:val="none"/>
          <w:u w:val="single"/>
        </w:rPr>
        <w:t>截止时间前提交以介质存储的数据电文形式的备份</w:t>
      </w:r>
      <w:r>
        <w:rPr>
          <w:rFonts w:hint="eastAsia" w:ascii="宋体" w:hAnsi="宋体"/>
          <w:b/>
          <w:bCs/>
          <w:color w:val="auto"/>
          <w:sz w:val="22"/>
          <w:szCs w:val="22"/>
          <w:highlight w:val="none"/>
          <w:u w:val="single"/>
        </w:rPr>
        <w:t>磋商响应</w:t>
      </w:r>
      <w:r>
        <w:rPr>
          <w:rFonts w:ascii="宋体" w:hAnsi="宋体"/>
          <w:b/>
          <w:bCs/>
          <w:color w:val="auto"/>
          <w:sz w:val="22"/>
          <w:szCs w:val="22"/>
          <w:highlight w:val="none"/>
          <w:u w:val="single"/>
        </w:rPr>
        <w:t>文件。</w:t>
      </w:r>
      <w:r>
        <w:rPr>
          <w:rFonts w:hint="eastAsia" w:ascii="宋体" w:hAnsi="宋体"/>
          <w:b/>
          <w:bCs/>
          <w:color w:val="auto"/>
          <w:sz w:val="22"/>
          <w:szCs w:val="22"/>
          <w:highlight w:val="none"/>
          <w:u w:val="single"/>
        </w:rPr>
        <w:t>备份磋商响应文件按“政采云平台项目采购-电子招投标操作指南”上传。</w:t>
      </w:r>
    </w:p>
    <w:p w14:paraId="174CE89F">
      <w:pPr>
        <w:spacing w:line="440" w:lineRule="exact"/>
        <w:ind w:left="552" w:hanging="552" w:hangingChars="250"/>
        <w:rPr>
          <w:rFonts w:hint="eastAsia" w:ascii="宋体" w:hAnsi="宋体"/>
          <w:b/>
          <w:color w:val="auto"/>
          <w:sz w:val="22"/>
          <w:szCs w:val="22"/>
          <w:highlight w:val="none"/>
        </w:rPr>
      </w:pPr>
      <w:r>
        <w:rPr>
          <w:rFonts w:hint="eastAsia" w:ascii="宋体" w:hAnsi="宋体"/>
          <w:b/>
          <w:color w:val="auto"/>
          <w:sz w:val="22"/>
          <w:szCs w:val="22"/>
          <w:highlight w:val="none"/>
        </w:rPr>
        <w:t>4.   磋商响应文件的效力</w:t>
      </w:r>
    </w:p>
    <w:p w14:paraId="1B68282C">
      <w:pPr>
        <w:spacing w:line="440" w:lineRule="exact"/>
        <w:ind w:left="533" w:leftChars="254"/>
        <w:rPr>
          <w:rFonts w:hint="eastAsia" w:ascii="宋体" w:hAnsi="宋体"/>
          <w:b/>
          <w:color w:val="auto"/>
          <w:sz w:val="22"/>
          <w:szCs w:val="22"/>
          <w:highlight w:val="none"/>
        </w:rPr>
      </w:pPr>
      <w:r>
        <w:rPr>
          <w:rFonts w:hint="eastAsia" w:ascii="宋体" w:hAnsi="宋体"/>
          <w:color w:val="auto"/>
          <w:sz w:val="22"/>
          <w:szCs w:val="22"/>
          <w:highlight w:val="none"/>
        </w:rPr>
        <w:t>磋商响应文件的启用，按先后顺位分别为电子磋商响应文件和备份磋商响应文件。在下一顺位的磋商响应文件启用时，前一顺位的磋商响应文件自动失效。</w:t>
      </w:r>
    </w:p>
    <w:p w14:paraId="047B10CB">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5.   </w:t>
      </w:r>
      <w:r>
        <w:rPr>
          <w:rFonts w:hint="eastAsia" w:ascii="宋体" w:hAnsi="宋体" w:cs="宋体"/>
          <w:b/>
          <w:bCs/>
          <w:color w:val="auto"/>
          <w:sz w:val="22"/>
          <w:szCs w:val="22"/>
          <w:highlight w:val="none"/>
        </w:rPr>
        <w:t>磋商响应文件的组成：</w:t>
      </w:r>
    </w:p>
    <w:p w14:paraId="4C62C537">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5.1  磋商响应文件由资格文件、商务技术文件、报价文件三部分组成：</w:t>
      </w:r>
    </w:p>
    <w:p w14:paraId="7F532223">
      <w:pPr>
        <w:spacing w:line="440" w:lineRule="exact"/>
        <w:rPr>
          <w:rFonts w:hint="eastAsia" w:ascii="宋体" w:hAnsi="宋体"/>
          <w:b/>
          <w:bCs/>
          <w:color w:val="auto"/>
          <w:sz w:val="22"/>
          <w:szCs w:val="22"/>
          <w:highlight w:val="none"/>
        </w:rPr>
      </w:pPr>
      <w:r>
        <w:rPr>
          <w:rFonts w:hint="eastAsia" w:ascii="宋体" w:hAnsi="宋体"/>
          <w:b/>
          <w:bCs/>
          <w:color w:val="auto"/>
          <w:sz w:val="22"/>
          <w:szCs w:val="22"/>
          <w:highlight w:val="none"/>
        </w:rPr>
        <w:t xml:space="preserve">5.1.1 </w:t>
      </w:r>
      <w:r>
        <w:rPr>
          <w:rFonts w:hint="eastAsia" w:ascii="宋体" w:hAnsi="宋体" w:cs="宋体"/>
          <w:b/>
          <w:bCs/>
          <w:color w:val="auto"/>
          <w:sz w:val="22"/>
          <w:szCs w:val="22"/>
          <w:highlight w:val="none"/>
        </w:rPr>
        <w:t>资格文件</w:t>
      </w:r>
      <w:r>
        <w:rPr>
          <w:rFonts w:hint="eastAsia" w:ascii="宋体" w:hAnsi="宋体"/>
          <w:b/>
          <w:bCs/>
          <w:color w:val="auto"/>
          <w:sz w:val="22"/>
          <w:szCs w:val="22"/>
          <w:highlight w:val="none"/>
        </w:rPr>
        <w:t>：</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346"/>
        <w:gridCol w:w="1401"/>
      </w:tblGrid>
      <w:tr w14:paraId="37B59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tcPr>
          <w:p w14:paraId="60D223DA">
            <w:pPr>
              <w:autoSpaceDE w:val="0"/>
              <w:autoSpaceDN w:val="0"/>
              <w:adjustRightInd w:val="0"/>
              <w:snapToGrid w:val="0"/>
              <w:spacing w:line="430" w:lineRule="atLeast"/>
              <w:rPr>
                <w:rFonts w:ascii="宋体" w:cs="宋体"/>
                <w:b/>
                <w:color w:val="auto"/>
                <w:sz w:val="22"/>
                <w:highlight w:val="none"/>
                <w:lang w:val="zh-CN"/>
              </w:rPr>
            </w:pPr>
            <w:r>
              <w:rPr>
                <w:rFonts w:hint="eastAsia" w:ascii="宋体" w:cs="宋体"/>
                <w:b/>
                <w:color w:val="auto"/>
                <w:sz w:val="22"/>
                <w:highlight w:val="none"/>
                <w:lang w:val="zh-CN"/>
              </w:rPr>
              <w:t>序号</w:t>
            </w:r>
          </w:p>
        </w:tc>
        <w:tc>
          <w:tcPr>
            <w:tcW w:w="7346" w:type="dxa"/>
            <w:tcBorders>
              <w:top w:val="single" w:color="auto" w:sz="4" w:space="0"/>
              <w:left w:val="single" w:color="auto" w:sz="4" w:space="0"/>
              <w:bottom w:val="single" w:color="auto" w:sz="4" w:space="0"/>
              <w:right w:val="single" w:color="auto" w:sz="4" w:space="0"/>
            </w:tcBorders>
          </w:tcPr>
          <w:p w14:paraId="792A4C7A">
            <w:pPr>
              <w:autoSpaceDE w:val="0"/>
              <w:autoSpaceDN w:val="0"/>
              <w:adjustRightInd w:val="0"/>
              <w:snapToGrid w:val="0"/>
              <w:spacing w:line="430" w:lineRule="atLeast"/>
              <w:jc w:val="center"/>
              <w:rPr>
                <w:rFonts w:hint="eastAsia" w:ascii="宋体" w:cs="宋体"/>
                <w:b/>
                <w:color w:val="auto"/>
                <w:sz w:val="22"/>
                <w:highlight w:val="none"/>
                <w:lang w:val="zh-CN"/>
              </w:rPr>
            </w:pPr>
            <w:r>
              <w:rPr>
                <w:rFonts w:hint="eastAsia" w:ascii="宋体" w:cs="宋体"/>
                <w:b/>
                <w:color w:val="auto"/>
                <w:sz w:val="22"/>
                <w:highlight w:val="none"/>
                <w:lang w:val="zh-CN"/>
              </w:rPr>
              <w:t>内容</w:t>
            </w:r>
          </w:p>
        </w:tc>
        <w:tc>
          <w:tcPr>
            <w:tcW w:w="1401" w:type="dxa"/>
            <w:tcBorders>
              <w:top w:val="single" w:color="auto" w:sz="4" w:space="0"/>
              <w:left w:val="single" w:color="auto" w:sz="4" w:space="0"/>
              <w:bottom w:val="single" w:color="auto" w:sz="4" w:space="0"/>
              <w:right w:val="single" w:color="auto" w:sz="4" w:space="0"/>
            </w:tcBorders>
          </w:tcPr>
          <w:p w14:paraId="4EFC6BA9">
            <w:pPr>
              <w:autoSpaceDE w:val="0"/>
              <w:autoSpaceDN w:val="0"/>
              <w:adjustRightInd w:val="0"/>
              <w:snapToGrid w:val="0"/>
              <w:spacing w:line="430" w:lineRule="atLeast"/>
              <w:jc w:val="center"/>
              <w:rPr>
                <w:rFonts w:hint="eastAsia" w:ascii="宋体" w:cs="宋体"/>
                <w:b/>
                <w:color w:val="auto"/>
                <w:sz w:val="22"/>
                <w:highlight w:val="none"/>
                <w:lang w:val="zh-CN"/>
              </w:rPr>
            </w:pPr>
            <w:r>
              <w:rPr>
                <w:rFonts w:hint="eastAsia" w:ascii="宋体" w:cs="宋体"/>
                <w:b/>
                <w:color w:val="auto"/>
                <w:sz w:val="22"/>
                <w:highlight w:val="none"/>
                <w:lang w:val="zh-CN"/>
              </w:rPr>
              <w:t>说明</w:t>
            </w:r>
          </w:p>
        </w:tc>
      </w:tr>
      <w:tr w14:paraId="40946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2B1996C6">
            <w:pPr>
              <w:autoSpaceDE w:val="0"/>
              <w:autoSpaceDN w:val="0"/>
              <w:adjustRightInd w:val="0"/>
              <w:snapToGrid w:val="0"/>
              <w:spacing w:line="430" w:lineRule="atLeast"/>
              <w:jc w:val="center"/>
              <w:rPr>
                <w:rFonts w:hint="eastAsia" w:ascii="宋体" w:cs="宋体"/>
                <w:color w:val="auto"/>
                <w:sz w:val="22"/>
                <w:szCs w:val="22"/>
                <w:highlight w:val="none"/>
                <w:lang w:val="zh-CN"/>
              </w:rPr>
            </w:pPr>
            <w:r>
              <w:rPr>
                <w:rFonts w:ascii="宋体" w:cs="宋体"/>
                <w:color w:val="auto"/>
                <w:sz w:val="22"/>
                <w:szCs w:val="22"/>
                <w:highlight w:val="none"/>
                <w:lang w:val="zh-CN"/>
              </w:rPr>
              <w:t>1</w:t>
            </w:r>
          </w:p>
        </w:tc>
        <w:tc>
          <w:tcPr>
            <w:tcW w:w="7346" w:type="dxa"/>
            <w:tcBorders>
              <w:top w:val="single" w:color="auto" w:sz="4" w:space="0"/>
              <w:left w:val="single" w:color="auto" w:sz="4" w:space="0"/>
              <w:bottom w:val="single" w:color="auto" w:sz="4" w:space="0"/>
              <w:right w:val="single" w:color="auto" w:sz="4" w:space="0"/>
            </w:tcBorders>
          </w:tcPr>
          <w:p w14:paraId="26CC80D7">
            <w:pPr>
              <w:widowControl/>
              <w:overflowPunct w:val="0"/>
              <w:autoSpaceDE w:val="0"/>
              <w:autoSpaceDN w:val="0"/>
              <w:adjustRightInd w:val="0"/>
              <w:spacing w:line="440" w:lineRule="exact"/>
              <w:ind w:left="550" w:hanging="550" w:hangingChars="250"/>
              <w:jc w:val="left"/>
              <w:textAlignment w:val="baseline"/>
              <w:rPr>
                <w:rFonts w:hint="eastAsia" w:ascii="宋体" w:hAnsi="宋体" w:cs="宋体"/>
                <w:color w:val="auto"/>
                <w:kern w:val="0"/>
                <w:sz w:val="22"/>
                <w:szCs w:val="22"/>
                <w:highlight w:val="none"/>
              </w:rPr>
            </w:pPr>
            <w:r>
              <w:rPr>
                <w:rFonts w:hint="eastAsia" w:ascii="宋体" w:hAnsi="宋体" w:cs="宋体"/>
                <w:color w:val="auto"/>
                <w:sz w:val="22"/>
                <w:szCs w:val="22"/>
                <w:highlight w:val="none"/>
              </w:rPr>
              <w:t>法定代表人身份证明或法定代表人授权书</w:t>
            </w:r>
          </w:p>
        </w:tc>
        <w:tc>
          <w:tcPr>
            <w:tcW w:w="1401" w:type="dxa"/>
            <w:tcBorders>
              <w:top w:val="single" w:color="auto" w:sz="4" w:space="0"/>
              <w:left w:val="single" w:color="auto" w:sz="4" w:space="0"/>
              <w:bottom w:val="single" w:color="auto" w:sz="4" w:space="0"/>
              <w:right w:val="single" w:color="auto" w:sz="4" w:space="0"/>
            </w:tcBorders>
          </w:tcPr>
          <w:p w14:paraId="6F264CC2">
            <w:pPr>
              <w:autoSpaceDE w:val="0"/>
              <w:autoSpaceDN w:val="0"/>
              <w:adjustRightInd w:val="0"/>
              <w:snapToGrid w:val="0"/>
              <w:spacing w:line="430" w:lineRule="atLeast"/>
              <w:jc w:val="center"/>
              <w:rPr>
                <w:rFonts w:ascii="宋体" w:hAnsi="宋体" w:cs="宋体"/>
                <w:color w:val="auto"/>
                <w:sz w:val="22"/>
                <w:szCs w:val="22"/>
                <w:highlight w:val="none"/>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-1、2</w:t>
            </w:r>
          </w:p>
        </w:tc>
      </w:tr>
      <w:tr w14:paraId="7BE1A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7E5BCC8A">
            <w:pPr>
              <w:autoSpaceDE w:val="0"/>
              <w:autoSpaceDN w:val="0"/>
              <w:adjustRightInd w:val="0"/>
              <w:snapToGrid w:val="0"/>
              <w:spacing w:line="430" w:lineRule="atLeast"/>
              <w:jc w:val="center"/>
              <w:rPr>
                <w:rFonts w:hint="eastAsia" w:ascii="宋体" w:cs="宋体"/>
                <w:color w:val="auto"/>
                <w:sz w:val="22"/>
                <w:szCs w:val="22"/>
                <w:highlight w:val="none"/>
                <w:lang w:val="zh-CN"/>
              </w:rPr>
            </w:pPr>
            <w:r>
              <w:rPr>
                <w:rFonts w:ascii="宋体" w:cs="宋体"/>
                <w:color w:val="auto"/>
                <w:sz w:val="22"/>
                <w:szCs w:val="22"/>
                <w:highlight w:val="none"/>
                <w:lang w:val="zh-CN"/>
              </w:rPr>
              <w:t>2</w:t>
            </w:r>
          </w:p>
        </w:tc>
        <w:tc>
          <w:tcPr>
            <w:tcW w:w="7346" w:type="dxa"/>
            <w:tcBorders>
              <w:top w:val="single" w:color="auto" w:sz="4" w:space="0"/>
              <w:left w:val="single" w:color="auto" w:sz="4" w:space="0"/>
              <w:bottom w:val="single" w:color="auto" w:sz="4" w:space="0"/>
              <w:right w:val="single" w:color="auto" w:sz="4" w:space="0"/>
            </w:tcBorders>
            <w:vAlign w:val="center"/>
          </w:tcPr>
          <w:p w14:paraId="65754576">
            <w:pPr>
              <w:widowControl/>
              <w:overflowPunct w:val="0"/>
              <w:autoSpaceDE w:val="0"/>
              <w:autoSpaceDN w:val="0"/>
              <w:adjustRightInd w:val="0"/>
              <w:spacing w:line="440" w:lineRule="exact"/>
              <w:ind w:left="550" w:hanging="550" w:hangingChars="250"/>
              <w:jc w:val="left"/>
              <w:textAlignment w:val="baseline"/>
              <w:rPr>
                <w:rFonts w:hint="eastAsia" w:ascii="宋体" w:hAnsi="宋体" w:cs="宋体"/>
                <w:color w:val="auto"/>
                <w:kern w:val="0"/>
                <w:sz w:val="22"/>
                <w:szCs w:val="22"/>
                <w:highlight w:val="none"/>
              </w:rPr>
            </w:pPr>
            <w:r>
              <w:rPr>
                <w:rFonts w:hint="eastAsia" w:ascii="宋体" w:hAnsi="宋体" w:cs="宋体"/>
                <w:color w:val="auto"/>
                <w:sz w:val="22"/>
                <w:szCs w:val="22"/>
                <w:highlight w:val="none"/>
              </w:rPr>
              <w:t>符合参加政府采购活动应当具备的一般条件的承诺函</w:t>
            </w:r>
          </w:p>
        </w:tc>
        <w:tc>
          <w:tcPr>
            <w:tcW w:w="1401" w:type="dxa"/>
            <w:tcBorders>
              <w:top w:val="single" w:color="auto" w:sz="4" w:space="0"/>
              <w:left w:val="single" w:color="auto" w:sz="4" w:space="0"/>
              <w:bottom w:val="single" w:color="auto" w:sz="4" w:space="0"/>
              <w:right w:val="single" w:color="auto" w:sz="4" w:space="0"/>
            </w:tcBorders>
          </w:tcPr>
          <w:p w14:paraId="60EEFFB4">
            <w:pPr>
              <w:autoSpaceDE w:val="0"/>
              <w:autoSpaceDN w:val="0"/>
              <w:adjustRightInd w:val="0"/>
              <w:snapToGrid w:val="0"/>
              <w:spacing w:line="430" w:lineRule="atLeast"/>
              <w:jc w:val="center"/>
              <w:rPr>
                <w:rFonts w:hint="eastAsia" w:ascii="宋体" w:hAnsi="宋体"/>
                <w:color w:val="auto"/>
                <w:sz w:val="22"/>
                <w:szCs w:val="22"/>
                <w:highlight w:val="none"/>
              </w:rPr>
            </w:pPr>
            <w:r>
              <w:rPr>
                <w:rFonts w:hint="eastAsia" w:ascii="宋体" w:hAnsi="宋体" w:cs="宋体"/>
                <w:color w:val="auto"/>
                <w:sz w:val="22"/>
                <w:szCs w:val="22"/>
                <w:highlight w:val="none"/>
              </w:rPr>
              <w:t>附件</w:t>
            </w:r>
            <w:r>
              <w:rPr>
                <w:rFonts w:hint="eastAsia" w:ascii="宋体" w:hAnsi="宋体" w:cs="宋体"/>
                <w:color w:val="auto"/>
                <w:sz w:val="22"/>
                <w:szCs w:val="22"/>
                <w:highlight w:val="none"/>
                <w:lang w:val="en-US" w:eastAsia="zh-CN"/>
              </w:rPr>
              <w:t>10</w:t>
            </w:r>
            <w:r>
              <w:rPr>
                <w:rFonts w:hint="eastAsia" w:ascii="宋体" w:hAnsi="宋体" w:cs="宋体"/>
                <w:color w:val="auto"/>
                <w:sz w:val="22"/>
                <w:szCs w:val="22"/>
                <w:highlight w:val="none"/>
              </w:rPr>
              <w:t>-3</w:t>
            </w:r>
          </w:p>
        </w:tc>
      </w:tr>
      <w:tr w14:paraId="2535C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2BE238FD">
            <w:pPr>
              <w:autoSpaceDE w:val="0"/>
              <w:autoSpaceDN w:val="0"/>
              <w:adjustRightInd w:val="0"/>
              <w:snapToGrid w:val="0"/>
              <w:spacing w:line="430" w:lineRule="atLeast"/>
              <w:jc w:val="center"/>
              <w:rPr>
                <w:rFonts w:hint="eastAsia" w:ascii="宋体" w:cs="宋体"/>
                <w:color w:val="auto"/>
                <w:sz w:val="22"/>
                <w:szCs w:val="22"/>
                <w:highlight w:val="none"/>
                <w:lang w:val="zh-CN"/>
              </w:rPr>
            </w:pPr>
            <w:r>
              <w:rPr>
                <w:rFonts w:ascii="宋体" w:cs="宋体"/>
                <w:color w:val="auto"/>
                <w:sz w:val="22"/>
                <w:szCs w:val="22"/>
                <w:highlight w:val="none"/>
                <w:lang w:val="zh-CN"/>
              </w:rPr>
              <w:t>3</w:t>
            </w:r>
          </w:p>
        </w:tc>
        <w:tc>
          <w:tcPr>
            <w:tcW w:w="7346" w:type="dxa"/>
            <w:tcBorders>
              <w:top w:val="single" w:color="auto" w:sz="4" w:space="0"/>
              <w:left w:val="single" w:color="auto" w:sz="4" w:space="0"/>
              <w:bottom w:val="single" w:color="auto" w:sz="4" w:space="0"/>
              <w:right w:val="single" w:color="auto" w:sz="4" w:space="0"/>
            </w:tcBorders>
            <w:vAlign w:val="center"/>
          </w:tcPr>
          <w:p w14:paraId="1B628BFA">
            <w:pPr>
              <w:autoSpaceDE w:val="0"/>
              <w:autoSpaceDN w:val="0"/>
              <w:adjustRightInd w:val="0"/>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磋商供应商企业法人有效营业执照（或事业法人登记证书或其它工商等登记证明材料，自然人提供身份证)复制件（如为联合体，则联合体各方均应提供）（五选一）</w:t>
            </w:r>
          </w:p>
          <w:p w14:paraId="329DE37B">
            <w:pPr>
              <w:autoSpaceDE w:val="0"/>
              <w:autoSpaceDN w:val="0"/>
              <w:adjustRightInd w:val="0"/>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①如磋商供应商是企业（包括合伙企业），提供在工商部门注册的有效“企业法人营业执照”或“营业执照”；</w:t>
            </w:r>
          </w:p>
          <w:p w14:paraId="4E7C7426">
            <w:pPr>
              <w:autoSpaceDE w:val="0"/>
              <w:autoSpaceDN w:val="0"/>
              <w:adjustRightInd w:val="0"/>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②如磋商供应商是事业单位，提供有效的“事业单位法人证书”；</w:t>
            </w:r>
          </w:p>
          <w:p w14:paraId="4B4D1780">
            <w:pPr>
              <w:autoSpaceDE w:val="0"/>
              <w:autoSpaceDN w:val="0"/>
              <w:adjustRightInd w:val="0"/>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③如磋商供应商是非企业专业服务机构的，提供执业许可证等证明文件；</w:t>
            </w:r>
          </w:p>
          <w:p w14:paraId="41E0B53E">
            <w:pPr>
              <w:autoSpaceDE w:val="0"/>
              <w:autoSpaceDN w:val="0"/>
              <w:adjustRightInd w:val="0"/>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④如磋商供应商是个体工商户，提供有效的“个体工商户营业执照”；</w:t>
            </w:r>
          </w:p>
          <w:p w14:paraId="571C9FC9">
            <w:pPr>
              <w:autoSpaceDE w:val="0"/>
              <w:autoSpaceDN w:val="0"/>
              <w:adjustRightInd w:val="0"/>
              <w:snapToGrid w:val="0"/>
              <w:spacing w:line="440" w:lineRule="exac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⑤如磋商供应商是自然人，提供有效的自然人身份证明（居民身份证正反面或公安机关出具的临时居民身份证正反面或港澳台胞证或护照）。</w:t>
            </w:r>
          </w:p>
          <w:p w14:paraId="162BDA96">
            <w:pPr>
              <w:autoSpaceDE w:val="0"/>
              <w:autoSpaceDN w:val="0"/>
              <w:adjustRightInd w:val="0"/>
              <w:snapToGrid w:val="0"/>
              <w:spacing w:line="440" w:lineRule="exact"/>
              <w:rPr>
                <w:rFonts w:hint="eastAsia" w:ascii="宋体" w:hAnsi="宋体" w:cs="宋体"/>
                <w:color w:val="auto"/>
                <w:kern w:val="0"/>
                <w:sz w:val="22"/>
                <w:szCs w:val="22"/>
                <w:highlight w:val="none"/>
              </w:rPr>
            </w:pPr>
            <w:r>
              <w:rPr>
                <w:rFonts w:hint="eastAsia" w:ascii="宋体" w:hAnsi="宋体" w:eastAsia="宋体" w:cs="宋体"/>
                <w:color w:val="auto"/>
                <w:sz w:val="22"/>
                <w:szCs w:val="22"/>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tc>
        <w:tc>
          <w:tcPr>
            <w:tcW w:w="1401" w:type="dxa"/>
            <w:tcBorders>
              <w:top w:val="single" w:color="auto" w:sz="4" w:space="0"/>
              <w:left w:val="single" w:color="auto" w:sz="4" w:space="0"/>
              <w:bottom w:val="single" w:color="auto" w:sz="4" w:space="0"/>
              <w:right w:val="single" w:color="auto" w:sz="4" w:space="0"/>
            </w:tcBorders>
            <w:vAlign w:val="center"/>
          </w:tcPr>
          <w:p w14:paraId="7A97A7CD">
            <w:pPr>
              <w:autoSpaceDE w:val="0"/>
              <w:autoSpaceDN w:val="0"/>
              <w:adjustRightInd w:val="0"/>
              <w:snapToGrid w:val="0"/>
              <w:spacing w:line="430" w:lineRule="atLeast"/>
              <w:jc w:val="center"/>
              <w:rPr>
                <w:rFonts w:hint="eastAsia" w:ascii="宋体" w:hAnsi="宋体" w:cs="宋体"/>
                <w:color w:val="auto"/>
                <w:sz w:val="22"/>
                <w:szCs w:val="22"/>
                <w:highlight w:val="none"/>
                <w:lang w:val="zh-CN"/>
              </w:rPr>
            </w:pPr>
          </w:p>
        </w:tc>
      </w:tr>
      <w:tr w14:paraId="09FF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05950DF4">
            <w:pPr>
              <w:autoSpaceDE w:val="0"/>
              <w:autoSpaceDN w:val="0"/>
              <w:adjustRightInd w:val="0"/>
              <w:snapToGrid w:val="0"/>
              <w:spacing w:line="430" w:lineRule="atLeast"/>
              <w:jc w:val="center"/>
              <w:rPr>
                <w:rFonts w:hint="eastAsia" w:ascii="宋体" w:eastAsia="宋体" w:cs="宋体"/>
                <w:color w:val="auto"/>
                <w:sz w:val="22"/>
                <w:szCs w:val="22"/>
                <w:highlight w:val="none"/>
                <w:lang w:eastAsia="zh-CN"/>
              </w:rPr>
            </w:pPr>
            <w:r>
              <w:rPr>
                <w:rFonts w:hint="eastAsia" w:ascii="宋体" w:cs="宋体"/>
                <w:color w:val="auto"/>
                <w:sz w:val="22"/>
                <w:szCs w:val="22"/>
                <w:highlight w:val="none"/>
                <w:lang w:val="en-US" w:eastAsia="zh-CN"/>
              </w:rPr>
              <w:t>4</w:t>
            </w:r>
          </w:p>
        </w:tc>
        <w:tc>
          <w:tcPr>
            <w:tcW w:w="7346" w:type="dxa"/>
            <w:tcBorders>
              <w:top w:val="single" w:color="auto" w:sz="4" w:space="0"/>
              <w:left w:val="single" w:color="auto" w:sz="4" w:space="0"/>
              <w:bottom w:val="single" w:color="auto" w:sz="4" w:space="0"/>
              <w:right w:val="single" w:color="auto" w:sz="4" w:space="0"/>
            </w:tcBorders>
            <w:vAlign w:val="top"/>
          </w:tcPr>
          <w:p w14:paraId="45B00E9F">
            <w:pPr>
              <w:widowControl/>
              <w:overflowPunct w:val="0"/>
              <w:autoSpaceDE w:val="0"/>
              <w:autoSpaceDN w:val="0"/>
              <w:adjustRightInd w:val="0"/>
              <w:spacing w:line="440" w:lineRule="exact"/>
              <w:jc w:val="left"/>
              <w:textAlignment w:val="baseline"/>
              <w:rPr>
                <w:rFonts w:hint="eastAsia" w:ascii="宋体" w:hAnsi="宋体" w:eastAsia="宋体" w:cs="宋体"/>
                <w:color w:val="auto"/>
                <w:kern w:val="2"/>
                <w:sz w:val="22"/>
                <w:szCs w:val="22"/>
                <w:highlight w:val="none"/>
                <w:lang w:val="en-US" w:eastAsia="zh-CN" w:bidi="ar-SA"/>
              </w:rPr>
            </w:pPr>
            <w:r>
              <w:rPr>
                <w:rFonts w:hint="eastAsia" w:ascii="宋体" w:hAnsi="宋体"/>
                <w:bCs/>
                <w:color w:val="auto"/>
                <w:kern w:val="0"/>
                <w:sz w:val="22"/>
                <w:szCs w:val="22"/>
                <w:highlight w:val="none"/>
              </w:rPr>
              <w:t>具备电力工程施工总承包三级及以上资质（或输变电工程专业承包三级及以上资质）</w:t>
            </w:r>
          </w:p>
        </w:tc>
        <w:tc>
          <w:tcPr>
            <w:tcW w:w="1401" w:type="dxa"/>
            <w:tcBorders>
              <w:top w:val="single" w:color="auto" w:sz="4" w:space="0"/>
              <w:left w:val="single" w:color="auto" w:sz="4" w:space="0"/>
              <w:bottom w:val="single" w:color="auto" w:sz="4" w:space="0"/>
              <w:right w:val="single" w:color="auto" w:sz="4" w:space="0"/>
            </w:tcBorders>
            <w:vAlign w:val="top"/>
          </w:tcPr>
          <w:p w14:paraId="6B364710">
            <w:pPr>
              <w:autoSpaceDE w:val="0"/>
              <w:autoSpaceDN w:val="0"/>
              <w:adjustRightInd w:val="0"/>
              <w:snapToGrid w:val="0"/>
              <w:spacing w:line="430" w:lineRule="atLeast"/>
              <w:jc w:val="center"/>
              <w:rPr>
                <w:rFonts w:hint="eastAsia" w:ascii="宋体" w:hAnsi="宋体" w:eastAsia="宋体" w:cs="宋体"/>
                <w:color w:val="auto"/>
                <w:kern w:val="2"/>
                <w:sz w:val="22"/>
                <w:szCs w:val="22"/>
                <w:highlight w:val="none"/>
                <w:lang w:val="en-US" w:eastAsia="zh-CN" w:bidi="ar-SA"/>
              </w:rPr>
            </w:pPr>
          </w:p>
        </w:tc>
      </w:tr>
      <w:tr w14:paraId="10ED5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4214352E">
            <w:pPr>
              <w:autoSpaceDE w:val="0"/>
              <w:autoSpaceDN w:val="0"/>
              <w:adjustRightInd w:val="0"/>
              <w:snapToGrid w:val="0"/>
              <w:spacing w:line="430" w:lineRule="atLeast"/>
              <w:jc w:val="center"/>
              <w:rPr>
                <w:rFonts w:hint="eastAsia" w:ascii="宋体" w:eastAsia="宋体" w:cs="宋体"/>
                <w:color w:val="auto"/>
                <w:sz w:val="22"/>
                <w:szCs w:val="22"/>
                <w:highlight w:val="none"/>
                <w:lang w:val="en-US" w:eastAsia="zh-CN"/>
              </w:rPr>
            </w:pPr>
            <w:r>
              <w:rPr>
                <w:rFonts w:hint="eastAsia" w:ascii="宋体" w:cs="宋体"/>
                <w:color w:val="auto"/>
                <w:sz w:val="22"/>
                <w:szCs w:val="22"/>
                <w:highlight w:val="none"/>
                <w:lang w:val="en-US" w:eastAsia="zh-CN"/>
              </w:rPr>
              <w:t>5</w:t>
            </w:r>
          </w:p>
        </w:tc>
        <w:tc>
          <w:tcPr>
            <w:tcW w:w="7346" w:type="dxa"/>
            <w:tcBorders>
              <w:top w:val="single" w:color="auto" w:sz="4" w:space="0"/>
              <w:left w:val="single" w:color="auto" w:sz="4" w:space="0"/>
              <w:bottom w:val="single" w:color="auto" w:sz="4" w:space="0"/>
              <w:right w:val="single" w:color="auto" w:sz="4" w:space="0"/>
            </w:tcBorders>
            <w:vAlign w:val="top"/>
          </w:tcPr>
          <w:p w14:paraId="3ACDCEA8">
            <w:pPr>
              <w:widowControl/>
              <w:overflowPunct w:val="0"/>
              <w:autoSpaceDE w:val="0"/>
              <w:autoSpaceDN w:val="0"/>
              <w:adjustRightInd w:val="0"/>
              <w:spacing w:line="440" w:lineRule="exact"/>
              <w:jc w:val="left"/>
              <w:textAlignment w:val="baseline"/>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具备国家电力监督委员会颁发的承装（修、试）电力设施五级及以上建筑业企业资质</w:t>
            </w:r>
          </w:p>
        </w:tc>
        <w:tc>
          <w:tcPr>
            <w:tcW w:w="1401" w:type="dxa"/>
            <w:tcBorders>
              <w:top w:val="single" w:color="auto" w:sz="4" w:space="0"/>
              <w:left w:val="single" w:color="auto" w:sz="4" w:space="0"/>
              <w:bottom w:val="single" w:color="auto" w:sz="4" w:space="0"/>
              <w:right w:val="single" w:color="auto" w:sz="4" w:space="0"/>
            </w:tcBorders>
            <w:vAlign w:val="top"/>
          </w:tcPr>
          <w:p w14:paraId="06726717">
            <w:pPr>
              <w:autoSpaceDE w:val="0"/>
              <w:autoSpaceDN w:val="0"/>
              <w:adjustRightInd w:val="0"/>
              <w:snapToGrid w:val="0"/>
              <w:spacing w:line="430" w:lineRule="atLeast"/>
              <w:jc w:val="center"/>
              <w:rPr>
                <w:rFonts w:hint="eastAsia" w:ascii="宋体" w:hAnsi="宋体" w:eastAsia="宋体" w:cs="Times New Roman"/>
                <w:color w:val="auto"/>
                <w:kern w:val="2"/>
                <w:sz w:val="22"/>
                <w:szCs w:val="22"/>
                <w:highlight w:val="none"/>
                <w:lang w:val="en-US" w:eastAsia="zh-CN" w:bidi="ar-SA"/>
              </w:rPr>
            </w:pPr>
          </w:p>
        </w:tc>
      </w:tr>
      <w:tr w14:paraId="08E58C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0B8D8520">
            <w:pPr>
              <w:autoSpaceDE w:val="0"/>
              <w:autoSpaceDN w:val="0"/>
              <w:adjustRightInd w:val="0"/>
              <w:snapToGrid w:val="0"/>
              <w:spacing w:line="430" w:lineRule="atLeast"/>
              <w:jc w:val="center"/>
              <w:rPr>
                <w:rFonts w:hint="eastAsia" w:ascii="宋体" w:eastAsia="宋体" w:cs="宋体"/>
                <w:color w:val="auto"/>
                <w:sz w:val="22"/>
                <w:szCs w:val="22"/>
                <w:highlight w:val="none"/>
                <w:lang w:val="zh-CN" w:eastAsia="zh-CN"/>
              </w:rPr>
            </w:pPr>
            <w:r>
              <w:rPr>
                <w:rFonts w:hint="eastAsia" w:ascii="宋体" w:cs="宋体"/>
                <w:color w:val="auto"/>
                <w:sz w:val="22"/>
                <w:szCs w:val="22"/>
                <w:highlight w:val="none"/>
                <w:lang w:val="en-US" w:eastAsia="zh-CN"/>
              </w:rPr>
              <w:t>6</w:t>
            </w:r>
          </w:p>
        </w:tc>
        <w:tc>
          <w:tcPr>
            <w:tcW w:w="7346" w:type="dxa"/>
            <w:tcBorders>
              <w:top w:val="single" w:color="auto" w:sz="4" w:space="0"/>
              <w:left w:val="single" w:color="auto" w:sz="4" w:space="0"/>
              <w:bottom w:val="single" w:color="auto" w:sz="4" w:space="0"/>
              <w:right w:val="single" w:color="auto" w:sz="4" w:space="0"/>
            </w:tcBorders>
            <w:vAlign w:val="top"/>
          </w:tcPr>
          <w:p w14:paraId="194B3ED5">
            <w:pPr>
              <w:widowControl/>
              <w:overflowPunct w:val="0"/>
              <w:autoSpaceDE w:val="0"/>
              <w:autoSpaceDN w:val="0"/>
              <w:adjustRightInd w:val="0"/>
              <w:spacing w:line="440" w:lineRule="exact"/>
              <w:jc w:val="left"/>
              <w:textAlignment w:val="baseline"/>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具有有效安全生产许可证（或有效的安全生产许可证电子证书打印件）</w:t>
            </w:r>
          </w:p>
        </w:tc>
        <w:tc>
          <w:tcPr>
            <w:tcW w:w="1401" w:type="dxa"/>
            <w:tcBorders>
              <w:top w:val="single" w:color="auto" w:sz="4" w:space="0"/>
              <w:left w:val="single" w:color="auto" w:sz="4" w:space="0"/>
              <w:bottom w:val="single" w:color="auto" w:sz="4" w:space="0"/>
              <w:right w:val="single" w:color="auto" w:sz="4" w:space="0"/>
            </w:tcBorders>
            <w:vAlign w:val="top"/>
          </w:tcPr>
          <w:p w14:paraId="20A6BBC3">
            <w:pPr>
              <w:autoSpaceDE w:val="0"/>
              <w:autoSpaceDN w:val="0"/>
              <w:adjustRightInd w:val="0"/>
              <w:snapToGrid w:val="0"/>
              <w:spacing w:line="430" w:lineRule="atLeast"/>
              <w:jc w:val="center"/>
              <w:rPr>
                <w:rFonts w:hint="eastAsia" w:ascii="宋体" w:hAnsi="宋体" w:eastAsia="宋体" w:cs="Times New Roman"/>
                <w:color w:val="auto"/>
                <w:kern w:val="2"/>
                <w:sz w:val="22"/>
                <w:szCs w:val="22"/>
                <w:highlight w:val="none"/>
                <w:lang w:val="en-US" w:eastAsia="zh-CN" w:bidi="ar-SA"/>
              </w:rPr>
            </w:pPr>
          </w:p>
        </w:tc>
      </w:tr>
      <w:tr w14:paraId="7E8E4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7B7DB646">
            <w:pPr>
              <w:autoSpaceDE w:val="0"/>
              <w:autoSpaceDN w:val="0"/>
              <w:adjustRightInd w:val="0"/>
              <w:snapToGrid w:val="0"/>
              <w:spacing w:line="430" w:lineRule="atLeast"/>
              <w:jc w:val="center"/>
              <w:rPr>
                <w:rFonts w:hint="eastAsia" w:ascii="宋体" w:eastAsia="宋体" w:cs="宋体"/>
                <w:color w:val="auto"/>
                <w:sz w:val="22"/>
                <w:szCs w:val="22"/>
                <w:highlight w:val="none"/>
                <w:lang w:val="zh-CN" w:eastAsia="zh-CN"/>
              </w:rPr>
            </w:pPr>
            <w:r>
              <w:rPr>
                <w:rFonts w:hint="eastAsia" w:ascii="宋体" w:cs="宋体"/>
                <w:color w:val="auto"/>
                <w:sz w:val="22"/>
                <w:szCs w:val="22"/>
                <w:highlight w:val="none"/>
                <w:lang w:val="en-US" w:eastAsia="zh-CN"/>
              </w:rPr>
              <w:t>7</w:t>
            </w:r>
          </w:p>
        </w:tc>
        <w:tc>
          <w:tcPr>
            <w:tcW w:w="7346" w:type="dxa"/>
            <w:tcBorders>
              <w:top w:val="single" w:color="auto" w:sz="4" w:space="0"/>
              <w:left w:val="single" w:color="auto" w:sz="4" w:space="0"/>
              <w:bottom w:val="single" w:color="auto" w:sz="4" w:space="0"/>
              <w:right w:val="single" w:color="auto" w:sz="4" w:space="0"/>
            </w:tcBorders>
            <w:vAlign w:val="top"/>
          </w:tcPr>
          <w:p w14:paraId="32379B97">
            <w:pPr>
              <w:widowControl/>
              <w:overflowPunct w:val="0"/>
              <w:autoSpaceDE w:val="0"/>
              <w:autoSpaceDN w:val="0"/>
              <w:adjustRightInd w:val="0"/>
              <w:spacing w:line="440" w:lineRule="exact"/>
              <w:jc w:val="left"/>
              <w:textAlignment w:val="baseline"/>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企业主要负责人具有“三类人员”A类证书</w:t>
            </w:r>
            <w:r>
              <w:rPr>
                <w:rFonts w:hint="eastAsia" w:ascii="宋体" w:hAnsi="宋体" w:cs="宋体"/>
                <w:color w:val="auto"/>
                <w:kern w:val="0"/>
                <w:sz w:val="22"/>
                <w:szCs w:val="22"/>
                <w:highlight w:val="none"/>
                <w:lang w:val="en-US" w:eastAsia="zh-CN" w:bidi="ar-SA"/>
              </w:rPr>
              <w:t>（在有效期内）</w:t>
            </w:r>
          </w:p>
        </w:tc>
        <w:tc>
          <w:tcPr>
            <w:tcW w:w="1401" w:type="dxa"/>
            <w:tcBorders>
              <w:top w:val="single" w:color="auto" w:sz="4" w:space="0"/>
              <w:left w:val="single" w:color="auto" w:sz="4" w:space="0"/>
              <w:bottom w:val="single" w:color="auto" w:sz="4" w:space="0"/>
              <w:right w:val="single" w:color="auto" w:sz="4" w:space="0"/>
            </w:tcBorders>
            <w:vAlign w:val="top"/>
          </w:tcPr>
          <w:p w14:paraId="719B8A3A">
            <w:pPr>
              <w:autoSpaceDE w:val="0"/>
              <w:autoSpaceDN w:val="0"/>
              <w:adjustRightInd w:val="0"/>
              <w:snapToGrid w:val="0"/>
              <w:spacing w:line="430" w:lineRule="atLeast"/>
              <w:jc w:val="center"/>
              <w:rPr>
                <w:rFonts w:hint="eastAsia" w:ascii="宋体" w:hAnsi="宋体" w:eastAsia="宋体" w:cs="Times New Roman"/>
                <w:color w:val="auto"/>
                <w:kern w:val="2"/>
                <w:sz w:val="22"/>
                <w:szCs w:val="22"/>
                <w:highlight w:val="none"/>
                <w:lang w:val="en-US" w:eastAsia="zh-CN" w:bidi="ar-SA"/>
              </w:rPr>
            </w:pPr>
          </w:p>
        </w:tc>
      </w:tr>
      <w:tr w14:paraId="170F9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43B5B607">
            <w:pPr>
              <w:autoSpaceDE w:val="0"/>
              <w:autoSpaceDN w:val="0"/>
              <w:adjustRightInd w:val="0"/>
              <w:snapToGrid w:val="0"/>
              <w:spacing w:line="430" w:lineRule="atLeast"/>
              <w:jc w:val="center"/>
              <w:rPr>
                <w:rFonts w:hint="default" w:ascii="宋体" w:eastAsia="宋体" w:cs="宋体"/>
                <w:color w:val="auto"/>
                <w:sz w:val="22"/>
                <w:szCs w:val="22"/>
                <w:highlight w:val="none"/>
                <w:lang w:val="en-US" w:eastAsia="zh-CN"/>
              </w:rPr>
            </w:pPr>
            <w:r>
              <w:rPr>
                <w:rFonts w:hint="eastAsia" w:ascii="宋体" w:cs="宋体"/>
                <w:color w:val="auto"/>
                <w:sz w:val="22"/>
                <w:szCs w:val="22"/>
                <w:highlight w:val="none"/>
                <w:lang w:val="en-US" w:eastAsia="zh-CN"/>
              </w:rPr>
              <w:t>8</w:t>
            </w:r>
          </w:p>
        </w:tc>
        <w:tc>
          <w:tcPr>
            <w:tcW w:w="7346" w:type="dxa"/>
            <w:tcBorders>
              <w:top w:val="single" w:color="auto" w:sz="4" w:space="0"/>
              <w:left w:val="single" w:color="auto" w:sz="4" w:space="0"/>
              <w:bottom w:val="single" w:color="auto" w:sz="4" w:space="0"/>
              <w:right w:val="single" w:color="auto" w:sz="4" w:space="0"/>
            </w:tcBorders>
            <w:vAlign w:val="top"/>
          </w:tcPr>
          <w:p w14:paraId="4C708F57">
            <w:pPr>
              <w:widowControl/>
              <w:overflowPunct w:val="0"/>
              <w:autoSpaceDE w:val="0"/>
              <w:autoSpaceDN w:val="0"/>
              <w:adjustRightInd w:val="0"/>
              <w:spacing w:line="440" w:lineRule="exact"/>
              <w:jc w:val="left"/>
              <w:textAlignment w:val="baseline"/>
              <w:rPr>
                <w:rFonts w:hint="eastAsia" w:ascii="宋体" w:hAnsi="宋体" w:eastAsia="宋体" w:cs="宋体"/>
                <w:color w:val="auto"/>
                <w:kern w:val="0"/>
                <w:sz w:val="22"/>
                <w:szCs w:val="22"/>
                <w:highlight w:val="none"/>
                <w:lang w:val="en-US" w:eastAsia="zh-CN" w:bidi="ar-SA"/>
              </w:rPr>
            </w:pPr>
            <w:r>
              <w:rPr>
                <w:rFonts w:hint="eastAsia" w:ascii="宋体" w:hAnsi="宋体" w:eastAsia="宋体" w:cs="宋体"/>
                <w:color w:val="auto"/>
                <w:kern w:val="0"/>
                <w:sz w:val="22"/>
                <w:szCs w:val="22"/>
                <w:highlight w:val="none"/>
                <w:lang w:val="en-US" w:eastAsia="zh-CN" w:bidi="ar-SA"/>
              </w:rPr>
              <w:t>拟派项目经理具有机电工程专业注册建造师二级及以上资格</w:t>
            </w:r>
          </w:p>
        </w:tc>
        <w:tc>
          <w:tcPr>
            <w:tcW w:w="1401" w:type="dxa"/>
            <w:tcBorders>
              <w:top w:val="single" w:color="auto" w:sz="4" w:space="0"/>
              <w:left w:val="single" w:color="auto" w:sz="4" w:space="0"/>
              <w:bottom w:val="single" w:color="auto" w:sz="4" w:space="0"/>
              <w:right w:val="single" w:color="auto" w:sz="4" w:space="0"/>
            </w:tcBorders>
            <w:vAlign w:val="top"/>
          </w:tcPr>
          <w:p w14:paraId="6D0DE4B5">
            <w:pPr>
              <w:autoSpaceDE w:val="0"/>
              <w:autoSpaceDN w:val="0"/>
              <w:adjustRightInd w:val="0"/>
              <w:snapToGrid w:val="0"/>
              <w:spacing w:line="430" w:lineRule="atLeast"/>
              <w:jc w:val="center"/>
              <w:rPr>
                <w:rFonts w:hint="eastAsia" w:ascii="宋体" w:hAnsi="宋体" w:eastAsia="宋体" w:cs="宋体"/>
                <w:color w:val="auto"/>
                <w:kern w:val="2"/>
                <w:sz w:val="22"/>
                <w:szCs w:val="22"/>
                <w:highlight w:val="none"/>
                <w:lang w:val="zh-CN" w:eastAsia="zh-CN" w:bidi="ar-SA"/>
              </w:rPr>
            </w:pPr>
          </w:p>
        </w:tc>
      </w:tr>
      <w:tr w14:paraId="15D43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29A22452">
            <w:pPr>
              <w:autoSpaceDE w:val="0"/>
              <w:autoSpaceDN w:val="0"/>
              <w:adjustRightInd w:val="0"/>
              <w:snapToGrid w:val="0"/>
              <w:spacing w:line="430" w:lineRule="atLeast"/>
              <w:jc w:val="center"/>
              <w:rPr>
                <w:rFonts w:hint="default" w:ascii="宋体" w:eastAsia="宋体" w:cs="宋体"/>
                <w:color w:val="auto"/>
                <w:sz w:val="22"/>
                <w:szCs w:val="22"/>
                <w:highlight w:val="none"/>
                <w:lang w:val="en-US" w:eastAsia="zh-CN"/>
              </w:rPr>
            </w:pPr>
            <w:r>
              <w:rPr>
                <w:rFonts w:hint="eastAsia" w:ascii="宋体" w:cs="宋体"/>
                <w:color w:val="auto"/>
                <w:sz w:val="22"/>
                <w:szCs w:val="22"/>
                <w:highlight w:val="none"/>
                <w:lang w:val="en-US" w:eastAsia="zh-CN"/>
              </w:rPr>
              <w:t>9</w:t>
            </w:r>
          </w:p>
        </w:tc>
        <w:tc>
          <w:tcPr>
            <w:tcW w:w="7346" w:type="dxa"/>
            <w:tcBorders>
              <w:top w:val="single" w:color="auto" w:sz="4" w:space="0"/>
              <w:left w:val="single" w:color="auto" w:sz="4" w:space="0"/>
              <w:bottom w:val="single" w:color="auto" w:sz="4" w:space="0"/>
              <w:right w:val="single" w:color="auto" w:sz="4" w:space="0"/>
            </w:tcBorders>
            <w:vAlign w:val="top"/>
          </w:tcPr>
          <w:p w14:paraId="6FE3290C">
            <w:pPr>
              <w:widowControl/>
              <w:overflowPunct w:val="0"/>
              <w:autoSpaceDE w:val="0"/>
              <w:autoSpaceDN w:val="0"/>
              <w:adjustRightInd w:val="0"/>
              <w:spacing w:line="440" w:lineRule="exact"/>
              <w:jc w:val="left"/>
              <w:textAlignment w:val="baseline"/>
              <w:rPr>
                <w:rFonts w:hint="eastAsia" w:ascii="宋体" w:hAnsi="宋体" w:eastAsia="宋体" w:cs="宋体"/>
                <w:color w:val="auto"/>
                <w:kern w:val="0"/>
                <w:sz w:val="22"/>
                <w:szCs w:val="22"/>
                <w:highlight w:val="none"/>
                <w:lang w:val="en-US" w:eastAsia="zh-CN" w:bidi="ar-SA"/>
              </w:rPr>
            </w:pPr>
            <w:r>
              <w:rPr>
                <w:rFonts w:hint="eastAsia" w:hAnsi="宋体"/>
                <w:color w:val="auto"/>
                <w:sz w:val="22"/>
                <w:szCs w:val="22"/>
                <w:highlight w:val="none"/>
              </w:rPr>
              <w:t>中小企业声明函</w:t>
            </w:r>
          </w:p>
        </w:tc>
        <w:tc>
          <w:tcPr>
            <w:tcW w:w="1401" w:type="dxa"/>
            <w:tcBorders>
              <w:top w:val="single" w:color="auto" w:sz="4" w:space="0"/>
              <w:left w:val="single" w:color="auto" w:sz="4" w:space="0"/>
              <w:bottom w:val="single" w:color="auto" w:sz="4" w:space="0"/>
              <w:right w:val="single" w:color="auto" w:sz="4" w:space="0"/>
            </w:tcBorders>
            <w:vAlign w:val="top"/>
          </w:tcPr>
          <w:p w14:paraId="6BCFC4D4">
            <w:pPr>
              <w:autoSpaceDE w:val="0"/>
              <w:autoSpaceDN w:val="0"/>
              <w:adjustRightInd w:val="0"/>
              <w:snapToGrid w:val="0"/>
              <w:spacing w:line="430" w:lineRule="atLeast"/>
              <w:jc w:val="center"/>
              <w:rPr>
                <w:rFonts w:hint="eastAsia" w:ascii="宋体" w:hAnsi="宋体" w:eastAsia="宋体" w:cs="宋体"/>
                <w:color w:val="auto"/>
                <w:kern w:val="2"/>
                <w:sz w:val="22"/>
                <w:szCs w:val="24"/>
                <w:highlight w:val="none"/>
                <w:lang w:val="zh-CN" w:eastAsia="zh-CN" w:bidi="ar-SA"/>
              </w:rPr>
            </w:pPr>
            <w:r>
              <w:rPr>
                <w:rFonts w:hint="eastAsia" w:ascii="宋体" w:hAnsi="宋体"/>
                <w:color w:val="auto"/>
                <w:sz w:val="22"/>
                <w:szCs w:val="22"/>
                <w:highlight w:val="none"/>
              </w:rPr>
              <w:t>附件1</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w:t>
            </w:r>
            <w:r>
              <w:rPr>
                <w:rFonts w:ascii="宋体" w:hAnsi="宋体"/>
                <w:color w:val="auto"/>
                <w:sz w:val="22"/>
                <w:szCs w:val="22"/>
                <w:highlight w:val="none"/>
              </w:rPr>
              <w:t>1</w:t>
            </w:r>
          </w:p>
        </w:tc>
      </w:tr>
      <w:tr w14:paraId="079B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382A4ABC">
            <w:pPr>
              <w:autoSpaceDE w:val="0"/>
              <w:autoSpaceDN w:val="0"/>
              <w:adjustRightInd w:val="0"/>
              <w:snapToGrid w:val="0"/>
              <w:spacing w:line="430" w:lineRule="atLeast"/>
              <w:jc w:val="center"/>
              <w:rPr>
                <w:rFonts w:hint="default" w:ascii="宋体" w:eastAsia="宋体" w:cs="宋体"/>
                <w:color w:val="auto"/>
                <w:sz w:val="22"/>
                <w:highlight w:val="none"/>
                <w:lang w:val="en-US" w:eastAsia="zh-CN"/>
              </w:rPr>
            </w:pPr>
            <w:r>
              <w:rPr>
                <w:rFonts w:hint="eastAsia" w:ascii="宋体" w:cs="宋体"/>
                <w:color w:val="auto"/>
                <w:sz w:val="22"/>
                <w:highlight w:val="none"/>
                <w:lang w:val="en-US" w:eastAsia="zh-CN"/>
              </w:rPr>
              <w:t>10</w:t>
            </w:r>
          </w:p>
        </w:tc>
        <w:tc>
          <w:tcPr>
            <w:tcW w:w="7346" w:type="dxa"/>
            <w:tcBorders>
              <w:top w:val="single" w:color="auto" w:sz="4" w:space="0"/>
              <w:left w:val="single" w:color="auto" w:sz="4" w:space="0"/>
              <w:bottom w:val="single" w:color="auto" w:sz="4" w:space="0"/>
              <w:right w:val="single" w:color="auto" w:sz="4" w:space="0"/>
            </w:tcBorders>
            <w:vAlign w:val="top"/>
          </w:tcPr>
          <w:p w14:paraId="6872B681">
            <w:pPr>
              <w:widowControl/>
              <w:overflowPunct w:val="0"/>
              <w:autoSpaceDE w:val="0"/>
              <w:autoSpaceDN w:val="0"/>
              <w:adjustRightInd w:val="0"/>
              <w:spacing w:line="440" w:lineRule="exact"/>
              <w:jc w:val="left"/>
              <w:textAlignment w:val="baseline"/>
              <w:rPr>
                <w:rFonts w:hint="eastAsia" w:ascii="宋体" w:hAnsi="宋体" w:eastAsia="宋体" w:cs="宋体"/>
                <w:color w:val="auto"/>
                <w:kern w:val="0"/>
                <w:sz w:val="22"/>
                <w:szCs w:val="22"/>
                <w:highlight w:val="none"/>
                <w:lang w:val="en-US" w:eastAsia="zh-CN" w:bidi="ar-SA"/>
              </w:rPr>
            </w:pPr>
            <w:r>
              <w:rPr>
                <w:rFonts w:hint="eastAsia" w:hAnsi="宋体"/>
                <w:color w:val="auto"/>
                <w:sz w:val="22"/>
                <w:szCs w:val="22"/>
                <w:highlight w:val="none"/>
              </w:rPr>
              <w:t>残疾人福利性单位声明函（如为残疾人单位的请根据附件内容提供）</w:t>
            </w:r>
          </w:p>
        </w:tc>
        <w:tc>
          <w:tcPr>
            <w:tcW w:w="1401" w:type="dxa"/>
            <w:tcBorders>
              <w:top w:val="single" w:color="auto" w:sz="4" w:space="0"/>
              <w:left w:val="single" w:color="auto" w:sz="4" w:space="0"/>
              <w:bottom w:val="single" w:color="auto" w:sz="4" w:space="0"/>
              <w:right w:val="single" w:color="auto" w:sz="4" w:space="0"/>
            </w:tcBorders>
            <w:vAlign w:val="top"/>
          </w:tcPr>
          <w:p w14:paraId="36A8FE73">
            <w:pPr>
              <w:autoSpaceDE w:val="0"/>
              <w:autoSpaceDN w:val="0"/>
              <w:adjustRightInd w:val="0"/>
              <w:snapToGrid w:val="0"/>
              <w:spacing w:line="430" w:lineRule="atLeast"/>
              <w:jc w:val="center"/>
              <w:rPr>
                <w:rFonts w:hint="eastAsia" w:ascii="宋体" w:hAnsi="宋体" w:eastAsia="宋体" w:cs="宋体"/>
                <w:color w:val="auto"/>
                <w:kern w:val="2"/>
                <w:sz w:val="22"/>
                <w:szCs w:val="24"/>
                <w:highlight w:val="none"/>
                <w:lang w:val="zh-CN" w:eastAsia="zh-CN" w:bidi="ar-SA"/>
              </w:rPr>
            </w:pPr>
            <w:r>
              <w:rPr>
                <w:rFonts w:hint="eastAsia" w:ascii="宋体" w:hAnsi="宋体"/>
                <w:color w:val="auto"/>
                <w:sz w:val="22"/>
                <w:szCs w:val="22"/>
                <w:highlight w:val="none"/>
              </w:rPr>
              <w:t>附件1</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w:t>
            </w:r>
            <w:r>
              <w:rPr>
                <w:rFonts w:ascii="宋体" w:hAnsi="宋体"/>
                <w:color w:val="auto"/>
                <w:sz w:val="22"/>
                <w:szCs w:val="22"/>
                <w:highlight w:val="none"/>
              </w:rPr>
              <w:t>1</w:t>
            </w:r>
          </w:p>
        </w:tc>
      </w:tr>
      <w:tr w14:paraId="0DC0D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773" w:type="dxa"/>
            <w:tcBorders>
              <w:top w:val="single" w:color="auto" w:sz="4" w:space="0"/>
              <w:left w:val="single" w:color="auto" w:sz="4" w:space="0"/>
              <w:bottom w:val="single" w:color="auto" w:sz="4" w:space="0"/>
              <w:right w:val="single" w:color="auto" w:sz="4" w:space="0"/>
            </w:tcBorders>
            <w:vAlign w:val="center"/>
          </w:tcPr>
          <w:p w14:paraId="57443758">
            <w:pPr>
              <w:autoSpaceDE w:val="0"/>
              <w:autoSpaceDN w:val="0"/>
              <w:adjustRightInd w:val="0"/>
              <w:snapToGrid w:val="0"/>
              <w:spacing w:line="430" w:lineRule="atLeast"/>
              <w:jc w:val="center"/>
              <w:rPr>
                <w:rFonts w:hint="eastAsia" w:ascii="宋体" w:eastAsia="宋体" w:cs="宋体"/>
                <w:color w:val="auto"/>
                <w:sz w:val="22"/>
                <w:highlight w:val="none"/>
                <w:lang w:val="zh-CN" w:eastAsia="zh-CN"/>
              </w:rPr>
            </w:pPr>
            <w:r>
              <w:rPr>
                <w:rFonts w:ascii="宋体" w:cs="宋体"/>
                <w:color w:val="auto"/>
                <w:sz w:val="22"/>
                <w:highlight w:val="none"/>
                <w:lang w:val="zh-CN"/>
              </w:rPr>
              <w:t>1</w:t>
            </w:r>
            <w:r>
              <w:rPr>
                <w:rFonts w:hint="eastAsia" w:ascii="宋体" w:cs="宋体"/>
                <w:color w:val="auto"/>
                <w:sz w:val="22"/>
                <w:highlight w:val="none"/>
                <w:lang w:val="en-US" w:eastAsia="zh-CN"/>
              </w:rPr>
              <w:t>1</w:t>
            </w:r>
          </w:p>
        </w:tc>
        <w:tc>
          <w:tcPr>
            <w:tcW w:w="7346" w:type="dxa"/>
            <w:tcBorders>
              <w:top w:val="single" w:color="auto" w:sz="4" w:space="0"/>
              <w:left w:val="single" w:color="auto" w:sz="4" w:space="0"/>
              <w:bottom w:val="single" w:color="auto" w:sz="4" w:space="0"/>
              <w:right w:val="single" w:color="auto" w:sz="4" w:space="0"/>
            </w:tcBorders>
            <w:vAlign w:val="top"/>
          </w:tcPr>
          <w:p w14:paraId="254C0735">
            <w:pPr>
              <w:widowControl/>
              <w:overflowPunct w:val="0"/>
              <w:autoSpaceDE w:val="0"/>
              <w:autoSpaceDN w:val="0"/>
              <w:adjustRightInd w:val="0"/>
              <w:spacing w:line="440" w:lineRule="exact"/>
              <w:jc w:val="left"/>
              <w:textAlignment w:val="baseline"/>
              <w:rPr>
                <w:rFonts w:hint="eastAsia" w:ascii="宋体" w:hAnsi="宋体" w:eastAsia="宋体" w:cs="宋体"/>
                <w:color w:val="auto"/>
                <w:kern w:val="0"/>
                <w:sz w:val="22"/>
                <w:szCs w:val="22"/>
                <w:highlight w:val="none"/>
                <w:lang w:val="en-US" w:eastAsia="zh-CN" w:bidi="ar-SA"/>
              </w:rPr>
            </w:pPr>
            <w:r>
              <w:rPr>
                <w:rFonts w:hint="eastAsia" w:hAnsi="宋体"/>
                <w:color w:val="auto"/>
                <w:sz w:val="22"/>
                <w:szCs w:val="22"/>
                <w:highlight w:val="none"/>
              </w:rPr>
              <w:t>监狱企业提供的相关证明材料（如为监狱企业的请根据附件内容提供）</w:t>
            </w:r>
          </w:p>
        </w:tc>
        <w:tc>
          <w:tcPr>
            <w:tcW w:w="1401" w:type="dxa"/>
            <w:tcBorders>
              <w:top w:val="single" w:color="auto" w:sz="4" w:space="0"/>
              <w:left w:val="single" w:color="auto" w:sz="4" w:space="0"/>
              <w:bottom w:val="single" w:color="auto" w:sz="4" w:space="0"/>
              <w:right w:val="single" w:color="auto" w:sz="4" w:space="0"/>
            </w:tcBorders>
            <w:vAlign w:val="top"/>
          </w:tcPr>
          <w:p w14:paraId="78F6D8E3">
            <w:pPr>
              <w:autoSpaceDE w:val="0"/>
              <w:autoSpaceDN w:val="0"/>
              <w:adjustRightInd w:val="0"/>
              <w:snapToGrid w:val="0"/>
              <w:spacing w:line="430" w:lineRule="atLeast"/>
              <w:jc w:val="center"/>
              <w:rPr>
                <w:rFonts w:hint="eastAsia" w:ascii="宋体" w:hAnsi="宋体" w:eastAsia="宋体" w:cs="宋体"/>
                <w:color w:val="auto"/>
                <w:kern w:val="2"/>
                <w:sz w:val="22"/>
                <w:szCs w:val="24"/>
                <w:highlight w:val="none"/>
                <w:lang w:val="zh-CN" w:eastAsia="zh-CN" w:bidi="ar-SA"/>
              </w:rPr>
            </w:pPr>
            <w:r>
              <w:rPr>
                <w:rFonts w:hint="eastAsia" w:ascii="宋体" w:hAnsi="宋体"/>
                <w:color w:val="auto"/>
                <w:sz w:val="22"/>
                <w:szCs w:val="22"/>
                <w:highlight w:val="none"/>
              </w:rPr>
              <w:t>附件1</w:t>
            </w:r>
            <w:r>
              <w:rPr>
                <w:rFonts w:hint="eastAsia" w:ascii="宋体" w:hAnsi="宋体"/>
                <w:color w:val="auto"/>
                <w:sz w:val="22"/>
                <w:szCs w:val="22"/>
                <w:highlight w:val="none"/>
                <w:lang w:val="en-US" w:eastAsia="zh-CN"/>
              </w:rPr>
              <w:t>4</w:t>
            </w:r>
            <w:r>
              <w:rPr>
                <w:rFonts w:hint="eastAsia" w:ascii="宋体" w:hAnsi="宋体"/>
                <w:color w:val="auto"/>
                <w:sz w:val="22"/>
                <w:szCs w:val="22"/>
                <w:highlight w:val="none"/>
              </w:rPr>
              <w:t>-</w:t>
            </w:r>
            <w:r>
              <w:rPr>
                <w:rFonts w:ascii="宋体" w:hAnsi="宋体"/>
                <w:color w:val="auto"/>
                <w:sz w:val="22"/>
                <w:szCs w:val="22"/>
                <w:highlight w:val="none"/>
              </w:rPr>
              <w:t>1</w:t>
            </w:r>
          </w:p>
        </w:tc>
      </w:tr>
      <w:tr w14:paraId="6ADA1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3"/>
            <w:tcBorders>
              <w:top w:val="single" w:color="auto" w:sz="4" w:space="0"/>
              <w:left w:val="single" w:color="auto" w:sz="4" w:space="0"/>
              <w:bottom w:val="single" w:color="auto" w:sz="4" w:space="0"/>
              <w:right w:val="single" w:color="auto" w:sz="4" w:space="0"/>
            </w:tcBorders>
            <w:vAlign w:val="center"/>
          </w:tcPr>
          <w:p w14:paraId="5961EBD4">
            <w:pPr>
              <w:autoSpaceDE w:val="0"/>
              <w:autoSpaceDN w:val="0"/>
              <w:adjustRightInd w:val="0"/>
              <w:snapToGrid w:val="0"/>
              <w:spacing w:line="430" w:lineRule="atLeast"/>
              <w:rPr>
                <w:rFonts w:hint="eastAsia" w:ascii="宋体"/>
                <w:color w:val="auto"/>
                <w:sz w:val="22"/>
                <w:highlight w:val="none"/>
              </w:rPr>
            </w:pPr>
            <w:r>
              <w:rPr>
                <w:rFonts w:hint="eastAsia" w:ascii="宋体" w:hAnsi="宋体" w:cs="宋体"/>
                <w:color w:val="auto"/>
                <w:sz w:val="22"/>
                <w:highlight w:val="none"/>
              </w:rPr>
              <w:t>说明：</w:t>
            </w:r>
            <w:r>
              <w:rPr>
                <w:rFonts w:hint="eastAsia" w:ascii="宋体" w:hAnsi="宋体" w:cs="宋体"/>
                <w:color w:val="auto"/>
                <w:sz w:val="22"/>
                <w:szCs w:val="22"/>
                <w:highlight w:val="none"/>
              </w:rPr>
              <w:t>以上所需的各种实物照片、证书、证件、证明、执照需提供复印件或扫描件加盖电子公章。</w:t>
            </w:r>
          </w:p>
        </w:tc>
      </w:tr>
    </w:tbl>
    <w:p w14:paraId="7E4FE1D1">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5.1.</w:t>
      </w:r>
      <w:r>
        <w:rPr>
          <w:rFonts w:ascii="宋体" w:hAnsi="宋体" w:cs="宋体"/>
          <w:b/>
          <w:color w:val="auto"/>
          <w:sz w:val="22"/>
          <w:szCs w:val="22"/>
          <w:highlight w:val="none"/>
        </w:rPr>
        <w:t>2</w:t>
      </w:r>
      <w:r>
        <w:rPr>
          <w:rFonts w:hint="eastAsia" w:ascii="宋体" w:hAnsi="宋体" w:cs="宋体"/>
          <w:b/>
          <w:color w:val="auto"/>
          <w:sz w:val="22"/>
          <w:szCs w:val="22"/>
          <w:highlight w:val="none"/>
        </w:rPr>
        <w:t>商务技术文件</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298"/>
      </w:tblGrid>
      <w:tr w14:paraId="4C6E9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Pr>
          <w:p w14:paraId="333BC4DB">
            <w:pPr>
              <w:autoSpaceDE w:val="0"/>
              <w:autoSpaceDN w:val="0"/>
              <w:adjustRightInd w:val="0"/>
              <w:snapToGrid w:val="0"/>
              <w:spacing w:line="430" w:lineRule="atLeast"/>
              <w:rPr>
                <w:rFonts w:hint="eastAsia" w:ascii="宋体" w:hAnsi="宋体" w:cs="宋体"/>
                <w:b/>
                <w:color w:val="auto"/>
                <w:sz w:val="22"/>
                <w:highlight w:val="none"/>
                <w:lang w:val="zh-CN"/>
              </w:rPr>
            </w:pPr>
            <w:r>
              <w:rPr>
                <w:rFonts w:hint="eastAsia" w:ascii="宋体" w:hAnsi="宋体" w:cs="宋体"/>
                <w:b/>
                <w:color w:val="auto"/>
                <w:sz w:val="22"/>
                <w:highlight w:val="none"/>
                <w:lang w:val="zh-CN"/>
              </w:rPr>
              <w:t>序号</w:t>
            </w:r>
          </w:p>
        </w:tc>
        <w:tc>
          <w:tcPr>
            <w:tcW w:w="7449" w:type="dxa"/>
          </w:tcPr>
          <w:p w14:paraId="62C2312C">
            <w:pPr>
              <w:autoSpaceDE w:val="0"/>
              <w:autoSpaceDN w:val="0"/>
              <w:adjustRightInd w:val="0"/>
              <w:snapToGrid w:val="0"/>
              <w:spacing w:line="430" w:lineRule="atLeast"/>
              <w:jc w:val="center"/>
              <w:rPr>
                <w:rFonts w:hint="eastAsia" w:ascii="宋体" w:hAnsi="宋体" w:cs="宋体"/>
                <w:b/>
                <w:color w:val="auto"/>
                <w:sz w:val="22"/>
                <w:highlight w:val="none"/>
                <w:lang w:val="zh-CN"/>
              </w:rPr>
            </w:pPr>
            <w:r>
              <w:rPr>
                <w:rFonts w:hint="eastAsia" w:ascii="宋体" w:hAnsi="宋体" w:cs="宋体"/>
                <w:b/>
                <w:color w:val="auto"/>
                <w:sz w:val="22"/>
                <w:highlight w:val="none"/>
                <w:lang w:val="zh-CN"/>
              </w:rPr>
              <w:t>内容</w:t>
            </w:r>
          </w:p>
        </w:tc>
        <w:tc>
          <w:tcPr>
            <w:tcW w:w="1298" w:type="dxa"/>
          </w:tcPr>
          <w:p w14:paraId="4E26B83E">
            <w:pPr>
              <w:autoSpaceDE w:val="0"/>
              <w:autoSpaceDN w:val="0"/>
              <w:adjustRightInd w:val="0"/>
              <w:snapToGrid w:val="0"/>
              <w:spacing w:line="430" w:lineRule="atLeast"/>
              <w:jc w:val="center"/>
              <w:rPr>
                <w:rFonts w:hint="eastAsia" w:ascii="宋体" w:hAnsi="宋体" w:cs="宋体"/>
                <w:b/>
                <w:color w:val="auto"/>
                <w:sz w:val="22"/>
                <w:highlight w:val="none"/>
                <w:lang w:val="zh-CN"/>
              </w:rPr>
            </w:pPr>
            <w:r>
              <w:rPr>
                <w:rFonts w:hint="eastAsia" w:ascii="宋体" w:hAnsi="宋体" w:cs="宋体"/>
                <w:b/>
                <w:color w:val="auto"/>
                <w:sz w:val="22"/>
                <w:highlight w:val="none"/>
                <w:lang w:val="zh-CN"/>
              </w:rPr>
              <w:t>说明</w:t>
            </w:r>
          </w:p>
        </w:tc>
      </w:tr>
      <w:tr w14:paraId="1DDA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31455B42">
            <w:pPr>
              <w:autoSpaceDE w:val="0"/>
              <w:autoSpaceDN w:val="0"/>
              <w:adjustRightInd w:val="0"/>
              <w:snapToGrid w:val="0"/>
              <w:spacing w:line="430" w:lineRule="atLeast"/>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7449" w:type="dxa"/>
          </w:tcPr>
          <w:p w14:paraId="0768D2B3">
            <w:pPr>
              <w:spacing w:line="380" w:lineRule="exact"/>
              <w:rPr>
                <w:rFonts w:hint="eastAsia" w:ascii="宋体" w:hAnsi="宋体"/>
                <w:color w:val="auto"/>
                <w:sz w:val="22"/>
                <w:szCs w:val="22"/>
                <w:highlight w:val="none"/>
              </w:rPr>
            </w:pPr>
            <w:r>
              <w:rPr>
                <w:rFonts w:hint="eastAsia" w:hAnsi="宋体"/>
                <w:bCs/>
                <w:color w:val="auto"/>
                <w:sz w:val="22"/>
                <w:szCs w:val="22"/>
                <w:highlight w:val="none"/>
              </w:rPr>
              <w:t>磋商响应函</w:t>
            </w:r>
          </w:p>
        </w:tc>
        <w:tc>
          <w:tcPr>
            <w:tcW w:w="1298" w:type="dxa"/>
          </w:tcPr>
          <w:p w14:paraId="0C30D3FC">
            <w:pPr>
              <w:autoSpaceDE w:val="0"/>
              <w:autoSpaceDN w:val="0"/>
              <w:adjustRightInd w:val="0"/>
              <w:snapToGrid w:val="0"/>
              <w:spacing w:line="430" w:lineRule="atLeast"/>
              <w:jc w:val="center"/>
              <w:rPr>
                <w:rFonts w:ascii="宋体" w:hAnsi="宋体" w:cs="宋体"/>
                <w:color w:val="auto"/>
                <w:sz w:val="22"/>
                <w:szCs w:val="22"/>
                <w:highlight w:val="none"/>
              </w:rPr>
            </w:pPr>
            <w:r>
              <w:rPr>
                <w:rFonts w:hint="eastAsia" w:ascii="宋体" w:hAnsi="宋体"/>
                <w:color w:val="auto"/>
                <w:sz w:val="22"/>
                <w:szCs w:val="22"/>
                <w:highlight w:val="none"/>
              </w:rPr>
              <w:t>附件1</w:t>
            </w:r>
          </w:p>
        </w:tc>
      </w:tr>
      <w:tr w14:paraId="2D2D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06F7418C">
            <w:pPr>
              <w:autoSpaceDE w:val="0"/>
              <w:autoSpaceDN w:val="0"/>
              <w:adjustRightInd w:val="0"/>
              <w:snapToGrid w:val="0"/>
              <w:spacing w:line="430" w:lineRule="atLeast"/>
              <w:jc w:val="center"/>
              <w:rPr>
                <w:rFonts w:hint="eastAsia" w:ascii="宋体" w:hAnsi="宋体" w:cs="宋体"/>
                <w:color w:val="auto"/>
                <w:sz w:val="22"/>
                <w:highlight w:val="none"/>
              </w:rPr>
            </w:pPr>
            <w:r>
              <w:rPr>
                <w:rFonts w:hint="eastAsia" w:ascii="宋体" w:hAnsi="宋体" w:cs="宋体"/>
                <w:color w:val="auto"/>
                <w:sz w:val="22"/>
                <w:highlight w:val="none"/>
              </w:rPr>
              <w:t>2</w:t>
            </w:r>
          </w:p>
        </w:tc>
        <w:tc>
          <w:tcPr>
            <w:tcW w:w="7449" w:type="dxa"/>
          </w:tcPr>
          <w:p w14:paraId="433E71B1">
            <w:pPr>
              <w:spacing w:line="380" w:lineRule="exact"/>
              <w:rPr>
                <w:rFonts w:hint="eastAsia" w:ascii="宋体" w:hAnsi="宋体"/>
                <w:color w:val="auto"/>
                <w:sz w:val="22"/>
                <w:szCs w:val="22"/>
                <w:highlight w:val="none"/>
              </w:rPr>
            </w:pPr>
            <w:r>
              <w:rPr>
                <w:rFonts w:hint="eastAsia" w:ascii="宋体" w:hAnsi="宋体"/>
                <w:color w:val="auto"/>
                <w:sz w:val="22"/>
                <w:szCs w:val="22"/>
                <w:highlight w:val="none"/>
              </w:rPr>
              <w:t>商务条款、技术规格偏离表</w:t>
            </w:r>
          </w:p>
        </w:tc>
        <w:tc>
          <w:tcPr>
            <w:tcW w:w="1298" w:type="dxa"/>
          </w:tcPr>
          <w:p w14:paraId="53450C43">
            <w:pPr>
              <w:autoSpaceDE w:val="0"/>
              <w:autoSpaceDN w:val="0"/>
              <w:adjustRightInd w:val="0"/>
              <w:snapToGrid w:val="0"/>
              <w:spacing w:line="430" w:lineRule="atLeast"/>
              <w:jc w:val="center"/>
              <w:rPr>
                <w:rFonts w:hint="default" w:ascii="宋体" w:eastAsia="宋体" w:cs="宋体"/>
                <w:color w:val="auto"/>
                <w:sz w:val="22"/>
                <w:highlight w:val="none"/>
                <w:lang w:val="en-US" w:eastAsia="zh-CN"/>
              </w:rPr>
            </w:pPr>
            <w:r>
              <w:rPr>
                <w:rFonts w:hint="eastAsia" w:ascii="宋体" w:cs="宋体"/>
                <w:color w:val="auto"/>
                <w:sz w:val="22"/>
                <w:highlight w:val="none"/>
              </w:rPr>
              <w:t>附件</w:t>
            </w:r>
            <w:r>
              <w:rPr>
                <w:rFonts w:hint="eastAsia" w:ascii="宋体" w:cs="宋体"/>
                <w:color w:val="auto"/>
                <w:sz w:val="22"/>
                <w:highlight w:val="none"/>
                <w:lang w:val="en-US" w:eastAsia="zh-CN"/>
              </w:rPr>
              <w:t>11</w:t>
            </w:r>
          </w:p>
        </w:tc>
      </w:tr>
      <w:tr w14:paraId="35AAB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5B67D671">
            <w:pPr>
              <w:autoSpaceDE w:val="0"/>
              <w:autoSpaceDN w:val="0"/>
              <w:adjustRightInd w:val="0"/>
              <w:snapToGrid w:val="0"/>
              <w:spacing w:line="430" w:lineRule="atLeast"/>
              <w:jc w:val="center"/>
              <w:rPr>
                <w:rFonts w:hint="eastAsia" w:ascii="宋体" w:hAnsi="宋体" w:cs="宋体"/>
                <w:color w:val="auto"/>
                <w:sz w:val="22"/>
                <w:highlight w:val="none"/>
              </w:rPr>
            </w:pPr>
            <w:r>
              <w:rPr>
                <w:rFonts w:hint="eastAsia" w:ascii="宋体" w:hAnsi="宋体" w:cs="宋体"/>
                <w:color w:val="auto"/>
                <w:sz w:val="22"/>
                <w:highlight w:val="none"/>
              </w:rPr>
              <w:t>2</w:t>
            </w:r>
          </w:p>
        </w:tc>
        <w:tc>
          <w:tcPr>
            <w:tcW w:w="7449" w:type="dxa"/>
          </w:tcPr>
          <w:p w14:paraId="5E67579C">
            <w:pPr>
              <w:spacing w:line="380" w:lineRule="exact"/>
              <w:rPr>
                <w:rFonts w:ascii="宋体" w:hAnsi="宋体"/>
                <w:color w:val="auto"/>
                <w:sz w:val="22"/>
                <w:szCs w:val="22"/>
                <w:highlight w:val="none"/>
              </w:rPr>
            </w:pPr>
            <w:r>
              <w:rPr>
                <w:rFonts w:hint="eastAsia" w:ascii="宋体" w:hAnsi="宋体"/>
                <w:color w:val="auto"/>
                <w:sz w:val="22"/>
                <w:szCs w:val="22"/>
                <w:highlight w:val="none"/>
              </w:rPr>
              <w:t>选用主要材料的品牌表</w:t>
            </w:r>
          </w:p>
        </w:tc>
        <w:tc>
          <w:tcPr>
            <w:tcW w:w="1298" w:type="dxa"/>
          </w:tcPr>
          <w:p w14:paraId="72AF91B5">
            <w:pPr>
              <w:autoSpaceDE w:val="0"/>
              <w:autoSpaceDN w:val="0"/>
              <w:adjustRightInd w:val="0"/>
              <w:snapToGrid w:val="0"/>
              <w:spacing w:line="430" w:lineRule="atLeast"/>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附件1</w:t>
            </w:r>
            <w:r>
              <w:rPr>
                <w:rFonts w:hint="eastAsia" w:ascii="宋体" w:hAnsi="宋体" w:cs="宋体"/>
                <w:color w:val="auto"/>
                <w:sz w:val="22"/>
                <w:szCs w:val="22"/>
                <w:highlight w:val="none"/>
                <w:lang w:val="en-US" w:eastAsia="zh-CN"/>
              </w:rPr>
              <w:t>2</w:t>
            </w:r>
          </w:p>
        </w:tc>
      </w:tr>
      <w:tr w14:paraId="5370D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49527EFF">
            <w:pPr>
              <w:autoSpaceDE w:val="0"/>
              <w:autoSpaceDN w:val="0"/>
              <w:adjustRightInd w:val="0"/>
              <w:snapToGrid w:val="0"/>
              <w:spacing w:line="430" w:lineRule="atLeast"/>
              <w:jc w:val="center"/>
              <w:rPr>
                <w:rFonts w:hint="eastAsia" w:ascii="宋体" w:hAnsi="宋体" w:cs="宋体"/>
                <w:color w:val="auto"/>
                <w:sz w:val="22"/>
                <w:highlight w:val="none"/>
              </w:rPr>
            </w:pPr>
            <w:r>
              <w:rPr>
                <w:rFonts w:hint="eastAsia" w:ascii="宋体" w:hAnsi="宋体" w:cs="宋体"/>
                <w:color w:val="auto"/>
                <w:sz w:val="22"/>
                <w:highlight w:val="none"/>
              </w:rPr>
              <w:t>3</w:t>
            </w:r>
          </w:p>
        </w:tc>
        <w:tc>
          <w:tcPr>
            <w:tcW w:w="7449" w:type="dxa"/>
          </w:tcPr>
          <w:p w14:paraId="57BB40EB">
            <w:pPr>
              <w:spacing w:line="380" w:lineRule="exact"/>
              <w:rPr>
                <w:rFonts w:hint="eastAsia" w:ascii="宋体" w:hAnsi="宋体"/>
                <w:color w:val="auto"/>
                <w:sz w:val="22"/>
                <w:szCs w:val="22"/>
                <w:highlight w:val="none"/>
              </w:rPr>
            </w:pPr>
            <w:r>
              <w:rPr>
                <w:rFonts w:hint="eastAsia" w:ascii="宋体" w:hAnsi="宋体"/>
                <w:color w:val="auto"/>
                <w:sz w:val="22"/>
                <w:szCs w:val="22"/>
                <w:highlight w:val="none"/>
              </w:rPr>
              <w:t>投入本项目的主要材料的质量水平、技术性能指标、环保性能</w:t>
            </w:r>
          </w:p>
        </w:tc>
        <w:tc>
          <w:tcPr>
            <w:tcW w:w="1298" w:type="dxa"/>
          </w:tcPr>
          <w:p w14:paraId="5D70E431">
            <w:pPr>
              <w:autoSpaceDE w:val="0"/>
              <w:autoSpaceDN w:val="0"/>
              <w:adjustRightInd w:val="0"/>
              <w:snapToGrid w:val="0"/>
              <w:spacing w:line="430" w:lineRule="atLeast"/>
              <w:jc w:val="center"/>
              <w:rPr>
                <w:rFonts w:hint="eastAsia" w:ascii="宋体" w:hAnsi="宋体" w:cs="宋体"/>
                <w:color w:val="auto"/>
                <w:sz w:val="22"/>
                <w:szCs w:val="22"/>
                <w:highlight w:val="none"/>
              </w:rPr>
            </w:pPr>
          </w:p>
        </w:tc>
      </w:tr>
      <w:tr w14:paraId="48063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682D07D3">
            <w:pPr>
              <w:autoSpaceDE w:val="0"/>
              <w:autoSpaceDN w:val="0"/>
              <w:adjustRightInd w:val="0"/>
              <w:snapToGrid w:val="0"/>
              <w:spacing w:line="430" w:lineRule="atLeast"/>
              <w:jc w:val="center"/>
              <w:rPr>
                <w:rFonts w:hint="eastAsia" w:ascii="宋体" w:hAnsi="宋体" w:cs="宋体"/>
                <w:color w:val="auto"/>
                <w:sz w:val="22"/>
                <w:highlight w:val="none"/>
              </w:rPr>
            </w:pPr>
            <w:r>
              <w:rPr>
                <w:rFonts w:ascii="宋体" w:hAnsi="宋体" w:cs="宋体"/>
                <w:color w:val="auto"/>
                <w:sz w:val="22"/>
                <w:highlight w:val="none"/>
              </w:rPr>
              <w:t>4</w:t>
            </w:r>
          </w:p>
        </w:tc>
        <w:tc>
          <w:tcPr>
            <w:tcW w:w="7449" w:type="dxa"/>
          </w:tcPr>
          <w:p w14:paraId="2DE73C1C">
            <w:pPr>
              <w:spacing w:line="380" w:lineRule="exact"/>
              <w:rPr>
                <w:rFonts w:hint="eastAsia" w:ascii="宋体" w:hAnsi="宋体"/>
                <w:color w:val="auto"/>
                <w:sz w:val="22"/>
                <w:szCs w:val="22"/>
                <w:highlight w:val="none"/>
              </w:rPr>
            </w:pPr>
            <w:r>
              <w:rPr>
                <w:rFonts w:hint="eastAsia" w:hAnsi="宋体"/>
                <w:color w:val="auto"/>
                <w:sz w:val="22"/>
                <w:szCs w:val="22"/>
                <w:highlight w:val="none"/>
              </w:rPr>
              <w:t>同类项目业绩</w:t>
            </w:r>
          </w:p>
        </w:tc>
        <w:tc>
          <w:tcPr>
            <w:tcW w:w="1298" w:type="dxa"/>
          </w:tcPr>
          <w:p w14:paraId="2B6D4C6E">
            <w:pPr>
              <w:autoSpaceDE w:val="0"/>
              <w:autoSpaceDN w:val="0"/>
              <w:adjustRightInd w:val="0"/>
              <w:snapToGrid w:val="0"/>
              <w:spacing w:line="430" w:lineRule="atLeast"/>
              <w:jc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rPr>
              <w:t>附件1</w:t>
            </w:r>
            <w:r>
              <w:rPr>
                <w:rFonts w:hint="eastAsia" w:ascii="宋体" w:hAnsi="宋体" w:cs="宋体"/>
                <w:color w:val="auto"/>
                <w:sz w:val="22"/>
                <w:highlight w:val="none"/>
                <w:lang w:val="en-US" w:eastAsia="zh-CN"/>
              </w:rPr>
              <w:t>3</w:t>
            </w:r>
          </w:p>
        </w:tc>
      </w:tr>
      <w:tr w14:paraId="6607F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87B224F">
            <w:pPr>
              <w:autoSpaceDE w:val="0"/>
              <w:autoSpaceDN w:val="0"/>
              <w:adjustRightInd w:val="0"/>
              <w:snapToGrid w:val="0"/>
              <w:spacing w:line="430" w:lineRule="atLeast"/>
              <w:jc w:val="center"/>
              <w:rPr>
                <w:rFonts w:ascii="宋体" w:hAnsi="宋体" w:cs="宋体"/>
                <w:color w:val="auto"/>
                <w:sz w:val="22"/>
                <w:highlight w:val="none"/>
              </w:rPr>
            </w:pPr>
            <w:r>
              <w:rPr>
                <w:rFonts w:hint="eastAsia" w:ascii="宋体" w:hAnsi="宋体" w:cs="宋体"/>
                <w:color w:val="auto"/>
                <w:sz w:val="22"/>
                <w:highlight w:val="none"/>
              </w:rPr>
              <w:t>5</w:t>
            </w:r>
          </w:p>
        </w:tc>
        <w:tc>
          <w:tcPr>
            <w:tcW w:w="7449" w:type="dxa"/>
          </w:tcPr>
          <w:p w14:paraId="6A0EC15B">
            <w:pPr>
              <w:spacing w:line="380" w:lineRule="exact"/>
              <w:rPr>
                <w:rFonts w:hint="eastAsia" w:hAnsi="宋体"/>
                <w:color w:val="auto"/>
                <w:sz w:val="22"/>
                <w:szCs w:val="22"/>
                <w:highlight w:val="none"/>
              </w:rPr>
            </w:pPr>
            <w:r>
              <w:rPr>
                <w:rFonts w:hint="eastAsia" w:hAnsi="宋体"/>
                <w:color w:val="auto"/>
                <w:sz w:val="22"/>
                <w:szCs w:val="22"/>
                <w:highlight w:val="none"/>
              </w:rPr>
              <w:t>根据技术资信评分表的要求提供技术材料</w:t>
            </w:r>
          </w:p>
        </w:tc>
        <w:tc>
          <w:tcPr>
            <w:tcW w:w="1298" w:type="dxa"/>
          </w:tcPr>
          <w:p w14:paraId="73132FDC">
            <w:pPr>
              <w:autoSpaceDE w:val="0"/>
              <w:autoSpaceDN w:val="0"/>
              <w:adjustRightInd w:val="0"/>
              <w:snapToGrid w:val="0"/>
              <w:spacing w:line="430" w:lineRule="atLeast"/>
              <w:jc w:val="center"/>
              <w:rPr>
                <w:rFonts w:hint="eastAsia" w:ascii="宋体" w:hAnsi="宋体" w:cs="宋体"/>
                <w:color w:val="auto"/>
                <w:sz w:val="22"/>
                <w:highlight w:val="none"/>
              </w:rPr>
            </w:pPr>
          </w:p>
        </w:tc>
      </w:tr>
      <w:tr w14:paraId="70695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DFF4CF1">
            <w:pPr>
              <w:autoSpaceDE w:val="0"/>
              <w:autoSpaceDN w:val="0"/>
              <w:adjustRightInd w:val="0"/>
              <w:snapToGrid w:val="0"/>
              <w:spacing w:line="430" w:lineRule="atLeast"/>
              <w:jc w:val="center"/>
              <w:rPr>
                <w:rFonts w:ascii="宋体" w:hAnsi="宋体" w:cs="宋体"/>
                <w:color w:val="auto"/>
                <w:sz w:val="22"/>
                <w:highlight w:val="none"/>
              </w:rPr>
            </w:pPr>
            <w:r>
              <w:rPr>
                <w:rFonts w:ascii="宋体" w:hAnsi="宋体" w:cs="宋体"/>
                <w:color w:val="auto"/>
                <w:sz w:val="22"/>
                <w:highlight w:val="none"/>
              </w:rPr>
              <w:t>6</w:t>
            </w:r>
          </w:p>
        </w:tc>
        <w:tc>
          <w:tcPr>
            <w:tcW w:w="7449" w:type="dxa"/>
          </w:tcPr>
          <w:p w14:paraId="68A87101">
            <w:pPr>
              <w:spacing w:line="380" w:lineRule="exact"/>
              <w:rPr>
                <w:rFonts w:hint="eastAsia" w:hAnsi="宋体"/>
                <w:color w:val="auto"/>
                <w:sz w:val="22"/>
                <w:szCs w:val="22"/>
                <w:highlight w:val="none"/>
              </w:rPr>
            </w:pPr>
            <w:r>
              <w:rPr>
                <w:rFonts w:hint="eastAsia" w:ascii="宋体" w:cs="宋体"/>
                <w:color w:val="auto"/>
                <w:sz w:val="22"/>
                <w:highlight w:val="none"/>
              </w:rPr>
              <w:t>磋商供应商</w:t>
            </w:r>
            <w:r>
              <w:rPr>
                <w:rFonts w:ascii="宋体" w:hAnsi="宋体"/>
                <w:color w:val="auto"/>
                <w:sz w:val="22"/>
                <w:highlight w:val="none"/>
              </w:rPr>
              <w:t>所投产品</w:t>
            </w:r>
            <w:r>
              <w:rPr>
                <w:rFonts w:hint="eastAsia" w:ascii="宋体" w:hAnsi="宋体"/>
                <w:color w:val="auto"/>
                <w:sz w:val="22"/>
                <w:highlight w:val="none"/>
              </w:rPr>
              <w:t>节能环保水平相关证明材料</w:t>
            </w:r>
          </w:p>
        </w:tc>
        <w:tc>
          <w:tcPr>
            <w:tcW w:w="1298" w:type="dxa"/>
          </w:tcPr>
          <w:p w14:paraId="0394DD49">
            <w:pPr>
              <w:autoSpaceDE w:val="0"/>
              <w:autoSpaceDN w:val="0"/>
              <w:adjustRightInd w:val="0"/>
              <w:snapToGrid w:val="0"/>
              <w:spacing w:line="430" w:lineRule="atLeast"/>
              <w:jc w:val="center"/>
              <w:rPr>
                <w:rFonts w:hint="eastAsia" w:ascii="宋体" w:hAnsi="宋体" w:cs="宋体"/>
                <w:color w:val="auto"/>
                <w:sz w:val="22"/>
                <w:highlight w:val="none"/>
              </w:rPr>
            </w:pPr>
            <w:r>
              <w:rPr>
                <w:rFonts w:hint="eastAsia" w:ascii="宋体" w:hAnsi="宋体" w:cs="宋体"/>
                <w:color w:val="auto"/>
                <w:sz w:val="22"/>
                <w:szCs w:val="22"/>
                <w:highlight w:val="none"/>
              </w:rPr>
              <w:t>附件1</w:t>
            </w:r>
            <w:r>
              <w:rPr>
                <w:rFonts w:hint="eastAsia" w:ascii="宋体" w:hAnsi="宋体" w:cs="宋体"/>
                <w:color w:val="auto"/>
                <w:sz w:val="22"/>
                <w:szCs w:val="22"/>
                <w:highlight w:val="none"/>
                <w:lang w:val="en-US" w:eastAsia="zh-CN"/>
              </w:rPr>
              <w:t>4</w:t>
            </w:r>
            <w:r>
              <w:rPr>
                <w:rFonts w:hint="eastAsia" w:ascii="宋体" w:hAnsi="宋体" w:cs="宋体"/>
                <w:color w:val="auto"/>
                <w:sz w:val="22"/>
                <w:szCs w:val="22"/>
                <w:highlight w:val="none"/>
              </w:rPr>
              <w:t>-</w:t>
            </w:r>
            <w:r>
              <w:rPr>
                <w:rFonts w:ascii="宋体" w:hAnsi="宋体" w:cs="宋体"/>
                <w:color w:val="auto"/>
                <w:sz w:val="22"/>
                <w:szCs w:val="22"/>
                <w:highlight w:val="none"/>
              </w:rPr>
              <w:t>2</w:t>
            </w:r>
          </w:p>
        </w:tc>
      </w:tr>
      <w:tr w14:paraId="5D644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vAlign w:val="center"/>
          </w:tcPr>
          <w:p w14:paraId="252C01A9">
            <w:pPr>
              <w:autoSpaceDE w:val="0"/>
              <w:autoSpaceDN w:val="0"/>
              <w:adjustRightInd w:val="0"/>
              <w:snapToGrid w:val="0"/>
              <w:spacing w:line="430" w:lineRule="atLeast"/>
              <w:jc w:val="center"/>
              <w:rPr>
                <w:rFonts w:ascii="宋体" w:hAnsi="宋体" w:cs="宋体"/>
                <w:color w:val="auto"/>
                <w:sz w:val="22"/>
                <w:highlight w:val="none"/>
              </w:rPr>
            </w:pPr>
            <w:r>
              <w:rPr>
                <w:rFonts w:ascii="宋体" w:hAnsi="宋体" w:cs="宋体"/>
                <w:color w:val="auto"/>
                <w:sz w:val="22"/>
                <w:highlight w:val="none"/>
              </w:rPr>
              <w:t>7</w:t>
            </w:r>
          </w:p>
        </w:tc>
        <w:tc>
          <w:tcPr>
            <w:tcW w:w="7449" w:type="dxa"/>
            <w:vAlign w:val="center"/>
          </w:tcPr>
          <w:p w14:paraId="5BCD86B6">
            <w:pPr>
              <w:spacing w:line="380" w:lineRule="exact"/>
              <w:rPr>
                <w:rFonts w:hint="eastAsia" w:hAnsi="宋体"/>
                <w:color w:val="auto"/>
                <w:sz w:val="22"/>
                <w:szCs w:val="22"/>
                <w:highlight w:val="none"/>
              </w:rPr>
            </w:pPr>
            <w:r>
              <w:rPr>
                <w:rFonts w:hint="eastAsia" w:ascii="宋体" w:hAnsi="宋体"/>
                <w:color w:val="auto"/>
                <w:sz w:val="22"/>
                <w:szCs w:val="22"/>
                <w:highlight w:val="none"/>
              </w:rPr>
              <w:t>根据磋商文件中的采购内容与技术要求、评标细则，需要提供的其它文件和资料。</w:t>
            </w:r>
          </w:p>
        </w:tc>
        <w:tc>
          <w:tcPr>
            <w:tcW w:w="1298" w:type="dxa"/>
          </w:tcPr>
          <w:p w14:paraId="654EE1B4">
            <w:pPr>
              <w:autoSpaceDE w:val="0"/>
              <w:autoSpaceDN w:val="0"/>
              <w:adjustRightInd w:val="0"/>
              <w:snapToGrid w:val="0"/>
              <w:spacing w:line="430" w:lineRule="atLeast"/>
              <w:jc w:val="center"/>
              <w:rPr>
                <w:rFonts w:hint="eastAsia" w:ascii="宋体" w:hAnsi="宋体" w:cs="宋体"/>
                <w:color w:val="auto"/>
                <w:sz w:val="22"/>
                <w:highlight w:val="none"/>
              </w:rPr>
            </w:pPr>
          </w:p>
        </w:tc>
      </w:tr>
      <w:tr w14:paraId="292E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3"/>
            <w:vAlign w:val="center"/>
          </w:tcPr>
          <w:p w14:paraId="23BD503B">
            <w:pPr>
              <w:autoSpaceDE w:val="0"/>
              <w:autoSpaceDN w:val="0"/>
              <w:adjustRightInd w:val="0"/>
              <w:snapToGrid w:val="0"/>
              <w:spacing w:line="430" w:lineRule="atLeast"/>
              <w:rPr>
                <w:rFonts w:hint="eastAsia" w:ascii="宋体" w:hAnsi="宋体" w:cs="宋体"/>
                <w:color w:val="auto"/>
                <w:sz w:val="22"/>
                <w:highlight w:val="none"/>
              </w:rPr>
            </w:pPr>
            <w:r>
              <w:rPr>
                <w:rFonts w:hint="eastAsia" w:ascii="宋体" w:hAnsi="宋体" w:cs="宋体"/>
                <w:color w:val="auto"/>
                <w:sz w:val="22"/>
                <w:highlight w:val="none"/>
              </w:rPr>
              <w:t>说明：</w:t>
            </w:r>
            <w:r>
              <w:rPr>
                <w:rFonts w:hint="eastAsia" w:ascii="宋体" w:hAnsi="宋体" w:cs="宋体"/>
                <w:color w:val="auto"/>
                <w:sz w:val="22"/>
                <w:szCs w:val="22"/>
                <w:highlight w:val="none"/>
              </w:rPr>
              <w:t>以上所需的各种实物照片、证书、证件、证明、执照需提供复印件或扫描件加盖电子公章。</w:t>
            </w:r>
          </w:p>
        </w:tc>
      </w:tr>
    </w:tbl>
    <w:p w14:paraId="2754EF04">
      <w:pPr>
        <w:pStyle w:val="20"/>
        <w:spacing w:line="440" w:lineRule="exact"/>
        <w:rPr>
          <w:rFonts w:hAnsi="宋体"/>
          <w:b/>
          <w:bCs/>
          <w:color w:val="auto"/>
          <w:sz w:val="22"/>
          <w:szCs w:val="22"/>
          <w:highlight w:val="none"/>
        </w:rPr>
      </w:pPr>
      <w:r>
        <w:rPr>
          <w:rFonts w:hint="eastAsia" w:hAnsi="宋体"/>
          <w:b/>
          <w:bCs/>
          <w:color w:val="auto"/>
          <w:sz w:val="22"/>
          <w:szCs w:val="22"/>
          <w:highlight w:val="none"/>
        </w:rPr>
        <w:t xml:space="preserve">5.1.3 </w:t>
      </w:r>
      <w:r>
        <w:rPr>
          <w:rFonts w:hint="eastAsia" w:hAnsi="宋体" w:cs="宋体"/>
          <w:b/>
          <w:bCs/>
          <w:color w:val="auto"/>
          <w:sz w:val="22"/>
          <w:szCs w:val="22"/>
          <w:highlight w:val="none"/>
        </w:rPr>
        <w:t>报价文件</w:t>
      </w:r>
    </w:p>
    <w:tbl>
      <w:tblPr>
        <w:tblStyle w:val="3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7449"/>
        <w:gridCol w:w="1298"/>
      </w:tblGrid>
      <w:tr w14:paraId="5B63A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3" w:type="dxa"/>
            <w:tcBorders>
              <w:top w:val="single" w:color="auto" w:sz="4" w:space="0"/>
              <w:left w:val="single" w:color="auto" w:sz="4" w:space="0"/>
              <w:bottom w:val="single" w:color="auto" w:sz="4" w:space="0"/>
              <w:right w:val="single" w:color="auto" w:sz="4" w:space="0"/>
            </w:tcBorders>
          </w:tcPr>
          <w:p w14:paraId="0DD93124">
            <w:pPr>
              <w:autoSpaceDE w:val="0"/>
              <w:autoSpaceDN w:val="0"/>
              <w:adjustRightInd w:val="0"/>
              <w:snapToGrid w:val="0"/>
              <w:spacing w:line="430" w:lineRule="atLeast"/>
              <w:rPr>
                <w:rFonts w:ascii="宋体" w:cs="宋体"/>
                <w:b/>
                <w:color w:val="auto"/>
                <w:sz w:val="22"/>
                <w:highlight w:val="none"/>
                <w:lang w:val="zh-CN"/>
              </w:rPr>
            </w:pPr>
            <w:r>
              <w:rPr>
                <w:rFonts w:hint="eastAsia" w:ascii="宋体" w:cs="宋体"/>
                <w:b/>
                <w:color w:val="auto"/>
                <w:sz w:val="22"/>
                <w:highlight w:val="none"/>
                <w:lang w:val="zh-CN"/>
              </w:rPr>
              <w:t>序号</w:t>
            </w:r>
          </w:p>
        </w:tc>
        <w:tc>
          <w:tcPr>
            <w:tcW w:w="7449" w:type="dxa"/>
            <w:tcBorders>
              <w:top w:val="single" w:color="auto" w:sz="4" w:space="0"/>
              <w:left w:val="single" w:color="auto" w:sz="4" w:space="0"/>
              <w:bottom w:val="single" w:color="auto" w:sz="4" w:space="0"/>
              <w:right w:val="single" w:color="auto" w:sz="4" w:space="0"/>
            </w:tcBorders>
          </w:tcPr>
          <w:p w14:paraId="0C08E94C">
            <w:pPr>
              <w:autoSpaceDE w:val="0"/>
              <w:autoSpaceDN w:val="0"/>
              <w:adjustRightInd w:val="0"/>
              <w:snapToGrid w:val="0"/>
              <w:spacing w:line="430" w:lineRule="atLeast"/>
              <w:jc w:val="center"/>
              <w:rPr>
                <w:rFonts w:hint="eastAsia" w:ascii="宋体" w:cs="宋体"/>
                <w:b/>
                <w:color w:val="auto"/>
                <w:sz w:val="22"/>
                <w:highlight w:val="none"/>
                <w:lang w:val="zh-CN"/>
              </w:rPr>
            </w:pPr>
            <w:r>
              <w:rPr>
                <w:rFonts w:hint="eastAsia" w:ascii="宋体" w:cs="宋体"/>
                <w:b/>
                <w:color w:val="auto"/>
                <w:sz w:val="22"/>
                <w:highlight w:val="none"/>
                <w:lang w:val="zh-CN"/>
              </w:rPr>
              <w:t>内容</w:t>
            </w:r>
          </w:p>
        </w:tc>
        <w:tc>
          <w:tcPr>
            <w:tcW w:w="1298" w:type="dxa"/>
            <w:tcBorders>
              <w:top w:val="single" w:color="auto" w:sz="4" w:space="0"/>
              <w:left w:val="single" w:color="auto" w:sz="4" w:space="0"/>
              <w:bottom w:val="single" w:color="auto" w:sz="4" w:space="0"/>
              <w:right w:val="single" w:color="auto" w:sz="4" w:space="0"/>
            </w:tcBorders>
          </w:tcPr>
          <w:p w14:paraId="73769C3D">
            <w:pPr>
              <w:autoSpaceDE w:val="0"/>
              <w:autoSpaceDN w:val="0"/>
              <w:adjustRightInd w:val="0"/>
              <w:snapToGrid w:val="0"/>
              <w:spacing w:line="430" w:lineRule="atLeast"/>
              <w:jc w:val="center"/>
              <w:rPr>
                <w:rFonts w:hint="eastAsia" w:ascii="宋体" w:cs="宋体"/>
                <w:b/>
                <w:color w:val="auto"/>
                <w:sz w:val="22"/>
                <w:highlight w:val="none"/>
                <w:lang w:val="zh-CN"/>
              </w:rPr>
            </w:pPr>
            <w:r>
              <w:rPr>
                <w:rFonts w:hint="eastAsia" w:ascii="宋体" w:cs="宋体"/>
                <w:b/>
                <w:color w:val="auto"/>
                <w:sz w:val="22"/>
                <w:highlight w:val="none"/>
                <w:lang w:val="zh-CN"/>
              </w:rPr>
              <w:t>说明</w:t>
            </w:r>
          </w:p>
        </w:tc>
      </w:tr>
      <w:tr w14:paraId="77D3D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228B1001">
            <w:pPr>
              <w:autoSpaceDE w:val="0"/>
              <w:autoSpaceDN w:val="0"/>
              <w:adjustRightInd w:val="0"/>
              <w:snapToGrid w:val="0"/>
              <w:spacing w:line="430" w:lineRule="atLeast"/>
              <w:jc w:val="center"/>
              <w:rPr>
                <w:rFonts w:hint="eastAsia" w:ascii="宋体" w:hAnsi="宋体" w:cs="宋体"/>
                <w:color w:val="auto"/>
                <w:sz w:val="22"/>
                <w:highlight w:val="none"/>
                <w:lang w:val="zh-CN"/>
              </w:rPr>
            </w:pPr>
            <w:r>
              <w:rPr>
                <w:rFonts w:hint="eastAsia" w:ascii="宋体" w:hAnsi="宋体" w:cs="宋体"/>
                <w:color w:val="auto"/>
                <w:sz w:val="22"/>
                <w:highlight w:val="none"/>
                <w:lang w:val="zh-CN"/>
              </w:rPr>
              <w:t>1</w:t>
            </w:r>
          </w:p>
        </w:tc>
        <w:tc>
          <w:tcPr>
            <w:tcW w:w="7449" w:type="dxa"/>
            <w:tcBorders>
              <w:top w:val="single" w:color="auto" w:sz="4" w:space="0"/>
              <w:left w:val="single" w:color="auto" w:sz="4" w:space="0"/>
              <w:bottom w:val="single" w:color="auto" w:sz="4" w:space="0"/>
              <w:right w:val="single" w:color="auto" w:sz="4" w:space="0"/>
            </w:tcBorders>
          </w:tcPr>
          <w:p w14:paraId="3F821549">
            <w:pPr>
              <w:pStyle w:val="20"/>
              <w:spacing w:line="440" w:lineRule="exact"/>
              <w:rPr>
                <w:rFonts w:hint="eastAsia" w:hAnsi="宋体"/>
                <w:color w:val="auto"/>
                <w:sz w:val="22"/>
                <w:szCs w:val="22"/>
                <w:highlight w:val="none"/>
              </w:rPr>
            </w:pPr>
            <w:r>
              <w:rPr>
                <w:rFonts w:hint="eastAsia" w:hAnsi="宋体"/>
                <w:color w:val="auto"/>
                <w:sz w:val="22"/>
                <w:szCs w:val="22"/>
                <w:highlight w:val="none"/>
              </w:rPr>
              <w:t>工程量清单报价表</w:t>
            </w:r>
          </w:p>
        </w:tc>
        <w:tc>
          <w:tcPr>
            <w:tcW w:w="1298" w:type="dxa"/>
            <w:tcBorders>
              <w:top w:val="single" w:color="auto" w:sz="4" w:space="0"/>
              <w:left w:val="single" w:color="auto" w:sz="4" w:space="0"/>
              <w:bottom w:val="single" w:color="auto" w:sz="4" w:space="0"/>
              <w:right w:val="single" w:color="auto" w:sz="4" w:space="0"/>
            </w:tcBorders>
          </w:tcPr>
          <w:p w14:paraId="68DADC6B">
            <w:pPr>
              <w:autoSpaceDE w:val="0"/>
              <w:autoSpaceDN w:val="0"/>
              <w:adjustRightInd w:val="0"/>
              <w:snapToGrid w:val="0"/>
              <w:spacing w:line="430" w:lineRule="atLeast"/>
              <w:jc w:val="center"/>
              <w:rPr>
                <w:rFonts w:hint="eastAsia" w:ascii="宋体" w:hAnsi="宋体" w:cs="宋体"/>
                <w:color w:val="auto"/>
                <w:sz w:val="22"/>
                <w:highlight w:val="none"/>
                <w:lang w:val="zh-CN"/>
              </w:rPr>
            </w:pPr>
            <w:r>
              <w:rPr>
                <w:rFonts w:hint="eastAsia" w:ascii="宋体" w:hAnsi="宋体"/>
                <w:color w:val="auto"/>
                <w:sz w:val="22"/>
                <w:szCs w:val="22"/>
                <w:highlight w:val="none"/>
              </w:rPr>
              <w:t>附件2</w:t>
            </w:r>
          </w:p>
        </w:tc>
      </w:tr>
      <w:tr w14:paraId="6174E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6032E2F5">
            <w:pPr>
              <w:autoSpaceDE w:val="0"/>
              <w:autoSpaceDN w:val="0"/>
              <w:adjustRightInd w:val="0"/>
              <w:snapToGrid w:val="0"/>
              <w:spacing w:line="430" w:lineRule="atLeast"/>
              <w:jc w:val="center"/>
              <w:rPr>
                <w:rFonts w:hint="eastAsia" w:ascii="宋体" w:hAnsi="宋体" w:cs="宋体"/>
                <w:color w:val="auto"/>
                <w:sz w:val="22"/>
                <w:highlight w:val="none"/>
                <w:lang w:val="zh-CN"/>
              </w:rPr>
            </w:pPr>
            <w:r>
              <w:rPr>
                <w:rFonts w:hint="eastAsia" w:ascii="宋体" w:hAnsi="宋体" w:cs="宋体"/>
                <w:color w:val="auto"/>
                <w:sz w:val="22"/>
                <w:highlight w:val="none"/>
                <w:lang w:val="zh-CN"/>
              </w:rPr>
              <w:t>2</w:t>
            </w:r>
          </w:p>
        </w:tc>
        <w:tc>
          <w:tcPr>
            <w:tcW w:w="7449" w:type="dxa"/>
            <w:tcBorders>
              <w:top w:val="single" w:color="auto" w:sz="4" w:space="0"/>
              <w:left w:val="single" w:color="auto" w:sz="4" w:space="0"/>
              <w:bottom w:val="single" w:color="auto" w:sz="4" w:space="0"/>
              <w:right w:val="single" w:color="auto" w:sz="4" w:space="0"/>
            </w:tcBorders>
          </w:tcPr>
          <w:p w14:paraId="209BFA59">
            <w:pPr>
              <w:pStyle w:val="20"/>
              <w:spacing w:line="440" w:lineRule="exact"/>
              <w:rPr>
                <w:rFonts w:hint="eastAsia" w:hAnsi="宋体"/>
                <w:color w:val="auto"/>
                <w:sz w:val="22"/>
                <w:szCs w:val="22"/>
                <w:highlight w:val="none"/>
              </w:rPr>
            </w:pPr>
            <w:r>
              <w:rPr>
                <w:rFonts w:hint="eastAsia" w:hAnsi="宋体"/>
                <w:color w:val="auto"/>
                <w:sz w:val="22"/>
                <w:szCs w:val="22"/>
                <w:highlight w:val="none"/>
              </w:rPr>
              <w:t>编制说明</w:t>
            </w:r>
          </w:p>
        </w:tc>
        <w:tc>
          <w:tcPr>
            <w:tcW w:w="1298" w:type="dxa"/>
            <w:tcBorders>
              <w:top w:val="single" w:color="auto" w:sz="4" w:space="0"/>
              <w:left w:val="single" w:color="auto" w:sz="4" w:space="0"/>
              <w:bottom w:val="single" w:color="auto" w:sz="4" w:space="0"/>
              <w:right w:val="single" w:color="auto" w:sz="4" w:space="0"/>
            </w:tcBorders>
          </w:tcPr>
          <w:p w14:paraId="48F915EC">
            <w:pPr>
              <w:autoSpaceDE w:val="0"/>
              <w:autoSpaceDN w:val="0"/>
              <w:adjustRightInd w:val="0"/>
              <w:snapToGrid w:val="0"/>
              <w:spacing w:line="430" w:lineRule="atLeast"/>
              <w:jc w:val="center"/>
              <w:rPr>
                <w:rFonts w:hint="eastAsia" w:ascii="宋体" w:hAnsi="宋体" w:cs="宋体"/>
                <w:color w:val="auto"/>
                <w:sz w:val="22"/>
                <w:highlight w:val="none"/>
              </w:rPr>
            </w:pPr>
            <w:r>
              <w:rPr>
                <w:rFonts w:hint="eastAsia" w:ascii="宋体" w:hAnsi="宋体"/>
                <w:color w:val="auto"/>
                <w:sz w:val="22"/>
                <w:szCs w:val="22"/>
                <w:highlight w:val="none"/>
              </w:rPr>
              <w:t>附件3</w:t>
            </w:r>
          </w:p>
        </w:tc>
      </w:tr>
      <w:tr w14:paraId="4F197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00CA16FE">
            <w:pPr>
              <w:autoSpaceDE w:val="0"/>
              <w:autoSpaceDN w:val="0"/>
              <w:adjustRightInd w:val="0"/>
              <w:snapToGrid w:val="0"/>
              <w:spacing w:line="430" w:lineRule="atLeast"/>
              <w:jc w:val="center"/>
              <w:rPr>
                <w:rFonts w:hint="eastAsia" w:ascii="宋体" w:hAnsi="宋体" w:cs="宋体"/>
                <w:color w:val="auto"/>
                <w:sz w:val="22"/>
                <w:highlight w:val="none"/>
                <w:lang w:val="zh-CN"/>
              </w:rPr>
            </w:pPr>
            <w:r>
              <w:rPr>
                <w:rFonts w:hint="eastAsia" w:ascii="宋体" w:hAnsi="宋体" w:cs="宋体"/>
                <w:color w:val="auto"/>
                <w:sz w:val="22"/>
                <w:highlight w:val="none"/>
                <w:lang w:val="zh-CN"/>
              </w:rPr>
              <w:t>3</w:t>
            </w:r>
          </w:p>
        </w:tc>
        <w:tc>
          <w:tcPr>
            <w:tcW w:w="7449" w:type="dxa"/>
            <w:tcBorders>
              <w:top w:val="single" w:color="auto" w:sz="4" w:space="0"/>
              <w:left w:val="single" w:color="auto" w:sz="4" w:space="0"/>
              <w:bottom w:val="single" w:color="auto" w:sz="4" w:space="0"/>
              <w:right w:val="single" w:color="auto" w:sz="4" w:space="0"/>
            </w:tcBorders>
          </w:tcPr>
          <w:p w14:paraId="1739E4A4">
            <w:pPr>
              <w:pStyle w:val="20"/>
              <w:spacing w:line="440" w:lineRule="exact"/>
              <w:rPr>
                <w:rFonts w:hint="eastAsia" w:hAnsi="宋体"/>
                <w:color w:val="auto"/>
                <w:sz w:val="22"/>
                <w:szCs w:val="22"/>
                <w:highlight w:val="none"/>
              </w:rPr>
            </w:pPr>
            <w:r>
              <w:rPr>
                <w:rFonts w:hint="eastAsia" w:hAnsi="宋体"/>
                <w:color w:val="auto"/>
                <w:sz w:val="22"/>
                <w:szCs w:val="22"/>
                <w:highlight w:val="none"/>
              </w:rPr>
              <w:t>磋商总价</w:t>
            </w:r>
          </w:p>
        </w:tc>
        <w:tc>
          <w:tcPr>
            <w:tcW w:w="1298" w:type="dxa"/>
            <w:tcBorders>
              <w:top w:val="single" w:color="auto" w:sz="4" w:space="0"/>
              <w:left w:val="single" w:color="auto" w:sz="4" w:space="0"/>
              <w:bottom w:val="single" w:color="auto" w:sz="4" w:space="0"/>
              <w:right w:val="single" w:color="auto" w:sz="4" w:space="0"/>
            </w:tcBorders>
          </w:tcPr>
          <w:p w14:paraId="7CFA25FA">
            <w:pPr>
              <w:autoSpaceDE w:val="0"/>
              <w:autoSpaceDN w:val="0"/>
              <w:adjustRightInd w:val="0"/>
              <w:snapToGrid w:val="0"/>
              <w:spacing w:line="430" w:lineRule="atLeast"/>
              <w:jc w:val="center"/>
              <w:rPr>
                <w:rFonts w:hint="eastAsia" w:ascii="宋体" w:hAnsi="宋体" w:cs="宋体"/>
                <w:color w:val="auto"/>
                <w:sz w:val="22"/>
                <w:highlight w:val="none"/>
              </w:rPr>
            </w:pPr>
            <w:r>
              <w:rPr>
                <w:rFonts w:hint="eastAsia" w:ascii="宋体" w:hAnsi="宋体"/>
                <w:color w:val="auto"/>
                <w:sz w:val="22"/>
                <w:szCs w:val="22"/>
                <w:highlight w:val="none"/>
              </w:rPr>
              <w:t>附件4</w:t>
            </w:r>
          </w:p>
        </w:tc>
      </w:tr>
      <w:tr w14:paraId="617F1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0EBF3BAA">
            <w:pPr>
              <w:autoSpaceDE w:val="0"/>
              <w:autoSpaceDN w:val="0"/>
              <w:adjustRightInd w:val="0"/>
              <w:snapToGrid w:val="0"/>
              <w:spacing w:line="430" w:lineRule="atLeast"/>
              <w:jc w:val="center"/>
              <w:rPr>
                <w:rFonts w:hint="eastAsia" w:ascii="宋体" w:hAnsi="宋体" w:cs="宋体"/>
                <w:color w:val="auto"/>
                <w:sz w:val="22"/>
                <w:highlight w:val="none"/>
                <w:lang w:val="zh-CN"/>
              </w:rPr>
            </w:pPr>
            <w:r>
              <w:rPr>
                <w:rFonts w:hint="eastAsia" w:ascii="宋体" w:hAnsi="宋体" w:cs="宋体"/>
                <w:color w:val="auto"/>
                <w:sz w:val="22"/>
                <w:highlight w:val="none"/>
                <w:lang w:val="zh-CN"/>
              </w:rPr>
              <w:t>4</w:t>
            </w:r>
          </w:p>
        </w:tc>
        <w:tc>
          <w:tcPr>
            <w:tcW w:w="7449" w:type="dxa"/>
            <w:tcBorders>
              <w:top w:val="single" w:color="auto" w:sz="4" w:space="0"/>
              <w:left w:val="single" w:color="auto" w:sz="4" w:space="0"/>
              <w:bottom w:val="single" w:color="auto" w:sz="4" w:space="0"/>
              <w:right w:val="single" w:color="auto" w:sz="4" w:space="0"/>
            </w:tcBorders>
          </w:tcPr>
          <w:p w14:paraId="6F1271C1">
            <w:pPr>
              <w:pStyle w:val="20"/>
              <w:spacing w:line="440" w:lineRule="exact"/>
              <w:rPr>
                <w:rFonts w:hint="eastAsia" w:hAnsi="宋体"/>
                <w:color w:val="auto"/>
                <w:sz w:val="22"/>
                <w:szCs w:val="22"/>
                <w:highlight w:val="none"/>
              </w:rPr>
            </w:pPr>
            <w:r>
              <w:rPr>
                <w:rFonts w:hint="eastAsia" w:hAnsi="宋体"/>
                <w:color w:val="auto"/>
                <w:sz w:val="22"/>
                <w:szCs w:val="22"/>
                <w:highlight w:val="none"/>
              </w:rPr>
              <w:t>工程项目磋商报价汇总表</w:t>
            </w:r>
          </w:p>
        </w:tc>
        <w:tc>
          <w:tcPr>
            <w:tcW w:w="1298" w:type="dxa"/>
            <w:tcBorders>
              <w:top w:val="single" w:color="auto" w:sz="4" w:space="0"/>
              <w:left w:val="single" w:color="auto" w:sz="4" w:space="0"/>
              <w:bottom w:val="single" w:color="auto" w:sz="4" w:space="0"/>
              <w:right w:val="single" w:color="auto" w:sz="4" w:space="0"/>
            </w:tcBorders>
          </w:tcPr>
          <w:p w14:paraId="037BA9A6">
            <w:pPr>
              <w:autoSpaceDE w:val="0"/>
              <w:autoSpaceDN w:val="0"/>
              <w:adjustRightInd w:val="0"/>
              <w:snapToGrid w:val="0"/>
              <w:spacing w:line="430" w:lineRule="atLeast"/>
              <w:jc w:val="center"/>
              <w:rPr>
                <w:rFonts w:hint="eastAsia" w:ascii="宋体" w:hAnsi="宋体"/>
                <w:color w:val="auto"/>
                <w:sz w:val="22"/>
                <w:szCs w:val="22"/>
                <w:highlight w:val="none"/>
              </w:rPr>
            </w:pPr>
            <w:r>
              <w:rPr>
                <w:rFonts w:hint="eastAsia" w:ascii="宋体" w:hAnsi="宋体"/>
                <w:color w:val="auto"/>
                <w:sz w:val="22"/>
                <w:szCs w:val="22"/>
                <w:highlight w:val="none"/>
              </w:rPr>
              <w:t>附件5</w:t>
            </w:r>
          </w:p>
        </w:tc>
      </w:tr>
      <w:tr w14:paraId="0E097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1F4FF2EC">
            <w:pPr>
              <w:autoSpaceDE w:val="0"/>
              <w:autoSpaceDN w:val="0"/>
              <w:adjustRightInd w:val="0"/>
              <w:snapToGrid w:val="0"/>
              <w:spacing w:line="430" w:lineRule="atLeast"/>
              <w:jc w:val="center"/>
              <w:rPr>
                <w:rFonts w:hint="eastAsia" w:ascii="宋体" w:hAnsi="宋体" w:cs="宋体"/>
                <w:color w:val="auto"/>
                <w:sz w:val="22"/>
                <w:highlight w:val="none"/>
                <w:lang w:val="zh-CN"/>
              </w:rPr>
            </w:pPr>
            <w:r>
              <w:rPr>
                <w:rFonts w:hint="eastAsia" w:ascii="宋体" w:hAnsi="宋体" w:cs="宋体"/>
                <w:color w:val="auto"/>
                <w:sz w:val="22"/>
                <w:highlight w:val="none"/>
                <w:lang w:val="zh-CN"/>
              </w:rPr>
              <w:t>5</w:t>
            </w:r>
          </w:p>
        </w:tc>
        <w:tc>
          <w:tcPr>
            <w:tcW w:w="7449" w:type="dxa"/>
            <w:tcBorders>
              <w:top w:val="single" w:color="auto" w:sz="4" w:space="0"/>
              <w:left w:val="single" w:color="auto" w:sz="4" w:space="0"/>
              <w:bottom w:val="single" w:color="auto" w:sz="4" w:space="0"/>
              <w:right w:val="single" w:color="auto" w:sz="4" w:space="0"/>
            </w:tcBorders>
          </w:tcPr>
          <w:p w14:paraId="3CFFC5C8">
            <w:pPr>
              <w:pStyle w:val="20"/>
              <w:spacing w:line="440" w:lineRule="exact"/>
              <w:rPr>
                <w:rFonts w:hint="eastAsia" w:hAnsi="宋体"/>
                <w:color w:val="auto"/>
                <w:sz w:val="22"/>
                <w:szCs w:val="22"/>
                <w:highlight w:val="none"/>
              </w:rPr>
            </w:pPr>
            <w:r>
              <w:rPr>
                <w:rFonts w:hint="eastAsia" w:hAnsi="宋体"/>
                <w:color w:val="auto"/>
                <w:sz w:val="22"/>
                <w:szCs w:val="22"/>
                <w:highlight w:val="none"/>
              </w:rPr>
              <w:t>单位（专业）工程招标控制价（磋商报价）费用</w:t>
            </w:r>
          </w:p>
        </w:tc>
        <w:tc>
          <w:tcPr>
            <w:tcW w:w="1298" w:type="dxa"/>
            <w:tcBorders>
              <w:top w:val="single" w:color="auto" w:sz="4" w:space="0"/>
              <w:left w:val="single" w:color="auto" w:sz="4" w:space="0"/>
              <w:bottom w:val="single" w:color="auto" w:sz="4" w:space="0"/>
              <w:right w:val="single" w:color="auto" w:sz="4" w:space="0"/>
            </w:tcBorders>
          </w:tcPr>
          <w:p w14:paraId="0D1B8DE4">
            <w:pPr>
              <w:autoSpaceDE w:val="0"/>
              <w:autoSpaceDN w:val="0"/>
              <w:adjustRightInd w:val="0"/>
              <w:snapToGrid w:val="0"/>
              <w:spacing w:line="430" w:lineRule="atLeast"/>
              <w:jc w:val="center"/>
              <w:rPr>
                <w:rFonts w:hint="eastAsia" w:ascii="宋体" w:hAnsi="宋体"/>
                <w:color w:val="auto"/>
                <w:sz w:val="22"/>
                <w:szCs w:val="22"/>
                <w:highlight w:val="none"/>
              </w:rPr>
            </w:pPr>
            <w:r>
              <w:rPr>
                <w:rFonts w:hint="eastAsia" w:ascii="宋体" w:hAnsi="宋体"/>
                <w:color w:val="auto"/>
                <w:sz w:val="22"/>
                <w:szCs w:val="22"/>
                <w:highlight w:val="none"/>
              </w:rPr>
              <w:t>附件6</w:t>
            </w:r>
          </w:p>
        </w:tc>
      </w:tr>
      <w:tr w14:paraId="587FC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10379D0E">
            <w:pPr>
              <w:autoSpaceDE w:val="0"/>
              <w:autoSpaceDN w:val="0"/>
              <w:adjustRightInd w:val="0"/>
              <w:snapToGrid w:val="0"/>
              <w:spacing w:line="430" w:lineRule="atLeast"/>
              <w:jc w:val="center"/>
              <w:rPr>
                <w:rFonts w:hint="eastAsia" w:ascii="宋体" w:hAnsi="宋体" w:cs="宋体"/>
                <w:color w:val="auto"/>
                <w:sz w:val="22"/>
                <w:highlight w:val="none"/>
                <w:lang w:val="zh-CN"/>
              </w:rPr>
            </w:pPr>
            <w:r>
              <w:rPr>
                <w:rFonts w:hint="eastAsia" w:ascii="宋体" w:hAnsi="宋体" w:cs="宋体"/>
                <w:color w:val="auto"/>
                <w:sz w:val="22"/>
                <w:highlight w:val="none"/>
                <w:lang w:val="zh-CN"/>
              </w:rPr>
              <w:t>6</w:t>
            </w:r>
          </w:p>
        </w:tc>
        <w:tc>
          <w:tcPr>
            <w:tcW w:w="7449" w:type="dxa"/>
            <w:tcBorders>
              <w:top w:val="single" w:color="auto" w:sz="4" w:space="0"/>
              <w:left w:val="single" w:color="auto" w:sz="4" w:space="0"/>
              <w:bottom w:val="single" w:color="auto" w:sz="4" w:space="0"/>
              <w:right w:val="single" w:color="auto" w:sz="4" w:space="0"/>
            </w:tcBorders>
          </w:tcPr>
          <w:p w14:paraId="32077CAF">
            <w:pPr>
              <w:pStyle w:val="20"/>
              <w:spacing w:line="440" w:lineRule="exact"/>
              <w:rPr>
                <w:rFonts w:hint="eastAsia" w:hAnsi="宋体"/>
                <w:color w:val="auto"/>
                <w:sz w:val="22"/>
                <w:szCs w:val="22"/>
                <w:highlight w:val="none"/>
              </w:rPr>
            </w:pPr>
            <w:r>
              <w:rPr>
                <w:rFonts w:hint="eastAsia" w:hAnsi="宋体"/>
                <w:color w:val="auto"/>
                <w:sz w:val="22"/>
                <w:szCs w:val="22"/>
                <w:highlight w:val="none"/>
              </w:rPr>
              <w:t>分部分项工程和施工技术措施项目清单与计价表</w:t>
            </w:r>
          </w:p>
        </w:tc>
        <w:tc>
          <w:tcPr>
            <w:tcW w:w="1298" w:type="dxa"/>
            <w:tcBorders>
              <w:top w:val="single" w:color="auto" w:sz="4" w:space="0"/>
              <w:left w:val="single" w:color="auto" w:sz="4" w:space="0"/>
              <w:bottom w:val="single" w:color="auto" w:sz="4" w:space="0"/>
              <w:right w:val="single" w:color="auto" w:sz="4" w:space="0"/>
            </w:tcBorders>
          </w:tcPr>
          <w:p w14:paraId="4C26E595">
            <w:pPr>
              <w:autoSpaceDE w:val="0"/>
              <w:autoSpaceDN w:val="0"/>
              <w:adjustRightInd w:val="0"/>
              <w:snapToGrid w:val="0"/>
              <w:spacing w:line="430" w:lineRule="atLeast"/>
              <w:jc w:val="center"/>
              <w:rPr>
                <w:rFonts w:hint="eastAsia" w:ascii="宋体" w:hAnsi="宋体"/>
                <w:color w:val="auto"/>
                <w:sz w:val="22"/>
                <w:szCs w:val="22"/>
                <w:highlight w:val="none"/>
              </w:rPr>
            </w:pPr>
            <w:r>
              <w:rPr>
                <w:rFonts w:hint="eastAsia" w:ascii="宋体" w:hAnsi="宋体"/>
                <w:color w:val="auto"/>
                <w:sz w:val="22"/>
                <w:szCs w:val="22"/>
                <w:highlight w:val="none"/>
              </w:rPr>
              <w:t>附件7</w:t>
            </w:r>
          </w:p>
        </w:tc>
      </w:tr>
      <w:tr w14:paraId="2E50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6C27CB51">
            <w:pPr>
              <w:autoSpaceDE w:val="0"/>
              <w:autoSpaceDN w:val="0"/>
              <w:adjustRightInd w:val="0"/>
              <w:snapToGrid w:val="0"/>
              <w:spacing w:line="430" w:lineRule="atLeast"/>
              <w:jc w:val="center"/>
              <w:rPr>
                <w:rFonts w:hint="eastAsia" w:ascii="宋体" w:hAnsi="宋体" w:cs="宋体"/>
                <w:color w:val="auto"/>
                <w:sz w:val="22"/>
                <w:highlight w:val="none"/>
                <w:lang w:val="zh-CN"/>
              </w:rPr>
            </w:pPr>
            <w:r>
              <w:rPr>
                <w:rFonts w:hint="eastAsia" w:ascii="宋体" w:hAnsi="宋体" w:cs="宋体"/>
                <w:color w:val="auto"/>
                <w:sz w:val="22"/>
                <w:highlight w:val="none"/>
                <w:lang w:val="zh-CN"/>
              </w:rPr>
              <w:t>7</w:t>
            </w:r>
          </w:p>
        </w:tc>
        <w:tc>
          <w:tcPr>
            <w:tcW w:w="7449" w:type="dxa"/>
            <w:tcBorders>
              <w:top w:val="single" w:color="auto" w:sz="4" w:space="0"/>
              <w:left w:val="single" w:color="auto" w:sz="4" w:space="0"/>
              <w:bottom w:val="single" w:color="auto" w:sz="4" w:space="0"/>
              <w:right w:val="single" w:color="auto" w:sz="4" w:space="0"/>
            </w:tcBorders>
            <w:vAlign w:val="top"/>
          </w:tcPr>
          <w:p w14:paraId="05B31D05">
            <w:pPr>
              <w:pStyle w:val="20"/>
              <w:spacing w:line="440" w:lineRule="exact"/>
              <w:rPr>
                <w:rFonts w:hint="eastAsia" w:hAnsi="宋体"/>
                <w:color w:val="auto"/>
                <w:sz w:val="22"/>
                <w:szCs w:val="22"/>
                <w:highlight w:val="none"/>
              </w:rPr>
            </w:pPr>
            <w:r>
              <w:rPr>
                <w:rFonts w:hint="eastAsia" w:hAnsi="宋体"/>
                <w:color w:val="auto"/>
                <w:sz w:val="22"/>
                <w:szCs w:val="22"/>
                <w:highlight w:val="none"/>
              </w:rPr>
              <w:t>施工组织（总价）措施项目清单与计价表</w:t>
            </w:r>
          </w:p>
        </w:tc>
        <w:tc>
          <w:tcPr>
            <w:tcW w:w="1298" w:type="dxa"/>
            <w:tcBorders>
              <w:top w:val="single" w:color="auto" w:sz="4" w:space="0"/>
              <w:left w:val="single" w:color="auto" w:sz="4" w:space="0"/>
              <w:bottom w:val="single" w:color="auto" w:sz="4" w:space="0"/>
              <w:right w:val="single" w:color="auto" w:sz="4" w:space="0"/>
            </w:tcBorders>
            <w:vAlign w:val="top"/>
          </w:tcPr>
          <w:p w14:paraId="74738403">
            <w:pPr>
              <w:autoSpaceDE w:val="0"/>
              <w:autoSpaceDN w:val="0"/>
              <w:adjustRightInd w:val="0"/>
              <w:snapToGrid w:val="0"/>
              <w:spacing w:line="430" w:lineRule="atLeast"/>
              <w:jc w:val="center"/>
              <w:rPr>
                <w:rFonts w:hint="eastAsia" w:ascii="宋体" w:hAnsi="宋体"/>
                <w:color w:val="auto"/>
                <w:sz w:val="22"/>
                <w:szCs w:val="22"/>
                <w:highlight w:val="none"/>
              </w:rPr>
            </w:pPr>
            <w:r>
              <w:rPr>
                <w:rFonts w:hint="eastAsia" w:ascii="宋体" w:hAnsi="宋体"/>
                <w:color w:val="auto"/>
                <w:sz w:val="22"/>
                <w:szCs w:val="22"/>
                <w:highlight w:val="none"/>
              </w:rPr>
              <w:t>附件8</w:t>
            </w:r>
          </w:p>
        </w:tc>
      </w:tr>
      <w:tr w14:paraId="6F46A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3" w:type="dxa"/>
            <w:tcBorders>
              <w:top w:val="single" w:color="auto" w:sz="4" w:space="0"/>
              <w:left w:val="single" w:color="auto" w:sz="4" w:space="0"/>
              <w:bottom w:val="single" w:color="auto" w:sz="4" w:space="0"/>
              <w:right w:val="single" w:color="auto" w:sz="4" w:space="0"/>
            </w:tcBorders>
            <w:vAlign w:val="center"/>
          </w:tcPr>
          <w:p w14:paraId="2E5C7383">
            <w:pPr>
              <w:autoSpaceDE w:val="0"/>
              <w:autoSpaceDN w:val="0"/>
              <w:adjustRightInd w:val="0"/>
              <w:snapToGrid w:val="0"/>
              <w:spacing w:line="430" w:lineRule="atLeast"/>
              <w:jc w:val="center"/>
              <w:rPr>
                <w:rFonts w:hint="eastAsia" w:ascii="宋体" w:hAnsi="宋体" w:cs="宋体"/>
                <w:color w:val="auto"/>
                <w:sz w:val="22"/>
                <w:highlight w:val="none"/>
                <w:lang w:val="zh-CN"/>
              </w:rPr>
            </w:pPr>
            <w:r>
              <w:rPr>
                <w:rFonts w:hint="eastAsia" w:ascii="宋体" w:hAnsi="宋体" w:cs="宋体"/>
                <w:color w:val="auto"/>
                <w:sz w:val="22"/>
                <w:highlight w:val="none"/>
                <w:lang w:val="zh-CN"/>
              </w:rPr>
              <w:t>8</w:t>
            </w:r>
          </w:p>
        </w:tc>
        <w:tc>
          <w:tcPr>
            <w:tcW w:w="7449" w:type="dxa"/>
            <w:tcBorders>
              <w:top w:val="single" w:color="auto" w:sz="4" w:space="0"/>
              <w:left w:val="single" w:color="auto" w:sz="4" w:space="0"/>
              <w:bottom w:val="single" w:color="auto" w:sz="4" w:space="0"/>
              <w:right w:val="single" w:color="auto" w:sz="4" w:space="0"/>
            </w:tcBorders>
            <w:vAlign w:val="top"/>
          </w:tcPr>
          <w:p w14:paraId="431A6595">
            <w:pPr>
              <w:pStyle w:val="20"/>
              <w:spacing w:line="440" w:lineRule="exact"/>
              <w:rPr>
                <w:rFonts w:hint="eastAsia" w:hAnsi="宋体"/>
                <w:color w:val="auto"/>
                <w:sz w:val="22"/>
                <w:szCs w:val="22"/>
                <w:highlight w:val="none"/>
              </w:rPr>
            </w:pPr>
            <w:r>
              <w:rPr>
                <w:rFonts w:hint="eastAsia" w:hAnsi="宋体"/>
                <w:color w:val="auto"/>
                <w:sz w:val="22"/>
                <w:szCs w:val="22"/>
                <w:highlight w:val="none"/>
              </w:rPr>
              <w:t>其他项目清单与计价汇总表</w:t>
            </w:r>
          </w:p>
        </w:tc>
        <w:tc>
          <w:tcPr>
            <w:tcW w:w="1298" w:type="dxa"/>
            <w:tcBorders>
              <w:top w:val="single" w:color="auto" w:sz="4" w:space="0"/>
              <w:left w:val="single" w:color="auto" w:sz="4" w:space="0"/>
              <w:bottom w:val="single" w:color="auto" w:sz="4" w:space="0"/>
              <w:right w:val="single" w:color="auto" w:sz="4" w:space="0"/>
            </w:tcBorders>
            <w:vAlign w:val="top"/>
          </w:tcPr>
          <w:p w14:paraId="4FEA2E02">
            <w:pPr>
              <w:autoSpaceDE w:val="0"/>
              <w:autoSpaceDN w:val="0"/>
              <w:adjustRightInd w:val="0"/>
              <w:snapToGrid w:val="0"/>
              <w:spacing w:line="430" w:lineRule="atLeast"/>
              <w:jc w:val="center"/>
              <w:rPr>
                <w:rFonts w:hint="eastAsia" w:ascii="宋体" w:hAnsi="宋体"/>
                <w:color w:val="auto"/>
                <w:sz w:val="22"/>
                <w:szCs w:val="22"/>
                <w:highlight w:val="none"/>
              </w:rPr>
            </w:pPr>
            <w:r>
              <w:rPr>
                <w:rFonts w:hint="eastAsia" w:ascii="宋体" w:hAnsi="宋体"/>
                <w:color w:val="auto"/>
                <w:sz w:val="22"/>
                <w:szCs w:val="22"/>
                <w:highlight w:val="none"/>
              </w:rPr>
              <w:t>附件9</w:t>
            </w:r>
          </w:p>
        </w:tc>
      </w:tr>
      <w:tr w14:paraId="694BE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520" w:type="dxa"/>
            <w:gridSpan w:val="3"/>
            <w:tcBorders>
              <w:top w:val="single" w:color="auto" w:sz="4" w:space="0"/>
              <w:left w:val="single" w:color="auto" w:sz="4" w:space="0"/>
              <w:bottom w:val="single" w:color="auto" w:sz="4" w:space="0"/>
              <w:right w:val="single" w:color="auto" w:sz="4" w:space="0"/>
            </w:tcBorders>
            <w:vAlign w:val="center"/>
          </w:tcPr>
          <w:p w14:paraId="7DAC02B8">
            <w:pPr>
              <w:autoSpaceDE w:val="0"/>
              <w:autoSpaceDN w:val="0"/>
              <w:adjustRightInd w:val="0"/>
              <w:snapToGrid w:val="0"/>
              <w:spacing w:line="430" w:lineRule="atLeast"/>
              <w:rPr>
                <w:rFonts w:hint="eastAsia" w:ascii="宋体"/>
                <w:color w:val="auto"/>
                <w:sz w:val="22"/>
                <w:highlight w:val="none"/>
              </w:rPr>
            </w:pPr>
            <w:r>
              <w:rPr>
                <w:rFonts w:hint="eastAsia" w:ascii="宋体" w:hAnsi="宋体" w:cs="宋体"/>
                <w:color w:val="auto"/>
                <w:sz w:val="22"/>
                <w:highlight w:val="none"/>
              </w:rPr>
              <w:t>说明：</w:t>
            </w:r>
            <w:r>
              <w:rPr>
                <w:rFonts w:hint="eastAsia" w:ascii="宋体" w:hAnsi="宋体" w:cs="宋体"/>
                <w:color w:val="auto"/>
                <w:sz w:val="22"/>
                <w:szCs w:val="22"/>
                <w:highlight w:val="none"/>
              </w:rPr>
              <w:t>以上所需的各种实物照片、证书、证件、证明、执照需提供复印件或扫描件加盖电子公章。</w:t>
            </w:r>
          </w:p>
        </w:tc>
      </w:tr>
    </w:tbl>
    <w:p w14:paraId="049DAD0E">
      <w:pPr>
        <w:spacing w:line="440" w:lineRule="exact"/>
        <w:ind w:left="548" w:leftChars="261"/>
        <w:rPr>
          <w:rFonts w:hint="eastAsia" w:ascii="宋体" w:hAnsi="宋体"/>
          <w:color w:val="auto"/>
          <w:sz w:val="22"/>
          <w:szCs w:val="22"/>
          <w:highlight w:val="none"/>
        </w:rPr>
      </w:pPr>
      <w:r>
        <w:rPr>
          <w:rFonts w:hint="eastAsia" w:ascii="宋体" w:hAnsi="宋体"/>
          <w:color w:val="auto"/>
          <w:sz w:val="22"/>
          <w:szCs w:val="22"/>
          <w:highlight w:val="none"/>
        </w:rPr>
        <w:t>其中分部分项工程量综合单价计算表、措施项目费计算表根据《浙江省建设工程工程量清单计价指引》中的规定，结合本工程的采购实际情况，</w:t>
      </w:r>
      <w:r>
        <w:rPr>
          <w:rFonts w:hint="eastAsia" w:ascii="宋体" w:hAnsi="宋体"/>
          <w:color w:val="auto"/>
          <w:sz w:val="22"/>
          <w:szCs w:val="22"/>
          <w:highlight w:val="none"/>
          <w:lang w:eastAsia="zh-CN"/>
        </w:rPr>
        <w:t>成交供应商</w:t>
      </w:r>
      <w:r>
        <w:rPr>
          <w:rFonts w:hint="eastAsia" w:ascii="宋体" w:hAnsi="宋体"/>
          <w:color w:val="auto"/>
          <w:sz w:val="22"/>
          <w:szCs w:val="22"/>
          <w:highlight w:val="none"/>
        </w:rPr>
        <w:t>在接到成交通知书起的</w:t>
      </w:r>
      <w:r>
        <w:rPr>
          <w:rFonts w:hint="eastAsia" w:ascii="宋体" w:hAnsi="宋体"/>
          <w:color w:val="auto"/>
          <w:sz w:val="22"/>
          <w:szCs w:val="22"/>
          <w:highlight w:val="none"/>
          <w:u w:val="single"/>
        </w:rPr>
        <w:t>贰</w:t>
      </w:r>
      <w:r>
        <w:rPr>
          <w:rFonts w:hint="eastAsia" w:ascii="宋体" w:hAnsi="宋体"/>
          <w:color w:val="auto"/>
          <w:sz w:val="22"/>
          <w:szCs w:val="22"/>
          <w:highlight w:val="none"/>
        </w:rPr>
        <w:t>个工作日内向采购人提供一式拾份盖印原件，作为签订合同、工程施工变更、办理竣工结算的有效依据之一。</w:t>
      </w:r>
    </w:p>
    <w:p w14:paraId="442B3619">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5.2  响应文件格式</w:t>
      </w:r>
    </w:p>
    <w:p w14:paraId="747C28F0">
      <w:pPr>
        <w:spacing w:line="440" w:lineRule="exact"/>
        <w:ind w:left="548" w:leftChars="261"/>
        <w:rPr>
          <w:rFonts w:hint="eastAsia" w:ascii="宋体" w:hAnsi="宋体"/>
          <w:color w:val="auto"/>
          <w:sz w:val="22"/>
          <w:szCs w:val="22"/>
          <w:highlight w:val="none"/>
        </w:rPr>
      </w:pPr>
      <w:r>
        <w:rPr>
          <w:rFonts w:hint="eastAsia" w:ascii="宋体" w:hAnsi="宋体"/>
          <w:color w:val="auto"/>
          <w:sz w:val="22"/>
          <w:szCs w:val="22"/>
          <w:highlight w:val="none"/>
        </w:rPr>
        <w:t>依照技术规范要求，针对本工程的特点和磋商标准项目内容，磋商供应商应根据磋商文件中所提供的格式、内容按顺序填写、编写目录和页码，</w:t>
      </w:r>
      <w:r>
        <w:rPr>
          <w:rFonts w:hint="eastAsia" w:ascii="宋体" w:hAnsi="宋体" w:cs="宋体"/>
          <w:color w:val="auto"/>
          <w:sz w:val="22"/>
          <w:szCs w:val="22"/>
          <w:highlight w:val="none"/>
        </w:rPr>
        <w:t>分别写入资格文件、商务技术文件和</w:t>
      </w:r>
      <w:r>
        <w:rPr>
          <w:rFonts w:hint="eastAsia" w:ascii="宋体" w:hAnsi="宋体"/>
          <w:color w:val="auto"/>
          <w:sz w:val="22"/>
          <w:szCs w:val="22"/>
          <w:highlight w:val="none"/>
        </w:rPr>
        <w:t>报价文件中</w:t>
      </w:r>
      <w:r>
        <w:rPr>
          <w:rFonts w:hint="eastAsia" w:ascii="宋体" w:hAnsi="宋体" w:cs="宋体"/>
          <w:color w:val="auto"/>
          <w:sz w:val="22"/>
          <w:szCs w:val="22"/>
          <w:highlight w:val="none"/>
        </w:rPr>
        <w:t>。</w:t>
      </w:r>
      <w:r>
        <w:rPr>
          <w:rFonts w:ascii="宋体" w:hAnsi="宋体"/>
          <w:color w:val="auto"/>
          <w:sz w:val="22"/>
          <w:szCs w:val="22"/>
          <w:highlight w:val="none"/>
        </w:rPr>
        <w:t>混乱的编排导致</w:t>
      </w:r>
      <w:r>
        <w:rPr>
          <w:rFonts w:hint="eastAsia" w:ascii="宋体" w:hAnsi="宋体"/>
          <w:color w:val="auto"/>
          <w:sz w:val="22"/>
          <w:szCs w:val="22"/>
          <w:highlight w:val="none"/>
        </w:rPr>
        <w:t>磋商响应文件</w:t>
      </w:r>
      <w:r>
        <w:rPr>
          <w:rFonts w:ascii="宋体" w:hAnsi="宋体"/>
          <w:color w:val="auto"/>
          <w:sz w:val="22"/>
          <w:szCs w:val="22"/>
          <w:highlight w:val="none"/>
        </w:rPr>
        <w:t>被误读或查找不到有效文件是</w:t>
      </w:r>
      <w:r>
        <w:rPr>
          <w:rFonts w:hint="eastAsia" w:ascii="宋体" w:hAnsi="宋体"/>
          <w:color w:val="auto"/>
          <w:sz w:val="22"/>
          <w:szCs w:val="22"/>
          <w:highlight w:val="none"/>
        </w:rPr>
        <w:t>磋商供应商</w:t>
      </w:r>
      <w:r>
        <w:rPr>
          <w:rFonts w:ascii="宋体" w:hAnsi="宋体"/>
          <w:color w:val="auto"/>
          <w:sz w:val="22"/>
          <w:szCs w:val="22"/>
          <w:highlight w:val="none"/>
        </w:rPr>
        <w:t>的风险</w:t>
      </w:r>
      <w:r>
        <w:rPr>
          <w:rFonts w:hint="eastAsia" w:ascii="宋体" w:hAnsi="宋体"/>
          <w:color w:val="auto"/>
          <w:sz w:val="22"/>
          <w:szCs w:val="22"/>
          <w:highlight w:val="none"/>
        </w:rPr>
        <w:t>（具体格式见第四部分附件）。</w:t>
      </w:r>
    </w:p>
    <w:p w14:paraId="4583E5C9">
      <w:pPr>
        <w:spacing w:line="440" w:lineRule="exact"/>
        <w:ind w:left="550" w:hanging="550" w:hangingChars="250"/>
        <w:rPr>
          <w:rFonts w:hint="eastAsia" w:ascii="宋体" w:hAnsi="宋体"/>
          <w:color w:val="auto"/>
          <w:sz w:val="22"/>
          <w:szCs w:val="22"/>
          <w:highlight w:val="none"/>
          <w:u w:val="single"/>
        </w:rPr>
      </w:pPr>
      <w:r>
        <w:rPr>
          <w:rFonts w:hint="eastAsia" w:ascii="宋体" w:hAnsi="宋体"/>
          <w:color w:val="auto"/>
          <w:sz w:val="22"/>
          <w:szCs w:val="22"/>
          <w:highlight w:val="none"/>
        </w:rPr>
        <w:t xml:space="preserve">6. </w:t>
      </w:r>
      <w:r>
        <w:rPr>
          <w:rFonts w:hint="eastAsia"/>
          <w:b/>
          <w:color w:val="auto"/>
          <w:szCs w:val="21"/>
          <w:highlight w:val="none"/>
        </w:rPr>
        <w:t>▲</w:t>
      </w:r>
      <w:r>
        <w:rPr>
          <w:rFonts w:hint="eastAsia" w:ascii="宋体" w:hAnsi="宋体"/>
          <w:b/>
          <w:color w:val="auto"/>
          <w:sz w:val="22"/>
          <w:szCs w:val="22"/>
          <w:highlight w:val="none"/>
          <w:u w:val="single"/>
        </w:rPr>
        <w:t>本项目设有最高限价，具体见磋商须知前附表，磋商供应商的磋商报价不得高于最高限价，否则将作为无效报价。</w:t>
      </w:r>
    </w:p>
    <w:p w14:paraId="2940D671">
      <w:pPr>
        <w:pStyle w:val="22"/>
        <w:spacing w:line="440" w:lineRule="exact"/>
        <w:ind w:left="0" w:leftChars="0"/>
        <w:rPr>
          <w:rFonts w:hint="eastAsia" w:ascii="宋体" w:hAnsi="宋体"/>
          <w:color w:val="auto"/>
          <w:sz w:val="22"/>
          <w:szCs w:val="22"/>
          <w:highlight w:val="none"/>
        </w:rPr>
      </w:pPr>
      <w:r>
        <w:rPr>
          <w:rFonts w:hint="eastAsia" w:ascii="宋体" w:hAnsi="宋体"/>
          <w:color w:val="auto"/>
          <w:sz w:val="22"/>
          <w:szCs w:val="22"/>
          <w:highlight w:val="none"/>
        </w:rPr>
        <w:t>6.1  报价计价参考依据：</w:t>
      </w:r>
    </w:p>
    <w:p w14:paraId="466B09BC">
      <w:pPr>
        <w:pStyle w:val="22"/>
        <w:spacing w:line="440" w:lineRule="exact"/>
        <w:ind w:left="0" w:leftChars="0"/>
        <w:rPr>
          <w:rFonts w:hint="eastAsia" w:ascii="宋体" w:hAnsi="宋体"/>
          <w:color w:val="auto"/>
          <w:sz w:val="22"/>
          <w:szCs w:val="22"/>
          <w:highlight w:val="none"/>
        </w:rPr>
      </w:pPr>
      <w:r>
        <w:rPr>
          <w:rFonts w:hint="eastAsia" w:ascii="宋体" w:hAnsi="宋体"/>
          <w:color w:val="auto"/>
          <w:sz w:val="22"/>
          <w:szCs w:val="22"/>
          <w:highlight w:val="none"/>
        </w:rPr>
        <w:t>（1） 国家标准GB50500-2013《建设工程工程量清单计价规范》；</w:t>
      </w:r>
    </w:p>
    <w:p w14:paraId="702C1221">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（2）《浙江省建筑工程预算定额》（2018版）；</w:t>
      </w:r>
    </w:p>
    <w:p w14:paraId="710FE491">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（3）《浙江省通用安装工程预算定额》（2018版）；</w:t>
      </w:r>
    </w:p>
    <w:p w14:paraId="1DBB4B63">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（4）《浙江省市政工程预算定额》（2018版）；</w:t>
      </w:r>
    </w:p>
    <w:p w14:paraId="57D66A49">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（5）《浙江省园林绿化及仿古建筑工程预算定额》（2018版）；</w:t>
      </w:r>
    </w:p>
    <w:p w14:paraId="3F31C276">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（6）《浙江省建设工程计价规则》（2018版）；</w:t>
      </w:r>
    </w:p>
    <w:p w14:paraId="14F3BBE2">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（7）《浙江省建设工程施工费用定额》（2018版）；</w:t>
      </w:r>
    </w:p>
    <w:p w14:paraId="1F141DAC">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（8）《浙江省建筑安装材料基期价格》（2018版）；</w:t>
      </w:r>
    </w:p>
    <w:p w14:paraId="7D1A2A9E">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（9）《浙江省施工机械台班费用定额》（2018版）；</w:t>
      </w:r>
    </w:p>
    <w:p w14:paraId="4A219E6A">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（10）</w:t>
      </w:r>
      <w:r>
        <w:rPr>
          <w:rFonts w:hint="eastAsia" w:ascii="宋体" w:hAnsi="宋体"/>
          <w:color w:val="auto"/>
          <w:sz w:val="22"/>
          <w:szCs w:val="22"/>
          <w:highlight w:val="none"/>
          <w:u w:val="single"/>
        </w:rPr>
        <w:t>执行温州市住建委《转发关于浙江省建设工程计价依据（2018版）的通知》温住建发【2018】299号</w:t>
      </w:r>
    </w:p>
    <w:p w14:paraId="5BED0FDF">
      <w:pPr>
        <w:spacing w:line="440" w:lineRule="exact"/>
        <w:ind w:left="539" w:hanging="539" w:hangingChars="245"/>
        <w:rPr>
          <w:rFonts w:ascii="宋体" w:hAnsi="宋体"/>
          <w:color w:val="auto"/>
          <w:sz w:val="22"/>
          <w:szCs w:val="22"/>
          <w:highlight w:val="none"/>
          <w:u w:val="single"/>
        </w:rPr>
      </w:pPr>
      <w:r>
        <w:rPr>
          <w:rFonts w:hint="eastAsia" w:ascii="宋体" w:hAnsi="宋体"/>
          <w:color w:val="auto"/>
          <w:sz w:val="22"/>
          <w:szCs w:val="22"/>
          <w:highlight w:val="none"/>
        </w:rPr>
        <w:t>（11）</w:t>
      </w:r>
      <w:r>
        <w:rPr>
          <w:rFonts w:hint="eastAsia" w:ascii="宋体" w:hAnsi="宋体"/>
          <w:color w:val="auto"/>
          <w:sz w:val="22"/>
          <w:szCs w:val="22"/>
          <w:highlight w:val="none"/>
          <w:u w:val="single"/>
        </w:rPr>
        <w:t>执行浙江省住房和城乡建设厅《关于颁发浙江省建设工程计价依据（2018版）的通知》浙建建【2018】61号</w:t>
      </w:r>
    </w:p>
    <w:p w14:paraId="2CE6B72D">
      <w:pPr>
        <w:spacing w:line="440" w:lineRule="exact"/>
        <w:rPr>
          <w:rFonts w:ascii="宋体" w:hAnsi="宋体"/>
          <w:color w:val="auto"/>
          <w:sz w:val="22"/>
          <w:szCs w:val="22"/>
          <w:highlight w:val="none"/>
        </w:rPr>
      </w:pPr>
      <w:r>
        <w:rPr>
          <w:rFonts w:hint="eastAsia" w:ascii="宋体" w:hAnsi="宋体"/>
          <w:color w:val="auto"/>
          <w:sz w:val="22"/>
          <w:szCs w:val="22"/>
          <w:highlight w:val="none"/>
        </w:rPr>
        <w:t>(12)</w:t>
      </w:r>
      <w:r>
        <w:rPr>
          <w:rFonts w:hint="eastAsia" w:ascii="宋体" w:hAnsi="宋体"/>
          <w:color w:val="auto"/>
          <w:sz w:val="22"/>
          <w:szCs w:val="22"/>
          <w:highlight w:val="none"/>
          <w:u w:val="single"/>
        </w:rPr>
        <w:t>执行浙江省住房和城乡建设厅省建设工程计价依据（2018版）的《建筑安装工程施工取费费率》</w:t>
      </w:r>
    </w:p>
    <w:p w14:paraId="21A36639">
      <w:pPr>
        <w:spacing w:line="440" w:lineRule="exact"/>
        <w:rPr>
          <w:rFonts w:ascii="宋体" w:hAnsi="宋体"/>
          <w:color w:val="auto"/>
          <w:sz w:val="22"/>
          <w:szCs w:val="22"/>
          <w:highlight w:val="none"/>
        </w:rPr>
      </w:pPr>
      <w:r>
        <w:rPr>
          <w:rFonts w:hint="eastAsia" w:ascii="宋体" w:hAnsi="宋体"/>
          <w:color w:val="auto"/>
          <w:sz w:val="22"/>
          <w:szCs w:val="22"/>
          <w:highlight w:val="none"/>
        </w:rPr>
        <w:t>(13)</w:t>
      </w:r>
      <w:r>
        <w:rPr>
          <w:rFonts w:hint="eastAsia" w:ascii="宋体" w:hAnsi="宋体"/>
          <w:color w:val="auto"/>
          <w:sz w:val="22"/>
          <w:szCs w:val="22"/>
          <w:highlight w:val="none"/>
          <w:u w:val="single"/>
        </w:rPr>
        <w:t>执行浙江省住房和城乡建设厅&lt;关于增值税调整后我省建设工程计价依据增值税税率及有关计价调整的通知&gt;浙建建发【2019】92号</w:t>
      </w:r>
    </w:p>
    <w:p w14:paraId="7AAD980B">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 xml:space="preserve">6.2  </w:t>
      </w:r>
      <w:r>
        <w:rPr>
          <w:rFonts w:hint="eastAsia" w:ascii="宋体" w:hAnsi="宋体"/>
          <w:b/>
          <w:color w:val="auto"/>
          <w:sz w:val="22"/>
          <w:szCs w:val="22"/>
          <w:highlight w:val="none"/>
          <w:u w:val="single"/>
        </w:rPr>
        <w:t>工程量清单报价采用综合单价法</w:t>
      </w:r>
      <w:r>
        <w:rPr>
          <w:rFonts w:hint="eastAsia" w:ascii="宋体" w:hAnsi="宋体"/>
          <w:color w:val="auto"/>
          <w:sz w:val="22"/>
          <w:szCs w:val="22"/>
          <w:highlight w:val="none"/>
        </w:rPr>
        <w:t>。招标采购单位向各磋商供应商提供统一的全套施工图纸、工程量清单、变更说明等各种技术资料，各磋商供应商应根据现行预算定额依据和企业内部经济测算，结合本工程实际情况和市场价格信息、管理技术水平，综合测定自由竞报磋商报价，同时提供主要材料及设备明细表所有内容。成交供应商的磋商报价将作为签订合同和办理竣工结算的有效依据之一。</w:t>
      </w:r>
    </w:p>
    <w:p w14:paraId="4499E43F">
      <w:pPr>
        <w:spacing w:line="440" w:lineRule="exact"/>
        <w:ind w:left="548" w:leftChars="261"/>
        <w:rPr>
          <w:rFonts w:hint="eastAsia" w:ascii="宋体" w:hAnsi="宋体"/>
          <w:color w:val="auto"/>
          <w:sz w:val="22"/>
          <w:szCs w:val="22"/>
          <w:highlight w:val="none"/>
        </w:rPr>
      </w:pPr>
      <w:r>
        <w:rPr>
          <w:rFonts w:hint="eastAsia" w:ascii="宋体" w:hAnsi="宋体"/>
          <w:color w:val="auto"/>
          <w:sz w:val="22"/>
          <w:szCs w:val="22"/>
          <w:highlight w:val="none"/>
        </w:rPr>
        <w:t>综合单价是指完成工程量中一个规定计量单位项目所需的人工费、材料费、机械使用费、企业管理费和利润，并考虑以上等所有风险因素。本工程量报价包括按照报价文件规定完成工程量所列的全部费用，包括分项工程费、措施项目费、其他项目费、规费、税金、民工工伤保险、危险作业意外伤害保险等全部费用。</w:t>
      </w:r>
    </w:p>
    <w:p w14:paraId="2E9B14FF">
      <w:pPr>
        <w:spacing w:line="400" w:lineRule="exact"/>
        <w:ind w:left="550" w:hanging="550" w:hangingChars="250"/>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6.3  按提供的工程量清单和报价格式的内容分项填写。磋商报价时每单项均需填写单价和合价，对磋商单位没有填写单价或合价的项目费用，应视为已包含或分配到工程量清单的其他单价或合价之中。</w:t>
      </w:r>
    </w:p>
    <w:p w14:paraId="3C35085B">
      <w:pPr>
        <w:spacing w:line="400" w:lineRule="exact"/>
        <w:rPr>
          <w:rFonts w:hint="eastAsia" w:ascii="新宋体" w:hAnsi="新宋体" w:eastAsia="新宋体"/>
          <w:b/>
          <w:color w:val="auto"/>
          <w:sz w:val="22"/>
          <w:szCs w:val="22"/>
          <w:highlight w:val="none"/>
        </w:rPr>
      </w:pPr>
      <w:r>
        <w:rPr>
          <w:rFonts w:hint="eastAsia" w:ascii="新宋体" w:hAnsi="新宋体" w:eastAsia="新宋体"/>
          <w:b/>
          <w:color w:val="auto"/>
          <w:sz w:val="22"/>
          <w:szCs w:val="22"/>
          <w:highlight w:val="none"/>
        </w:rPr>
        <w:t>6.4 ▲</w:t>
      </w:r>
      <w:r>
        <w:rPr>
          <w:rFonts w:hint="eastAsia" w:ascii="新宋体" w:hAnsi="新宋体" w:eastAsia="新宋体"/>
          <w:b/>
          <w:color w:val="auto"/>
          <w:sz w:val="22"/>
          <w:szCs w:val="22"/>
          <w:highlight w:val="none"/>
          <w:u w:val="single"/>
        </w:rPr>
        <w:t>磋商供应商不得采用总价让利或百分比让利等办法进行磋商报价，否则磋商将被否决</w:t>
      </w:r>
      <w:r>
        <w:rPr>
          <w:rFonts w:hint="eastAsia" w:ascii="新宋体" w:hAnsi="新宋体" w:eastAsia="新宋体"/>
          <w:b/>
          <w:color w:val="auto"/>
          <w:sz w:val="22"/>
          <w:szCs w:val="22"/>
          <w:highlight w:val="none"/>
        </w:rPr>
        <w:t>。</w:t>
      </w:r>
    </w:p>
    <w:p w14:paraId="5B357146">
      <w:pPr>
        <w:spacing w:line="400" w:lineRule="exact"/>
        <w:rPr>
          <w:rFonts w:hint="eastAsia" w:ascii="新宋体" w:hAnsi="新宋体" w:eastAsia="新宋体"/>
          <w:b/>
          <w:bCs/>
          <w:color w:val="auto"/>
          <w:sz w:val="22"/>
          <w:szCs w:val="22"/>
          <w:highlight w:val="none"/>
        </w:rPr>
      </w:pPr>
      <w:r>
        <w:rPr>
          <w:rFonts w:hint="eastAsia" w:ascii="新宋体" w:hAnsi="新宋体" w:eastAsia="新宋体"/>
          <w:b/>
          <w:bCs/>
          <w:color w:val="auto"/>
          <w:sz w:val="22"/>
          <w:szCs w:val="22"/>
          <w:highlight w:val="none"/>
        </w:rPr>
        <w:t>6.5  分部分项工程量清单报价的要求</w:t>
      </w:r>
    </w:p>
    <w:p w14:paraId="768E5EF3">
      <w:pPr>
        <w:spacing w:line="400" w:lineRule="exact"/>
        <w:ind w:left="550" w:hanging="550" w:hangingChars="250"/>
        <w:rPr>
          <w:rFonts w:hint="eastAsia" w:ascii="新宋体" w:hAnsi="新宋体" w:eastAsia="新宋体"/>
          <w:color w:val="auto"/>
          <w:sz w:val="22"/>
          <w:szCs w:val="22"/>
          <w:highlight w:val="none"/>
        </w:rPr>
      </w:pPr>
      <w:r>
        <w:rPr>
          <w:rFonts w:hint="eastAsia" w:ascii="新宋体" w:hAnsi="新宋体" w:eastAsia="新宋体"/>
          <w:bCs/>
          <w:color w:val="auto"/>
          <w:sz w:val="22"/>
          <w:szCs w:val="22"/>
          <w:highlight w:val="none"/>
        </w:rPr>
        <w:t>6.5.1</w:t>
      </w:r>
      <w:r>
        <w:rPr>
          <w:rFonts w:hint="eastAsia" w:ascii="新宋体" w:hAnsi="新宋体" w:eastAsia="新宋体"/>
          <w:color w:val="auto"/>
          <w:sz w:val="22"/>
          <w:szCs w:val="22"/>
          <w:highlight w:val="none"/>
        </w:rPr>
        <w:t>分部分项工程量清单报价时，相关表格中序号、项目编码、项目名称、计量单位和工程数量应按“分部分项工程量清单”中的相应内容填写。</w:t>
      </w:r>
    </w:p>
    <w:p w14:paraId="0B543679">
      <w:pPr>
        <w:spacing w:line="400" w:lineRule="exact"/>
        <w:ind w:left="550" w:hanging="550" w:hangingChars="250"/>
        <w:rPr>
          <w:rFonts w:hint="eastAsia" w:ascii="新宋体" w:hAnsi="新宋体" w:eastAsia="新宋体"/>
          <w:color w:val="auto"/>
          <w:sz w:val="22"/>
          <w:szCs w:val="22"/>
          <w:highlight w:val="none"/>
        </w:rPr>
      </w:pPr>
      <w:r>
        <w:rPr>
          <w:rFonts w:hint="eastAsia" w:ascii="新宋体" w:hAnsi="新宋体" w:eastAsia="新宋体"/>
          <w:bCs/>
          <w:color w:val="auto"/>
          <w:sz w:val="22"/>
          <w:szCs w:val="22"/>
          <w:highlight w:val="none"/>
        </w:rPr>
        <w:t>6.5.2</w:t>
      </w:r>
      <w:r>
        <w:rPr>
          <w:rFonts w:hint="eastAsia" w:ascii="新宋体" w:hAnsi="新宋体" w:eastAsia="新宋体"/>
          <w:color w:val="auto"/>
          <w:sz w:val="22"/>
          <w:szCs w:val="22"/>
          <w:highlight w:val="none"/>
        </w:rPr>
        <w:t>磋商供应商在分部分项工程量清单计价时，应按照磋商文件的要求，根据工程特点并结合市场行情及磋商供应商企业状况，考虑以上各项等所有可能发生的风险费用，自主报价。</w:t>
      </w:r>
    </w:p>
    <w:p w14:paraId="5ED1BED3">
      <w:pPr>
        <w:spacing w:line="400" w:lineRule="exact"/>
        <w:ind w:left="663" w:hanging="663" w:hangingChars="300"/>
        <w:rPr>
          <w:rFonts w:hint="eastAsia" w:ascii="新宋体" w:hAnsi="新宋体" w:eastAsia="新宋体"/>
          <w:color w:val="auto"/>
          <w:sz w:val="22"/>
          <w:szCs w:val="22"/>
          <w:highlight w:val="none"/>
        </w:rPr>
      </w:pPr>
      <w:r>
        <w:rPr>
          <w:rFonts w:hint="eastAsia" w:ascii="新宋体" w:hAnsi="新宋体" w:eastAsia="新宋体"/>
          <w:b/>
          <w:color w:val="auto"/>
          <w:sz w:val="22"/>
          <w:szCs w:val="22"/>
          <w:highlight w:val="none"/>
        </w:rPr>
        <w:t>6.6  措施项目</w:t>
      </w:r>
      <w:r>
        <w:rPr>
          <w:rFonts w:hint="eastAsia" w:ascii="新宋体" w:hAnsi="新宋体" w:eastAsia="新宋体"/>
          <w:b/>
          <w:bCs/>
          <w:color w:val="auto"/>
          <w:sz w:val="22"/>
          <w:szCs w:val="22"/>
          <w:highlight w:val="none"/>
        </w:rPr>
        <w:t>清单报价的要求</w:t>
      </w:r>
      <w:r>
        <w:rPr>
          <w:rFonts w:hint="eastAsia" w:ascii="新宋体" w:hAnsi="新宋体" w:eastAsia="新宋体"/>
          <w:color w:val="auto"/>
          <w:sz w:val="22"/>
          <w:szCs w:val="22"/>
          <w:highlight w:val="none"/>
        </w:rPr>
        <w:t>：</w:t>
      </w:r>
    </w:p>
    <w:p w14:paraId="51E7C47A">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（一）施工技术措施费：</w:t>
      </w:r>
    </w:p>
    <w:p w14:paraId="46C393F6">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（1）工程垂直运输费：是指本工程在报价工期内完成全部工作所需的垂直运输机械台班费用。磋商供应商可根据本工程实际情况和施工方案自行测算报价，该费用一次性包干，今后不予调整。</w:t>
      </w:r>
    </w:p>
    <w:p w14:paraId="60784BAF">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（2）脚手架费：是指完成本工程所可能发生的脚手架搭拆费用，各磋商供应商可根据工程实际情况自行报价，该费用一次性包干，今后不予调整。</w:t>
      </w:r>
    </w:p>
    <w:p w14:paraId="0D3309D7">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（3）其他施工技术措施费：是指磋商供应商根据本工程各专业、温州市及工程特点补充的技术措施费用项目。磋商供应商可根据本工程实际情况和施工方案自行测算报价，该费用一次性包干，今后不予调整。</w:t>
      </w:r>
    </w:p>
    <w:p w14:paraId="153FA654">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（二）施工组织措施费</w:t>
      </w:r>
    </w:p>
    <w:p w14:paraId="5245F00D">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（1）安全文明施工费：安全文明施工费包括建设工程安全施工费、文明施工费、环境保护费、临时设施费等。安全生产费用实行资金单列到位、专户管理、专款专用，为不可竞争的费用，计入总造价。</w:t>
      </w:r>
    </w:p>
    <w:p w14:paraId="270D7DB9">
      <w:pPr>
        <w:spacing w:line="440" w:lineRule="exact"/>
        <w:ind w:left="550" w:hanging="550" w:hangingChars="250"/>
        <w:jc w:val="left"/>
        <w:rPr>
          <w:rFonts w:hint="eastAsia" w:ascii="宋体" w:hAnsi="宋体"/>
          <w:color w:val="auto"/>
          <w:sz w:val="22"/>
          <w:szCs w:val="22"/>
          <w:highlight w:val="none"/>
        </w:rPr>
      </w:pPr>
      <w:r>
        <w:rPr>
          <w:rFonts w:hint="eastAsia" w:ascii="宋体" w:hAnsi="宋体"/>
          <w:color w:val="auto"/>
          <w:sz w:val="22"/>
          <w:szCs w:val="22"/>
          <w:highlight w:val="none"/>
        </w:rPr>
        <w:t>（2）提前竣工增加费：是指因缩短工期要求发生的施工增加费，包括赶工所需发生的夜间施工增加费、周转材料加大投入量和资金、劳动力集中投入等所增加的费用等。</w:t>
      </w:r>
    </w:p>
    <w:p w14:paraId="68105424">
      <w:pPr>
        <w:spacing w:line="440" w:lineRule="exact"/>
        <w:ind w:left="550" w:hanging="550" w:hangingChars="250"/>
        <w:jc w:val="left"/>
        <w:rPr>
          <w:rFonts w:hint="eastAsia" w:ascii="宋体" w:hAnsi="宋体"/>
          <w:color w:val="auto"/>
          <w:sz w:val="22"/>
          <w:szCs w:val="22"/>
          <w:highlight w:val="none"/>
        </w:rPr>
      </w:pPr>
      <w:r>
        <w:rPr>
          <w:rFonts w:hint="eastAsia" w:ascii="宋体" w:hAnsi="宋体"/>
          <w:color w:val="auto"/>
          <w:sz w:val="22"/>
          <w:szCs w:val="22"/>
          <w:highlight w:val="none"/>
        </w:rPr>
        <w:t>（3）二次搬运费：是指因施工场地条件限制而发生的材料、构配件、半成品等一次运输不能到达堆放地点，必须进行二次或多次搬运所发生的费用。该费用一次性包干，今后不予调整。</w:t>
      </w:r>
    </w:p>
    <w:p w14:paraId="15A22EFE">
      <w:pPr>
        <w:spacing w:line="440" w:lineRule="exact"/>
        <w:ind w:left="550" w:hanging="550" w:hangingChars="250"/>
        <w:jc w:val="left"/>
        <w:rPr>
          <w:rFonts w:hint="eastAsia" w:ascii="宋体" w:hAnsi="宋体"/>
          <w:color w:val="auto"/>
          <w:sz w:val="22"/>
          <w:szCs w:val="22"/>
          <w:highlight w:val="none"/>
        </w:rPr>
      </w:pPr>
      <w:r>
        <w:rPr>
          <w:rFonts w:hint="eastAsia" w:ascii="宋体" w:hAnsi="宋体"/>
          <w:color w:val="auto"/>
          <w:sz w:val="22"/>
          <w:szCs w:val="22"/>
          <w:highlight w:val="none"/>
        </w:rPr>
        <w:t>（4）冬雨季施工增加费：是指在冬季或雨季施工需增加的临时设施、防滑、排除雨雪，人工及施工机械效率降低等费用。该费用一次性包干，今后不予调整。</w:t>
      </w:r>
    </w:p>
    <w:p w14:paraId="0FDD1881">
      <w:pPr>
        <w:spacing w:line="440" w:lineRule="exact"/>
        <w:ind w:left="550" w:hanging="550" w:hangingChars="250"/>
        <w:jc w:val="left"/>
        <w:rPr>
          <w:rFonts w:hint="eastAsia" w:ascii="宋体" w:hAnsi="宋体"/>
          <w:color w:val="auto"/>
          <w:sz w:val="22"/>
          <w:szCs w:val="22"/>
          <w:highlight w:val="none"/>
        </w:rPr>
      </w:pPr>
      <w:r>
        <w:rPr>
          <w:rFonts w:hint="eastAsia" w:ascii="宋体" w:hAnsi="宋体"/>
          <w:color w:val="auto"/>
          <w:sz w:val="22"/>
          <w:szCs w:val="22"/>
          <w:highlight w:val="none"/>
        </w:rPr>
        <w:t>（5）行车、行人干扰增加费：是指边施工边维持人与车辆通行的市政、城市轨道交通、园林绿化等市政基础设施工程及相应养护维修工程受行车、行人干扰影响而降低工效等所增加的费用。</w:t>
      </w:r>
    </w:p>
    <w:p w14:paraId="15ED1E3A">
      <w:pPr>
        <w:spacing w:line="440" w:lineRule="exact"/>
        <w:jc w:val="left"/>
        <w:rPr>
          <w:rFonts w:hint="eastAsia" w:ascii="宋体" w:hAnsi="宋体"/>
          <w:color w:val="auto"/>
          <w:sz w:val="22"/>
          <w:szCs w:val="22"/>
          <w:highlight w:val="none"/>
        </w:rPr>
      </w:pPr>
      <w:r>
        <w:rPr>
          <w:rFonts w:hint="eastAsia" w:ascii="宋体" w:hAnsi="宋体"/>
          <w:color w:val="auto"/>
          <w:sz w:val="22"/>
          <w:szCs w:val="22"/>
          <w:highlight w:val="none"/>
        </w:rPr>
        <w:t>（6）其他施工组织措施费：是指根据各专业工程特点补充的施工组织措施项目的费用。</w:t>
      </w:r>
    </w:p>
    <w:p w14:paraId="4EBB6698">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 xml:space="preserve"> （三）其他措施费</w:t>
      </w:r>
    </w:p>
    <w:p w14:paraId="42EB0432">
      <w:pPr>
        <w:spacing w:line="440" w:lineRule="exact"/>
        <w:ind w:left="548" w:leftChars="104" w:hanging="330" w:hangingChars="150"/>
        <w:rPr>
          <w:rFonts w:hint="eastAsia" w:ascii="宋体" w:hAnsi="宋体"/>
          <w:color w:val="auto"/>
          <w:sz w:val="22"/>
          <w:szCs w:val="22"/>
          <w:highlight w:val="none"/>
        </w:rPr>
      </w:pPr>
      <w:r>
        <w:rPr>
          <w:rFonts w:hint="eastAsia" w:ascii="宋体" w:hAnsi="宋体"/>
          <w:color w:val="auto"/>
          <w:sz w:val="22"/>
          <w:szCs w:val="22"/>
          <w:highlight w:val="none"/>
        </w:rPr>
        <w:t>（1）其他施工组织措施费:是指磋商供应商根据本工程各专业、温州地区及工程特点补充的施工措施费用项目。磋商供应商可根据本工程现场实际情况和施工方案自行测算报价，该费用一次性包干，今后不予调整。</w:t>
      </w:r>
    </w:p>
    <w:p w14:paraId="55EEEAC3">
      <w:pPr>
        <w:tabs>
          <w:tab w:val="left" w:pos="720"/>
        </w:tabs>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A、  现场原有建筑物拆除及垃圾清运费：磋商供应商现场踏勘后，根据施工现场实际情况以及可能存在的风险，计算满足施工场地要求所需的施工场地清理及原有建筑物拆除及垃圾清运费、消纳，该费用一次性包干，今后不予调整。</w:t>
      </w:r>
    </w:p>
    <w:p w14:paraId="46E5334C">
      <w:pPr>
        <w:tabs>
          <w:tab w:val="left" w:pos="720"/>
        </w:tabs>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B、  本工程三通一平工作已完成，施工用水电已接入施工现场，但磋商单位需安装施工用水、用电专用总表及用于其他配套工程的分水、电表及线路等以供自身和其他配套工程单位施工所需，磋商单位可测算相应所需费用计入措施费用中，该费用一次性包干，今后不予调整。</w:t>
      </w:r>
    </w:p>
    <w:p w14:paraId="6ACAF77C">
      <w:pPr>
        <w:tabs>
          <w:tab w:val="left" w:pos="720"/>
        </w:tabs>
        <w:spacing w:line="440" w:lineRule="exact"/>
        <w:ind w:left="550" w:hanging="550" w:hangingChars="250"/>
        <w:rPr>
          <w:rFonts w:ascii="宋体" w:hAnsi="宋体"/>
          <w:color w:val="auto"/>
          <w:sz w:val="22"/>
          <w:szCs w:val="22"/>
          <w:highlight w:val="none"/>
        </w:rPr>
      </w:pPr>
      <w:r>
        <w:rPr>
          <w:rFonts w:hint="eastAsia" w:ascii="宋体" w:hAnsi="宋体"/>
          <w:color w:val="auto"/>
          <w:sz w:val="22"/>
          <w:szCs w:val="22"/>
          <w:highlight w:val="none"/>
        </w:rPr>
        <w:t>C、  施工期间，磋商单位每天施工完毕后，均须保证材料运输通道的畅通干净，工程施工完毕后，场地垃圾清运及清洗费用，由磋商供应商自行考虑，计入该报价，该费用一次性包干，今后不予调整。</w:t>
      </w:r>
    </w:p>
    <w:p w14:paraId="4A8B044C">
      <w:pPr>
        <w:tabs>
          <w:tab w:val="left" w:pos="720"/>
        </w:tabs>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 xml:space="preserve">D、 </w:t>
      </w:r>
      <w:r>
        <w:rPr>
          <w:rFonts w:ascii="宋体" w:hAnsi="宋体"/>
          <w:color w:val="auto"/>
          <w:sz w:val="22"/>
          <w:szCs w:val="22"/>
          <w:highlight w:val="none"/>
        </w:rPr>
        <w:t xml:space="preserve"> 施工中对地面保护</w:t>
      </w:r>
      <w:r>
        <w:rPr>
          <w:rFonts w:hint="eastAsia" w:ascii="宋体" w:hAnsi="宋体"/>
          <w:color w:val="auto"/>
          <w:sz w:val="22"/>
          <w:szCs w:val="22"/>
          <w:highlight w:val="none"/>
        </w:rPr>
        <w:t>、</w:t>
      </w:r>
      <w:r>
        <w:rPr>
          <w:rFonts w:ascii="宋体" w:hAnsi="宋体"/>
          <w:color w:val="auto"/>
          <w:sz w:val="22"/>
          <w:szCs w:val="22"/>
          <w:highlight w:val="none"/>
        </w:rPr>
        <w:t>窗户及周边设施保护等费用由磋商供应商自行测算报价</w:t>
      </w:r>
      <w:r>
        <w:rPr>
          <w:rFonts w:hint="eastAsia" w:ascii="宋体" w:hAnsi="宋体"/>
          <w:color w:val="auto"/>
          <w:sz w:val="22"/>
          <w:szCs w:val="22"/>
          <w:highlight w:val="none"/>
        </w:rPr>
        <w:t>，</w:t>
      </w:r>
      <w:r>
        <w:rPr>
          <w:rFonts w:ascii="宋体" w:hAnsi="宋体"/>
          <w:color w:val="auto"/>
          <w:sz w:val="22"/>
          <w:szCs w:val="22"/>
          <w:highlight w:val="none"/>
        </w:rPr>
        <w:t>今后不予调整</w:t>
      </w:r>
      <w:r>
        <w:rPr>
          <w:rFonts w:hint="eastAsia" w:ascii="宋体" w:hAnsi="宋体"/>
          <w:color w:val="auto"/>
          <w:sz w:val="22"/>
          <w:szCs w:val="22"/>
          <w:highlight w:val="none"/>
        </w:rPr>
        <w:t>。</w:t>
      </w:r>
    </w:p>
    <w:p w14:paraId="1BD6BC76">
      <w:pPr>
        <w:spacing w:line="440" w:lineRule="exact"/>
        <w:ind w:left="550" w:leftChars="262"/>
        <w:rPr>
          <w:rFonts w:hint="eastAsia" w:ascii="宋体" w:hAnsi="宋体"/>
          <w:color w:val="auto"/>
          <w:sz w:val="22"/>
          <w:szCs w:val="22"/>
          <w:highlight w:val="none"/>
        </w:rPr>
      </w:pPr>
      <w:r>
        <w:rPr>
          <w:rFonts w:hint="eastAsia" w:ascii="宋体" w:hAnsi="宋体"/>
          <w:color w:val="auto"/>
          <w:sz w:val="22"/>
          <w:szCs w:val="22"/>
          <w:highlight w:val="none"/>
        </w:rPr>
        <w:t>措施项目报价时有关表格中的序号、项目名称应按“措施项目”中的相应内容填写。磋商供应商可根据自己编制的施工组织设计，增加措施项目，但不得删除不发生的措施项目。磋商供应商增加的措施项目，应填写在相应的措施项目之后，并在“措施项目计价表”序号栏中以“增╳╳”示之，“╳╳为增加的措施序号，自01起顺序编制。</w:t>
      </w:r>
    </w:p>
    <w:p w14:paraId="22541F90">
      <w:pPr>
        <w:spacing w:line="440" w:lineRule="exact"/>
        <w:ind w:left="550" w:leftChars="262"/>
        <w:rPr>
          <w:rFonts w:hint="eastAsia" w:ascii="宋体" w:hAnsi="宋体"/>
          <w:color w:val="auto"/>
          <w:sz w:val="22"/>
          <w:szCs w:val="22"/>
          <w:highlight w:val="none"/>
        </w:rPr>
      </w:pPr>
      <w:r>
        <w:rPr>
          <w:rFonts w:hint="eastAsia" w:ascii="宋体" w:hAnsi="宋体"/>
          <w:color w:val="auto"/>
          <w:sz w:val="22"/>
          <w:szCs w:val="22"/>
          <w:highlight w:val="none"/>
        </w:rPr>
        <w:t>措施项目计价时，对于不发生的措施项目，金额一律以“</w:t>
      </w:r>
      <w:r>
        <w:rPr>
          <w:rFonts w:hint="eastAsia" w:ascii="宋体" w:hAnsi="宋体"/>
          <w:b/>
          <w:color w:val="auto"/>
          <w:sz w:val="22"/>
          <w:szCs w:val="22"/>
          <w:highlight w:val="none"/>
        </w:rPr>
        <w:t>0</w:t>
      </w:r>
      <w:r>
        <w:rPr>
          <w:rFonts w:hint="eastAsia" w:ascii="宋体" w:hAnsi="宋体"/>
          <w:color w:val="auto"/>
          <w:sz w:val="22"/>
          <w:szCs w:val="22"/>
          <w:highlight w:val="none"/>
        </w:rPr>
        <w:t>”计价。除以上提到的费用外，磋商供应商认为有必要，或者使用了不同的施工方案，其他措施费用中磋商供应商可以自行增加或减少，如磋商供应商不增加其他费用，则采购人认为报价已综合考虑了为完成本工程所需的全部费用。在报价表中，承包人必须单独列项，如没有此项费用，金额一律以“</w:t>
      </w:r>
      <w:r>
        <w:rPr>
          <w:rFonts w:hint="eastAsia" w:ascii="宋体" w:hAnsi="宋体"/>
          <w:b/>
          <w:color w:val="auto"/>
          <w:sz w:val="22"/>
          <w:szCs w:val="22"/>
          <w:highlight w:val="none"/>
        </w:rPr>
        <w:t>0</w:t>
      </w:r>
      <w:r>
        <w:rPr>
          <w:rFonts w:hint="eastAsia" w:ascii="宋体" w:hAnsi="宋体"/>
          <w:color w:val="auto"/>
          <w:sz w:val="22"/>
          <w:szCs w:val="22"/>
          <w:highlight w:val="none"/>
        </w:rPr>
        <w:t>”计价。</w:t>
      </w:r>
    </w:p>
    <w:p w14:paraId="439BCA9B">
      <w:pPr>
        <w:spacing w:line="440" w:lineRule="exact"/>
        <w:ind w:left="548" w:leftChars="261"/>
        <w:rPr>
          <w:rFonts w:hint="eastAsia" w:ascii="宋体" w:hAnsi="宋体"/>
          <w:color w:val="auto"/>
          <w:sz w:val="22"/>
          <w:szCs w:val="22"/>
          <w:highlight w:val="none"/>
        </w:rPr>
      </w:pPr>
      <w:r>
        <w:rPr>
          <w:rFonts w:hint="eastAsia" w:ascii="宋体" w:hAnsi="宋体"/>
          <w:color w:val="auto"/>
          <w:sz w:val="22"/>
          <w:szCs w:val="22"/>
          <w:highlight w:val="none"/>
        </w:rPr>
        <w:t>各磋商供应商应考虑在施工期间措施费用范围内可能变动的因素，各自估计风险计入报价，今后不论费用如何变动，成交造价均不再调整。</w:t>
      </w:r>
    </w:p>
    <w:p w14:paraId="137008E8">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6.7  其他项目费（清单）是为完成工程项目施工发生于建设工程施工前的施工预备和施工过程中的配合服务、完成零星项目等的费用，包括暂列金额、暂估价、计日工、总承包服务费等，其他项目费应按规定计价。</w:t>
      </w:r>
    </w:p>
    <w:p w14:paraId="5CF37B5F">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6.8  本项目的建筑装修装饰工程规费费率、安装工程规费费率为不可竞争费用，各磋商供应商应按规定填写；若磋商供应商没有填报，则认为装饰工程、安装工程规费已包括在综合单价内，并按规定将建筑装饰工程规费及安装工程规费从报价中扣除。</w:t>
      </w:r>
    </w:p>
    <w:p w14:paraId="5CA139A2">
      <w:pPr>
        <w:spacing w:line="440" w:lineRule="exact"/>
        <w:ind w:left="440" w:hanging="440" w:hangingChars="200"/>
        <w:rPr>
          <w:rFonts w:hint="eastAsia" w:ascii="宋体" w:hAnsi="宋体"/>
          <w:color w:val="auto"/>
          <w:sz w:val="22"/>
          <w:szCs w:val="22"/>
          <w:highlight w:val="none"/>
        </w:rPr>
      </w:pPr>
      <w:r>
        <w:rPr>
          <w:rFonts w:hint="eastAsia" w:ascii="宋体" w:hAnsi="宋体"/>
          <w:color w:val="auto"/>
          <w:sz w:val="22"/>
          <w:szCs w:val="22"/>
          <w:highlight w:val="none"/>
        </w:rPr>
        <w:t>6.9 本工程的税金为不可竞争费用，磋商供应商应按规定填写税金；若磋商供应商没有填报税金，则认为税金已包括在综合单价内，并按规定将税金从报价中扣除。</w:t>
      </w:r>
    </w:p>
    <w:p w14:paraId="51F5B3A5">
      <w:pPr>
        <w:widowControl/>
        <w:spacing w:line="440" w:lineRule="exact"/>
        <w:rPr>
          <w:rFonts w:hint="eastAsia" w:ascii="宋体" w:hAnsi="宋体"/>
          <w:b/>
          <w:color w:val="auto"/>
          <w:sz w:val="22"/>
          <w:szCs w:val="22"/>
          <w:highlight w:val="none"/>
        </w:rPr>
      </w:pPr>
      <w:r>
        <w:rPr>
          <w:rFonts w:hint="eastAsia" w:ascii="宋体" w:hAnsi="宋体"/>
          <w:b/>
          <w:color w:val="auto"/>
          <w:sz w:val="22"/>
          <w:szCs w:val="22"/>
          <w:highlight w:val="none"/>
        </w:rPr>
        <w:t>6.1</w:t>
      </w:r>
      <w:r>
        <w:rPr>
          <w:rFonts w:hint="eastAsia" w:ascii="宋体" w:hAnsi="宋体"/>
          <w:b/>
          <w:color w:val="auto"/>
          <w:sz w:val="22"/>
          <w:szCs w:val="22"/>
          <w:highlight w:val="none"/>
          <w:lang w:val="en-US" w:eastAsia="zh-CN"/>
        </w:rPr>
        <w:t>0</w:t>
      </w:r>
      <w:r>
        <w:rPr>
          <w:rFonts w:hint="eastAsia" w:ascii="宋体" w:hAnsi="宋体"/>
          <w:b/>
          <w:color w:val="auto"/>
          <w:sz w:val="22"/>
          <w:szCs w:val="22"/>
          <w:highlight w:val="none"/>
        </w:rPr>
        <w:t>合同价的调整</w:t>
      </w:r>
    </w:p>
    <w:p w14:paraId="1DC46A59">
      <w:pPr>
        <w:snapToGrid w:val="0"/>
        <w:spacing w:line="440" w:lineRule="exact"/>
        <w:ind w:firstLine="550" w:firstLineChars="250"/>
        <w:rPr>
          <w:rFonts w:hint="eastAsia" w:ascii="宋体" w:hAnsi="宋体"/>
          <w:bCs/>
          <w:color w:val="auto"/>
          <w:sz w:val="22"/>
          <w:szCs w:val="22"/>
          <w:highlight w:val="none"/>
        </w:rPr>
      </w:pPr>
      <w:r>
        <w:rPr>
          <w:rFonts w:hint="eastAsia" w:ascii="宋体" w:hAnsi="宋体"/>
          <w:bCs/>
          <w:color w:val="auto"/>
          <w:sz w:val="22"/>
          <w:szCs w:val="22"/>
          <w:highlight w:val="none"/>
        </w:rPr>
        <w:t>本工程合同价格调整按以下内容进行调整，其他将不再进行调整，按报价时的报价执行：</w:t>
      </w:r>
    </w:p>
    <w:p w14:paraId="73631155">
      <w:pPr>
        <w:snapToGrid w:val="0"/>
        <w:spacing w:line="440" w:lineRule="exact"/>
        <w:ind w:left="541" w:hanging="541" w:hangingChars="245"/>
        <w:rPr>
          <w:rFonts w:hint="eastAsia" w:ascii="宋体" w:hAnsi="宋体"/>
          <w:color w:val="auto"/>
          <w:sz w:val="22"/>
          <w:szCs w:val="22"/>
          <w:highlight w:val="none"/>
        </w:rPr>
      </w:pPr>
      <w:r>
        <w:rPr>
          <w:rFonts w:hint="eastAsia" w:ascii="宋体" w:hAnsi="宋体"/>
          <w:b/>
          <w:color w:val="auto"/>
          <w:sz w:val="22"/>
          <w:szCs w:val="22"/>
          <w:highlight w:val="none"/>
        </w:rPr>
        <w:t>6.1</w:t>
      </w:r>
      <w:r>
        <w:rPr>
          <w:rFonts w:hint="eastAsia" w:ascii="宋体" w:hAnsi="宋体"/>
          <w:b/>
          <w:color w:val="auto"/>
          <w:sz w:val="22"/>
          <w:szCs w:val="22"/>
          <w:highlight w:val="none"/>
          <w:lang w:val="en-US" w:eastAsia="zh-CN"/>
        </w:rPr>
        <w:t>0</w:t>
      </w:r>
      <w:r>
        <w:rPr>
          <w:rFonts w:hint="eastAsia" w:ascii="宋体" w:hAnsi="宋体"/>
          <w:b/>
          <w:color w:val="auto"/>
          <w:sz w:val="22"/>
          <w:szCs w:val="22"/>
          <w:highlight w:val="none"/>
        </w:rPr>
        <w:t>.1工程量误差的调整：</w:t>
      </w:r>
      <w:r>
        <w:rPr>
          <w:rFonts w:hint="eastAsia" w:ascii="宋体" w:hAnsi="宋体"/>
          <w:color w:val="auto"/>
          <w:sz w:val="22"/>
          <w:szCs w:val="22"/>
          <w:highlight w:val="none"/>
        </w:rPr>
        <w:t>本工程报价前，磋商供应商不得对采购人统一提供清单中的项目或数量进行改动。确定成交候选供应商后，第一成交候选供应商应根据《建设工程工程量清单计价规范》（GB50500-2013）中的工程量计算规则及《浙江省建设工程工程量清单计价指引》中的有关规定，按照采购人提供的施工图和相关资料，对采购人提供清单中的工程量进行核对。若有工程量误差，</w:t>
      </w:r>
      <w:r>
        <w:rPr>
          <w:rFonts w:hint="eastAsia" w:ascii="宋体" w:hAnsi="宋体"/>
          <w:color w:val="auto"/>
          <w:sz w:val="22"/>
          <w:szCs w:val="22"/>
          <w:highlight w:val="none"/>
          <w:u w:val="single"/>
        </w:rPr>
        <w:t>单项工程量差异绝对值≥</w:t>
      </w:r>
      <w:r>
        <w:rPr>
          <w:rFonts w:hint="eastAsia" w:ascii="宋体" w:hAnsi="宋体"/>
          <w:b/>
          <w:bCs/>
          <w:color w:val="auto"/>
          <w:sz w:val="22"/>
          <w:szCs w:val="22"/>
          <w:highlight w:val="none"/>
          <w:u w:val="single"/>
        </w:rPr>
        <w:t>5</w:t>
      </w:r>
      <w:r>
        <w:rPr>
          <w:rFonts w:hint="eastAsia" w:ascii="宋体" w:hAnsi="宋体"/>
          <w:color w:val="auto"/>
          <w:sz w:val="22"/>
          <w:szCs w:val="22"/>
          <w:highlight w:val="none"/>
          <w:u w:val="single"/>
        </w:rPr>
        <w:t>%的且各差异部分工程造价之和的绝对值≥成交造价</w:t>
      </w:r>
      <w:r>
        <w:rPr>
          <w:rFonts w:hint="eastAsia" w:ascii="宋体" w:hAnsi="宋体"/>
          <w:b/>
          <w:bCs/>
          <w:color w:val="auto"/>
          <w:sz w:val="22"/>
          <w:szCs w:val="22"/>
          <w:highlight w:val="none"/>
          <w:u w:val="single"/>
        </w:rPr>
        <w:t>1</w:t>
      </w:r>
      <w:r>
        <w:rPr>
          <w:rFonts w:hint="eastAsia" w:ascii="宋体" w:hAnsi="宋体"/>
          <w:color w:val="auto"/>
          <w:sz w:val="22"/>
          <w:szCs w:val="22"/>
          <w:highlight w:val="none"/>
          <w:u w:val="single"/>
        </w:rPr>
        <w:t>％的，</w:t>
      </w:r>
      <w:r>
        <w:rPr>
          <w:rFonts w:hint="eastAsia" w:ascii="宋体" w:hAnsi="宋体"/>
          <w:color w:val="auto"/>
          <w:sz w:val="22"/>
          <w:szCs w:val="22"/>
          <w:highlight w:val="none"/>
        </w:rPr>
        <w:t>在报价后的</w:t>
      </w:r>
      <w:r>
        <w:rPr>
          <w:rFonts w:hint="eastAsia" w:ascii="宋体" w:hAnsi="宋体"/>
          <w:b/>
          <w:bCs/>
          <w:color w:val="auto"/>
          <w:sz w:val="22"/>
          <w:szCs w:val="22"/>
          <w:highlight w:val="none"/>
        </w:rPr>
        <w:t>30个</w:t>
      </w:r>
      <w:r>
        <w:rPr>
          <w:rFonts w:hint="eastAsia" w:ascii="宋体" w:hAnsi="宋体"/>
          <w:color w:val="auto"/>
          <w:sz w:val="22"/>
          <w:szCs w:val="22"/>
          <w:highlight w:val="none"/>
        </w:rPr>
        <w:t>工作日内必须一次性向采购人提出正式书面核对要求（即《工程量清单核对反馈表》），双方对工程量进行核对，按报价时的所报项目综合单价，进行项目工程量和合同造价的调整；经认定后的工程量将作为签订合同和办理结算的有效依据之一，并报温州市财政部门备案。</w:t>
      </w:r>
    </w:p>
    <w:p w14:paraId="7D298A57">
      <w:pPr>
        <w:snapToGrid w:val="0"/>
        <w:spacing w:line="440" w:lineRule="exact"/>
        <w:ind w:left="548" w:leftChars="261"/>
        <w:rPr>
          <w:rFonts w:hint="eastAsia" w:ascii="宋体" w:hAnsi="宋体"/>
          <w:color w:val="auto"/>
          <w:sz w:val="22"/>
          <w:szCs w:val="22"/>
          <w:highlight w:val="none"/>
          <w:u w:val="single"/>
        </w:rPr>
      </w:pPr>
      <w:r>
        <w:rPr>
          <w:rFonts w:hint="eastAsia" w:ascii="宋体" w:hAnsi="宋体"/>
          <w:color w:val="auto"/>
          <w:sz w:val="22"/>
          <w:szCs w:val="22"/>
          <w:highlight w:val="none"/>
          <w:u w:val="single"/>
        </w:rPr>
        <w:t>若成交供应商在规定时间内未提出核对要求，或核对理由不充分，或经双方复核后，项目工程量单项差异绝对值小于5%或各差异部分工程造价之和的绝对值小于成交造价</w:t>
      </w:r>
      <w:r>
        <w:rPr>
          <w:rFonts w:hint="eastAsia" w:ascii="宋体" w:hAnsi="宋体"/>
          <w:b/>
          <w:bCs/>
          <w:color w:val="auto"/>
          <w:sz w:val="22"/>
          <w:szCs w:val="22"/>
          <w:highlight w:val="none"/>
          <w:u w:val="single"/>
        </w:rPr>
        <w:t>1</w:t>
      </w:r>
      <w:r>
        <w:rPr>
          <w:rFonts w:hint="eastAsia" w:ascii="宋体" w:hAnsi="宋体"/>
          <w:color w:val="auto"/>
          <w:sz w:val="22"/>
          <w:szCs w:val="22"/>
          <w:highlight w:val="none"/>
          <w:u w:val="single"/>
        </w:rPr>
        <w:t>％，则工程合同价格将不作调整。</w:t>
      </w:r>
    </w:p>
    <w:p w14:paraId="676CD306">
      <w:pPr>
        <w:snapToGrid w:val="0"/>
        <w:spacing w:line="440" w:lineRule="exact"/>
        <w:rPr>
          <w:rFonts w:hint="eastAsia" w:ascii="宋体" w:hAnsi="宋体"/>
          <w:b/>
          <w:color w:val="auto"/>
          <w:sz w:val="22"/>
          <w:szCs w:val="22"/>
          <w:highlight w:val="none"/>
        </w:rPr>
      </w:pPr>
      <w:r>
        <w:rPr>
          <w:rFonts w:hint="eastAsia" w:ascii="宋体" w:hAnsi="宋体"/>
          <w:b/>
          <w:color w:val="auto"/>
          <w:sz w:val="22"/>
          <w:szCs w:val="22"/>
          <w:highlight w:val="none"/>
        </w:rPr>
        <w:t>6.1</w:t>
      </w:r>
      <w:r>
        <w:rPr>
          <w:rFonts w:hint="eastAsia" w:ascii="宋体" w:hAnsi="宋体"/>
          <w:b/>
          <w:color w:val="auto"/>
          <w:sz w:val="22"/>
          <w:szCs w:val="22"/>
          <w:highlight w:val="none"/>
          <w:lang w:val="en-US" w:eastAsia="zh-CN"/>
        </w:rPr>
        <w:t>0</w:t>
      </w:r>
      <w:r>
        <w:rPr>
          <w:rFonts w:hint="eastAsia" w:ascii="宋体" w:hAnsi="宋体"/>
          <w:b/>
          <w:color w:val="auto"/>
          <w:sz w:val="22"/>
          <w:szCs w:val="22"/>
          <w:highlight w:val="none"/>
        </w:rPr>
        <w:t>.2分部分项工程量项目综合单价的确定</w:t>
      </w:r>
    </w:p>
    <w:p w14:paraId="5F020472">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（1）本</w:t>
      </w:r>
      <w:r>
        <w:rPr>
          <w:rFonts w:hint="eastAsia" w:ascii="宋体" w:hAnsi="宋体"/>
          <w:bCs/>
          <w:color w:val="auto"/>
          <w:sz w:val="22"/>
          <w:szCs w:val="22"/>
          <w:highlight w:val="none"/>
        </w:rPr>
        <w:t>工程施工过程中由于设计变更引起新的工程量项目</w:t>
      </w:r>
      <w:r>
        <w:rPr>
          <w:rFonts w:hint="eastAsia" w:ascii="宋体" w:hAnsi="宋体"/>
          <w:color w:val="auto"/>
          <w:sz w:val="22"/>
          <w:szCs w:val="22"/>
          <w:highlight w:val="none"/>
        </w:rPr>
        <w:t>，或采购人提供的工程量项目有漏项，其相应综合单价的确定方法为：</w:t>
      </w:r>
    </w:p>
    <w:p w14:paraId="571F64D6">
      <w:pPr>
        <w:widowControl/>
        <w:spacing w:line="440" w:lineRule="exact"/>
        <w:jc w:val="left"/>
        <w:rPr>
          <w:rFonts w:hint="eastAsia" w:ascii="宋体" w:hAnsi="宋体"/>
          <w:color w:val="auto"/>
          <w:sz w:val="22"/>
          <w:szCs w:val="22"/>
          <w:highlight w:val="none"/>
        </w:rPr>
      </w:pPr>
      <w:r>
        <w:rPr>
          <w:rFonts w:hint="eastAsia" w:ascii="宋体" w:hAnsi="宋体"/>
          <w:color w:val="auto"/>
          <w:sz w:val="22"/>
          <w:szCs w:val="22"/>
          <w:highlight w:val="none"/>
        </w:rPr>
        <w:t>A、  合同中有类似项目综合单价的，可以参照合同中类似项目的综合单价计算确定。</w:t>
      </w:r>
    </w:p>
    <w:p w14:paraId="0B574CAE">
      <w:pPr>
        <w:widowControl/>
        <w:spacing w:line="440" w:lineRule="exact"/>
        <w:ind w:left="550" w:hanging="550" w:hangingChars="250"/>
        <w:jc w:val="left"/>
        <w:rPr>
          <w:rFonts w:hint="eastAsia" w:ascii="宋体" w:hAnsi="宋体"/>
          <w:color w:val="auto"/>
          <w:sz w:val="22"/>
          <w:szCs w:val="22"/>
          <w:highlight w:val="none"/>
        </w:rPr>
      </w:pPr>
      <w:r>
        <w:rPr>
          <w:rFonts w:hint="eastAsia" w:ascii="宋体" w:hAnsi="宋体"/>
          <w:color w:val="auto"/>
          <w:sz w:val="22"/>
          <w:szCs w:val="22"/>
          <w:highlight w:val="none"/>
        </w:rPr>
        <w:t>B、  合同中没有类似项目综合单价的，按</w:t>
      </w:r>
      <w:r>
        <w:rPr>
          <w:rFonts w:hint="eastAsia" w:ascii="宋体" w:hAnsi="宋体"/>
          <w:b/>
          <w:bCs/>
          <w:color w:val="auto"/>
          <w:sz w:val="22"/>
          <w:szCs w:val="22"/>
          <w:highlight w:val="none"/>
        </w:rPr>
        <w:t>4.13.3</w:t>
      </w:r>
      <w:r>
        <w:rPr>
          <w:rFonts w:hint="eastAsia" w:ascii="宋体" w:hAnsi="宋体"/>
          <w:color w:val="auto"/>
          <w:sz w:val="22"/>
          <w:szCs w:val="22"/>
          <w:highlight w:val="none"/>
        </w:rPr>
        <w:t>工程预算定额、费用定额计算后结合</w:t>
      </w:r>
      <w:r>
        <w:rPr>
          <w:rFonts w:hint="eastAsia" w:ascii="宋体" w:hAnsi="宋体"/>
          <w:b/>
          <w:bCs/>
          <w:color w:val="auto"/>
          <w:sz w:val="22"/>
          <w:szCs w:val="22"/>
          <w:highlight w:val="none"/>
        </w:rPr>
        <w:t>成交下浮率</w:t>
      </w:r>
      <w:r>
        <w:rPr>
          <w:rFonts w:hint="eastAsia" w:ascii="宋体" w:hAnsi="宋体"/>
          <w:color w:val="auto"/>
          <w:sz w:val="22"/>
          <w:szCs w:val="22"/>
          <w:highlight w:val="none"/>
        </w:rPr>
        <w:t>计算。</w:t>
      </w:r>
    </w:p>
    <w:p w14:paraId="2F559B5A">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（2）由于项目中项目特征或工程内容发生部分变更的，应以原综合单价为基础，仅就变更部分相应定额子目调整综合单价。</w:t>
      </w:r>
    </w:p>
    <w:p w14:paraId="52007F76">
      <w:pPr>
        <w:snapToGrid w:val="0"/>
        <w:spacing w:line="440" w:lineRule="exact"/>
        <w:ind w:left="541" w:hanging="541" w:hangingChars="245"/>
        <w:rPr>
          <w:rFonts w:ascii="宋体" w:hAnsi="宋体"/>
          <w:color w:val="auto"/>
          <w:sz w:val="22"/>
          <w:szCs w:val="22"/>
          <w:highlight w:val="none"/>
        </w:rPr>
      </w:pPr>
      <w:r>
        <w:rPr>
          <w:rFonts w:hint="eastAsia" w:ascii="宋体" w:hAnsi="宋体"/>
          <w:b/>
          <w:bCs/>
          <w:color w:val="auto"/>
          <w:sz w:val="22"/>
          <w:szCs w:val="22"/>
          <w:highlight w:val="none"/>
        </w:rPr>
        <w:t>6.1</w:t>
      </w:r>
      <w:r>
        <w:rPr>
          <w:rFonts w:hint="eastAsia" w:ascii="宋体" w:hAnsi="宋体"/>
          <w:b/>
          <w:bCs/>
          <w:color w:val="auto"/>
          <w:sz w:val="22"/>
          <w:szCs w:val="22"/>
          <w:highlight w:val="none"/>
          <w:lang w:val="en-US" w:eastAsia="zh-CN"/>
        </w:rPr>
        <w:t>0</w:t>
      </w:r>
      <w:r>
        <w:rPr>
          <w:rFonts w:hint="eastAsia" w:ascii="宋体" w:hAnsi="宋体"/>
          <w:b/>
          <w:bCs/>
          <w:color w:val="auto"/>
          <w:sz w:val="22"/>
          <w:szCs w:val="22"/>
          <w:highlight w:val="none"/>
        </w:rPr>
        <w:t>.3</w:t>
      </w:r>
      <w:r>
        <w:rPr>
          <w:rFonts w:hint="eastAsia" w:ascii="宋体" w:hAnsi="宋体"/>
          <w:color w:val="auto"/>
          <w:sz w:val="22"/>
          <w:szCs w:val="22"/>
          <w:highlight w:val="none"/>
        </w:rPr>
        <w:t>根据《浙江省建设工程施工费用定额》（2010版）与有关造价政策的规定，经审定本工程取费标准见招标控制价。</w:t>
      </w:r>
    </w:p>
    <w:p w14:paraId="4FE5542E">
      <w:pPr>
        <w:snapToGrid w:val="0"/>
        <w:spacing w:line="440" w:lineRule="exact"/>
        <w:ind w:left="548" w:leftChars="261"/>
        <w:rPr>
          <w:rFonts w:hint="eastAsia" w:ascii="宋体" w:hAnsi="宋体"/>
          <w:bCs/>
          <w:color w:val="auto"/>
          <w:sz w:val="22"/>
          <w:szCs w:val="22"/>
          <w:highlight w:val="none"/>
        </w:rPr>
      </w:pPr>
      <w:r>
        <w:rPr>
          <w:rFonts w:hint="eastAsia" w:ascii="宋体" w:hAnsi="宋体"/>
          <w:bCs/>
          <w:color w:val="auto"/>
          <w:sz w:val="22"/>
          <w:szCs w:val="22"/>
          <w:highlight w:val="none"/>
        </w:rPr>
        <w:t>工程量清单中未提供的新增项目的工程造价按上述规定计算后,再按磋商供应商的成交造价相对招标控制价的下浮率{(招标控制价—成交造价)÷招标控制价*100%}进行结算。</w:t>
      </w:r>
    </w:p>
    <w:p w14:paraId="4D09EF5E">
      <w:pPr>
        <w:snapToGrid w:val="0"/>
        <w:spacing w:line="440" w:lineRule="exact"/>
        <w:rPr>
          <w:rFonts w:hint="eastAsia" w:ascii="宋体" w:hAnsi="宋体"/>
          <w:color w:val="auto"/>
          <w:sz w:val="22"/>
          <w:szCs w:val="22"/>
          <w:highlight w:val="none"/>
        </w:rPr>
      </w:pPr>
      <w:r>
        <w:rPr>
          <w:rFonts w:hint="eastAsia" w:ascii="宋体" w:hAnsi="宋体"/>
          <w:b/>
          <w:bCs/>
          <w:color w:val="auto"/>
          <w:sz w:val="22"/>
          <w:szCs w:val="22"/>
          <w:highlight w:val="none"/>
        </w:rPr>
        <w:t>6.1</w:t>
      </w:r>
      <w:r>
        <w:rPr>
          <w:rFonts w:hint="eastAsia" w:ascii="宋体" w:hAnsi="宋体"/>
          <w:b/>
          <w:bCs/>
          <w:color w:val="auto"/>
          <w:sz w:val="22"/>
          <w:szCs w:val="22"/>
          <w:highlight w:val="none"/>
          <w:lang w:val="en-US" w:eastAsia="zh-CN"/>
        </w:rPr>
        <w:t>0</w:t>
      </w:r>
      <w:r>
        <w:rPr>
          <w:rFonts w:hint="eastAsia" w:ascii="宋体" w:hAnsi="宋体"/>
          <w:b/>
          <w:bCs/>
          <w:color w:val="auto"/>
          <w:sz w:val="22"/>
          <w:szCs w:val="22"/>
          <w:highlight w:val="none"/>
        </w:rPr>
        <w:t>.4</w:t>
      </w:r>
      <w:r>
        <w:rPr>
          <w:rFonts w:hint="eastAsia" w:ascii="宋体" w:hAnsi="宋体"/>
          <w:bCs/>
          <w:color w:val="auto"/>
          <w:sz w:val="22"/>
          <w:szCs w:val="22"/>
          <w:highlight w:val="none"/>
        </w:rPr>
        <w:t>主要价格波动引起的合同价格的调整</w:t>
      </w:r>
    </w:p>
    <w:p w14:paraId="1A639A4D">
      <w:pPr>
        <w:snapToGrid w:val="0"/>
        <w:spacing w:line="440" w:lineRule="exact"/>
        <w:ind w:left="548" w:leftChars="261"/>
        <w:rPr>
          <w:rFonts w:hint="eastAsia" w:ascii="宋体" w:hAnsi="宋体"/>
          <w:color w:val="auto"/>
          <w:sz w:val="22"/>
          <w:szCs w:val="22"/>
          <w:highlight w:val="none"/>
          <w:u w:val="single"/>
        </w:rPr>
      </w:pPr>
      <w:r>
        <w:rPr>
          <w:rFonts w:hint="eastAsia" w:ascii="宋体" w:hAnsi="宋体"/>
          <w:color w:val="auto"/>
          <w:sz w:val="22"/>
          <w:szCs w:val="22"/>
          <w:highlight w:val="none"/>
        </w:rPr>
        <w:t>所有暂定价材料中的材料均须由成交</w:t>
      </w:r>
      <w:r>
        <w:rPr>
          <w:rFonts w:hint="eastAsia" w:ascii="宋体" w:hAnsi="宋体"/>
          <w:color w:val="auto"/>
          <w:sz w:val="22"/>
          <w:szCs w:val="22"/>
          <w:highlight w:val="none"/>
          <w:lang w:eastAsia="zh-CN"/>
        </w:rPr>
        <w:t>供应商</w:t>
      </w:r>
      <w:r>
        <w:rPr>
          <w:rFonts w:hint="eastAsia" w:ascii="宋体" w:hAnsi="宋体"/>
          <w:color w:val="auto"/>
          <w:sz w:val="22"/>
          <w:szCs w:val="22"/>
          <w:highlight w:val="none"/>
        </w:rPr>
        <w:t>按采购人提供的“</w:t>
      </w:r>
      <w:r>
        <w:rPr>
          <w:rFonts w:hint="eastAsia" w:ascii="宋体" w:hAnsi="宋体"/>
          <w:b/>
          <w:color w:val="auto"/>
          <w:sz w:val="22"/>
          <w:szCs w:val="22"/>
          <w:highlight w:val="none"/>
        </w:rPr>
        <w:t>材料询价单”提出并填写材料品质、色彩、型号、规格、单价等详细数据签字盖印后交由采购人询价确认</w:t>
      </w:r>
      <w:r>
        <w:rPr>
          <w:rFonts w:hint="eastAsia" w:ascii="宋体" w:hAnsi="宋体"/>
          <w:color w:val="auto"/>
          <w:sz w:val="22"/>
          <w:szCs w:val="22"/>
          <w:highlight w:val="none"/>
        </w:rPr>
        <w:t>，经采购单位询价确认签证的由成交供应商组织解决的材料，按采购人提供的材料询价单上的签字盖印签证认可的询定内容进行调整；暂定价子目调整由采购单位有权根据实际情况变更和可以通过采购或委托成交供应商组织解决。委托成交供应商组织解决的，经采购人和监理单位签字盖印签证确认同意使用，竣工结算时按采购人签字盖印签证认可的询定内容进行结算。</w:t>
      </w:r>
    </w:p>
    <w:p w14:paraId="2BEB8BF4">
      <w:pPr>
        <w:tabs>
          <w:tab w:val="left" w:pos="0"/>
        </w:tabs>
        <w:snapToGrid w:val="0"/>
        <w:spacing w:line="440" w:lineRule="exact"/>
        <w:ind w:left="541" w:hanging="541" w:hangingChars="245"/>
        <w:rPr>
          <w:rFonts w:hint="eastAsia" w:ascii="宋体" w:hAnsi="宋体"/>
          <w:bCs/>
          <w:color w:val="auto"/>
          <w:sz w:val="22"/>
          <w:szCs w:val="22"/>
          <w:highlight w:val="none"/>
        </w:rPr>
      </w:pPr>
      <w:r>
        <w:rPr>
          <w:rFonts w:hint="eastAsia" w:ascii="宋体" w:hAnsi="宋体"/>
          <w:b/>
          <w:bCs/>
          <w:color w:val="auto"/>
          <w:sz w:val="22"/>
          <w:szCs w:val="22"/>
          <w:highlight w:val="none"/>
        </w:rPr>
        <w:t>6.1</w:t>
      </w:r>
      <w:r>
        <w:rPr>
          <w:rFonts w:hint="eastAsia" w:ascii="宋体" w:hAnsi="宋体"/>
          <w:b/>
          <w:bCs/>
          <w:color w:val="auto"/>
          <w:sz w:val="22"/>
          <w:szCs w:val="22"/>
          <w:highlight w:val="none"/>
          <w:lang w:val="en-US" w:eastAsia="zh-CN"/>
        </w:rPr>
        <w:t>0</w:t>
      </w:r>
      <w:r>
        <w:rPr>
          <w:rFonts w:hint="eastAsia" w:ascii="宋体" w:hAnsi="宋体"/>
          <w:b/>
          <w:bCs/>
          <w:color w:val="auto"/>
          <w:sz w:val="22"/>
          <w:szCs w:val="22"/>
          <w:highlight w:val="none"/>
        </w:rPr>
        <w:t>.5</w:t>
      </w:r>
      <w:r>
        <w:rPr>
          <w:rFonts w:hint="eastAsia" w:ascii="宋体" w:hAnsi="宋体"/>
          <w:bCs/>
          <w:color w:val="auto"/>
          <w:sz w:val="22"/>
          <w:szCs w:val="22"/>
          <w:highlight w:val="none"/>
        </w:rPr>
        <w:t>其他项目中“报价人部分”的零星工作项目费，按承包人实际完成并经采购人和其委托的监理单位工程师共同签证的数量进行结算调整，综合单价不变。</w:t>
      </w:r>
    </w:p>
    <w:p w14:paraId="3EF1FD7F">
      <w:pPr>
        <w:tabs>
          <w:tab w:val="left" w:pos="0"/>
        </w:tabs>
        <w:snapToGrid w:val="0"/>
        <w:spacing w:line="440" w:lineRule="exact"/>
        <w:ind w:left="541" w:hanging="541" w:hangingChars="245"/>
        <w:rPr>
          <w:rFonts w:hint="eastAsia" w:ascii="宋体" w:hAnsi="宋体"/>
          <w:bCs/>
          <w:color w:val="auto"/>
          <w:sz w:val="22"/>
          <w:szCs w:val="22"/>
          <w:highlight w:val="none"/>
        </w:rPr>
      </w:pPr>
      <w:r>
        <w:rPr>
          <w:rFonts w:hint="eastAsia" w:ascii="宋体" w:hAnsi="宋体"/>
          <w:b/>
          <w:bCs/>
          <w:color w:val="auto"/>
          <w:sz w:val="22"/>
          <w:szCs w:val="22"/>
          <w:highlight w:val="none"/>
        </w:rPr>
        <w:t>6.1</w:t>
      </w:r>
      <w:r>
        <w:rPr>
          <w:rFonts w:hint="eastAsia" w:ascii="宋体" w:hAnsi="宋体"/>
          <w:b/>
          <w:bCs/>
          <w:color w:val="auto"/>
          <w:sz w:val="22"/>
          <w:szCs w:val="22"/>
          <w:highlight w:val="none"/>
          <w:lang w:val="en-US" w:eastAsia="zh-CN"/>
        </w:rPr>
        <w:t>0</w:t>
      </w:r>
      <w:r>
        <w:rPr>
          <w:rFonts w:hint="eastAsia" w:ascii="宋体" w:hAnsi="宋体"/>
          <w:b/>
          <w:bCs/>
          <w:color w:val="auto"/>
          <w:sz w:val="22"/>
          <w:szCs w:val="22"/>
          <w:highlight w:val="none"/>
        </w:rPr>
        <w:t>.6</w:t>
      </w:r>
      <w:r>
        <w:rPr>
          <w:rFonts w:hint="eastAsia" w:ascii="宋体" w:hAnsi="宋体"/>
          <w:bCs/>
          <w:color w:val="auto"/>
          <w:sz w:val="22"/>
          <w:szCs w:val="22"/>
          <w:highlight w:val="none"/>
        </w:rPr>
        <w:t>由于分部分项工程量项目或工程数量的调整，引起措施项目或其他方面费用的损失，措施项目在报价文件中明确一次性包死的将不再调整，其他方面费用的损失由报价人在风险费用中考虑，不再进行调整。</w:t>
      </w:r>
    </w:p>
    <w:p w14:paraId="75144EF7">
      <w:pPr>
        <w:tabs>
          <w:tab w:val="left" w:pos="0"/>
        </w:tabs>
        <w:snapToGrid w:val="0"/>
        <w:spacing w:line="440" w:lineRule="exact"/>
        <w:rPr>
          <w:rFonts w:hint="eastAsia" w:ascii="宋体" w:hAnsi="宋体"/>
          <w:b/>
          <w:bCs/>
          <w:color w:val="auto"/>
          <w:sz w:val="22"/>
          <w:szCs w:val="22"/>
          <w:highlight w:val="none"/>
        </w:rPr>
      </w:pPr>
      <w:r>
        <w:rPr>
          <w:rFonts w:hint="eastAsia" w:ascii="宋体" w:hAnsi="宋体"/>
          <w:b/>
          <w:color w:val="auto"/>
          <w:sz w:val="22"/>
          <w:szCs w:val="22"/>
          <w:highlight w:val="none"/>
        </w:rPr>
        <w:t>6.1</w:t>
      </w:r>
      <w:r>
        <w:rPr>
          <w:rFonts w:hint="eastAsia" w:ascii="宋体" w:hAnsi="宋体"/>
          <w:b/>
          <w:color w:val="auto"/>
          <w:sz w:val="22"/>
          <w:szCs w:val="22"/>
          <w:highlight w:val="none"/>
          <w:lang w:val="en-US" w:eastAsia="zh-CN"/>
        </w:rPr>
        <w:t>1</w:t>
      </w:r>
      <w:r>
        <w:rPr>
          <w:rFonts w:hint="eastAsia" w:ascii="宋体" w:hAnsi="宋体"/>
          <w:b/>
          <w:color w:val="auto"/>
          <w:sz w:val="22"/>
          <w:szCs w:val="22"/>
          <w:highlight w:val="none"/>
        </w:rPr>
        <w:t xml:space="preserve"> </w:t>
      </w:r>
      <w:r>
        <w:rPr>
          <w:rFonts w:hint="eastAsia" w:ascii="宋体" w:hAnsi="宋体"/>
          <w:color w:val="auto"/>
          <w:sz w:val="22"/>
          <w:szCs w:val="22"/>
          <w:highlight w:val="none"/>
        </w:rPr>
        <w:t>材料、设备供应办法</w:t>
      </w:r>
    </w:p>
    <w:p w14:paraId="1199D1CC">
      <w:pPr>
        <w:tabs>
          <w:tab w:val="left" w:pos="0"/>
        </w:tabs>
        <w:snapToGrid w:val="0"/>
        <w:spacing w:line="440" w:lineRule="exact"/>
        <w:ind w:left="541" w:hanging="541" w:hangingChars="245"/>
        <w:rPr>
          <w:rFonts w:hint="eastAsia" w:ascii="宋体" w:hAnsi="宋体"/>
          <w:b/>
          <w:bCs/>
          <w:color w:val="auto"/>
          <w:sz w:val="22"/>
          <w:szCs w:val="22"/>
          <w:highlight w:val="none"/>
        </w:rPr>
      </w:pPr>
      <w:r>
        <w:rPr>
          <w:rFonts w:hint="eastAsia" w:ascii="宋体" w:hAnsi="宋体"/>
          <w:b/>
          <w:color w:val="auto"/>
          <w:sz w:val="22"/>
          <w:szCs w:val="22"/>
          <w:highlight w:val="none"/>
        </w:rPr>
        <w:t>6.1</w:t>
      </w:r>
      <w:r>
        <w:rPr>
          <w:rFonts w:hint="eastAsia" w:ascii="宋体" w:hAnsi="宋体"/>
          <w:b/>
          <w:color w:val="auto"/>
          <w:sz w:val="22"/>
          <w:szCs w:val="22"/>
          <w:highlight w:val="none"/>
          <w:lang w:val="en-US" w:eastAsia="zh-CN"/>
        </w:rPr>
        <w:t>1</w:t>
      </w:r>
      <w:r>
        <w:rPr>
          <w:rFonts w:hint="eastAsia" w:ascii="宋体" w:hAnsi="宋体"/>
          <w:b/>
          <w:color w:val="auto"/>
          <w:sz w:val="22"/>
          <w:szCs w:val="22"/>
          <w:highlight w:val="none"/>
        </w:rPr>
        <w:t>.1</w:t>
      </w:r>
      <w:r>
        <w:rPr>
          <w:rFonts w:hint="eastAsia" w:ascii="宋体" w:hAnsi="宋体"/>
          <w:color w:val="auto"/>
          <w:sz w:val="22"/>
          <w:szCs w:val="22"/>
          <w:highlight w:val="none"/>
        </w:rPr>
        <w:t>本工程所需材料设备等原则上由成交供应商组织采购供应，成交供应商须按采购人提供的“材料询价单”提出并填写材料样品、品质、色彩、型号、规格、单价等详细数据签字盖印后交由采购人询价确认后由成交供应商按采购人询定内容组织采购供货、运输并办理竣工结算，所供设备材料均须为国家规定的最高等级（材料设备等的消防等级须符合温州市消防部门规定的B1级及以上等级），设备材料到货后须经采购人和其委托的监理工程师按规定审核同意并经采购人和监理人备案后才能进场使用，进场后的保管责任由成交供应商自行负责。</w:t>
      </w:r>
    </w:p>
    <w:p w14:paraId="478D6136">
      <w:pPr>
        <w:tabs>
          <w:tab w:val="left" w:pos="0"/>
        </w:tabs>
        <w:snapToGrid w:val="0"/>
        <w:spacing w:line="440" w:lineRule="exact"/>
        <w:ind w:left="541" w:hanging="541" w:hangingChars="245"/>
        <w:rPr>
          <w:rFonts w:hint="eastAsia" w:ascii="宋体" w:hAnsi="宋体"/>
          <w:b/>
          <w:bCs/>
          <w:color w:val="auto"/>
          <w:sz w:val="22"/>
          <w:szCs w:val="22"/>
          <w:highlight w:val="none"/>
        </w:rPr>
      </w:pPr>
      <w:r>
        <w:rPr>
          <w:rFonts w:hint="eastAsia" w:ascii="宋体" w:hAnsi="宋体"/>
          <w:b/>
          <w:bCs/>
          <w:color w:val="auto"/>
          <w:sz w:val="22"/>
          <w:szCs w:val="22"/>
          <w:highlight w:val="none"/>
        </w:rPr>
        <w:t>6.1</w:t>
      </w:r>
      <w:r>
        <w:rPr>
          <w:rFonts w:hint="eastAsia" w:ascii="宋体" w:hAnsi="宋体"/>
          <w:b/>
          <w:bCs/>
          <w:color w:val="auto"/>
          <w:sz w:val="22"/>
          <w:szCs w:val="22"/>
          <w:highlight w:val="none"/>
          <w:lang w:val="en-US" w:eastAsia="zh-CN"/>
        </w:rPr>
        <w:t>1</w:t>
      </w:r>
      <w:r>
        <w:rPr>
          <w:rFonts w:hint="eastAsia" w:ascii="宋体" w:hAnsi="宋体"/>
          <w:b/>
          <w:bCs/>
          <w:color w:val="auto"/>
          <w:sz w:val="22"/>
          <w:szCs w:val="22"/>
          <w:highlight w:val="none"/>
        </w:rPr>
        <w:t>.2</w:t>
      </w:r>
      <w:r>
        <w:rPr>
          <w:rFonts w:hint="eastAsia" w:ascii="宋体" w:hAnsi="宋体"/>
          <w:b/>
          <w:color w:val="auto"/>
          <w:sz w:val="22"/>
          <w:szCs w:val="22"/>
          <w:highlight w:val="none"/>
        </w:rPr>
        <w:t>由采购单位委托成交供应商组织解决的包含暂定价的项目原则上以暂定材料价或暂定综合价为基准进行退价，若成交供应商磋商报价中该部分报价高于采购单位提供的暂定价或暂定综合价时，则按成交供应商的磋商报价退价，若发现成交供应商磋商报价中该部分报价低于采购单位提供的暂定价的或暂定综合价时，则按采购单位提供的暂定价或暂定综合价退价。</w:t>
      </w:r>
    </w:p>
    <w:p w14:paraId="04FC47EF">
      <w:pPr>
        <w:pStyle w:val="34"/>
        <w:spacing w:before="0" w:after="0" w:line="440" w:lineRule="exact"/>
        <w:ind w:left="541" w:hanging="541" w:hangingChars="245"/>
        <w:jc w:val="both"/>
        <w:rPr>
          <w:rFonts w:hint="eastAsia"/>
          <w:color w:val="auto"/>
          <w:sz w:val="22"/>
          <w:szCs w:val="22"/>
          <w:highlight w:val="none"/>
        </w:rPr>
      </w:pPr>
      <w:r>
        <w:rPr>
          <w:rFonts w:hint="eastAsia"/>
          <w:b/>
          <w:bCs/>
          <w:color w:val="auto"/>
          <w:sz w:val="22"/>
          <w:szCs w:val="22"/>
          <w:highlight w:val="none"/>
        </w:rPr>
        <w:t>6.1</w:t>
      </w:r>
      <w:r>
        <w:rPr>
          <w:rFonts w:hint="eastAsia"/>
          <w:b/>
          <w:bCs/>
          <w:color w:val="auto"/>
          <w:sz w:val="22"/>
          <w:szCs w:val="22"/>
          <w:highlight w:val="none"/>
          <w:lang w:val="en-US" w:eastAsia="zh-CN"/>
        </w:rPr>
        <w:t>1</w:t>
      </w:r>
      <w:r>
        <w:rPr>
          <w:rFonts w:hint="eastAsia"/>
          <w:b/>
          <w:bCs/>
          <w:color w:val="auto"/>
          <w:sz w:val="22"/>
          <w:szCs w:val="22"/>
          <w:highlight w:val="none"/>
        </w:rPr>
        <w:t>.3</w:t>
      </w:r>
      <w:r>
        <w:rPr>
          <w:rFonts w:hint="eastAsia"/>
          <w:color w:val="auto"/>
          <w:sz w:val="22"/>
          <w:szCs w:val="22"/>
          <w:highlight w:val="none"/>
        </w:rPr>
        <w:t>本工程材料指标按照工程量中提供的指标，以备进行换算。今后材料市场价均以</w:t>
      </w:r>
      <w:r>
        <w:rPr>
          <w:rFonts w:hint="eastAsia"/>
          <w:b/>
          <w:color w:val="auto"/>
          <w:sz w:val="22"/>
          <w:szCs w:val="22"/>
          <w:highlight w:val="none"/>
          <w:u w:val="single"/>
        </w:rPr>
        <w:t>202</w:t>
      </w:r>
      <w:r>
        <w:rPr>
          <w:rFonts w:hint="eastAsia"/>
          <w:b/>
          <w:color w:val="auto"/>
          <w:sz w:val="22"/>
          <w:szCs w:val="22"/>
          <w:highlight w:val="none"/>
          <w:u w:val="single"/>
          <w:lang w:val="en-US" w:eastAsia="zh-CN"/>
        </w:rPr>
        <w:t>5</w:t>
      </w:r>
      <w:r>
        <w:rPr>
          <w:rFonts w:hint="eastAsia"/>
          <w:b/>
          <w:color w:val="auto"/>
          <w:sz w:val="22"/>
          <w:szCs w:val="22"/>
          <w:highlight w:val="none"/>
          <w:u w:val="single"/>
        </w:rPr>
        <w:t>年第</w:t>
      </w:r>
      <w:r>
        <w:rPr>
          <w:rFonts w:hint="eastAsia"/>
          <w:b/>
          <w:color w:val="auto"/>
          <w:sz w:val="22"/>
          <w:szCs w:val="22"/>
          <w:highlight w:val="none"/>
          <w:u w:val="single"/>
          <w:lang w:val="en-US" w:eastAsia="zh-CN"/>
        </w:rPr>
        <w:t>2</w:t>
      </w:r>
      <w:r>
        <w:rPr>
          <w:rFonts w:hint="eastAsia"/>
          <w:b/>
          <w:color w:val="auto"/>
          <w:sz w:val="22"/>
          <w:szCs w:val="22"/>
          <w:highlight w:val="none"/>
          <w:u w:val="single"/>
        </w:rPr>
        <w:t>期</w:t>
      </w:r>
      <w:r>
        <w:rPr>
          <w:rFonts w:hint="eastAsia"/>
          <w:b/>
          <w:color w:val="auto"/>
          <w:sz w:val="22"/>
          <w:szCs w:val="22"/>
          <w:highlight w:val="none"/>
        </w:rPr>
        <w:t>《温州工程造价信息》</w:t>
      </w:r>
      <w:r>
        <w:rPr>
          <w:rFonts w:hint="eastAsia"/>
          <w:color w:val="auto"/>
          <w:sz w:val="22"/>
          <w:szCs w:val="22"/>
          <w:highlight w:val="none"/>
        </w:rPr>
        <w:t>市场价格为基准，若其中无内容的以建设单位的询定内容为准。</w:t>
      </w:r>
    </w:p>
    <w:p w14:paraId="5032EF4B">
      <w:pPr>
        <w:pStyle w:val="34"/>
        <w:spacing w:before="0" w:after="0" w:line="440" w:lineRule="exact"/>
        <w:ind w:left="539" w:hanging="539" w:hangingChars="245"/>
        <w:jc w:val="both"/>
        <w:rPr>
          <w:rFonts w:hint="eastAsia"/>
          <w:color w:val="auto"/>
          <w:sz w:val="22"/>
          <w:szCs w:val="22"/>
          <w:highlight w:val="none"/>
        </w:rPr>
      </w:pPr>
      <w:r>
        <w:rPr>
          <w:rFonts w:hint="eastAsia"/>
          <w:color w:val="auto"/>
          <w:sz w:val="22"/>
          <w:szCs w:val="22"/>
          <w:highlight w:val="none"/>
        </w:rPr>
        <w:t>6.1</w:t>
      </w:r>
      <w:r>
        <w:rPr>
          <w:rFonts w:hint="eastAsia"/>
          <w:color w:val="auto"/>
          <w:sz w:val="22"/>
          <w:szCs w:val="22"/>
          <w:highlight w:val="none"/>
          <w:lang w:val="en-US" w:eastAsia="zh-CN"/>
        </w:rPr>
        <w:t>1</w:t>
      </w:r>
      <w:r>
        <w:rPr>
          <w:rFonts w:hint="eastAsia"/>
          <w:color w:val="auto"/>
          <w:sz w:val="22"/>
          <w:szCs w:val="22"/>
          <w:highlight w:val="none"/>
        </w:rPr>
        <w:t>.4根据国家发展改革委等七部27号令《工程建设项目货物招标投标办法》的规定，工程建设项目报价实行承包报价，以材料设备暂定价形式总承包范围内的单价合同金额超过</w:t>
      </w:r>
      <w:r>
        <w:rPr>
          <w:color w:val="auto"/>
          <w:sz w:val="22"/>
          <w:szCs w:val="22"/>
          <w:highlight w:val="none"/>
        </w:rPr>
        <w:t>10</w:t>
      </w:r>
      <w:r>
        <w:rPr>
          <w:rFonts w:hint="eastAsia"/>
          <w:color w:val="auto"/>
          <w:sz w:val="22"/>
          <w:szCs w:val="22"/>
          <w:highlight w:val="none"/>
        </w:rPr>
        <w:t>0万材料设备，应当由总承包成交供应商和工程建设项目招标采购单位共同依法组织采购，双方当事人的风险和责任承担具体在合同中约定。</w:t>
      </w:r>
    </w:p>
    <w:p w14:paraId="447F5266">
      <w:pPr>
        <w:spacing w:line="440" w:lineRule="exact"/>
        <w:ind w:left="-4"/>
        <w:rPr>
          <w:rFonts w:hint="eastAsia" w:ascii="宋体" w:hAnsi="宋体"/>
          <w:b/>
          <w:bCs/>
          <w:color w:val="auto"/>
          <w:sz w:val="22"/>
          <w:szCs w:val="22"/>
          <w:highlight w:val="none"/>
        </w:rPr>
      </w:pPr>
      <w:r>
        <w:rPr>
          <w:rFonts w:hint="eastAsia" w:ascii="宋体" w:hAnsi="宋体"/>
          <w:bCs/>
          <w:color w:val="auto"/>
          <w:sz w:val="22"/>
          <w:szCs w:val="22"/>
          <w:highlight w:val="none"/>
        </w:rPr>
        <w:t>7</w:t>
      </w:r>
      <w:r>
        <w:rPr>
          <w:rFonts w:hint="eastAsia" w:ascii="宋体" w:hAnsi="宋体"/>
          <w:b/>
          <w:bCs/>
          <w:color w:val="auto"/>
          <w:sz w:val="22"/>
          <w:szCs w:val="22"/>
          <w:highlight w:val="none"/>
        </w:rPr>
        <w:t>．  磋商有效期</w:t>
      </w:r>
    </w:p>
    <w:p w14:paraId="45AB8ECE">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7.1</w:t>
      </w:r>
      <w:r>
        <w:rPr>
          <w:rFonts w:hint="eastAsia"/>
          <w:b/>
          <w:color w:val="auto"/>
          <w:szCs w:val="21"/>
          <w:highlight w:val="none"/>
        </w:rPr>
        <w:t>▲</w:t>
      </w:r>
      <w:r>
        <w:rPr>
          <w:rFonts w:hint="eastAsia" w:ascii="宋体" w:hAnsi="宋体"/>
          <w:b/>
          <w:color w:val="auto"/>
          <w:sz w:val="22"/>
          <w:szCs w:val="22"/>
          <w:highlight w:val="none"/>
          <w:u w:val="single"/>
        </w:rPr>
        <w:t>自开标之日起</w:t>
      </w:r>
      <w:r>
        <w:rPr>
          <w:rFonts w:hint="eastAsia" w:ascii="宋体" w:hAnsi="宋体"/>
          <w:b/>
          <w:bCs/>
          <w:color w:val="auto"/>
          <w:sz w:val="22"/>
          <w:szCs w:val="22"/>
          <w:highlight w:val="none"/>
          <w:u w:val="single"/>
        </w:rPr>
        <w:t>60</w:t>
      </w:r>
      <w:r>
        <w:rPr>
          <w:rFonts w:hint="eastAsia" w:ascii="宋体" w:hAnsi="宋体"/>
          <w:b/>
          <w:color w:val="auto"/>
          <w:sz w:val="22"/>
          <w:szCs w:val="22"/>
          <w:highlight w:val="none"/>
          <w:u w:val="single"/>
        </w:rPr>
        <w:t>日历日内磋商应保持有效，有效期短于该期限的磋商将会被拒绝。</w:t>
      </w:r>
    </w:p>
    <w:p w14:paraId="4DDE7803">
      <w:pPr>
        <w:spacing w:line="440" w:lineRule="exact"/>
        <w:ind w:left="563" w:leftChars="6" w:hanging="550" w:hangingChars="250"/>
        <w:rPr>
          <w:rFonts w:hint="eastAsia" w:ascii="宋体" w:hAnsi="宋体"/>
          <w:color w:val="auto"/>
          <w:sz w:val="22"/>
          <w:szCs w:val="22"/>
          <w:highlight w:val="none"/>
        </w:rPr>
      </w:pPr>
      <w:r>
        <w:rPr>
          <w:rFonts w:hint="eastAsia" w:ascii="宋体" w:hAnsi="宋体"/>
          <w:color w:val="auto"/>
          <w:sz w:val="22"/>
          <w:szCs w:val="22"/>
          <w:highlight w:val="none"/>
        </w:rPr>
        <w:t>7.2  在特殊情况下，招标采购单位可与磋商供应商协商延长磋商有效期，这种要求和答复均以书面形式进行。</w:t>
      </w:r>
    </w:p>
    <w:p w14:paraId="5913671A">
      <w:pPr>
        <w:tabs>
          <w:tab w:val="left" w:pos="180"/>
        </w:tabs>
        <w:spacing w:line="440" w:lineRule="exact"/>
        <w:ind w:left="565" w:leftChars="7" w:hanging="550" w:hangingChars="250"/>
        <w:rPr>
          <w:rFonts w:hint="eastAsia" w:ascii="宋体" w:hAnsi="宋体"/>
          <w:color w:val="auto"/>
          <w:sz w:val="22"/>
          <w:szCs w:val="22"/>
          <w:highlight w:val="none"/>
        </w:rPr>
      </w:pPr>
      <w:r>
        <w:rPr>
          <w:rFonts w:hint="eastAsia" w:ascii="宋体" w:hAnsi="宋体"/>
          <w:color w:val="auto"/>
          <w:sz w:val="22"/>
          <w:szCs w:val="22"/>
          <w:highlight w:val="none"/>
        </w:rPr>
        <w:t>7.3  磋商供应商可拒绝接受延期要求。同意延长磋商有效期的磋商供应商不能修改磋商响应文件。</w:t>
      </w:r>
    </w:p>
    <w:p w14:paraId="4353D1CD">
      <w:pPr>
        <w:spacing w:line="440" w:lineRule="exact"/>
        <w:ind w:left="470" w:hanging="470" w:hangingChars="213"/>
        <w:rPr>
          <w:rFonts w:hint="eastAsia" w:ascii="宋体" w:hAnsi="宋体"/>
          <w:b/>
          <w:bCs/>
          <w:color w:val="auto"/>
          <w:sz w:val="22"/>
          <w:szCs w:val="22"/>
          <w:highlight w:val="none"/>
        </w:rPr>
      </w:pPr>
      <w:r>
        <w:rPr>
          <w:rFonts w:hint="eastAsia" w:ascii="宋体" w:hAnsi="宋体"/>
          <w:b/>
          <w:bCs/>
          <w:color w:val="auto"/>
          <w:sz w:val="22"/>
          <w:szCs w:val="22"/>
          <w:highlight w:val="none"/>
        </w:rPr>
        <w:t>8．  磋商响应文件的签署和规定</w:t>
      </w:r>
    </w:p>
    <w:p w14:paraId="4E1DD0E1">
      <w:pPr>
        <w:spacing w:line="440" w:lineRule="exact"/>
        <w:ind w:left="550" w:hanging="550" w:hangingChars="250"/>
        <w:rPr>
          <w:rFonts w:hint="eastAsia"/>
          <w:color w:val="auto"/>
          <w:highlight w:val="none"/>
        </w:rPr>
      </w:pPr>
      <w:r>
        <w:rPr>
          <w:rFonts w:hint="eastAsia" w:ascii="宋体" w:hAnsi="宋体"/>
          <w:color w:val="auto"/>
          <w:sz w:val="22"/>
          <w:szCs w:val="22"/>
          <w:highlight w:val="none"/>
        </w:rPr>
        <w:t xml:space="preserve">8.1  </w:t>
      </w:r>
      <w:r>
        <w:rPr>
          <w:rFonts w:hint="eastAsia" w:ascii="宋体" w:hAnsi="宋体"/>
          <w:b/>
          <w:color w:val="auto"/>
          <w:sz w:val="22"/>
          <w:szCs w:val="22"/>
          <w:highlight w:val="none"/>
          <w:u w:val="single"/>
        </w:rPr>
        <w:t>磋商供应商应根据磋商文件的规定对磋商响应文件进行电子盖章及签署</w:t>
      </w:r>
      <w:r>
        <w:rPr>
          <w:rFonts w:hint="eastAsia" w:ascii="宋体" w:hAnsi="宋体"/>
          <w:color w:val="auto"/>
          <w:sz w:val="22"/>
          <w:szCs w:val="22"/>
          <w:highlight w:val="none"/>
        </w:rPr>
        <w:t>。</w:t>
      </w:r>
    </w:p>
    <w:p w14:paraId="3C9E1B93">
      <w:pPr>
        <w:pStyle w:val="5"/>
        <w:spacing w:line="480" w:lineRule="exact"/>
        <w:jc w:val="center"/>
        <w:rPr>
          <w:rFonts w:hint="eastAsia" w:ascii="宋体" w:hAnsi="宋体" w:eastAsia="宋体"/>
          <w:color w:val="auto"/>
          <w:sz w:val="28"/>
          <w:szCs w:val="28"/>
          <w:highlight w:val="none"/>
        </w:rPr>
      </w:pPr>
      <w:bookmarkStart w:id="18" w:name="_Toc5571"/>
      <w:bookmarkStart w:id="19" w:name="_Toc768"/>
      <w:r>
        <w:rPr>
          <w:rFonts w:hint="eastAsia" w:ascii="宋体" w:hAnsi="宋体" w:eastAsia="宋体"/>
          <w:color w:val="auto"/>
          <w:sz w:val="28"/>
          <w:szCs w:val="28"/>
          <w:highlight w:val="none"/>
        </w:rPr>
        <w:t>四、 磋商响应文件的递交</w:t>
      </w:r>
      <w:bookmarkEnd w:id="18"/>
      <w:bookmarkEnd w:id="19"/>
    </w:p>
    <w:p w14:paraId="1BA30597">
      <w:pPr>
        <w:spacing w:line="440" w:lineRule="exact"/>
        <w:rPr>
          <w:rFonts w:hint="eastAsia" w:ascii="宋体" w:hAnsi="宋体" w:cs="宋体"/>
          <w:b/>
          <w:color w:val="auto"/>
          <w:sz w:val="22"/>
          <w:szCs w:val="22"/>
          <w:highlight w:val="none"/>
        </w:rPr>
      </w:pPr>
      <w:r>
        <w:rPr>
          <w:rFonts w:hint="eastAsia" w:ascii="宋体" w:hAnsi="宋体" w:cs="宋体"/>
          <w:b/>
          <w:color w:val="auto"/>
          <w:sz w:val="22"/>
          <w:szCs w:val="22"/>
          <w:highlight w:val="none"/>
        </w:rPr>
        <w:t>1.   磋商响应文件的递交</w:t>
      </w:r>
    </w:p>
    <w:p w14:paraId="1DCFE0FC">
      <w:pPr>
        <w:spacing w:line="440" w:lineRule="exact"/>
        <w:ind w:left="550" w:hanging="550" w:hangingChars="250"/>
        <w:rPr>
          <w:rFonts w:ascii="宋体" w:hAnsi="宋体" w:cs="宋体"/>
          <w:bCs/>
          <w:color w:val="auto"/>
          <w:sz w:val="22"/>
          <w:szCs w:val="22"/>
          <w:highlight w:val="none"/>
        </w:rPr>
      </w:pPr>
      <w:r>
        <w:rPr>
          <w:rFonts w:ascii="宋体" w:hAnsi="宋体" w:cs="宋体"/>
          <w:bCs/>
          <w:color w:val="auto"/>
          <w:sz w:val="22"/>
          <w:szCs w:val="22"/>
          <w:highlight w:val="none"/>
        </w:rPr>
        <w:t xml:space="preserve">  </w:t>
      </w:r>
      <w:r>
        <w:rPr>
          <w:rFonts w:hint="eastAsia" w:ascii="宋体" w:hAnsi="宋体" w:cs="宋体"/>
          <w:bCs/>
          <w:color w:val="auto"/>
          <w:sz w:val="22"/>
          <w:szCs w:val="22"/>
          <w:highlight w:val="none"/>
        </w:rPr>
        <w:t xml:space="preserve"> </w:t>
      </w:r>
      <w:r>
        <w:rPr>
          <w:rFonts w:ascii="宋体" w:hAnsi="宋体" w:cs="宋体"/>
          <w:bCs/>
          <w:color w:val="auto"/>
          <w:sz w:val="22"/>
          <w:szCs w:val="22"/>
          <w:highlight w:val="none"/>
        </w:rPr>
        <w:t xml:space="preserve">  </w:t>
      </w:r>
      <w:r>
        <w:rPr>
          <w:rFonts w:hint="eastAsia" w:ascii="宋体" w:hAnsi="宋体" w:cs="宋体"/>
          <w:bCs/>
          <w:color w:val="auto"/>
          <w:sz w:val="22"/>
          <w:szCs w:val="22"/>
          <w:highlight w:val="none"/>
        </w:rPr>
        <w:t>磋商响应文件必须在磋商文件规定的磋商响应文件截止时间前完成电子磋商响应文件的传输递交。磋商截止时间前未完成传输的，视为撤回磋商响应文件。磋商截止时间后送达的磋商响应文件，将被政采云平台拒收。</w:t>
      </w:r>
    </w:p>
    <w:p w14:paraId="24EAF965">
      <w:pPr>
        <w:spacing w:line="440" w:lineRule="exact"/>
        <w:ind w:left="552" w:hanging="552" w:hangingChars="250"/>
        <w:rPr>
          <w:rFonts w:ascii="宋体" w:hAnsi="宋体" w:cs="宋体"/>
          <w:b/>
          <w:color w:val="auto"/>
          <w:sz w:val="22"/>
          <w:szCs w:val="22"/>
          <w:highlight w:val="none"/>
        </w:rPr>
      </w:pPr>
      <w:r>
        <w:rPr>
          <w:rFonts w:ascii="宋体" w:hAnsi="宋体" w:cs="宋体"/>
          <w:b/>
          <w:color w:val="auto"/>
          <w:sz w:val="22"/>
          <w:szCs w:val="22"/>
          <w:highlight w:val="none"/>
        </w:rPr>
        <w:t>2</w:t>
      </w:r>
      <w:r>
        <w:rPr>
          <w:rFonts w:hint="eastAsia" w:ascii="宋体" w:hAnsi="宋体" w:cs="宋体"/>
          <w:b/>
          <w:color w:val="auto"/>
          <w:sz w:val="22"/>
          <w:szCs w:val="22"/>
          <w:highlight w:val="none"/>
        </w:rPr>
        <w:t>.   磋商响应文件的补充、修改和撤回</w:t>
      </w:r>
    </w:p>
    <w:p w14:paraId="68FDC6FA">
      <w:pPr>
        <w:spacing w:line="440" w:lineRule="exact"/>
        <w:ind w:left="550" w:hanging="550" w:hangingChars="250"/>
        <w:rPr>
          <w:rFonts w:hint="eastAsia"/>
          <w:bCs/>
          <w:color w:val="auto"/>
          <w:highlight w:val="none"/>
        </w:rPr>
      </w:pPr>
      <w:r>
        <w:rPr>
          <w:rFonts w:hint="eastAsia" w:ascii="宋体" w:hAnsi="宋体" w:cs="宋体"/>
          <w:bCs/>
          <w:color w:val="auto"/>
          <w:sz w:val="22"/>
          <w:szCs w:val="22"/>
          <w:highlight w:val="none"/>
        </w:rPr>
        <w:t xml:space="preserve"> </w:t>
      </w:r>
      <w:r>
        <w:rPr>
          <w:rFonts w:ascii="宋体" w:hAnsi="宋体" w:cs="宋体"/>
          <w:bCs/>
          <w:color w:val="auto"/>
          <w:sz w:val="22"/>
          <w:szCs w:val="22"/>
          <w:highlight w:val="none"/>
        </w:rPr>
        <w:t xml:space="preserve">    </w:t>
      </w:r>
      <w:r>
        <w:rPr>
          <w:rFonts w:hint="eastAsia" w:ascii="宋体" w:hAnsi="宋体" w:cs="宋体"/>
          <w:bCs/>
          <w:color w:val="auto"/>
          <w:sz w:val="22"/>
          <w:szCs w:val="22"/>
          <w:highlight w:val="none"/>
        </w:rPr>
        <w:t>磋商供应商在磋商截止时间前，可以补充、修改或者撤回电子磋商响应文件。补充或者修改电子磋商响应文件的，应当先行撤回原文件，补充、修改后重新传输递交。</w:t>
      </w:r>
    </w:p>
    <w:p w14:paraId="6D7D3913">
      <w:pPr>
        <w:pStyle w:val="5"/>
        <w:spacing w:line="480" w:lineRule="exact"/>
        <w:jc w:val="center"/>
        <w:rPr>
          <w:rFonts w:hint="eastAsia"/>
          <w:color w:val="auto"/>
          <w:sz w:val="28"/>
          <w:szCs w:val="28"/>
          <w:highlight w:val="none"/>
        </w:rPr>
      </w:pPr>
      <w:bookmarkStart w:id="20" w:name="_Toc11350"/>
      <w:bookmarkStart w:id="21" w:name="_Toc17833"/>
      <w:r>
        <w:rPr>
          <w:rFonts w:hint="eastAsia"/>
          <w:color w:val="auto"/>
          <w:sz w:val="28"/>
          <w:szCs w:val="28"/>
          <w:highlight w:val="none"/>
        </w:rPr>
        <w:t>五、 开标、评审和定标</w:t>
      </w:r>
      <w:bookmarkEnd w:id="20"/>
      <w:bookmarkEnd w:id="21"/>
    </w:p>
    <w:p w14:paraId="6FC48CB3">
      <w:pPr>
        <w:spacing w:line="440" w:lineRule="exact"/>
        <w:ind w:left="331" w:hanging="331" w:hangingChars="150"/>
        <w:rPr>
          <w:rFonts w:hint="eastAsia" w:ascii="宋体" w:hAnsi="宋体"/>
          <w:color w:val="auto"/>
          <w:sz w:val="22"/>
          <w:szCs w:val="22"/>
          <w:highlight w:val="none"/>
        </w:rPr>
      </w:pPr>
      <w:r>
        <w:rPr>
          <w:rFonts w:hint="eastAsia" w:ascii="宋体" w:hAnsi="宋体"/>
          <w:b/>
          <w:color w:val="auto"/>
          <w:sz w:val="22"/>
          <w:szCs w:val="22"/>
          <w:highlight w:val="none"/>
        </w:rPr>
        <w:t>1．  磋商小组</w:t>
      </w:r>
    </w:p>
    <w:p w14:paraId="52A1FAF0">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1.1  采购</w:t>
      </w:r>
      <w:r>
        <w:rPr>
          <w:rFonts w:hint="eastAsia" w:ascii="宋体" w:hAnsi="宋体"/>
          <w:color w:val="auto"/>
          <w:sz w:val="22"/>
          <w:szCs w:val="22"/>
          <w:highlight w:val="none"/>
          <w:lang w:eastAsia="zh-CN"/>
        </w:rPr>
        <w:t>人</w:t>
      </w:r>
      <w:r>
        <w:rPr>
          <w:rFonts w:hint="eastAsia" w:ascii="宋体" w:hAnsi="宋体"/>
          <w:color w:val="auto"/>
          <w:sz w:val="22"/>
          <w:szCs w:val="22"/>
          <w:highlight w:val="none"/>
        </w:rPr>
        <w:t>依法组建磋商小组。磋商小组由3人（含）以上的单数组成，负责对响应文件进行审查、质疑、评估和比较并与响应供应商进行磋商。</w:t>
      </w:r>
      <w:r>
        <w:rPr>
          <w:rFonts w:hint="eastAsia" w:ascii="宋体" w:hAnsi="宋体"/>
          <w:color w:val="auto"/>
          <w:sz w:val="22"/>
          <w:highlight w:val="none"/>
        </w:rPr>
        <w:t>磋商小组成员在磋商过程中必须严格遵守《中华人民共和国政府采购法》等有关法律、法规的规定。</w:t>
      </w:r>
    </w:p>
    <w:p w14:paraId="47AACAB2">
      <w:pPr>
        <w:spacing w:line="440" w:lineRule="exact"/>
        <w:rPr>
          <w:rFonts w:hint="eastAsia" w:ascii="宋体" w:hAnsi="宋体"/>
          <w:b/>
          <w:color w:val="auto"/>
          <w:sz w:val="22"/>
          <w:highlight w:val="none"/>
        </w:rPr>
      </w:pPr>
      <w:r>
        <w:rPr>
          <w:rFonts w:hint="eastAsia" w:ascii="宋体" w:hAnsi="宋体"/>
          <w:b/>
          <w:color w:val="auto"/>
          <w:sz w:val="22"/>
          <w:szCs w:val="22"/>
          <w:highlight w:val="none"/>
        </w:rPr>
        <w:t xml:space="preserve">2．  </w:t>
      </w:r>
      <w:r>
        <w:rPr>
          <w:rFonts w:hint="eastAsia" w:ascii="宋体" w:hAnsi="宋体"/>
          <w:b/>
          <w:color w:val="auto"/>
          <w:sz w:val="22"/>
          <w:highlight w:val="none"/>
        </w:rPr>
        <w:t>评审过程的保密性</w:t>
      </w:r>
    </w:p>
    <w:p w14:paraId="37FC3AA5">
      <w:pPr>
        <w:spacing w:line="440" w:lineRule="exact"/>
        <w:ind w:left="548" w:leftChars="261"/>
        <w:rPr>
          <w:rFonts w:hint="eastAsia" w:ascii="宋体" w:hAnsi="宋体"/>
          <w:b/>
          <w:color w:val="auto"/>
          <w:sz w:val="22"/>
          <w:highlight w:val="none"/>
        </w:rPr>
      </w:pPr>
      <w:r>
        <w:rPr>
          <w:rFonts w:hint="eastAsia" w:ascii="宋体" w:hAnsi="宋体"/>
          <w:b/>
          <w:color w:val="auto"/>
          <w:sz w:val="22"/>
          <w:highlight w:val="none"/>
        </w:rPr>
        <w:t>磋商开始后直至向成交供应商授予合同时止，凡与磋商有关的资料均不得向磋商供应商及与磋商无关人员透露。如果磋商供应商在磋商过程中试图向招标采购单位和磋商小组成员施加影响，或扰乱磋商和评审秩序，其响应将被拒绝。</w:t>
      </w:r>
    </w:p>
    <w:p w14:paraId="000D03D4">
      <w:pPr>
        <w:spacing w:line="440" w:lineRule="exact"/>
        <w:ind w:left="560" w:leftChars="4" w:hanging="552" w:hangingChars="250"/>
        <w:rPr>
          <w:rFonts w:ascii="宋体" w:hAnsi="宋体" w:cs="宋体"/>
          <w:b/>
          <w:bCs/>
          <w:color w:val="auto"/>
          <w:sz w:val="22"/>
          <w:szCs w:val="22"/>
          <w:highlight w:val="none"/>
        </w:rPr>
      </w:pPr>
      <w:r>
        <w:rPr>
          <w:rFonts w:hint="eastAsia" w:ascii="宋体" w:hAnsi="宋体" w:cs="宋体"/>
          <w:b/>
          <w:bCs/>
          <w:color w:val="auto"/>
          <w:sz w:val="22"/>
          <w:szCs w:val="22"/>
          <w:highlight w:val="none"/>
        </w:rPr>
        <w:t>3.   磋商前准备</w:t>
      </w:r>
    </w:p>
    <w:p w14:paraId="693110DD">
      <w:pPr>
        <w:spacing w:line="440" w:lineRule="exact"/>
        <w:ind w:left="558" w:leftChars="4" w:hanging="550" w:hangingChars="250"/>
        <w:rPr>
          <w:rFonts w:ascii="宋体" w:hAnsi="宋体" w:cs="宋体"/>
          <w:bCs/>
          <w:color w:val="auto"/>
          <w:sz w:val="22"/>
          <w:szCs w:val="22"/>
          <w:highlight w:val="none"/>
        </w:rPr>
      </w:pPr>
      <w:r>
        <w:rPr>
          <w:rFonts w:ascii="宋体" w:hAnsi="宋体" w:cs="宋体"/>
          <w:bCs/>
          <w:color w:val="auto"/>
          <w:sz w:val="22"/>
          <w:szCs w:val="22"/>
          <w:highlight w:val="none"/>
        </w:rPr>
        <w:t xml:space="preserve">3.1  </w:t>
      </w:r>
      <w:r>
        <w:rPr>
          <w:rFonts w:hint="eastAsia" w:ascii="宋体" w:hAnsi="宋体" w:cs="宋体"/>
          <w:bCs/>
          <w:color w:val="auto"/>
          <w:sz w:val="22"/>
          <w:szCs w:val="22"/>
          <w:highlight w:val="none"/>
        </w:rPr>
        <w:t>磋商响应文件签收及解密：由采购代理机构开始签收并开始解密磋商响应文件。</w:t>
      </w:r>
    </w:p>
    <w:p w14:paraId="4914A1D4">
      <w:pPr>
        <w:spacing w:line="440" w:lineRule="exact"/>
        <w:ind w:left="558" w:leftChars="4" w:hanging="550" w:hangingChars="250"/>
        <w:rPr>
          <w:rFonts w:ascii="宋体" w:hAnsi="宋体" w:cs="宋体"/>
          <w:bCs/>
          <w:color w:val="auto"/>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 xml:space="preserve">.2  </w:t>
      </w:r>
      <w:r>
        <w:rPr>
          <w:rFonts w:hint="eastAsia" w:ascii="宋体" w:hAnsi="宋体" w:cs="宋体"/>
          <w:bCs/>
          <w:color w:val="auto"/>
          <w:sz w:val="22"/>
          <w:szCs w:val="22"/>
          <w:highlight w:val="none"/>
        </w:rPr>
        <w:t>磋商响应文件解密：磋商响应文件递交截止时间后，磋商供应商登录政采云平台，用“项目采购-开标评标”功能对电子磋商响应文件进行在线解密。在线解密电子磋商响应文件时间为开标时间起半个小时内。磋商响应</w:t>
      </w:r>
      <w:r>
        <w:rPr>
          <w:rFonts w:ascii="宋体" w:hAnsi="宋体" w:cs="宋体"/>
          <w:bCs/>
          <w:color w:val="auto"/>
          <w:sz w:val="22"/>
          <w:szCs w:val="22"/>
          <w:highlight w:val="none"/>
        </w:rPr>
        <w:t>文件未按时解密，</w:t>
      </w:r>
      <w:r>
        <w:rPr>
          <w:rFonts w:hint="eastAsia" w:ascii="宋体" w:hAnsi="宋体" w:cs="宋体"/>
          <w:bCs/>
          <w:color w:val="auto"/>
          <w:sz w:val="22"/>
          <w:szCs w:val="22"/>
          <w:highlight w:val="none"/>
        </w:rPr>
        <w:t>磋商供应商</w:t>
      </w:r>
      <w:r>
        <w:rPr>
          <w:rFonts w:ascii="宋体" w:hAnsi="宋体" w:cs="宋体"/>
          <w:bCs/>
          <w:color w:val="auto"/>
          <w:sz w:val="22"/>
          <w:szCs w:val="22"/>
          <w:highlight w:val="none"/>
        </w:rPr>
        <w:t>提供了备份</w:t>
      </w:r>
      <w:r>
        <w:rPr>
          <w:rFonts w:hint="eastAsia" w:ascii="宋体" w:hAnsi="宋体" w:cs="宋体"/>
          <w:bCs/>
          <w:color w:val="auto"/>
          <w:sz w:val="22"/>
          <w:szCs w:val="22"/>
          <w:highlight w:val="none"/>
        </w:rPr>
        <w:t>磋商响应</w:t>
      </w:r>
      <w:r>
        <w:rPr>
          <w:rFonts w:ascii="宋体" w:hAnsi="宋体" w:cs="宋体"/>
          <w:bCs/>
          <w:color w:val="auto"/>
          <w:sz w:val="22"/>
          <w:szCs w:val="22"/>
          <w:highlight w:val="none"/>
        </w:rPr>
        <w:t>文件的，以备份</w:t>
      </w:r>
      <w:r>
        <w:rPr>
          <w:rFonts w:hint="eastAsia" w:ascii="宋体" w:hAnsi="宋体" w:cs="宋体"/>
          <w:bCs/>
          <w:color w:val="auto"/>
          <w:sz w:val="22"/>
          <w:szCs w:val="22"/>
          <w:highlight w:val="none"/>
        </w:rPr>
        <w:t>磋商响应</w:t>
      </w:r>
      <w:r>
        <w:rPr>
          <w:rFonts w:ascii="宋体" w:hAnsi="宋体" w:cs="宋体"/>
          <w:bCs/>
          <w:color w:val="auto"/>
          <w:sz w:val="22"/>
          <w:szCs w:val="22"/>
          <w:highlight w:val="none"/>
        </w:rPr>
        <w:t>文件作为依据，否则视为</w:t>
      </w:r>
      <w:r>
        <w:rPr>
          <w:rFonts w:hint="eastAsia" w:ascii="宋体" w:hAnsi="宋体" w:cs="宋体"/>
          <w:bCs/>
          <w:color w:val="auto"/>
          <w:sz w:val="22"/>
          <w:szCs w:val="22"/>
          <w:highlight w:val="none"/>
        </w:rPr>
        <w:t>磋商响应</w:t>
      </w:r>
      <w:r>
        <w:rPr>
          <w:rFonts w:ascii="宋体" w:hAnsi="宋体" w:cs="宋体"/>
          <w:bCs/>
          <w:color w:val="auto"/>
          <w:sz w:val="22"/>
          <w:szCs w:val="22"/>
          <w:highlight w:val="none"/>
        </w:rPr>
        <w:t>文件撤回。</w:t>
      </w:r>
      <w:r>
        <w:rPr>
          <w:rFonts w:hint="eastAsia" w:ascii="宋体" w:hAnsi="宋体" w:cs="宋体"/>
          <w:bCs/>
          <w:color w:val="auto"/>
          <w:sz w:val="22"/>
          <w:szCs w:val="22"/>
          <w:highlight w:val="none"/>
        </w:rPr>
        <w:t>磋商响应</w:t>
      </w:r>
      <w:r>
        <w:rPr>
          <w:rFonts w:ascii="宋体" w:hAnsi="宋体" w:cs="宋体"/>
          <w:bCs/>
          <w:color w:val="auto"/>
          <w:sz w:val="22"/>
          <w:szCs w:val="22"/>
          <w:highlight w:val="none"/>
        </w:rPr>
        <w:t>文件已按时解密的，备份</w:t>
      </w:r>
      <w:r>
        <w:rPr>
          <w:rFonts w:hint="eastAsia" w:ascii="宋体" w:hAnsi="宋体" w:cs="宋体"/>
          <w:bCs/>
          <w:color w:val="auto"/>
          <w:sz w:val="22"/>
          <w:szCs w:val="22"/>
          <w:highlight w:val="none"/>
        </w:rPr>
        <w:t>磋商响应</w:t>
      </w:r>
      <w:r>
        <w:rPr>
          <w:rFonts w:ascii="宋体" w:hAnsi="宋体" w:cs="宋体"/>
          <w:bCs/>
          <w:color w:val="auto"/>
          <w:sz w:val="22"/>
          <w:szCs w:val="22"/>
          <w:highlight w:val="none"/>
        </w:rPr>
        <w:t>文件自动失效。</w:t>
      </w:r>
    </w:p>
    <w:p w14:paraId="309FDCA8">
      <w:pPr>
        <w:spacing w:line="440" w:lineRule="exact"/>
        <w:ind w:left="558" w:leftChars="4"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rPr>
        <w:t>3</w:t>
      </w:r>
      <w:r>
        <w:rPr>
          <w:rFonts w:ascii="宋体" w:hAnsi="宋体" w:cs="宋体"/>
          <w:bCs/>
          <w:color w:val="auto"/>
          <w:sz w:val="22"/>
          <w:szCs w:val="22"/>
          <w:highlight w:val="none"/>
        </w:rPr>
        <w:t xml:space="preserve">.3  </w:t>
      </w:r>
      <w:r>
        <w:rPr>
          <w:rFonts w:hint="eastAsia" w:ascii="宋体" w:hAnsi="宋体" w:cs="宋体"/>
          <w:bCs/>
          <w:color w:val="auto"/>
          <w:sz w:val="22"/>
          <w:szCs w:val="22"/>
          <w:highlight w:val="none"/>
        </w:rPr>
        <w:t>磋商响应文件解密结束。磋商供应商在线解密磋商响应文件完毕后，由采购代理机构结束解密磋商响应文件。</w:t>
      </w:r>
    </w:p>
    <w:p w14:paraId="7375F299">
      <w:pPr>
        <w:spacing w:line="440" w:lineRule="exact"/>
        <w:ind w:left="552" w:hanging="552" w:hangingChars="250"/>
        <w:rPr>
          <w:rFonts w:hint="eastAsia" w:ascii="宋体" w:hAnsi="宋体"/>
          <w:color w:val="auto"/>
          <w:sz w:val="22"/>
          <w:szCs w:val="22"/>
          <w:highlight w:val="none"/>
        </w:rPr>
      </w:pPr>
      <w:r>
        <w:rPr>
          <w:rFonts w:hint="eastAsia" w:ascii="宋体" w:hAnsi="宋体"/>
          <w:b/>
          <w:color w:val="auto"/>
          <w:sz w:val="22"/>
          <w:szCs w:val="22"/>
          <w:highlight w:val="none"/>
        </w:rPr>
        <w:t>4    磋商和评审</w:t>
      </w:r>
    </w:p>
    <w:p w14:paraId="6DEF3022">
      <w:pPr>
        <w:spacing w:line="440" w:lineRule="exact"/>
        <w:ind w:left="552" w:hanging="552" w:hangingChars="250"/>
        <w:rPr>
          <w:rFonts w:hint="eastAsia" w:ascii="宋体" w:hAnsi="宋体"/>
          <w:color w:val="auto"/>
          <w:sz w:val="22"/>
          <w:szCs w:val="22"/>
          <w:highlight w:val="none"/>
        </w:rPr>
      </w:pPr>
      <w:r>
        <w:rPr>
          <w:rFonts w:hint="eastAsia" w:ascii="宋体" w:hAnsi="宋体"/>
          <w:b/>
          <w:color w:val="auto"/>
          <w:sz w:val="22"/>
          <w:szCs w:val="22"/>
          <w:highlight w:val="none"/>
        </w:rPr>
        <w:t>4.</w:t>
      </w:r>
      <w:r>
        <w:rPr>
          <w:rFonts w:ascii="宋体" w:hAnsi="宋体"/>
          <w:b/>
          <w:color w:val="auto"/>
          <w:sz w:val="22"/>
          <w:szCs w:val="22"/>
          <w:highlight w:val="none"/>
        </w:rPr>
        <w:t>1</w:t>
      </w:r>
      <w:r>
        <w:rPr>
          <w:rFonts w:hint="eastAsia" w:ascii="宋体" w:hAnsi="宋体"/>
          <w:b/>
          <w:color w:val="auto"/>
          <w:sz w:val="22"/>
          <w:szCs w:val="22"/>
          <w:highlight w:val="none"/>
        </w:rPr>
        <w:t xml:space="preserve">  磋商资格审查</w:t>
      </w:r>
    </w:p>
    <w:p w14:paraId="2D21CFA8">
      <w:pPr>
        <w:spacing w:line="440" w:lineRule="exact"/>
        <w:ind w:left="533" w:leftChars="254"/>
        <w:rPr>
          <w:rFonts w:hint="eastAsia" w:ascii="宋体" w:hAnsi="宋体" w:cs="宋体"/>
          <w:bCs/>
          <w:color w:val="auto"/>
          <w:sz w:val="22"/>
          <w:szCs w:val="22"/>
          <w:highlight w:val="none"/>
        </w:rPr>
      </w:pPr>
      <w:r>
        <w:rPr>
          <w:rFonts w:hint="eastAsia" w:ascii="宋体" w:hAnsi="宋体" w:cs="宋体"/>
          <w:bCs/>
          <w:color w:val="auto"/>
          <w:sz w:val="22"/>
          <w:szCs w:val="22"/>
          <w:highlight w:val="none"/>
        </w:rPr>
        <w:t>采购人或采购代理机构依据法律、法规和磋商文件的规定，对各磋商响应文件中的资格证明在线进行审查，以确定是否具备磋商资格。</w:t>
      </w:r>
      <w:r>
        <w:rPr>
          <w:rFonts w:hint="eastAsia" w:ascii="宋体" w:hAnsi="宋体" w:cs="宋体"/>
          <w:b/>
          <w:color w:val="auto"/>
          <w:sz w:val="22"/>
          <w:szCs w:val="22"/>
          <w:highlight w:val="none"/>
        </w:rPr>
        <w:t>▲</w:t>
      </w:r>
      <w:r>
        <w:rPr>
          <w:rFonts w:hint="eastAsia" w:ascii="宋体" w:hAnsi="宋体" w:cs="宋体"/>
          <w:bCs/>
          <w:color w:val="auto"/>
          <w:sz w:val="22"/>
          <w:szCs w:val="22"/>
          <w:highlight w:val="none"/>
          <w:u w:val="single"/>
        </w:rPr>
        <w:t>只要有一项审查不合格，则该磋商供应商的资格审查不合格，审查不合格的磋商响应文件将不予评审。</w:t>
      </w:r>
    </w:p>
    <w:p w14:paraId="0954AFC2">
      <w:pPr>
        <w:spacing w:line="440" w:lineRule="exact"/>
        <w:ind w:left="552" w:hanging="552" w:hangingChars="250"/>
        <w:rPr>
          <w:rFonts w:hint="eastAsia" w:ascii="宋体" w:hAnsi="宋体"/>
          <w:color w:val="auto"/>
          <w:sz w:val="22"/>
          <w:szCs w:val="22"/>
          <w:highlight w:val="none"/>
        </w:rPr>
      </w:pPr>
      <w:r>
        <w:rPr>
          <w:rFonts w:hint="eastAsia" w:ascii="宋体" w:hAnsi="宋体"/>
          <w:b/>
          <w:color w:val="auto"/>
          <w:sz w:val="22"/>
          <w:szCs w:val="22"/>
          <w:highlight w:val="none"/>
        </w:rPr>
        <w:t>4.</w:t>
      </w:r>
      <w:r>
        <w:rPr>
          <w:rFonts w:ascii="宋体" w:hAnsi="宋体"/>
          <w:b/>
          <w:color w:val="auto"/>
          <w:sz w:val="22"/>
          <w:szCs w:val="22"/>
          <w:highlight w:val="none"/>
        </w:rPr>
        <w:t>2</w:t>
      </w:r>
      <w:r>
        <w:rPr>
          <w:rFonts w:hint="eastAsia" w:ascii="宋体" w:hAnsi="宋体"/>
          <w:b/>
          <w:color w:val="auto"/>
          <w:sz w:val="22"/>
          <w:szCs w:val="22"/>
          <w:highlight w:val="none"/>
        </w:rPr>
        <w:t xml:space="preserve">  响应文件的评审</w:t>
      </w:r>
    </w:p>
    <w:p w14:paraId="7C4F89E6">
      <w:pPr>
        <w:spacing w:line="440" w:lineRule="exact"/>
        <w:ind w:left="548" w:leftChars="261"/>
        <w:rPr>
          <w:rFonts w:hint="eastAsia" w:ascii="宋体" w:hAnsi="宋体"/>
          <w:color w:val="auto"/>
          <w:sz w:val="22"/>
          <w:szCs w:val="22"/>
          <w:highlight w:val="none"/>
        </w:rPr>
      </w:pPr>
      <w:r>
        <w:rPr>
          <w:rFonts w:hint="eastAsia" w:ascii="宋体" w:hAnsi="宋体"/>
          <w:color w:val="auto"/>
          <w:sz w:val="22"/>
          <w:szCs w:val="22"/>
          <w:highlight w:val="none"/>
        </w:rPr>
        <w:t>磋商小组根据竞争性磋商文件的规定，对响应文件的有效性、完整性和对竞争性磋商文件的响应程度进行审查，以确定其是否对磋商文件作出了实质性响应。实质上没有响应磋商文件要求的响应按无效处理。磋商小组对响应文件是否实质上响应磋商文件的要求是根据响应文件本身而不是依据外部证明。</w:t>
      </w:r>
    </w:p>
    <w:p w14:paraId="1010F96D">
      <w:pPr>
        <w:spacing w:line="440" w:lineRule="exact"/>
        <w:ind w:left="554" w:leftChars="1" w:hanging="552" w:hangingChars="250"/>
        <w:rPr>
          <w:rFonts w:hint="eastAsia" w:ascii="宋体" w:hAnsi="宋体"/>
          <w:color w:val="auto"/>
          <w:sz w:val="22"/>
          <w:szCs w:val="22"/>
          <w:highlight w:val="none"/>
        </w:rPr>
      </w:pPr>
      <w:r>
        <w:rPr>
          <w:rFonts w:hint="eastAsia" w:ascii="宋体" w:hAnsi="宋体"/>
          <w:b/>
          <w:color w:val="auto"/>
          <w:sz w:val="22"/>
          <w:szCs w:val="22"/>
          <w:highlight w:val="none"/>
        </w:rPr>
        <w:t>4.</w:t>
      </w:r>
      <w:r>
        <w:rPr>
          <w:rFonts w:ascii="宋体" w:hAnsi="宋体"/>
          <w:b/>
          <w:color w:val="auto"/>
          <w:sz w:val="22"/>
          <w:szCs w:val="22"/>
          <w:highlight w:val="none"/>
        </w:rPr>
        <w:t>3</w:t>
      </w:r>
      <w:r>
        <w:rPr>
          <w:rFonts w:hint="eastAsia" w:ascii="宋体" w:hAnsi="宋体"/>
          <w:b/>
          <w:color w:val="auto"/>
          <w:sz w:val="22"/>
          <w:szCs w:val="22"/>
          <w:highlight w:val="none"/>
        </w:rPr>
        <w:t xml:space="preserve">  竞争性磋商</w:t>
      </w:r>
    </w:p>
    <w:p w14:paraId="04C880C5">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（1）磋商小组所有成员根据磋商文件规定的程序、评定成交标准等事项与实质性响应磋商文件要求的供应商进行在线磋商。</w:t>
      </w:r>
    </w:p>
    <w:p w14:paraId="5D745C44">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2）磋商小组将遵循公平、公正的原则，采用相同的程序和标准，集中与单一供应商分别进行磋商。磋商主要针对磋商供应商提供货物或服务的价格、技术性能、质量水平和保证措施、交货时间、安装实施方案、售后服务及承诺、培训计划、履约能力、付款方式等方面进行磋商和综合分析考评。</w:t>
      </w:r>
    </w:p>
    <w:p w14:paraId="7CEA3596">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（3）在磋商过程中，磋商的任何一方都不得透露与磋商有关的其他供应商的技术资料、价格和其他信息。</w:t>
      </w:r>
    </w:p>
    <w:p w14:paraId="1C4047CF">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（4）在磋商过程中，磋商小组可以根据磋商文件和响应情况实质性变动采购需求中的技术、服务要求以及合同草案条款，但不得变动磋商文件的其他内容。实质性变动的内容，须经采购人代表确认。</w:t>
      </w:r>
    </w:p>
    <w:p w14:paraId="0CB1B3EE">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rPr>
        <w:t>（5）对磋商文件作出的实质性变动是磋商文件的有效组成部分，磋商小组应及时以书面形式通知所有参加磋商的供应商。</w:t>
      </w:r>
    </w:p>
    <w:p w14:paraId="55E79660">
      <w:pPr>
        <w:spacing w:line="440" w:lineRule="exact"/>
        <w:ind w:left="550" w:hanging="550" w:hangingChars="250"/>
        <w:rPr>
          <w:rFonts w:hint="eastAsia" w:ascii="宋体" w:hAnsi="宋体" w:cs="Arial"/>
          <w:color w:val="auto"/>
          <w:kern w:val="0"/>
          <w:sz w:val="22"/>
          <w:szCs w:val="22"/>
          <w:highlight w:val="none"/>
        </w:rPr>
      </w:pPr>
      <w:r>
        <w:rPr>
          <w:rFonts w:hint="eastAsia" w:ascii="宋体" w:hAnsi="宋体"/>
          <w:color w:val="auto"/>
          <w:sz w:val="22"/>
          <w:szCs w:val="22"/>
          <w:highlight w:val="none"/>
        </w:rPr>
        <w:t>（6）</w:t>
      </w:r>
      <w:r>
        <w:rPr>
          <w:rFonts w:ascii="宋体" w:hAnsi="宋体" w:cs="Arial"/>
          <w:color w:val="auto"/>
          <w:kern w:val="0"/>
          <w:sz w:val="22"/>
          <w:szCs w:val="22"/>
          <w:highlight w:val="none"/>
        </w:rPr>
        <w:t>供应商应当按照磋商文件的变动情况和磋商小组的要求重新提交响应文件，并</w:t>
      </w:r>
      <w:r>
        <w:rPr>
          <w:rFonts w:hint="eastAsia" w:ascii="宋体" w:hAnsi="宋体" w:cs="Arial"/>
          <w:color w:val="auto"/>
          <w:kern w:val="0"/>
          <w:sz w:val="22"/>
          <w:szCs w:val="22"/>
          <w:highlight w:val="none"/>
        </w:rPr>
        <w:t>根据磋商文件的规定对磋商响应文件进行电子盖章及签署</w:t>
      </w:r>
      <w:r>
        <w:rPr>
          <w:rFonts w:ascii="宋体" w:hAnsi="宋体" w:cs="Arial"/>
          <w:color w:val="auto"/>
          <w:kern w:val="0"/>
          <w:sz w:val="22"/>
          <w:szCs w:val="22"/>
          <w:highlight w:val="none"/>
        </w:rPr>
        <w:t>。</w:t>
      </w:r>
    </w:p>
    <w:p w14:paraId="35DF7CDC">
      <w:pPr>
        <w:widowControl/>
        <w:spacing w:line="440" w:lineRule="exact"/>
        <w:ind w:left="552" w:hanging="552" w:hangingChars="250"/>
        <w:jc w:val="left"/>
        <w:rPr>
          <w:rFonts w:hint="eastAsia" w:ascii="宋体" w:hAnsi="宋体" w:cs="Arial"/>
          <w:color w:val="auto"/>
          <w:kern w:val="0"/>
          <w:sz w:val="22"/>
          <w:szCs w:val="22"/>
          <w:highlight w:val="none"/>
        </w:rPr>
      </w:pPr>
      <w:r>
        <w:rPr>
          <w:rFonts w:hint="eastAsia" w:ascii="宋体" w:hAnsi="宋体"/>
          <w:b/>
          <w:color w:val="auto"/>
          <w:sz w:val="22"/>
          <w:szCs w:val="22"/>
          <w:highlight w:val="none"/>
        </w:rPr>
        <w:t>4.</w:t>
      </w:r>
      <w:r>
        <w:rPr>
          <w:rFonts w:ascii="宋体" w:hAnsi="宋体"/>
          <w:b/>
          <w:color w:val="auto"/>
          <w:sz w:val="22"/>
          <w:szCs w:val="22"/>
          <w:highlight w:val="none"/>
        </w:rPr>
        <w:t>4</w:t>
      </w:r>
      <w:r>
        <w:rPr>
          <w:rFonts w:hint="eastAsia" w:ascii="宋体" w:hAnsi="宋体"/>
          <w:b/>
          <w:color w:val="auto"/>
          <w:sz w:val="22"/>
          <w:szCs w:val="22"/>
          <w:highlight w:val="none"/>
        </w:rPr>
        <w:t xml:space="preserve">  </w:t>
      </w:r>
      <w:r>
        <w:rPr>
          <w:rFonts w:hint="eastAsia" w:ascii="宋体" w:hAnsi="宋体" w:cs="Arial"/>
          <w:b/>
          <w:color w:val="auto"/>
          <w:kern w:val="0"/>
          <w:sz w:val="22"/>
          <w:szCs w:val="22"/>
          <w:highlight w:val="none"/>
        </w:rPr>
        <w:t>最后报价</w:t>
      </w:r>
    </w:p>
    <w:p w14:paraId="6968C336">
      <w:pPr>
        <w:widowControl/>
        <w:spacing w:line="440" w:lineRule="exact"/>
        <w:ind w:left="550" w:hanging="550" w:hangingChars="250"/>
        <w:jc w:val="left"/>
        <w:rPr>
          <w:rFonts w:ascii="宋体" w:hAnsi="宋体"/>
          <w:color w:val="auto"/>
          <w:sz w:val="22"/>
          <w:szCs w:val="22"/>
          <w:highlight w:val="none"/>
        </w:rPr>
      </w:pPr>
      <w:r>
        <w:rPr>
          <w:rFonts w:hint="eastAsia" w:ascii="宋体" w:hAnsi="宋体"/>
          <w:color w:val="auto"/>
          <w:sz w:val="22"/>
          <w:szCs w:val="22"/>
          <w:highlight w:val="none"/>
        </w:rPr>
        <w:t>（1）磋商文件能够详细列明采购标的的技术、服务要求的，磋商结束后，磋商小组应当要求所有实质性响应的供应商在规定时间内提交最后报价，提交最后报价的供应商不得少于</w:t>
      </w:r>
      <w:r>
        <w:rPr>
          <w:rFonts w:ascii="宋体" w:hAnsi="宋体"/>
          <w:color w:val="auto"/>
          <w:sz w:val="22"/>
          <w:szCs w:val="22"/>
          <w:highlight w:val="none"/>
        </w:rPr>
        <w:t>3</w:t>
      </w:r>
      <w:r>
        <w:rPr>
          <w:rFonts w:hint="eastAsia" w:ascii="宋体" w:hAnsi="宋体"/>
          <w:color w:val="auto"/>
          <w:sz w:val="22"/>
          <w:szCs w:val="22"/>
          <w:highlight w:val="none"/>
        </w:rPr>
        <w:t>家。</w:t>
      </w:r>
    </w:p>
    <w:p w14:paraId="721F2762">
      <w:pPr>
        <w:widowControl/>
        <w:spacing w:line="440" w:lineRule="exact"/>
        <w:ind w:left="550" w:hanging="550" w:hangingChars="250"/>
        <w:jc w:val="left"/>
        <w:rPr>
          <w:rFonts w:ascii="宋体" w:hAnsi="宋体"/>
          <w:color w:val="auto"/>
          <w:sz w:val="22"/>
          <w:szCs w:val="22"/>
          <w:highlight w:val="none"/>
        </w:rPr>
      </w:pPr>
      <w:r>
        <w:rPr>
          <w:rFonts w:hint="eastAsia" w:ascii="宋体" w:hAnsi="宋体"/>
          <w:color w:val="auto"/>
          <w:sz w:val="22"/>
          <w:szCs w:val="22"/>
          <w:highlight w:val="none"/>
        </w:rPr>
        <w:t>（2）磋商文件不能详细列明采购标的的技术、服务要求，需经磋商由供应商提供最终设计方案或解决方案的，磋商结束后，磋商小组应当按照少数服从多数的原则投票推荐</w:t>
      </w:r>
      <w:r>
        <w:rPr>
          <w:rFonts w:ascii="宋体" w:hAnsi="宋体"/>
          <w:color w:val="auto"/>
          <w:sz w:val="22"/>
          <w:szCs w:val="22"/>
          <w:highlight w:val="none"/>
        </w:rPr>
        <w:t>3</w:t>
      </w:r>
      <w:r>
        <w:rPr>
          <w:rFonts w:hint="eastAsia" w:ascii="宋体" w:hAnsi="宋体"/>
          <w:color w:val="auto"/>
          <w:sz w:val="22"/>
          <w:szCs w:val="22"/>
          <w:highlight w:val="none"/>
        </w:rPr>
        <w:t>家以上供应商的设计方案或者解决方案，并要求其在规定时间内提交最后报价。</w:t>
      </w:r>
      <w:r>
        <w:rPr>
          <w:rFonts w:hint="eastAsia" w:ascii="宋体" w:hAnsi="宋体"/>
          <w:color w:val="auto"/>
          <w:sz w:val="22"/>
          <w:szCs w:val="22"/>
          <w:highlight w:val="none"/>
          <w:lang w:eastAsia="zh-CN"/>
        </w:rPr>
        <w:t>（</w:t>
      </w:r>
      <w:r>
        <w:rPr>
          <w:rFonts w:hint="eastAsia" w:ascii="宋体" w:hAnsi="宋体" w:eastAsia="宋体" w:cs="Arial"/>
          <w:color w:val="auto"/>
          <w:kern w:val="0"/>
          <w:sz w:val="22"/>
          <w:szCs w:val="22"/>
          <w:highlight w:val="none"/>
        </w:rPr>
        <w:t>最后磋商报价后的计算，按照：最后磋商报价/第一次报价=调整下浮率（相关政策规定的固定取费费率不下浮）；固定单价按照下浮率进行调整。</w:t>
      </w:r>
      <w:r>
        <w:rPr>
          <w:rFonts w:hint="eastAsia" w:ascii="宋体" w:hAnsi="宋体"/>
          <w:color w:val="auto"/>
          <w:sz w:val="22"/>
          <w:szCs w:val="22"/>
          <w:highlight w:val="none"/>
          <w:lang w:eastAsia="zh-CN"/>
        </w:rPr>
        <w:t>）</w:t>
      </w:r>
    </w:p>
    <w:p w14:paraId="1466FA94">
      <w:pPr>
        <w:widowControl/>
        <w:spacing w:line="440" w:lineRule="exact"/>
        <w:ind w:left="550" w:hanging="550" w:hangingChars="250"/>
        <w:jc w:val="left"/>
        <w:rPr>
          <w:rFonts w:ascii="宋体" w:hAnsi="宋体" w:cs="Arial"/>
          <w:color w:val="auto"/>
          <w:kern w:val="0"/>
          <w:sz w:val="22"/>
          <w:szCs w:val="22"/>
          <w:highlight w:val="none"/>
        </w:rPr>
      </w:pPr>
      <w:r>
        <w:rPr>
          <w:rFonts w:hint="eastAsia" w:ascii="宋体" w:hAnsi="宋体" w:eastAsia="宋体" w:cs="Arial"/>
          <w:color w:val="auto"/>
          <w:kern w:val="0"/>
          <w:sz w:val="22"/>
          <w:szCs w:val="22"/>
          <w:highlight w:val="none"/>
        </w:rPr>
        <w:t>（3）已提交响应文件的供应商，在提交最后报价之前，可以根据磋商情况退出磋商。</w:t>
      </w:r>
    </w:p>
    <w:p w14:paraId="580D842B">
      <w:pPr>
        <w:spacing w:line="440" w:lineRule="exact"/>
        <w:ind w:left="552" w:hanging="552" w:hangingChars="250"/>
        <w:rPr>
          <w:rFonts w:hint="eastAsia" w:ascii="宋体" w:hAnsi="宋体" w:cs="Arial"/>
          <w:b/>
          <w:color w:val="auto"/>
          <w:kern w:val="0"/>
          <w:sz w:val="22"/>
          <w:szCs w:val="22"/>
          <w:highlight w:val="none"/>
        </w:rPr>
      </w:pPr>
      <w:r>
        <w:rPr>
          <w:rFonts w:hint="eastAsia" w:ascii="宋体" w:hAnsi="宋体" w:cs="Arial"/>
          <w:b/>
          <w:color w:val="auto"/>
          <w:kern w:val="0"/>
          <w:sz w:val="22"/>
          <w:szCs w:val="22"/>
          <w:highlight w:val="none"/>
        </w:rPr>
        <w:t>4.</w:t>
      </w:r>
      <w:r>
        <w:rPr>
          <w:rFonts w:ascii="宋体" w:hAnsi="宋体" w:cs="Arial"/>
          <w:b/>
          <w:color w:val="auto"/>
          <w:kern w:val="0"/>
          <w:sz w:val="22"/>
          <w:szCs w:val="22"/>
          <w:highlight w:val="none"/>
        </w:rPr>
        <w:t>5</w:t>
      </w:r>
      <w:r>
        <w:rPr>
          <w:rFonts w:hint="eastAsia" w:ascii="宋体" w:hAnsi="宋体" w:cs="Arial"/>
          <w:b/>
          <w:color w:val="auto"/>
          <w:kern w:val="0"/>
          <w:sz w:val="22"/>
          <w:szCs w:val="22"/>
          <w:highlight w:val="none"/>
        </w:rPr>
        <w:t xml:space="preserve">  综合评分</w:t>
      </w:r>
    </w:p>
    <w:p w14:paraId="6EFA8173">
      <w:pPr>
        <w:spacing w:line="440" w:lineRule="exact"/>
        <w:ind w:left="550" w:hanging="550" w:hangingChars="250"/>
        <w:rPr>
          <w:rFonts w:ascii="宋体" w:hAnsi="宋体" w:cs="Arial"/>
          <w:color w:val="auto"/>
          <w:kern w:val="0"/>
          <w:sz w:val="22"/>
          <w:szCs w:val="22"/>
          <w:highlight w:val="none"/>
        </w:rPr>
      </w:pPr>
      <w:r>
        <w:rPr>
          <w:rFonts w:hint="eastAsia" w:ascii="宋体" w:hAnsi="宋体" w:cs="Arial"/>
          <w:color w:val="auto"/>
          <w:kern w:val="0"/>
          <w:sz w:val="22"/>
          <w:szCs w:val="22"/>
          <w:highlight w:val="none"/>
        </w:rPr>
        <w:t>（1）经磋商确定最终采购需求和提交最后报价的供应商后，由磋商小组采用综合评分法对提交最后报价的供应商的响应文件和最后报价进行综合评分。</w:t>
      </w:r>
    </w:p>
    <w:p w14:paraId="5E0CAA46">
      <w:pPr>
        <w:spacing w:line="440" w:lineRule="exact"/>
        <w:ind w:left="550" w:hanging="550" w:hangingChars="250"/>
        <w:rPr>
          <w:rFonts w:ascii="宋体" w:hAnsi="宋体" w:cs="Arial"/>
          <w:color w:val="auto"/>
          <w:kern w:val="0"/>
          <w:sz w:val="22"/>
          <w:szCs w:val="22"/>
          <w:highlight w:val="none"/>
        </w:rPr>
      </w:pPr>
      <w:r>
        <w:rPr>
          <w:rFonts w:hint="eastAsia" w:ascii="宋体" w:hAnsi="宋体" w:cs="Arial"/>
          <w:color w:val="auto"/>
          <w:kern w:val="0"/>
          <w:sz w:val="22"/>
          <w:szCs w:val="22"/>
          <w:highlight w:val="none"/>
        </w:rPr>
        <w:t>（2）综合评分法，是指响应文件满足磋商文件全部实质性要求且按评审因素的量化指标评审得分最高的供应商为成交候选供应商的评审方法。</w:t>
      </w:r>
    </w:p>
    <w:p w14:paraId="5E9444A0">
      <w:pPr>
        <w:spacing w:line="440" w:lineRule="exact"/>
        <w:ind w:left="550" w:hanging="550" w:hangingChars="250"/>
        <w:rPr>
          <w:rFonts w:ascii="宋体" w:hAnsi="宋体" w:cs="Arial"/>
          <w:color w:val="auto"/>
          <w:kern w:val="0"/>
          <w:sz w:val="22"/>
          <w:szCs w:val="22"/>
          <w:highlight w:val="none"/>
        </w:rPr>
      </w:pPr>
      <w:r>
        <w:rPr>
          <w:rFonts w:hint="eastAsia" w:ascii="宋体" w:hAnsi="宋体" w:cs="Arial"/>
          <w:color w:val="auto"/>
          <w:kern w:val="0"/>
          <w:sz w:val="22"/>
          <w:szCs w:val="22"/>
          <w:highlight w:val="none"/>
        </w:rPr>
        <w:t>（3）综合评分法评审标准中的分值设置应当与评审因素的量化指标相对应。磋商文件中没有规定的评审标准不得作为评审依据。</w:t>
      </w:r>
    </w:p>
    <w:p w14:paraId="6E694B0F">
      <w:pPr>
        <w:spacing w:line="440" w:lineRule="exact"/>
        <w:ind w:left="550" w:hanging="550" w:hangingChars="250"/>
        <w:rPr>
          <w:rFonts w:ascii="宋体" w:hAnsi="宋体" w:cs="Arial"/>
          <w:color w:val="auto"/>
          <w:kern w:val="0"/>
          <w:sz w:val="22"/>
          <w:szCs w:val="22"/>
          <w:highlight w:val="none"/>
        </w:rPr>
      </w:pPr>
      <w:r>
        <w:rPr>
          <w:rFonts w:hint="eastAsia" w:ascii="宋体" w:hAnsi="宋体" w:cs="Arial"/>
          <w:color w:val="auto"/>
          <w:kern w:val="0"/>
          <w:sz w:val="22"/>
          <w:szCs w:val="22"/>
          <w:highlight w:val="none"/>
        </w:rPr>
        <w:t>（4）评审时，磋商小组各成员应当独立对每个有效响应的文件进行评价、打分，然后汇总每个供应商每项评分因素的得分。</w:t>
      </w:r>
    </w:p>
    <w:p w14:paraId="736AE40B">
      <w:pPr>
        <w:spacing w:line="440" w:lineRule="exact"/>
        <w:rPr>
          <w:rFonts w:hint="eastAsia" w:ascii="宋体" w:hAnsi="宋体"/>
          <w:color w:val="auto"/>
          <w:sz w:val="22"/>
          <w:szCs w:val="22"/>
          <w:highlight w:val="none"/>
        </w:rPr>
      </w:pPr>
      <w:r>
        <w:rPr>
          <w:rFonts w:hint="eastAsia" w:ascii="宋体" w:hAnsi="宋体"/>
          <w:color w:val="auto"/>
          <w:sz w:val="22"/>
          <w:highlight w:val="none"/>
        </w:rPr>
        <w:t xml:space="preserve">5．  </w:t>
      </w:r>
      <w:r>
        <w:rPr>
          <w:rFonts w:hint="eastAsia" w:ascii="宋体" w:hAnsi="宋体"/>
          <w:b/>
          <w:color w:val="auto"/>
          <w:sz w:val="22"/>
          <w:highlight w:val="none"/>
        </w:rPr>
        <w:t>响应文件的澄清</w:t>
      </w:r>
    </w:p>
    <w:p w14:paraId="563CA3BC">
      <w:pPr>
        <w:tabs>
          <w:tab w:val="left" w:pos="1365"/>
        </w:tabs>
        <w:spacing w:line="440" w:lineRule="exact"/>
        <w:ind w:left="558" w:leftChars="4" w:hanging="550" w:hangingChars="250"/>
        <w:rPr>
          <w:rFonts w:hint="eastAsia" w:ascii="宋体" w:hAnsi="宋体" w:cs="Arial"/>
          <w:color w:val="auto"/>
          <w:kern w:val="0"/>
          <w:sz w:val="22"/>
          <w:szCs w:val="22"/>
          <w:highlight w:val="none"/>
        </w:rPr>
      </w:pPr>
      <w:r>
        <w:rPr>
          <w:rFonts w:hint="eastAsia" w:ascii="宋体" w:hAnsi="宋体"/>
          <w:color w:val="auto"/>
          <w:sz w:val="22"/>
          <w:highlight w:val="none"/>
        </w:rPr>
        <w:t xml:space="preserve">5.1  </w:t>
      </w:r>
      <w:r>
        <w:rPr>
          <w:rFonts w:ascii="宋体" w:hAnsi="宋体" w:cs="Arial"/>
          <w:color w:val="auto"/>
          <w:kern w:val="0"/>
          <w:sz w:val="22"/>
          <w:szCs w:val="22"/>
          <w:highlight w:val="none"/>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ascii="宋体" w:hAnsi="宋体"/>
          <w:color w:val="auto"/>
          <w:sz w:val="22"/>
          <w:highlight w:val="none"/>
        </w:rPr>
        <w:t>拒不按要求对其响应文件进行澄清，说明或更正的磋商供应商，磋商小组可以认定其响应文件无效。</w:t>
      </w:r>
    </w:p>
    <w:p w14:paraId="0971F8DC">
      <w:pPr>
        <w:tabs>
          <w:tab w:val="left" w:pos="1365"/>
        </w:tabs>
        <w:spacing w:line="440" w:lineRule="exact"/>
        <w:ind w:left="550" w:hanging="550" w:hangingChars="250"/>
        <w:rPr>
          <w:rFonts w:ascii="宋体" w:hAnsi="宋体" w:cs="Arial"/>
          <w:color w:val="auto"/>
          <w:kern w:val="0"/>
          <w:sz w:val="22"/>
          <w:szCs w:val="22"/>
          <w:highlight w:val="none"/>
        </w:rPr>
      </w:pPr>
      <w:r>
        <w:rPr>
          <w:rFonts w:hint="eastAsia" w:ascii="宋体" w:hAnsi="宋体" w:cs="Arial"/>
          <w:color w:val="auto"/>
          <w:kern w:val="0"/>
          <w:sz w:val="22"/>
          <w:szCs w:val="22"/>
          <w:highlight w:val="none"/>
        </w:rPr>
        <w:t xml:space="preserve">5.2  </w:t>
      </w:r>
      <w:r>
        <w:rPr>
          <w:rFonts w:hint="eastAsia" w:ascii="宋体" w:hAnsi="宋体" w:cs="宋体"/>
          <w:color w:val="auto"/>
          <w:sz w:val="22"/>
          <w:szCs w:val="22"/>
          <w:highlight w:val="none"/>
        </w:rPr>
        <w:t>磋商供应商的澄清、说明或者补正应当采用电子传输形式。磋商供应商的澄清、说明或者补正不得超出磋商响应文件的范围或者改变磋商响应文件的实质性内容。</w:t>
      </w:r>
    </w:p>
    <w:p w14:paraId="31396B16">
      <w:pPr>
        <w:tabs>
          <w:tab w:val="left" w:pos="1365"/>
        </w:tabs>
        <w:spacing w:line="440" w:lineRule="exact"/>
        <w:ind w:left="558" w:leftChars="4" w:hanging="550" w:hangingChars="250"/>
        <w:rPr>
          <w:rFonts w:hint="eastAsia" w:ascii="宋体" w:hAnsi="宋体"/>
          <w:color w:val="auto"/>
          <w:sz w:val="22"/>
          <w:highlight w:val="none"/>
        </w:rPr>
      </w:pPr>
      <w:r>
        <w:rPr>
          <w:rFonts w:hint="eastAsia" w:ascii="宋体" w:hAnsi="宋体"/>
          <w:color w:val="auto"/>
          <w:sz w:val="22"/>
          <w:highlight w:val="none"/>
        </w:rPr>
        <w:t xml:space="preserve">5.3  </w:t>
      </w:r>
      <w:r>
        <w:rPr>
          <w:rFonts w:hint="eastAsia" w:ascii="宋体" w:hAnsi="宋体"/>
          <w:b/>
          <w:color w:val="auto"/>
          <w:sz w:val="22"/>
          <w:highlight w:val="none"/>
        </w:rPr>
        <w:t>经澄清后，若偏差仍存在，且不可接受，响应文件则被认为是“没有实质性响应磋商文件要求”，不进入下一步评审。</w:t>
      </w:r>
    </w:p>
    <w:p w14:paraId="031EBD14">
      <w:pPr>
        <w:tabs>
          <w:tab w:val="left" w:pos="1365"/>
        </w:tabs>
        <w:spacing w:line="440" w:lineRule="exact"/>
        <w:ind w:left="549" w:leftChars="4" w:hanging="541" w:hangingChars="245"/>
        <w:rPr>
          <w:rFonts w:hint="eastAsia" w:ascii="宋体" w:hAnsi="宋体"/>
          <w:color w:val="auto"/>
          <w:sz w:val="22"/>
          <w:highlight w:val="none"/>
        </w:rPr>
      </w:pPr>
      <w:r>
        <w:rPr>
          <w:rFonts w:hint="eastAsia" w:ascii="宋体" w:hAnsi="宋体"/>
          <w:b/>
          <w:color w:val="auto"/>
          <w:sz w:val="22"/>
          <w:highlight w:val="none"/>
        </w:rPr>
        <w:t xml:space="preserve">6. </w:t>
      </w:r>
      <w:r>
        <w:rPr>
          <w:rFonts w:hint="eastAsia" w:ascii="宋体" w:hAnsi="宋体"/>
          <w:b/>
          <w:bCs/>
          <w:color w:val="auto"/>
          <w:sz w:val="22"/>
          <w:szCs w:val="22"/>
          <w:highlight w:val="none"/>
        </w:rPr>
        <w:t>▲</w:t>
      </w:r>
      <w:r>
        <w:rPr>
          <w:rFonts w:hint="eastAsia" w:ascii="宋体" w:hAnsi="宋体"/>
          <w:b/>
          <w:color w:val="auto"/>
          <w:sz w:val="22"/>
          <w:highlight w:val="none"/>
          <w:u w:val="single"/>
        </w:rPr>
        <w:t>在对各磋商供应商的响应文件进行评审时，响应文件有下列情况之一的，经磋商小组认定后按无效响应文件处理</w:t>
      </w:r>
      <w:r>
        <w:rPr>
          <w:rFonts w:hint="eastAsia" w:ascii="宋体" w:hAnsi="宋体"/>
          <w:b/>
          <w:color w:val="auto"/>
          <w:sz w:val="22"/>
          <w:highlight w:val="none"/>
        </w:rPr>
        <w:t>：</w:t>
      </w:r>
    </w:p>
    <w:p w14:paraId="241C1710">
      <w:pPr>
        <w:spacing w:line="440" w:lineRule="exact"/>
        <w:ind w:left="648" w:leftChars="51" w:hanging="541" w:hangingChars="245"/>
        <w:rPr>
          <w:rFonts w:hint="eastAsia" w:ascii="宋体" w:hAnsi="宋体"/>
          <w:b/>
          <w:color w:val="auto"/>
          <w:sz w:val="22"/>
          <w:highlight w:val="none"/>
        </w:rPr>
      </w:pPr>
      <w:r>
        <w:rPr>
          <w:rFonts w:hint="eastAsia" w:ascii="宋体" w:hAnsi="宋体"/>
          <w:b/>
          <w:color w:val="auto"/>
          <w:sz w:val="22"/>
          <w:highlight w:val="none"/>
        </w:rPr>
        <w:t>（1）</w:t>
      </w:r>
      <w:r>
        <w:rPr>
          <w:rFonts w:hint="eastAsia" w:ascii="宋体" w:hAnsi="宋体"/>
          <w:b/>
          <w:color w:val="auto"/>
          <w:sz w:val="22"/>
          <w:highlight w:val="none"/>
          <w:u w:val="single"/>
        </w:rPr>
        <w:t>响应文件未按磋商文件要求签署、盖章的</w:t>
      </w:r>
      <w:r>
        <w:rPr>
          <w:rFonts w:hint="eastAsia" w:ascii="宋体" w:hAnsi="宋体"/>
          <w:b/>
          <w:color w:val="auto"/>
          <w:sz w:val="22"/>
          <w:highlight w:val="none"/>
        </w:rPr>
        <w:t>；</w:t>
      </w:r>
    </w:p>
    <w:p w14:paraId="0983B994">
      <w:pPr>
        <w:spacing w:line="440" w:lineRule="exact"/>
        <w:ind w:firstLine="108" w:firstLineChars="49"/>
        <w:rPr>
          <w:rFonts w:hint="eastAsia" w:ascii="宋体" w:hAnsi="宋体"/>
          <w:b/>
          <w:color w:val="auto"/>
          <w:sz w:val="22"/>
          <w:highlight w:val="none"/>
        </w:rPr>
      </w:pPr>
      <w:r>
        <w:rPr>
          <w:rFonts w:hint="eastAsia" w:ascii="宋体" w:hAnsi="宋体"/>
          <w:b/>
          <w:color w:val="auto"/>
          <w:sz w:val="22"/>
          <w:highlight w:val="none"/>
        </w:rPr>
        <w:t>（2）</w:t>
      </w:r>
      <w:r>
        <w:rPr>
          <w:rFonts w:hint="eastAsia" w:ascii="宋体" w:hAnsi="宋体"/>
          <w:b/>
          <w:color w:val="auto"/>
          <w:sz w:val="22"/>
          <w:highlight w:val="none"/>
          <w:u w:val="single"/>
        </w:rPr>
        <w:t>明显不符合磋商文件中主要技术要求的</w:t>
      </w:r>
      <w:r>
        <w:rPr>
          <w:rFonts w:hint="eastAsia" w:ascii="宋体" w:hAnsi="宋体"/>
          <w:b/>
          <w:color w:val="auto"/>
          <w:sz w:val="22"/>
          <w:highlight w:val="none"/>
        </w:rPr>
        <w:t>；</w:t>
      </w:r>
    </w:p>
    <w:p w14:paraId="0BFCD9B7">
      <w:pPr>
        <w:spacing w:line="440" w:lineRule="exact"/>
        <w:ind w:firstLine="108" w:firstLineChars="49"/>
        <w:rPr>
          <w:rFonts w:hint="eastAsia" w:ascii="宋体" w:hAnsi="宋体"/>
          <w:b/>
          <w:color w:val="auto"/>
          <w:sz w:val="22"/>
          <w:highlight w:val="none"/>
        </w:rPr>
      </w:pPr>
      <w:r>
        <w:rPr>
          <w:rFonts w:hint="eastAsia" w:ascii="宋体" w:hAnsi="宋体"/>
          <w:b/>
          <w:color w:val="auto"/>
          <w:sz w:val="22"/>
          <w:highlight w:val="none"/>
        </w:rPr>
        <w:t>（3）</w:t>
      </w:r>
      <w:r>
        <w:rPr>
          <w:rFonts w:hint="eastAsia" w:ascii="宋体" w:hAnsi="宋体"/>
          <w:b/>
          <w:color w:val="auto"/>
          <w:sz w:val="22"/>
          <w:highlight w:val="none"/>
          <w:u w:val="single"/>
        </w:rPr>
        <w:t>响应文件内容不全或关键字迹模糊无法辨认或未做好节点关联导致关键内容缺失的</w:t>
      </w:r>
      <w:r>
        <w:rPr>
          <w:rFonts w:hint="eastAsia" w:ascii="宋体" w:hAnsi="宋体"/>
          <w:b/>
          <w:color w:val="auto"/>
          <w:sz w:val="22"/>
          <w:highlight w:val="none"/>
        </w:rPr>
        <w:t>；</w:t>
      </w:r>
    </w:p>
    <w:p w14:paraId="3DB780D6">
      <w:pPr>
        <w:spacing w:line="440" w:lineRule="exact"/>
        <w:ind w:firstLine="108" w:firstLineChars="49"/>
        <w:rPr>
          <w:rFonts w:hint="eastAsia" w:ascii="宋体" w:hAnsi="宋体"/>
          <w:b/>
          <w:color w:val="auto"/>
          <w:sz w:val="22"/>
          <w:highlight w:val="none"/>
        </w:rPr>
      </w:pPr>
      <w:r>
        <w:rPr>
          <w:rFonts w:hint="eastAsia" w:ascii="宋体" w:hAnsi="宋体"/>
          <w:b/>
          <w:color w:val="auto"/>
          <w:sz w:val="22"/>
          <w:highlight w:val="none"/>
        </w:rPr>
        <w:t>（4）</w:t>
      </w:r>
      <w:r>
        <w:rPr>
          <w:rFonts w:hint="eastAsia" w:ascii="宋体" w:hAnsi="宋体"/>
          <w:b/>
          <w:color w:val="auto"/>
          <w:sz w:val="22"/>
          <w:highlight w:val="none"/>
          <w:u w:val="single"/>
        </w:rPr>
        <w:t>响应文件附有采购人不能接受的条件的</w:t>
      </w:r>
      <w:r>
        <w:rPr>
          <w:rFonts w:hint="eastAsia" w:ascii="宋体" w:hAnsi="宋体"/>
          <w:b/>
          <w:color w:val="auto"/>
          <w:sz w:val="22"/>
          <w:highlight w:val="none"/>
        </w:rPr>
        <w:t>；</w:t>
      </w:r>
    </w:p>
    <w:p w14:paraId="708B7D8E">
      <w:pPr>
        <w:spacing w:line="440" w:lineRule="exact"/>
        <w:ind w:firstLine="108" w:firstLineChars="49"/>
        <w:rPr>
          <w:rFonts w:hint="eastAsia" w:ascii="宋体" w:hAnsi="宋体"/>
          <w:b/>
          <w:color w:val="auto"/>
          <w:sz w:val="22"/>
          <w:highlight w:val="none"/>
        </w:rPr>
      </w:pPr>
      <w:r>
        <w:rPr>
          <w:rFonts w:hint="eastAsia" w:ascii="宋体" w:hAnsi="宋体"/>
          <w:b/>
          <w:color w:val="auto"/>
          <w:sz w:val="22"/>
          <w:highlight w:val="none"/>
        </w:rPr>
        <w:t>（5）</w:t>
      </w:r>
      <w:r>
        <w:rPr>
          <w:rFonts w:hint="eastAsia" w:ascii="宋体" w:hAnsi="宋体"/>
          <w:b/>
          <w:color w:val="auto"/>
          <w:sz w:val="22"/>
          <w:highlight w:val="none"/>
          <w:u w:val="single"/>
        </w:rPr>
        <w:t>磋商供应商代表没有法定代表人合法、有效委托的</w:t>
      </w:r>
      <w:r>
        <w:rPr>
          <w:rFonts w:hint="eastAsia" w:ascii="宋体" w:hAnsi="宋体"/>
          <w:b/>
          <w:color w:val="auto"/>
          <w:sz w:val="22"/>
          <w:highlight w:val="none"/>
        </w:rPr>
        <w:t>；</w:t>
      </w:r>
    </w:p>
    <w:p w14:paraId="0739ADF4">
      <w:pPr>
        <w:spacing w:line="440" w:lineRule="exact"/>
        <w:ind w:firstLine="108" w:firstLineChars="49"/>
        <w:rPr>
          <w:rFonts w:hint="eastAsia" w:ascii="宋体" w:hAnsi="宋体"/>
          <w:b/>
          <w:color w:val="auto"/>
          <w:sz w:val="22"/>
          <w:highlight w:val="none"/>
        </w:rPr>
      </w:pPr>
      <w:r>
        <w:rPr>
          <w:rFonts w:hint="eastAsia" w:ascii="宋体" w:hAnsi="宋体"/>
          <w:b/>
          <w:color w:val="auto"/>
          <w:sz w:val="22"/>
          <w:highlight w:val="none"/>
        </w:rPr>
        <w:t>（6）</w:t>
      </w:r>
      <w:r>
        <w:rPr>
          <w:rFonts w:hint="eastAsia" w:ascii="宋体" w:hAnsi="宋体"/>
          <w:b/>
          <w:color w:val="auto"/>
          <w:sz w:val="22"/>
          <w:highlight w:val="none"/>
          <w:u w:val="single"/>
        </w:rPr>
        <w:t>仅提交备份磋商响应文件的</w:t>
      </w:r>
      <w:r>
        <w:rPr>
          <w:rFonts w:hint="eastAsia" w:ascii="宋体" w:hAnsi="宋体"/>
          <w:b/>
          <w:color w:val="auto"/>
          <w:sz w:val="22"/>
          <w:highlight w:val="none"/>
        </w:rPr>
        <w:t>；</w:t>
      </w:r>
    </w:p>
    <w:p w14:paraId="7302556F">
      <w:pPr>
        <w:spacing w:line="440" w:lineRule="exact"/>
        <w:ind w:firstLine="108" w:firstLineChars="49"/>
        <w:rPr>
          <w:rFonts w:hint="eastAsia" w:ascii="宋体" w:hAnsi="宋体"/>
          <w:color w:val="auto"/>
          <w:sz w:val="22"/>
          <w:szCs w:val="22"/>
          <w:highlight w:val="none"/>
        </w:rPr>
      </w:pPr>
      <w:r>
        <w:rPr>
          <w:rFonts w:hint="eastAsia" w:ascii="宋体" w:hAnsi="宋体"/>
          <w:b/>
          <w:color w:val="auto"/>
          <w:sz w:val="22"/>
          <w:highlight w:val="none"/>
        </w:rPr>
        <w:t>（7）</w:t>
      </w:r>
      <w:r>
        <w:rPr>
          <w:rFonts w:hint="eastAsia" w:ascii="宋体" w:hAnsi="宋体"/>
          <w:b/>
          <w:color w:val="auto"/>
          <w:sz w:val="22"/>
          <w:highlight w:val="none"/>
          <w:u w:val="single"/>
        </w:rPr>
        <w:t>磋商小组认定不符合法律、法规和磋商文件中规定的其他实质性要求的</w:t>
      </w:r>
      <w:r>
        <w:rPr>
          <w:rFonts w:hint="eastAsia" w:ascii="宋体" w:hAnsi="宋体"/>
          <w:b/>
          <w:color w:val="auto"/>
          <w:sz w:val="22"/>
          <w:highlight w:val="none"/>
        </w:rPr>
        <w:t>。</w:t>
      </w:r>
    </w:p>
    <w:p w14:paraId="7EBAE007">
      <w:pPr>
        <w:tabs>
          <w:tab w:val="left" w:pos="1365"/>
        </w:tabs>
        <w:spacing w:line="440" w:lineRule="exact"/>
        <w:ind w:left="560" w:leftChars="4" w:hanging="552" w:hangingChars="250"/>
        <w:rPr>
          <w:rFonts w:hint="eastAsia" w:ascii="宋体" w:hAnsi="宋体"/>
          <w:b/>
          <w:color w:val="auto"/>
          <w:sz w:val="22"/>
          <w:highlight w:val="none"/>
        </w:rPr>
      </w:pPr>
      <w:r>
        <w:rPr>
          <w:rFonts w:ascii="宋体" w:hAnsi="宋体"/>
          <w:b/>
          <w:color w:val="auto"/>
          <w:sz w:val="22"/>
          <w:highlight w:val="none"/>
        </w:rPr>
        <w:t xml:space="preserve">7. </w:t>
      </w:r>
      <w:r>
        <w:rPr>
          <w:rFonts w:hint="eastAsia" w:ascii="宋体" w:hAnsi="宋体"/>
          <w:b/>
          <w:color w:val="auto"/>
          <w:sz w:val="22"/>
          <w:highlight w:val="none"/>
        </w:rPr>
        <w:t xml:space="preserve">  评审过程中遇到特殊情况，由磋商小组遵循公开、公正原则，采取记名投票方式按照少数服从多数原则决定。磋商文件内容违反国家有关强制性规定的，磋商小组应当停止评审并向采购人或者采购代理机构说明情况。</w:t>
      </w:r>
    </w:p>
    <w:p w14:paraId="7148BB3E">
      <w:pPr>
        <w:spacing w:line="440" w:lineRule="exact"/>
        <w:ind w:left="550" w:hanging="550" w:hangingChars="250"/>
        <w:rPr>
          <w:rFonts w:hint="eastAsia" w:ascii="宋体" w:hAnsi="宋体"/>
          <w:color w:val="auto"/>
          <w:sz w:val="22"/>
          <w:highlight w:val="none"/>
        </w:rPr>
      </w:pPr>
      <w:r>
        <w:rPr>
          <w:rFonts w:ascii="宋体" w:hAnsi="宋体"/>
          <w:color w:val="auto"/>
          <w:sz w:val="22"/>
          <w:szCs w:val="22"/>
          <w:highlight w:val="none"/>
        </w:rPr>
        <w:t>8</w:t>
      </w:r>
      <w:r>
        <w:rPr>
          <w:rFonts w:hint="eastAsia" w:ascii="宋体" w:hAnsi="宋体"/>
          <w:color w:val="auto"/>
          <w:sz w:val="22"/>
          <w:szCs w:val="22"/>
          <w:highlight w:val="none"/>
        </w:rPr>
        <w:t xml:space="preserve">    </w:t>
      </w:r>
      <w:r>
        <w:rPr>
          <w:rFonts w:hint="eastAsia" w:ascii="宋体" w:hAnsi="宋体"/>
          <w:b/>
          <w:color w:val="auto"/>
          <w:sz w:val="22"/>
          <w:highlight w:val="none"/>
        </w:rPr>
        <w:t>确定成交供应商</w:t>
      </w:r>
    </w:p>
    <w:p w14:paraId="5A31347F">
      <w:pPr>
        <w:widowControl/>
        <w:spacing w:line="440" w:lineRule="exact"/>
        <w:ind w:left="550" w:hanging="550" w:hangingChars="250"/>
        <w:jc w:val="left"/>
        <w:rPr>
          <w:rFonts w:ascii="宋体" w:hAnsi="宋体" w:cs="Arial"/>
          <w:color w:val="auto"/>
          <w:kern w:val="0"/>
          <w:sz w:val="22"/>
          <w:szCs w:val="22"/>
          <w:highlight w:val="none"/>
        </w:rPr>
      </w:pPr>
      <w:r>
        <w:rPr>
          <w:rFonts w:ascii="宋体" w:hAnsi="宋体" w:cs="Arial"/>
          <w:color w:val="auto"/>
          <w:kern w:val="0"/>
          <w:sz w:val="22"/>
          <w:szCs w:val="22"/>
          <w:highlight w:val="none"/>
        </w:rPr>
        <w:t>8</w:t>
      </w:r>
      <w:r>
        <w:rPr>
          <w:rFonts w:hint="eastAsia" w:ascii="宋体" w:hAnsi="宋体" w:cs="Arial"/>
          <w:color w:val="auto"/>
          <w:kern w:val="0"/>
          <w:sz w:val="22"/>
          <w:szCs w:val="22"/>
          <w:highlight w:val="none"/>
        </w:rPr>
        <w:t>.1  磋商小组应当根据综合评分情况，按照综合得分由高到低顺序推荐</w:t>
      </w:r>
      <w:r>
        <w:rPr>
          <w:rFonts w:ascii="宋体" w:hAnsi="宋体" w:cs="Arial"/>
          <w:color w:val="auto"/>
          <w:kern w:val="0"/>
          <w:sz w:val="22"/>
          <w:szCs w:val="22"/>
          <w:highlight w:val="none"/>
        </w:rPr>
        <w:t>3</w:t>
      </w:r>
      <w:r>
        <w:rPr>
          <w:rFonts w:hint="eastAsia" w:ascii="宋体" w:hAnsi="宋体" w:cs="Arial"/>
          <w:color w:val="auto"/>
          <w:kern w:val="0"/>
          <w:sz w:val="22"/>
          <w:szCs w:val="22"/>
          <w:highlight w:val="none"/>
        </w:rPr>
        <w:t>名以上成交候选供应商，并编写评审报告。综合得分相同的，按照最后报价由低到高的顺序推荐。评审得分且最后报价相同的，按照技术指标优劣顺序推荐。</w:t>
      </w:r>
    </w:p>
    <w:p w14:paraId="004E0A7C">
      <w:pPr>
        <w:spacing w:line="440" w:lineRule="exact"/>
        <w:ind w:left="550" w:hanging="550" w:hangingChars="250"/>
        <w:rPr>
          <w:rFonts w:ascii="宋体" w:hAnsi="宋体"/>
          <w:color w:val="auto"/>
          <w:sz w:val="22"/>
          <w:highlight w:val="none"/>
        </w:rPr>
      </w:pPr>
      <w:r>
        <w:rPr>
          <w:rFonts w:ascii="宋体" w:hAnsi="宋体"/>
          <w:color w:val="auto"/>
          <w:sz w:val="22"/>
          <w:szCs w:val="22"/>
          <w:highlight w:val="none"/>
        </w:rPr>
        <w:t>8</w:t>
      </w:r>
      <w:r>
        <w:rPr>
          <w:rFonts w:hint="eastAsia" w:ascii="宋体" w:hAnsi="宋体"/>
          <w:color w:val="auto"/>
          <w:sz w:val="22"/>
          <w:szCs w:val="22"/>
          <w:highlight w:val="none"/>
        </w:rPr>
        <w:t xml:space="preserve">.2  </w:t>
      </w:r>
      <w:r>
        <w:rPr>
          <w:rFonts w:hint="eastAsia" w:ascii="宋体" w:hAnsi="宋体"/>
          <w:color w:val="auto"/>
          <w:sz w:val="22"/>
          <w:highlight w:val="none"/>
        </w:rPr>
        <w:t>排名第一的成交候选供应商放弃成交；或因不可抗力提出不能履行合同；或未能在规定时间内与采购人签订合同的；或经质疑，采购组织机构审查确因排名第一的候选供应商在本次采购活动中存在违法违规行为或其他原因使质疑成立的，采购人可以直接确定排名第二的候选供应商为成交供应商，以此类推至第三名。</w:t>
      </w:r>
    </w:p>
    <w:p w14:paraId="6D01B7FC">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highlight w:val="none"/>
        </w:rPr>
        <w:t xml:space="preserve">9.  </w:t>
      </w:r>
      <w:r>
        <w:rPr>
          <w:rFonts w:hint="eastAsia" w:ascii="宋体" w:hAnsi="宋体"/>
          <w:b/>
          <w:bCs/>
          <w:color w:val="auto"/>
          <w:sz w:val="22"/>
          <w:szCs w:val="22"/>
          <w:highlight w:val="none"/>
        </w:rPr>
        <w:t>其他未尽事宜遵循相关法律法规及规范性文件执行。</w:t>
      </w:r>
    </w:p>
    <w:p w14:paraId="0D4903E0">
      <w:pPr>
        <w:pStyle w:val="5"/>
        <w:spacing w:line="480" w:lineRule="exact"/>
        <w:jc w:val="center"/>
        <w:rPr>
          <w:rFonts w:hint="eastAsia"/>
          <w:color w:val="auto"/>
          <w:sz w:val="28"/>
          <w:szCs w:val="28"/>
          <w:highlight w:val="none"/>
        </w:rPr>
      </w:pPr>
      <w:bookmarkStart w:id="22" w:name="_Toc6916"/>
      <w:bookmarkStart w:id="23" w:name="_Toc26929"/>
      <w:r>
        <w:rPr>
          <w:rFonts w:hint="eastAsia"/>
          <w:color w:val="auto"/>
          <w:sz w:val="28"/>
          <w:szCs w:val="28"/>
          <w:highlight w:val="none"/>
        </w:rPr>
        <w:t>六、 授予合同</w:t>
      </w:r>
      <w:bookmarkEnd w:id="22"/>
      <w:bookmarkEnd w:id="23"/>
    </w:p>
    <w:p w14:paraId="1FE62986">
      <w:pPr>
        <w:spacing w:line="440" w:lineRule="exact"/>
        <w:rPr>
          <w:rFonts w:hint="eastAsia" w:ascii="宋体" w:hAnsi="宋体" w:cs="宋体"/>
          <w:b/>
          <w:bCs/>
          <w:color w:val="auto"/>
          <w:sz w:val="22"/>
          <w:szCs w:val="22"/>
          <w:highlight w:val="none"/>
        </w:rPr>
      </w:pP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rPr>
        <w:t xml:space="preserve">.   </w:t>
      </w:r>
      <w:r>
        <w:rPr>
          <w:rFonts w:hint="eastAsia" w:ascii="宋体" w:hAnsi="宋体" w:cs="宋体"/>
          <w:b/>
          <w:bCs/>
          <w:color w:val="auto"/>
          <w:sz w:val="22"/>
          <w:szCs w:val="22"/>
          <w:highlight w:val="none"/>
        </w:rPr>
        <w:t>成交公告</w:t>
      </w:r>
    </w:p>
    <w:p w14:paraId="618DDF46">
      <w:pPr>
        <w:spacing w:line="440" w:lineRule="exact"/>
        <w:ind w:left="550" w:hanging="550" w:hangingChars="250"/>
        <w:rPr>
          <w:rFonts w:hint="eastAsia" w:ascii="宋体" w:hAnsi="宋体" w:cs="宋体"/>
          <w:b/>
          <w:bCs/>
          <w:color w:val="auto"/>
          <w:sz w:val="22"/>
          <w:szCs w:val="22"/>
          <w:highlight w:val="none"/>
        </w:rPr>
      </w:pPr>
      <w:r>
        <w:rPr>
          <w:rFonts w:hint="eastAsia" w:ascii="宋体" w:hAnsi="宋体" w:cs="宋体"/>
          <w:bCs/>
          <w:color w:val="auto"/>
          <w:sz w:val="22"/>
          <w:szCs w:val="22"/>
          <w:highlight w:val="none"/>
          <w:lang w:val="en-US" w:eastAsia="zh-CN"/>
        </w:rPr>
        <w:t>1</w:t>
      </w:r>
      <w:r>
        <w:rPr>
          <w:rFonts w:hint="eastAsia" w:ascii="宋体" w:hAnsi="宋体" w:cs="宋体"/>
          <w:bCs/>
          <w:color w:val="auto"/>
          <w:sz w:val="22"/>
          <w:szCs w:val="22"/>
          <w:highlight w:val="none"/>
        </w:rPr>
        <w:t>.1  采购人或者采购代理机构应当自成交供应商确定之日起2个工作日内，在省级以上财政部门指定的媒体上公告成交结果，磋商文件应当随成交结果同时公告。</w:t>
      </w:r>
    </w:p>
    <w:p w14:paraId="5F6014BB">
      <w:pPr>
        <w:spacing w:line="440" w:lineRule="exact"/>
        <w:rPr>
          <w:rFonts w:hint="eastAsia" w:ascii="宋体" w:hAnsi="宋体" w:cs="宋体"/>
          <w:bCs/>
          <w:color w:val="auto"/>
          <w:sz w:val="22"/>
          <w:szCs w:val="22"/>
          <w:highlight w:val="none"/>
        </w:rPr>
      </w:pPr>
      <w:r>
        <w:rPr>
          <w:rFonts w:hint="eastAsia" w:ascii="宋体" w:hAnsi="宋体" w:cs="宋体"/>
          <w:b/>
          <w:bCs/>
          <w:color w:val="auto"/>
          <w:sz w:val="22"/>
          <w:szCs w:val="22"/>
          <w:highlight w:val="none"/>
          <w:lang w:val="en-US" w:eastAsia="zh-CN"/>
        </w:rPr>
        <w:t>2</w:t>
      </w:r>
      <w:r>
        <w:rPr>
          <w:rFonts w:hint="eastAsia" w:ascii="宋体" w:hAnsi="宋体" w:cs="宋体"/>
          <w:b/>
          <w:bCs/>
          <w:color w:val="auto"/>
          <w:sz w:val="22"/>
          <w:szCs w:val="22"/>
          <w:highlight w:val="none"/>
        </w:rPr>
        <w:t xml:space="preserve">． </w:t>
      </w:r>
      <w:r>
        <w:rPr>
          <w:rFonts w:hint="eastAsia" w:ascii="宋体" w:hAnsi="宋体" w:cs="宋体"/>
          <w:bCs/>
          <w:color w:val="auto"/>
          <w:sz w:val="22"/>
          <w:szCs w:val="22"/>
          <w:highlight w:val="none"/>
        </w:rPr>
        <w:t xml:space="preserve"> </w:t>
      </w:r>
      <w:r>
        <w:rPr>
          <w:rFonts w:hint="eastAsia" w:ascii="宋体" w:hAnsi="宋体" w:cs="宋体"/>
          <w:b/>
          <w:bCs/>
          <w:color w:val="auto"/>
          <w:sz w:val="22"/>
          <w:szCs w:val="22"/>
          <w:highlight w:val="none"/>
        </w:rPr>
        <w:t>成交通知书</w:t>
      </w:r>
    </w:p>
    <w:p w14:paraId="07946B17">
      <w:pPr>
        <w:spacing w:line="440" w:lineRule="exact"/>
        <w:rPr>
          <w:rFonts w:hint="eastAsia" w:ascii="宋体" w:hAnsi="宋体" w:cs="宋体"/>
          <w:bCs/>
          <w:color w:val="auto"/>
          <w:sz w:val="22"/>
          <w:szCs w:val="22"/>
          <w:highlight w:val="none"/>
        </w:rPr>
      </w:pPr>
      <w:r>
        <w:rPr>
          <w:rFonts w:hint="eastAsia" w:ascii="宋体" w:hAnsi="宋体" w:cs="宋体"/>
          <w:b/>
          <w:bCs/>
          <w:color w:val="auto"/>
          <w:sz w:val="22"/>
          <w:szCs w:val="22"/>
          <w:highlight w:val="none"/>
          <w:lang w:val="en-US" w:eastAsia="zh-CN"/>
        </w:rPr>
        <w:t>2</w:t>
      </w:r>
      <w:r>
        <w:rPr>
          <w:rFonts w:hint="eastAsia" w:ascii="宋体" w:hAnsi="宋体" w:cs="宋体"/>
          <w:b/>
          <w:bCs/>
          <w:color w:val="auto"/>
          <w:sz w:val="22"/>
          <w:szCs w:val="22"/>
          <w:highlight w:val="none"/>
        </w:rPr>
        <w:t xml:space="preserve">.1  </w:t>
      </w:r>
      <w:r>
        <w:rPr>
          <w:rFonts w:hint="eastAsia" w:ascii="宋体" w:hAnsi="宋体" w:cs="宋体"/>
          <w:color w:val="auto"/>
          <w:sz w:val="22"/>
          <w:szCs w:val="22"/>
          <w:highlight w:val="none"/>
        </w:rPr>
        <w:t>在发布成交公告的同时向成交供应商发出成交通知书。</w:t>
      </w:r>
    </w:p>
    <w:p w14:paraId="58AA1881">
      <w:pPr>
        <w:spacing w:line="440" w:lineRule="exact"/>
        <w:rPr>
          <w:rFonts w:hint="eastAsia" w:ascii="宋体" w:hAnsi="宋体" w:cs="宋体"/>
          <w:bCs/>
          <w:color w:val="auto"/>
          <w:sz w:val="22"/>
          <w:szCs w:val="22"/>
          <w:highlight w:val="none"/>
        </w:rPr>
      </w:pPr>
      <w:r>
        <w:rPr>
          <w:rFonts w:hint="eastAsia" w:ascii="宋体" w:hAnsi="宋体" w:cs="宋体"/>
          <w:b/>
          <w:bCs/>
          <w:color w:val="auto"/>
          <w:sz w:val="22"/>
          <w:szCs w:val="22"/>
          <w:highlight w:val="none"/>
          <w:lang w:val="en-US" w:eastAsia="zh-CN"/>
        </w:rPr>
        <w:t>2</w:t>
      </w:r>
      <w:r>
        <w:rPr>
          <w:rFonts w:hint="eastAsia" w:ascii="宋体" w:hAnsi="宋体" w:cs="宋体"/>
          <w:b/>
          <w:bCs/>
          <w:color w:val="auto"/>
          <w:sz w:val="22"/>
          <w:szCs w:val="22"/>
          <w:highlight w:val="none"/>
        </w:rPr>
        <w:t xml:space="preserve">.2  </w:t>
      </w:r>
      <w:r>
        <w:rPr>
          <w:rFonts w:hint="eastAsia" w:ascii="宋体" w:hAnsi="宋体" w:cs="宋体"/>
          <w:color w:val="auto"/>
          <w:sz w:val="22"/>
          <w:szCs w:val="22"/>
          <w:highlight w:val="none"/>
        </w:rPr>
        <w:t>成交通知书是合同的一个组成部分,对采购人和成交供应商均具有同等法律效力。</w:t>
      </w:r>
    </w:p>
    <w:p w14:paraId="573D161F">
      <w:pPr>
        <w:spacing w:line="440" w:lineRule="exact"/>
        <w:rPr>
          <w:rFonts w:hint="eastAsia" w:ascii="宋体" w:hAnsi="宋体" w:cs="宋体"/>
          <w:b/>
          <w:bCs/>
          <w:color w:val="auto"/>
          <w:sz w:val="22"/>
          <w:szCs w:val="22"/>
          <w:highlight w:val="none"/>
        </w:rPr>
      </w:pPr>
      <w:r>
        <w:rPr>
          <w:rFonts w:hint="eastAsia" w:ascii="宋体" w:hAnsi="宋体" w:cs="宋体"/>
          <w:b/>
          <w:bCs/>
          <w:color w:val="auto"/>
          <w:sz w:val="22"/>
          <w:szCs w:val="22"/>
          <w:highlight w:val="none"/>
          <w:lang w:val="en-US" w:eastAsia="zh-CN"/>
        </w:rPr>
        <w:t>3</w:t>
      </w:r>
      <w:r>
        <w:rPr>
          <w:rFonts w:hint="eastAsia" w:ascii="宋体" w:hAnsi="宋体" w:cs="宋体"/>
          <w:b/>
          <w:bCs/>
          <w:color w:val="auto"/>
          <w:sz w:val="22"/>
          <w:szCs w:val="22"/>
          <w:highlight w:val="none"/>
        </w:rPr>
        <w:t>．  签订合同</w:t>
      </w:r>
    </w:p>
    <w:p w14:paraId="107699B8">
      <w:pPr>
        <w:spacing w:line="440" w:lineRule="exact"/>
        <w:ind w:left="550" w:hanging="550" w:hangingChars="250"/>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3</w:t>
      </w:r>
      <w:r>
        <w:rPr>
          <w:rFonts w:hint="eastAsia" w:ascii="宋体" w:hAnsi="宋体" w:cs="宋体"/>
          <w:bCs/>
          <w:color w:val="auto"/>
          <w:sz w:val="22"/>
          <w:szCs w:val="22"/>
          <w:highlight w:val="none"/>
        </w:rPr>
        <w:t>.1  成交供应商应按成交通知书规定的时间、地点以及其他内容与采购人签订合同，同时提交履约保证金。</w:t>
      </w:r>
    </w:p>
    <w:p w14:paraId="23E0BE10">
      <w:pPr>
        <w:spacing w:line="440" w:lineRule="exact"/>
        <w:ind w:left="550" w:hanging="550" w:hangingChars="250"/>
        <w:rPr>
          <w:rFonts w:hint="eastAsia" w:ascii="宋体" w:hAnsi="宋体" w:cs="宋体"/>
          <w:bCs/>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 xml:space="preserve">.2  </w:t>
      </w:r>
      <w:r>
        <w:rPr>
          <w:rFonts w:hint="eastAsia" w:ascii="宋体" w:hAnsi="宋体" w:cs="宋体"/>
          <w:b/>
          <w:color w:val="auto"/>
          <w:spacing w:val="6"/>
          <w:sz w:val="22"/>
          <w:szCs w:val="22"/>
          <w:highlight w:val="none"/>
        </w:rPr>
        <w:t>在签订合同前，采购人有权在成交总价不变的前提下要求成交供应商对商务报价中的不平衡报价和缺漏项进行调整，如果成交供应商无合理理由拒绝调整，其成交资格将被取消，且将导致其它进一步的赔偿和处罚。</w:t>
      </w:r>
    </w:p>
    <w:p w14:paraId="13B6BDFA">
      <w:pPr>
        <w:spacing w:line="440" w:lineRule="exact"/>
        <w:ind w:left="550" w:hanging="550" w:hangingChars="250"/>
        <w:rPr>
          <w:rFonts w:hint="eastAsia" w:ascii="宋体" w:hAnsi="宋体" w:cs="宋体"/>
          <w:bCs/>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.3  竞争性磋商文件、成交供应商的响应文件、响应修改文件、评审过程中有关澄清文件及经磋商供应商和磋商小组双方签字的磋商纪要和成交通知书均作为合同附件。</w:t>
      </w:r>
    </w:p>
    <w:p w14:paraId="030102C6">
      <w:pPr>
        <w:spacing w:line="440" w:lineRule="exact"/>
        <w:ind w:left="550" w:hanging="550" w:hangingChars="250"/>
        <w:rPr>
          <w:rFonts w:hint="eastAsia" w:ascii="宋体" w:hAnsi="宋体" w:cs="宋体"/>
          <w:bCs/>
          <w:color w:val="auto"/>
          <w:sz w:val="22"/>
          <w:szCs w:val="22"/>
          <w:highlight w:val="none"/>
        </w:rPr>
      </w:pPr>
      <w:r>
        <w:rPr>
          <w:rFonts w:hint="eastAsia" w:ascii="宋体" w:hAnsi="宋体" w:cs="宋体"/>
          <w:color w:val="auto"/>
          <w:sz w:val="22"/>
          <w:szCs w:val="22"/>
          <w:highlight w:val="none"/>
          <w:lang w:val="en-US" w:eastAsia="zh-CN"/>
        </w:rPr>
        <w:t>3</w:t>
      </w:r>
      <w:r>
        <w:rPr>
          <w:rFonts w:hint="eastAsia" w:ascii="宋体" w:hAnsi="宋体" w:cs="宋体"/>
          <w:color w:val="auto"/>
          <w:sz w:val="22"/>
          <w:szCs w:val="22"/>
          <w:highlight w:val="none"/>
        </w:rPr>
        <w:t>.4  拒签合同的违约责任</w:t>
      </w:r>
    </w:p>
    <w:p w14:paraId="0081CC0E">
      <w:pPr>
        <w:spacing w:line="440" w:lineRule="exact"/>
        <w:ind w:left="565" w:leftChars="269"/>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rPr>
        <w:t>成交供应商接到成交通知书后，在规定时间内借故否认已经承诺的条件而拒签合同的，报采购监管部门处理。</w:t>
      </w:r>
    </w:p>
    <w:p w14:paraId="5D0479DB">
      <w:pPr>
        <w:spacing w:line="440" w:lineRule="exact"/>
        <w:ind w:left="571" w:hanging="571" w:hangingChars="245"/>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lang w:val="en-US" w:eastAsia="zh-CN"/>
        </w:rPr>
        <w:t>3</w:t>
      </w:r>
      <w:r>
        <w:rPr>
          <w:rFonts w:hint="eastAsia" w:ascii="宋体" w:hAnsi="宋体" w:cs="宋体"/>
          <w:b/>
          <w:color w:val="auto"/>
          <w:spacing w:val="6"/>
          <w:sz w:val="22"/>
          <w:szCs w:val="22"/>
          <w:highlight w:val="none"/>
        </w:rPr>
        <w:t>.5  合同一式</w:t>
      </w:r>
      <w:r>
        <w:rPr>
          <w:rFonts w:hint="eastAsia" w:ascii="宋体" w:hAnsi="宋体" w:cs="宋体"/>
          <w:b/>
          <w:color w:val="auto"/>
          <w:spacing w:val="6"/>
          <w:sz w:val="22"/>
          <w:szCs w:val="22"/>
          <w:highlight w:val="none"/>
          <w:lang w:eastAsia="zh-CN"/>
        </w:rPr>
        <w:t>六</w:t>
      </w:r>
      <w:r>
        <w:rPr>
          <w:rFonts w:hint="eastAsia" w:ascii="宋体" w:hAnsi="宋体" w:cs="宋体"/>
          <w:b/>
          <w:color w:val="auto"/>
          <w:spacing w:val="6"/>
          <w:sz w:val="22"/>
          <w:szCs w:val="22"/>
          <w:highlight w:val="none"/>
        </w:rPr>
        <w:t>份，其中采购人</w:t>
      </w:r>
      <w:r>
        <w:rPr>
          <w:rFonts w:hint="eastAsia" w:ascii="宋体" w:hAnsi="宋体" w:cs="宋体"/>
          <w:b/>
          <w:color w:val="auto"/>
          <w:spacing w:val="6"/>
          <w:sz w:val="22"/>
          <w:szCs w:val="22"/>
          <w:highlight w:val="none"/>
          <w:lang w:eastAsia="zh-CN"/>
        </w:rPr>
        <w:t>三</w:t>
      </w:r>
      <w:r>
        <w:rPr>
          <w:rFonts w:hint="eastAsia" w:ascii="宋体" w:hAnsi="宋体" w:cs="宋体"/>
          <w:b/>
          <w:color w:val="auto"/>
          <w:spacing w:val="6"/>
          <w:sz w:val="22"/>
          <w:szCs w:val="22"/>
          <w:highlight w:val="none"/>
        </w:rPr>
        <w:t>份，成交供应商二份，采购代理机构备案一份。成交供应商在采购合同签订后应及时提交壹份交采购代理机构备案，</w:t>
      </w:r>
      <w:r>
        <w:rPr>
          <w:rFonts w:hint="eastAsia" w:ascii="宋体" w:hAnsi="宋体" w:cs="宋体"/>
          <w:b/>
          <w:color w:val="auto"/>
          <w:spacing w:val="6"/>
          <w:sz w:val="22"/>
          <w:szCs w:val="22"/>
          <w:highlight w:val="none"/>
          <w:u w:val="single"/>
          <w:shd w:val="pct10" w:color="auto" w:fill="FFFFFF"/>
        </w:rPr>
        <w:t>同时提交贰份纸质磋商响应文件（正本壹份，副本壹份）供采购人备案用。</w:t>
      </w:r>
    </w:p>
    <w:p w14:paraId="39286E47">
      <w:pPr>
        <w:spacing w:line="440" w:lineRule="exact"/>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lang w:val="en-US" w:eastAsia="zh-CN"/>
        </w:rPr>
        <w:t>4</w:t>
      </w:r>
      <w:r>
        <w:rPr>
          <w:rFonts w:hint="eastAsia" w:ascii="宋体" w:hAnsi="宋体" w:cs="宋体"/>
          <w:b/>
          <w:color w:val="auto"/>
          <w:spacing w:val="6"/>
          <w:sz w:val="22"/>
          <w:szCs w:val="22"/>
          <w:highlight w:val="none"/>
        </w:rPr>
        <w:t>.   合同履行时更改采购数量的权利</w:t>
      </w:r>
    </w:p>
    <w:p w14:paraId="47C19042">
      <w:pPr>
        <w:spacing w:line="440" w:lineRule="exact"/>
        <w:ind w:left="571" w:hanging="571" w:hangingChars="245"/>
        <w:rPr>
          <w:rFonts w:hint="eastAsia" w:ascii="宋体" w:hAnsi="宋体" w:cs="宋体"/>
          <w:b/>
          <w:color w:val="auto"/>
          <w:spacing w:val="6"/>
          <w:sz w:val="22"/>
          <w:szCs w:val="22"/>
          <w:highlight w:val="none"/>
        </w:rPr>
      </w:pPr>
      <w:r>
        <w:rPr>
          <w:rFonts w:hint="eastAsia" w:ascii="宋体" w:hAnsi="宋体" w:cs="宋体"/>
          <w:b/>
          <w:color w:val="auto"/>
          <w:spacing w:val="6"/>
          <w:sz w:val="22"/>
          <w:szCs w:val="22"/>
          <w:highlight w:val="none"/>
          <w:lang w:val="en-US" w:eastAsia="zh-CN"/>
        </w:rPr>
        <w:t>4</w:t>
      </w:r>
      <w:r>
        <w:rPr>
          <w:rFonts w:hint="eastAsia" w:ascii="宋体" w:hAnsi="宋体" w:cs="宋体"/>
          <w:b/>
          <w:color w:val="auto"/>
          <w:spacing w:val="6"/>
          <w:sz w:val="22"/>
          <w:szCs w:val="22"/>
          <w:highlight w:val="none"/>
        </w:rPr>
        <w:t>.1  在合同履行中，采购人需追加与合同标的相同的货物、工程或者服务的，在不改变合同其他条款的前提下，可以与供应商协商签订补充合同，但所有补充合同的采购金额不得超过原采购合同金额的百分之十。</w:t>
      </w:r>
    </w:p>
    <w:p w14:paraId="79611D4A">
      <w:pPr>
        <w:spacing w:line="440" w:lineRule="exact"/>
        <w:ind w:left="21" w:leftChars="10"/>
        <w:rPr>
          <w:rFonts w:hint="eastAsia" w:ascii="宋体" w:hAnsi="宋体"/>
          <w:b/>
          <w:bCs/>
          <w:color w:val="auto"/>
          <w:sz w:val="22"/>
          <w:szCs w:val="22"/>
          <w:highlight w:val="none"/>
        </w:rPr>
      </w:pPr>
      <w:r>
        <w:rPr>
          <w:rFonts w:hint="eastAsia" w:ascii="宋体" w:hAnsi="宋体"/>
          <w:b/>
          <w:bCs/>
          <w:color w:val="auto"/>
          <w:sz w:val="22"/>
          <w:szCs w:val="22"/>
          <w:highlight w:val="none"/>
          <w:lang w:val="en-US" w:eastAsia="zh-CN"/>
        </w:rPr>
        <w:t>5</w:t>
      </w:r>
      <w:r>
        <w:rPr>
          <w:rFonts w:hint="eastAsia" w:ascii="宋体" w:hAnsi="宋体"/>
          <w:b/>
          <w:bCs/>
          <w:color w:val="auto"/>
          <w:sz w:val="22"/>
          <w:szCs w:val="22"/>
          <w:highlight w:val="none"/>
        </w:rPr>
        <w:t>．  履约保证金</w:t>
      </w:r>
    </w:p>
    <w:p w14:paraId="517C69EC">
      <w:pPr>
        <w:spacing w:line="440" w:lineRule="exact"/>
        <w:ind w:left="571" w:leftChars="10" w:hanging="550" w:hangingChars="250"/>
        <w:rPr>
          <w:rFonts w:hint="eastAsia" w:ascii="宋体" w:hAnsi="宋体"/>
          <w:color w:val="auto"/>
          <w:sz w:val="22"/>
          <w:szCs w:val="22"/>
          <w:highlight w:val="none"/>
        </w:rPr>
      </w:pP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 xml:space="preserve">.1  </w:t>
      </w:r>
      <w:r>
        <w:rPr>
          <w:rFonts w:hint="eastAsia" w:ascii="宋体" w:hAnsi="宋体" w:cs="宋体"/>
          <w:color w:val="auto"/>
          <w:sz w:val="22"/>
          <w:szCs w:val="22"/>
          <w:highlight w:val="none"/>
        </w:rPr>
        <w:t>成交供应商在收到成交通知书并合同签订后</w:t>
      </w: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个工作日内，成交供应商须向采购人提交履约保证</w:t>
      </w:r>
      <w:r>
        <w:rPr>
          <w:rFonts w:hint="eastAsia" w:ascii="宋体" w:hAnsi="宋体"/>
          <w:color w:val="auto"/>
          <w:sz w:val="22"/>
          <w:szCs w:val="22"/>
          <w:highlight w:val="none"/>
        </w:rPr>
        <w:t xml:space="preserve">。 </w:t>
      </w:r>
    </w:p>
    <w:p w14:paraId="5B5AC762">
      <w:pPr>
        <w:spacing w:line="440" w:lineRule="exact"/>
        <w:ind w:left="571" w:leftChars="10" w:hanging="550" w:hangingChars="250"/>
        <w:rPr>
          <w:rFonts w:hint="eastAsia" w:ascii="宋体" w:hAnsi="宋体" w:cs="宋体"/>
          <w:color w:val="auto"/>
          <w:sz w:val="22"/>
          <w:szCs w:val="22"/>
          <w:highlight w:val="none"/>
        </w:rPr>
      </w:pPr>
      <w:r>
        <w:rPr>
          <w:rFonts w:hint="eastAsia" w:ascii="宋体" w:hAnsi="宋体" w:cs="宋体"/>
          <w:color w:val="auto"/>
          <w:sz w:val="22"/>
          <w:szCs w:val="22"/>
          <w:highlight w:val="none"/>
          <w:lang w:val="en-US" w:eastAsia="zh-CN"/>
        </w:rPr>
        <w:t>5</w:t>
      </w:r>
      <w:r>
        <w:rPr>
          <w:rFonts w:hint="eastAsia" w:ascii="宋体" w:hAnsi="宋体" w:cs="宋体"/>
          <w:color w:val="auto"/>
          <w:sz w:val="22"/>
          <w:szCs w:val="22"/>
          <w:highlight w:val="none"/>
        </w:rPr>
        <w:t xml:space="preserve">.2  </w:t>
      </w:r>
      <w:r>
        <w:rPr>
          <w:rFonts w:hint="eastAsia" w:ascii="宋体" w:hAnsi="宋体"/>
          <w:color w:val="auto"/>
          <w:sz w:val="22"/>
          <w:szCs w:val="22"/>
          <w:highlight w:val="none"/>
        </w:rPr>
        <w:t>履约保证金</w:t>
      </w:r>
      <w:r>
        <w:rPr>
          <w:rFonts w:hint="eastAsia" w:ascii="宋体" w:hAnsi="宋体"/>
          <w:bCs/>
          <w:color w:val="auto"/>
          <w:sz w:val="22"/>
          <w:szCs w:val="22"/>
          <w:highlight w:val="none"/>
        </w:rPr>
        <w:t>用于补偿</w:t>
      </w:r>
      <w:r>
        <w:rPr>
          <w:rFonts w:hint="eastAsia" w:ascii="宋体" w:hAnsi="宋体"/>
          <w:color w:val="auto"/>
          <w:sz w:val="22"/>
          <w:szCs w:val="22"/>
          <w:highlight w:val="none"/>
        </w:rPr>
        <w:t>采购人</w:t>
      </w:r>
      <w:r>
        <w:rPr>
          <w:rFonts w:hint="eastAsia" w:ascii="宋体" w:hAnsi="宋体"/>
          <w:bCs/>
          <w:color w:val="auto"/>
          <w:sz w:val="22"/>
          <w:szCs w:val="22"/>
          <w:highlight w:val="none"/>
        </w:rPr>
        <w:t>因</w:t>
      </w:r>
      <w:r>
        <w:rPr>
          <w:rFonts w:hint="eastAsia" w:ascii="宋体" w:hAnsi="宋体"/>
          <w:color w:val="auto"/>
          <w:sz w:val="22"/>
          <w:szCs w:val="22"/>
          <w:highlight w:val="none"/>
        </w:rPr>
        <w:t>成交供应商</w:t>
      </w:r>
      <w:r>
        <w:rPr>
          <w:rFonts w:hint="eastAsia" w:ascii="宋体" w:hAnsi="宋体"/>
          <w:bCs/>
          <w:color w:val="auto"/>
          <w:sz w:val="22"/>
          <w:szCs w:val="22"/>
          <w:highlight w:val="none"/>
        </w:rPr>
        <w:t>不能完成其合同义务而蒙受的损失。</w:t>
      </w:r>
      <w:r>
        <w:rPr>
          <w:rFonts w:hint="eastAsia" w:ascii="宋体" w:hAnsi="宋体" w:cs="宋体"/>
          <w:color w:val="auto"/>
          <w:sz w:val="22"/>
          <w:szCs w:val="22"/>
          <w:highlight w:val="none"/>
        </w:rPr>
        <w:t>其中，成交供应商施工项目班子承诺的三大员到位履约担保占成交供应商履约保证金总额的30%，工程</w:t>
      </w:r>
      <w:r>
        <w:rPr>
          <w:rFonts w:hint="eastAsia" w:ascii="宋体" w:hAnsi="宋体" w:cs="宋体"/>
          <w:color w:val="auto"/>
          <w:spacing w:val="-4"/>
          <w:sz w:val="22"/>
          <w:szCs w:val="22"/>
          <w:highlight w:val="none"/>
        </w:rPr>
        <w:t>质量履约担保占成交供应商履约保证金的30%，工程工期履约担保占成交供应商履约保证金的30</w:t>
      </w:r>
      <w:r>
        <w:rPr>
          <w:rFonts w:hint="eastAsia" w:ascii="宋体" w:hAnsi="宋体" w:cs="宋体"/>
          <w:color w:val="auto"/>
          <w:sz w:val="22"/>
          <w:szCs w:val="22"/>
          <w:highlight w:val="none"/>
        </w:rPr>
        <w:t>%，工程安全文明施工履约担保占成交供应商履约保证金的10％。</w:t>
      </w:r>
    </w:p>
    <w:p w14:paraId="6F187F69">
      <w:pPr>
        <w:spacing w:line="440" w:lineRule="exact"/>
        <w:ind w:left="550" w:hanging="550" w:hangingChars="250"/>
        <w:rPr>
          <w:rFonts w:hint="eastAsia" w:ascii="宋体" w:hAnsi="宋体"/>
          <w:color w:val="auto"/>
          <w:sz w:val="22"/>
          <w:szCs w:val="22"/>
          <w:highlight w:val="none"/>
        </w:rPr>
      </w:pP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.3  履约保证金自合同签订之日起至工程完成并通过最终验收之日止有效。有效期满后，采购人及时将履约保证金无息退还给成交供应商。</w:t>
      </w:r>
    </w:p>
    <w:p w14:paraId="5F7592E6">
      <w:pPr>
        <w:spacing w:line="440" w:lineRule="exact"/>
        <w:ind w:left="571" w:leftChars="10" w:hanging="550" w:hangingChars="250"/>
        <w:rPr>
          <w:rFonts w:hint="eastAsia" w:ascii="宋体" w:hAnsi="宋体"/>
          <w:color w:val="auto"/>
          <w:sz w:val="22"/>
          <w:szCs w:val="22"/>
          <w:highlight w:val="none"/>
        </w:rPr>
      </w:pPr>
      <w:r>
        <w:rPr>
          <w:rFonts w:hint="eastAsia" w:ascii="宋体" w:hAnsi="宋体"/>
          <w:color w:val="auto"/>
          <w:sz w:val="22"/>
          <w:szCs w:val="22"/>
          <w:highlight w:val="none"/>
          <w:lang w:val="en-US" w:eastAsia="zh-CN"/>
        </w:rPr>
        <w:t>5</w:t>
      </w:r>
      <w:r>
        <w:rPr>
          <w:rFonts w:hint="eastAsia" w:ascii="宋体" w:hAnsi="宋体"/>
          <w:color w:val="auto"/>
          <w:sz w:val="22"/>
          <w:szCs w:val="22"/>
          <w:highlight w:val="none"/>
        </w:rPr>
        <w:t>.4  工程质量保修金：本工程质量保修期规定为本招标工程竣工验收通过之日起两年，到期无问题即退还（不计息）。</w:t>
      </w:r>
    </w:p>
    <w:p w14:paraId="39B1256F">
      <w:pPr>
        <w:pStyle w:val="5"/>
        <w:spacing w:line="480" w:lineRule="exact"/>
        <w:jc w:val="center"/>
        <w:rPr>
          <w:rFonts w:hint="eastAsia"/>
          <w:color w:val="auto"/>
          <w:sz w:val="28"/>
          <w:szCs w:val="28"/>
          <w:highlight w:val="none"/>
        </w:rPr>
      </w:pPr>
      <w:bookmarkStart w:id="24" w:name="_Toc3774"/>
      <w:bookmarkStart w:id="25" w:name="_Toc30075"/>
      <w:r>
        <w:rPr>
          <w:rFonts w:hint="eastAsia"/>
          <w:color w:val="auto"/>
          <w:sz w:val="28"/>
          <w:szCs w:val="28"/>
          <w:highlight w:val="none"/>
        </w:rPr>
        <w:t>七、 其他注意事项</w:t>
      </w:r>
      <w:bookmarkEnd w:id="24"/>
      <w:bookmarkEnd w:id="25"/>
    </w:p>
    <w:p w14:paraId="64235213">
      <w:pPr>
        <w:pStyle w:val="20"/>
        <w:spacing w:line="440" w:lineRule="exact"/>
        <w:ind w:left="550" w:hanging="550" w:hangingChars="250"/>
        <w:rPr>
          <w:rFonts w:hint="eastAsia" w:hAnsi="宋体" w:cs="宋体"/>
          <w:color w:val="auto"/>
          <w:sz w:val="22"/>
          <w:szCs w:val="22"/>
          <w:highlight w:val="none"/>
        </w:rPr>
      </w:pPr>
      <w:r>
        <w:rPr>
          <w:rFonts w:hint="eastAsia" w:hAnsi="宋体" w:cs="宋体"/>
          <w:color w:val="auto"/>
          <w:sz w:val="22"/>
          <w:szCs w:val="22"/>
          <w:highlight w:val="none"/>
        </w:rPr>
        <w:t>1.   所有工程量的增或减而导致的工程价款的按磋商文件规定而产生的增或减均留至本招标工程竣工结算审计时计取。</w:t>
      </w:r>
    </w:p>
    <w:p w14:paraId="2ACFAB37">
      <w:pPr>
        <w:pStyle w:val="20"/>
        <w:spacing w:line="440" w:lineRule="exact"/>
        <w:ind w:left="550" w:hanging="550" w:hangingChars="250"/>
        <w:rPr>
          <w:rFonts w:hint="eastAsia" w:hAnsi="宋体" w:cs="宋体"/>
          <w:color w:val="auto"/>
          <w:sz w:val="22"/>
          <w:szCs w:val="22"/>
          <w:highlight w:val="none"/>
        </w:rPr>
      </w:pPr>
      <w:r>
        <w:rPr>
          <w:rFonts w:hint="eastAsia" w:hAnsi="宋体" w:cs="宋体"/>
          <w:color w:val="auto"/>
          <w:sz w:val="22"/>
          <w:szCs w:val="22"/>
          <w:highlight w:val="none"/>
        </w:rPr>
        <w:t>2.   本招标工程的竣工审计将在工程竣工及按本招标书及合同规定标准通过验收后30天内由成交供应商提交工程竣工结算资料并交采购单位认可的审计单位进行审计，并按其审定结果办理工程结算手续。</w:t>
      </w:r>
    </w:p>
    <w:p w14:paraId="7E1AF727">
      <w:pPr>
        <w:pStyle w:val="20"/>
        <w:spacing w:line="440" w:lineRule="exact"/>
        <w:ind w:left="220" w:hanging="220" w:hangingChars="100"/>
        <w:rPr>
          <w:rFonts w:hint="eastAsia" w:hAnsi="宋体" w:cs="宋体"/>
          <w:color w:val="auto"/>
          <w:sz w:val="22"/>
          <w:szCs w:val="22"/>
          <w:highlight w:val="none"/>
        </w:rPr>
      </w:pPr>
      <w:r>
        <w:rPr>
          <w:rFonts w:hint="eastAsia" w:hAnsi="宋体" w:cs="宋体"/>
          <w:color w:val="auto"/>
          <w:sz w:val="22"/>
          <w:szCs w:val="22"/>
          <w:highlight w:val="none"/>
        </w:rPr>
        <w:t>3.   质量等级：</w:t>
      </w:r>
      <w:r>
        <w:rPr>
          <w:rFonts w:hint="eastAsia" w:ascii="宋体" w:hAnsi="宋体"/>
          <w:b/>
          <w:bCs/>
          <w:color w:val="auto"/>
          <w:sz w:val="22"/>
          <w:szCs w:val="22"/>
          <w:highlight w:val="none"/>
          <w:u w:val="single"/>
          <w:lang w:val="en-US" w:eastAsia="zh-CN"/>
        </w:rPr>
        <w:t>供电部门验收</w:t>
      </w:r>
      <w:r>
        <w:rPr>
          <w:rFonts w:hint="eastAsia" w:ascii="宋体" w:hAnsi="宋体"/>
          <w:b/>
          <w:bCs/>
          <w:color w:val="auto"/>
          <w:sz w:val="22"/>
          <w:szCs w:val="22"/>
          <w:highlight w:val="none"/>
          <w:u w:val="single"/>
        </w:rPr>
        <w:t>合格</w:t>
      </w:r>
      <w:r>
        <w:rPr>
          <w:rFonts w:hint="eastAsia" w:ascii="宋体" w:hAnsi="宋体"/>
          <w:b/>
          <w:bCs/>
          <w:color w:val="auto"/>
          <w:sz w:val="22"/>
          <w:szCs w:val="22"/>
          <w:highlight w:val="none"/>
          <w:u w:val="single"/>
          <w:lang w:val="en-US" w:eastAsia="zh-CN"/>
        </w:rPr>
        <w:t>并通电</w:t>
      </w:r>
      <w:r>
        <w:rPr>
          <w:rFonts w:hint="eastAsia" w:hAnsi="宋体" w:cs="宋体"/>
          <w:color w:val="auto"/>
          <w:sz w:val="22"/>
          <w:szCs w:val="22"/>
          <w:highlight w:val="none"/>
        </w:rPr>
        <w:t>。</w:t>
      </w:r>
    </w:p>
    <w:p w14:paraId="2EBC1E8C">
      <w:pPr>
        <w:pStyle w:val="20"/>
        <w:spacing w:line="440" w:lineRule="exact"/>
        <w:ind w:left="550" w:hanging="550" w:hangingChars="250"/>
        <w:rPr>
          <w:rFonts w:hint="eastAsia" w:hAnsi="宋体" w:cs="宋体"/>
          <w:color w:val="auto"/>
          <w:sz w:val="22"/>
          <w:szCs w:val="22"/>
          <w:highlight w:val="none"/>
        </w:rPr>
      </w:pPr>
      <w:r>
        <w:rPr>
          <w:rFonts w:hint="eastAsia" w:hAnsi="宋体" w:cs="宋体"/>
          <w:color w:val="auto"/>
          <w:sz w:val="22"/>
          <w:szCs w:val="22"/>
          <w:highlight w:val="none"/>
        </w:rPr>
        <w:t>4.   验收标准；执行</w:t>
      </w:r>
      <w:r>
        <w:rPr>
          <w:rFonts w:hint="eastAsia" w:hAnsi="宋体"/>
          <w:color w:val="auto"/>
          <w:sz w:val="22"/>
          <w:szCs w:val="22"/>
          <w:highlight w:val="none"/>
        </w:rPr>
        <w:t>《建筑工程施工与质量验收标准》</w:t>
      </w:r>
      <w:r>
        <w:rPr>
          <w:rFonts w:hint="eastAsia" w:hAnsi="宋体" w:cs="宋体"/>
          <w:color w:val="auto"/>
          <w:sz w:val="22"/>
          <w:szCs w:val="22"/>
          <w:highlight w:val="none"/>
        </w:rPr>
        <w:t>，竣工后严格以上述规范标准为依据，经有关部门检查验收，工程质量达到合格等级。</w:t>
      </w:r>
    </w:p>
    <w:p w14:paraId="054325A9">
      <w:pPr>
        <w:pStyle w:val="20"/>
        <w:spacing w:line="440" w:lineRule="exact"/>
        <w:ind w:left="220" w:hanging="220" w:hangingChars="100"/>
        <w:rPr>
          <w:rFonts w:hint="eastAsia" w:hAnsi="宋体" w:cs="宋体"/>
          <w:color w:val="auto"/>
          <w:sz w:val="22"/>
          <w:szCs w:val="22"/>
          <w:highlight w:val="none"/>
        </w:rPr>
      </w:pPr>
      <w:r>
        <w:rPr>
          <w:rFonts w:hint="eastAsia" w:hAnsi="宋体" w:cs="宋体"/>
          <w:color w:val="auto"/>
          <w:sz w:val="22"/>
          <w:szCs w:val="22"/>
          <w:highlight w:val="none"/>
        </w:rPr>
        <w:t>5.   工程总价：按合同价一次包定，除按磋商文件规定外不再调整。</w:t>
      </w:r>
    </w:p>
    <w:p w14:paraId="0CE5C46C">
      <w:pPr>
        <w:spacing w:line="44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   采购人提供的技术文件，图纸及有关资料：</w:t>
      </w:r>
    </w:p>
    <w:p w14:paraId="02C5F2BC">
      <w:pPr>
        <w:spacing w:line="44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6.1  磋商文件；</w:t>
      </w:r>
    </w:p>
    <w:p w14:paraId="2364EB8B">
      <w:pPr>
        <w:spacing w:line="44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6.2  工程量清单；</w:t>
      </w:r>
    </w:p>
    <w:p w14:paraId="765C016B">
      <w:pPr>
        <w:spacing w:line="44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6.3  图纸和技术资料；</w:t>
      </w:r>
    </w:p>
    <w:p w14:paraId="2A5AD4D0">
      <w:pPr>
        <w:spacing w:line="440"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工程量清单及图纸以书面形式发布的为准。</w:t>
      </w:r>
    </w:p>
    <w:p w14:paraId="389EF0A6">
      <w:pPr>
        <w:pStyle w:val="5"/>
        <w:spacing w:line="480" w:lineRule="exact"/>
        <w:jc w:val="center"/>
        <w:rPr>
          <w:rFonts w:hint="eastAsia"/>
          <w:color w:val="auto"/>
          <w:sz w:val="28"/>
          <w:szCs w:val="28"/>
          <w:highlight w:val="none"/>
        </w:rPr>
      </w:pPr>
      <w:bookmarkStart w:id="26" w:name="_Toc77410345"/>
      <w:bookmarkStart w:id="27" w:name="_Toc12125"/>
      <w:bookmarkStart w:id="28" w:name="_Toc77407760"/>
      <w:bookmarkStart w:id="29" w:name="_Toc95395551"/>
      <w:bookmarkStart w:id="30" w:name="_Toc99389644"/>
      <w:bookmarkStart w:id="31" w:name="_Toc32702"/>
      <w:bookmarkStart w:id="32" w:name="_Hlk99786429"/>
      <w:r>
        <w:rPr>
          <w:rFonts w:hint="eastAsia"/>
          <w:color w:val="auto"/>
          <w:sz w:val="28"/>
          <w:szCs w:val="28"/>
          <w:highlight w:val="none"/>
        </w:rPr>
        <w:t>八、 可中止电子交易活动的情形</w:t>
      </w:r>
      <w:bookmarkEnd w:id="26"/>
      <w:bookmarkEnd w:id="27"/>
      <w:bookmarkEnd w:id="28"/>
      <w:bookmarkEnd w:id="29"/>
      <w:bookmarkEnd w:id="30"/>
      <w:bookmarkEnd w:id="31"/>
    </w:p>
    <w:p w14:paraId="20074BB6">
      <w:pPr>
        <w:tabs>
          <w:tab w:val="left" w:pos="1365"/>
        </w:tabs>
        <w:spacing w:line="44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采购过程中出现以下情形，导致电子交易平台无法正常运行，或者无法保证电子交易的公平、公正和安全时，采购代理机构可中止电子交易活动：</w:t>
      </w:r>
    </w:p>
    <w:p w14:paraId="5FB2D205">
      <w:pPr>
        <w:tabs>
          <w:tab w:val="left" w:pos="1365"/>
        </w:tabs>
        <w:spacing w:line="440" w:lineRule="exact"/>
        <w:ind w:left="550" w:hanging="550" w:hangingChars="250"/>
        <w:rPr>
          <w:rFonts w:hint="eastAsia" w:ascii="宋体" w:hAnsi="宋体" w:cs="宋体"/>
          <w:color w:val="auto"/>
          <w:sz w:val="22"/>
          <w:highlight w:val="none"/>
        </w:rPr>
      </w:pPr>
      <w:r>
        <w:rPr>
          <w:rFonts w:ascii="宋体" w:hAnsi="宋体" w:cs="宋体"/>
          <w:color w:val="auto"/>
          <w:sz w:val="22"/>
          <w:highlight w:val="none"/>
        </w:rPr>
        <w:t xml:space="preserve">1.   </w:t>
      </w:r>
      <w:r>
        <w:rPr>
          <w:rFonts w:hint="eastAsia" w:ascii="宋体" w:hAnsi="宋体" w:cs="宋体"/>
          <w:color w:val="auto"/>
          <w:sz w:val="22"/>
          <w:highlight w:val="none"/>
        </w:rPr>
        <w:t>电子交易平台发生故障而无法登录访问的；</w:t>
      </w:r>
    </w:p>
    <w:p w14:paraId="501DF182">
      <w:pPr>
        <w:tabs>
          <w:tab w:val="left" w:pos="1365"/>
        </w:tabs>
        <w:spacing w:line="440" w:lineRule="exact"/>
        <w:ind w:left="550" w:hanging="550" w:hangingChars="250"/>
        <w:rPr>
          <w:rFonts w:hint="eastAsia" w:ascii="宋体" w:hAnsi="宋体" w:cs="宋体"/>
          <w:color w:val="auto"/>
          <w:sz w:val="22"/>
          <w:highlight w:val="none"/>
        </w:rPr>
      </w:pPr>
      <w:r>
        <w:rPr>
          <w:rFonts w:ascii="宋体" w:hAnsi="宋体" w:cs="宋体"/>
          <w:color w:val="auto"/>
          <w:sz w:val="22"/>
          <w:highlight w:val="none"/>
        </w:rPr>
        <w:t xml:space="preserve">2.   </w:t>
      </w:r>
      <w:r>
        <w:rPr>
          <w:rFonts w:hint="eastAsia" w:ascii="宋体" w:hAnsi="宋体" w:cs="宋体"/>
          <w:color w:val="auto"/>
          <w:sz w:val="22"/>
          <w:highlight w:val="none"/>
        </w:rPr>
        <w:t>电子交易平台应用或数据库出现错误，不能进行正常操作的；</w:t>
      </w:r>
    </w:p>
    <w:p w14:paraId="288E99AB">
      <w:pPr>
        <w:tabs>
          <w:tab w:val="left" w:pos="1365"/>
        </w:tabs>
        <w:spacing w:line="440" w:lineRule="exact"/>
        <w:ind w:left="550" w:hanging="550" w:hangingChars="250"/>
        <w:rPr>
          <w:rFonts w:hint="eastAsia" w:ascii="宋体" w:hAnsi="宋体" w:cs="宋体"/>
          <w:color w:val="auto"/>
          <w:sz w:val="22"/>
          <w:highlight w:val="none"/>
        </w:rPr>
      </w:pPr>
      <w:r>
        <w:rPr>
          <w:rFonts w:ascii="宋体" w:hAnsi="宋体" w:cs="宋体"/>
          <w:color w:val="auto"/>
          <w:sz w:val="22"/>
          <w:highlight w:val="none"/>
        </w:rPr>
        <w:t xml:space="preserve">3.   </w:t>
      </w:r>
      <w:r>
        <w:rPr>
          <w:rFonts w:hint="eastAsia" w:ascii="宋体" w:hAnsi="宋体" w:cs="宋体"/>
          <w:color w:val="auto"/>
          <w:sz w:val="22"/>
          <w:highlight w:val="none"/>
        </w:rPr>
        <w:t>电子交易平台发现严重安全漏洞，有潜在泄密危险的；</w:t>
      </w:r>
    </w:p>
    <w:p w14:paraId="250AEC8C">
      <w:pPr>
        <w:tabs>
          <w:tab w:val="left" w:pos="1365"/>
        </w:tabs>
        <w:spacing w:line="440" w:lineRule="exact"/>
        <w:ind w:left="550" w:hanging="550" w:hangingChars="250"/>
        <w:rPr>
          <w:rFonts w:hint="eastAsia" w:ascii="宋体" w:hAnsi="宋体" w:cs="宋体"/>
          <w:color w:val="auto"/>
          <w:sz w:val="22"/>
          <w:highlight w:val="none"/>
        </w:rPr>
      </w:pPr>
      <w:r>
        <w:rPr>
          <w:rFonts w:ascii="宋体" w:hAnsi="宋体" w:cs="宋体"/>
          <w:color w:val="auto"/>
          <w:sz w:val="22"/>
          <w:highlight w:val="none"/>
        </w:rPr>
        <w:t xml:space="preserve">4.   </w:t>
      </w:r>
      <w:r>
        <w:rPr>
          <w:rFonts w:hint="eastAsia" w:ascii="宋体" w:hAnsi="宋体" w:cs="宋体"/>
          <w:color w:val="auto"/>
          <w:sz w:val="22"/>
          <w:highlight w:val="none"/>
        </w:rPr>
        <w:t>病毒发作导致不能进行正常操作的；</w:t>
      </w:r>
    </w:p>
    <w:p w14:paraId="55B4E15A">
      <w:pPr>
        <w:tabs>
          <w:tab w:val="left" w:pos="1365"/>
        </w:tabs>
        <w:spacing w:line="440" w:lineRule="exact"/>
        <w:ind w:left="550" w:hanging="550" w:hangingChars="250"/>
        <w:rPr>
          <w:rFonts w:hint="eastAsia" w:ascii="宋体" w:hAnsi="宋体" w:cs="宋体"/>
          <w:color w:val="auto"/>
          <w:sz w:val="22"/>
          <w:highlight w:val="none"/>
        </w:rPr>
      </w:pPr>
      <w:r>
        <w:rPr>
          <w:rFonts w:ascii="宋体" w:hAnsi="宋体" w:cs="宋体"/>
          <w:color w:val="auto"/>
          <w:sz w:val="22"/>
          <w:highlight w:val="none"/>
        </w:rPr>
        <w:t xml:space="preserve">5.   </w:t>
      </w:r>
      <w:r>
        <w:rPr>
          <w:rFonts w:hint="eastAsia" w:ascii="宋体" w:hAnsi="宋体" w:cs="宋体"/>
          <w:color w:val="auto"/>
          <w:sz w:val="22"/>
          <w:highlight w:val="none"/>
        </w:rPr>
        <w:t>其他无法保证电子交易的公平、公正和安全的情况。</w:t>
      </w:r>
    </w:p>
    <w:p w14:paraId="316BFD82">
      <w:pPr>
        <w:tabs>
          <w:tab w:val="left" w:pos="1365"/>
        </w:tabs>
        <w:spacing w:line="440" w:lineRule="exact"/>
        <w:ind w:left="420" w:leftChars="200" w:firstLine="110" w:firstLineChars="50"/>
        <w:rPr>
          <w:rFonts w:ascii="宋体" w:hAnsi="宋体" w:cs="宋体"/>
          <w:color w:val="auto"/>
          <w:sz w:val="22"/>
          <w:highlight w:val="none"/>
        </w:rPr>
      </w:pPr>
      <w:r>
        <w:rPr>
          <w:rFonts w:hint="eastAsia" w:ascii="宋体" w:hAnsi="宋体" w:cs="宋体"/>
          <w:color w:val="auto"/>
          <w:sz w:val="22"/>
          <w:highlight w:val="none"/>
        </w:rPr>
        <w:t>出现前款规定情形，不影响采购公平、公正性的，采购代理机构可以待上述情形消除后继续组织电子交易活动；影响或可能影响采购公平、公正性的，应当重新采购。</w:t>
      </w:r>
    </w:p>
    <w:bookmarkEnd w:id="32"/>
    <w:p w14:paraId="537A2F5D">
      <w:pPr>
        <w:spacing w:line="440" w:lineRule="exact"/>
        <w:rPr>
          <w:rFonts w:hint="eastAsia" w:ascii="宋体" w:hAnsi="宋体" w:cs="宋体"/>
          <w:color w:val="auto"/>
          <w:kern w:val="0"/>
          <w:sz w:val="22"/>
          <w:szCs w:val="22"/>
          <w:highlight w:val="none"/>
        </w:rPr>
      </w:pPr>
    </w:p>
    <w:p w14:paraId="65E66AC2">
      <w:pPr>
        <w:pStyle w:val="4"/>
        <w:spacing w:line="560" w:lineRule="exact"/>
        <w:jc w:val="center"/>
        <w:rPr>
          <w:rFonts w:hint="eastAsia" w:ascii="黑体" w:hAnsi="黑体" w:eastAsia="黑体"/>
          <w:color w:val="auto"/>
          <w:sz w:val="32"/>
          <w:szCs w:val="32"/>
          <w:highlight w:val="none"/>
        </w:rPr>
      </w:pPr>
      <w:r>
        <w:rPr>
          <w:rFonts w:ascii="黑体" w:eastAsia="黑体"/>
          <w:color w:val="auto"/>
          <w:sz w:val="32"/>
          <w:szCs w:val="32"/>
          <w:highlight w:val="none"/>
        </w:rPr>
        <w:br w:type="page"/>
      </w:r>
      <w:bookmarkStart w:id="33" w:name="_Toc5259"/>
      <w:bookmarkStart w:id="34" w:name="_Toc11391"/>
      <w:r>
        <w:rPr>
          <w:rFonts w:hint="eastAsia" w:ascii="黑体" w:hAnsi="黑体" w:eastAsia="黑体"/>
          <w:color w:val="auto"/>
          <w:sz w:val="32"/>
          <w:szCs w:val="32"/>
          <w:highlight w:val="none"/>
        </w:rPr>
        <w:t>第三部分  合同主要条款</w:t>
      </w:r>
      <w:bookmarkEnd w:id="33"/>
      <w:bookmarkEnd w:id="34"/>
    </w:p>
    <w:p w14:paraId="24E8A225">
      <w:pPr>
        <w:spacing w:line="400" w:lineRule="exact"/>
        <w:jc w:val="center"/>
        <w:rPr>
          <w:rFonts w:hint="eastAsia" w:ascii="宋体" w:hAnsi="宋体"/>
          <w:color w:val="auto"/>
          <w:sz w:val="24"/>
          <w:highlight w:val="none"/>
        </w:rPr>
      </w:pPr>
      <w:r>
        <w:rPr>
          <w:rFonts w:hint="eastAsia" w:ascii="宋体" w:hAnsi="宋体"/>
          <w:color w:val="auto"/>
          <w:sz w:val="24"/>
          <w:highlight w:val="none"/>
        </w:rPr>
        <w:t>附件：GF—2017—0201</w:t>
      </w:r>
    </w:p>
    <w:p w14:paraId="51E7589F">
      <w:pPr>
        <w:spacing w:line="400" w:lineRule="exact"/>
        <w:jc w:val="center"/>
        <w:rPr>
          <w:rFonts w:hint="eastAsia" w:ascii="宋体" w:hAnsi="宋体"/>
          <w:b/>
          <w:bCs/>
          <w:color w:val="auto"/>
          <w:sz w:val="24"/>
          <w:highlight w:val="none"/>
        </w:rPr>
      </w:pPr>
      <w:r>
        <w:rPr>
          <w:rFonts w:hint="eastAsia" w:ascii="宋体" w:hAnsi="宋体"/>
          <w:b/>
          <w:bCs/>
          <w:color w:val="auto"/>
          <w:sz w:val="24"/>
          <w:highlight w:val="none"/>
        </w:rPr>
        <w:t xml:space="preserve">   建 设 工 程 施 工 合 同</w:t>
      </w:r>
      <w:r>
        <w:rPr>
          <w:rFonts w:hint="eastAsia" w:ascii="宋体" w:hAnsi="宋体"/>
          <w:color w:val="auto"/>
          <w:sz w:val="24"/>
          <w:highlight w:val="none"/>
        </w:rPr>
        <w:t>（示范文本）</w:t>
      </w:r>
    </w:p>
    <w:p w14:paraId="5D7B9345">
      <w:pPr>
        <w:spacing w:line="400" w:lineRule="exact"/>
        <w:jc w:val="center"/>
        <w:rPr>
          <w:rFonts w:hint="eastAsia" w:ascii="宋体" w:hAnsi="宋体"/>
          <w:color w:val="auto"/>
          <w:sz w:val="24"/>
          <w:highlight w:val="none"/>
        </w:rPr>
      </w:pPr>
      <w:r>
        <w:rPr>
          <w:rFonts w:hint="eastAsia" w:ascii="宋体" w:hAnsi="宋体"/>
          <w:color w:val="auto"/>
          <w:sz w:val="24"/>
          <w:highlight w:val="none"/>
        </w:rPr>
        <w:t>中华人民共和国住房和城乡建设部、国家工商行政管理总局制定</w:t>
      </w:r>
    </w:p>
    <w:p w14:paraId="0C6FD220">
      <w:pPr>
        <w:pStyle w:val="22"/>
        <w:spacing w:line="400" w:lineRule="exact"/>
        <w:ind w:left="0" w:leftChars="0"/>
        <w:jc w:val="center"/>
        <w:rPr>
          <w:rFonts w:hint="eastAsia" w:ascii="宋体" w:hAnsi="宋体"/>
          <w:color w:val="auto"/>
          <w:sz w:val="24"/>
          <w:highlight w:val="none"/>
        </w:rPr>
      </w:pPr>
      <w:r>
        <w:rPr>
          <w:rFonts w:hint="eastAsia" w:ascii="宋体" w:hAnsi="宋体"/>
          <w:color w:val="auto"/>
          <w:sz w:val="24"/>
          <w:highlight w:val="none"/>
        </w:rPr>
        <w:t>二〇一七年六月</w:t>
      </w:r>
    </w:p>
    <w:p w14:paraId="7CF13D19">
      <w:pPr>
        <w:spacing w:line="400" w:lineRule="exact"/>
        <w:jc w:val="center"/>
        <w:rPr>
          <w:rFonts w:hint="eastAsia" w:ascii="宋体" w:hAnsi="宋体"/>
          <w:b/>
          <w:bCs/>
          <w:color w:val="auto"/>
          <w:sz w:val="30"/>
          <w:szCs w:val="30"/>
          <w:highlight w:val="none"/>
        </w:rPr>
      </w:pPr>
    </w:p>
    <w:p w14:paraId="1F75AA3E">
      <w:pPr>
        <w:pStyle w:val="5"/>
        <w:spacing w:line="480" w:lineRule="exact"/>
        <w:jc w:val="center"/>
        <w:rPr>
          <w:rFonts w:hint="eastAsia"/>
          <w:color w:val="auto"/>
          <w:sz w:val="28"/>
          <w:szCs w:val="28"/>
          <w:highlight w:val="none"/>
        </w:rPr>
      </w:pPr>
      <w:bookmarkStart w:id="35" w:name="_Toc30921"/>
      <w:bookmarkStart w:id="36" w:name="_Toc8333"/>
      <w:r>
        <w:rPr>
          <w:rFonts w:hint="eastAsia"/>
          <w:color w:val="auto"/>
          <w:sz w:val="28"/>
          <w:szCs w:val="28"/>
          <w:highlight w:val="none"/>
        </w:rPr>
        <w:t>（一）合同协议书</w:t>
      </w:r>
      <w:bookmarkEnd w:id="35"/>
      <w:bookmarkEnd w:id="36"/>
    </w:p>
    <w:p w14:paraId="667FB650">
      <w:pPr>
        <w:spacing w:line="400" w:lineRule="exact"/>
        <w:rPr>
          <w:rFonts w:hint="eastAsia" w:ascii="宋体" w:hAnsi="宋体"/>
          <w:color w:val="auto"/>
          <w:sz w:val="22"/>
          <w:szCs w:val="22"/>
          <w:highlight w:val="none"/>
        </w:rPr>
      </w:pPr>
    </w:p>
    <w:p w14:paraId="01D24368">
      <w:pPr>
        <w:spacing w:line="440" w:lineRule="exact"/>
        <w:rPr>
          <w:rFonts w:hint="eastAsia" w:ascii="宋体" w:hAnsi="宋体"/>
          <w:color w:val="auto"/>
          <w:sz w:val="22"/>
          <w:szCs w:val="22"/>
          <w:highlight w:val="none"/>
          <w:u w:val="single"/>
        </w:rPr>
      </w:pPr>
      <w:r>
        <w:rPr>
          <w:rFonts w:hint="eastAsia" w:ascii="宋体" w:hAnsi="宋体"/>
          <w:color w:val="auto"/>
          <w:sz w:val="22"/>
          <w:szCs w:val="22"/>
          <w:highlight w:val="none"/>
        </w:rPr>
        <w:t>发包人（全称）：</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eastAsia="zh-CN"/>
        </w:rPr>
        <w:t>温州市综合行政执法局</w:t>
      </w:r>
      <w:r>
        <w:rPr>
          <w:rFonts w:hint="eastAsia" w:ascii="宋体" w:hAnsi="宋体"/>
          <w:color w:val="auto"/>
          <w:sz w:val="22"/>
          <w:szCs w:val="22"/>
          <w:highlight w:val="none"/>
          <w:u w:val="single"/>
        </w:rPr>
        <w:t xml:space="preserve">                   </w:t>
      </w:r>
    </w:p>
    <w:p w14:paraId="36C1113C">
      <w:pPr>
        <w:spacing w:line="440" w:lineRule="exact"/>
        <w:rPr>
          <w:rFonts w:hint="eastAsia" w:ascii="宋体" w:hAnsi="宋体"/>
          <w:color w:val="auto"/>
          <w:sz w:val="22"/>
          <w:szCs w:val="22"/>
          <w:highlight w:val="none"/>
          <w:u w:val="single"/>
        </w:rPr>
      </w:pPr>
      <w:r>
        <w:rPr>
          <w:rFonts w:hint="eastAsia" w:ascii="宋体" w:hAnsi="宋体"/>
          <w:color w:val="auto"/>
          <w:sz w:val="22"/>
          <w:szCs w:val="22"/>
          <w:highlight w:val="none"/>
        </w:rPr>
        <w:t>承包人（全称）：</w:t>
      </w:r>
      <w:r>
        <w:rPr>
          <w:rFonts w:hint="eastAsia" w:ascii="宋体" w:hAnsi="宋体"/>
          <w:color w:val="auto"/>
          <w:sz w:val="22"/>
          <w:szCs w:val="22"/>
          <w:highlight w:val="none"/>
          <w:u w:val="single"/>
        </w:rPr>
        <w:t xml:space="preserve">                                       </w:t>
      </w:r>
    </w:p>
    <w:p w14:paraId="72A67F63">
      <w:pPr>
        <w:pStyle w:val="17"/>
        <w:spacing w:line="440" w:lineRule="exact"/>
        <w:ind w:left="2" w:leftChars="1" w:firstLine="440" w:firstLineChars="200"/>
        <w:rPr>
          <w:rFonts w:hint="eastAsia" w:ascii="宋体" w:hAnsi="宋体"/>
          <w:color w:val="auto"/>
          <w:sz w:val="22"/>
          <w:szCs w:val="22"/>
          <w:highlight w:val="none"/>
        </w:rPr>
      </w:pPr>
      <w:r>
        <w:rPr>
          <w:rFonts w:hint="eastAsia" w:ascii="宋体" w:hAnsi="宋体"/>
          <w:color w:val="auto"/>
          <w:sz w:val="22"/>
          <w:szCs w:val="22"/>
          <w:highlight w:val="none"/>
        </w:rPr>
        <w:t>依照《中华人民共和国民法典》、《中华人民共和国建筑法》及其他有关法律、行政法规的规定，遵循平等、自愿、公平和诚实信用的原则，双方就</w:t>
      </w:r>
      <w:r>
        <w:rPr>
          <w:rFonts w:hint="eastAsia" w:ascii="宋体" w:hAnsi="宋体" w:cs="宋体"/>
          <w:color w:val="auto"/>
          <w:sz w:val="22"/>
          <w:szCs w:val="22"/>
          <w:highlight w:val="none"/>
          <w:u w:val="single"/>
          <w:lang w:eastAsia="zh-CN"/>
        </w:rPr>
        <w:t>温州市综合行政执法局2*630kVA配电室增容改造工程</w:t>
      </w:r>
      <w:r>
        <w:rPr>
          <w:rFonts w:hint="eastAsia" w:ascii="宋体" w:hAnsi="宋体"/>
          <w:color w:val="auto"/>
          <w:sz w:val="22"/>
          <w:szCs w:val="22"/>
          <w:highlight w:val="none"/>
        </w:rPr>
        <w:t>及有关事项协商一致，共同达成如下协议：</w:t>
      </w:r>
    </w:p>
    <w:p w14:paraId="6FBBD2FE">
      <w:pPr>
        <w:spacing w:line="440" w:lineRule="exact"/>
        <w:rPr>
          <w:rFonts w:hint="eastAsia" w:ascii="宋体" w:hAnsi="宋体"/>
          <w:b/>
          <w:bCs/>
          <w:color w:val="auto"/>
          <w:sz w:val="22"/>
          <w:szCs w:val="22"/>
          <w:highlight w:val="none"/>
        </w:rPr>
      </w:pPr>
      <w:r>
        <w:rPr>
          <w:rFonts w:hint="eastAsia" w:ascii="宋体" w:hAnsi="宋体"/>
          <w:b/>
          <w:bCs/>
          <w:color w:val="auto"/>
          <w:sz w:val="22"/>
          <w:szCs w:val="22"/>
          <w:highlight w:val="none"/>
        </w:rPr>
        <w:t>一、 工程概况</w:t>
      </w:r>
    </w:p>
    <w:p w14:paraId="047B385C">
      <w:pPr>
        <w:spacing w:line="440" w:lineRule="exact"/>
        <w:ind w:firstLine="220" w:firstLineChars="100"/>
        <w:rPr>
          <w:rFonts w:hint="eastAsia" w:ascii="宋体" w:hAnsi="宋体" w:eastAsia="宋体" w:cs="宋体"/>
          <w:color w:val="auto"/>
          <w:sz w:val="22"/>
          <w:szCs w:val="22"/>
          <w:highlight w:val="none"/>
          <w:u w:val="single"/>
          <w:lang w:eastAsia="zh-CN"/>
        </w:rPr>
      </w:pPr>
      <w:r>
        <w:rPr>
          <w:rFonts w:hint="eastAsia" w:ascii="宋体" w:hAnsi="宋体"/>
          <w:color w:val="auto"/>
          <w:sz w:val="22"/>
          <w:szCs w:val="22"/>
          <w:highlight w:val="none"/>
        </w:rPr>
        <w:t>1. 工程名称：</w:t>
      </w:r>
      <w:r>
        <w:rPr>
          <w:rFonts w:hint="eastAsia" w:ascii="宋体" w:hAnsi="宋体"/>
          <w:color w:val="auto"/>
          <w:sz w:val="22"/>
          <w:szCs w:val="22"/>
          <w:highlight w:val="none"/>
          <w:u w:val="single"/>
          <w:lang w:eastAsia="zh-CN"/>
        </w:rPr>
        <w:t>温州市综合行政执法局2*630kVA配电室增容改造工程</w:t>
      </w:r>
    </w:p>
    <w:p w14:paraId="5C11726A">
      <w:pPr>
        <w:spacing w:line="440" w:lineRule="exact"/>
        <w:ind w:firstLine="220" w:firstLineChars="100"/>
        <w:rPr>
          <w:rFonts w:hint="eastAsia" w:ascii="宋体" w:hAnsi="宋体"/>
          <w:color w:val="auto"/>
          <w:sz w:val="22"/>
          <w:szCs w:val="22"/>
          <w:highlight w:val="none"/>
          <w:u w:val="single"/>
        </w:rPr>
      </w:pPr>
      <w:r>
        <w:rPr>
          <w:rFonts w:hint="eastAsia" w:ascii="宋体" w:hAnsi="宋体"/>
          <w:color w:val="auto"/>
          <w:sz w:val="22"/>
          <w:szCs w:val="22"/>
          <w:highlight w:val="none"/>
        </w:rPr>
        <w:t>2. 工程地点：</w:t>
      </w:r>
      <w:r>
        <w:rPr>
          <w:rFonts w:hint="eastAsia" w:ascii="宋体" w:hAnsi="宋体" w:cs="宋体"/>
          <w:color w:val="auto"/>
          <w:sz w:val="22"/>
          <w:szCs w:val="22"/>
          <w:highlight w:val="none"/>
          <w:u w:val="single"/>
          <w:lang w:eastAsia="zh-CN"/>
        </w:rPr>
        <w:t>温州市综合行政执法局</w:t>
      </w:r>
    </w:p>
    <w:p w14:paraId="1BFE8C64">
      <w:pPr>
        <w:spacing w:line="440" w:lineRule="exact"/>
        <w:ind w:firstLine="220" w:firstLineChars="100"/>
        <w:rPr>
          <w:rFonts w:hint="eastAsia" w:ascii="宋体" w:hAnsi="宋体"/>
          <w:color w:val="auto"/>
          <w:sz w:val="22"/>
          <w:szCs w:val="22"/>
          <w:highlight w:val="none"/>
          <w:u w:val="single"/>
        </w:rPr>
      </w:pPr>
      <w:r>
        <w:rPr>
          <w:rFonts w:hint="eastAsia" w:ascii="宋体" w:hAnsi="宋体"/>
          <w:color w:val="auto"/>
          <w:sz w:val="22"/>
          <w:szCs w:val="22"/>
          <w:highlight w:val="none"/>
        </w:rPr>
        <w:t>3. 工程立项批准文号：</w:t>
      </w:r>
      <w:r>
        <w:rPr>
          <w:rFonts w:hint="eastAsia" w:ascii="宋体" w:hAnsi="宋体"/>
          <w:color w:val="auto"/>
          <w:sz w:val="22"/>
          <w:szCs w:val="22"/>
          <w:highlight w:val="none"/>
          <w:u w:val="single"/>
        </w:rPr>
        <w:t xml:space="preserve">                            </w:t>
      </w:r>
    </w:p>
    <w:p w14:paraId="10B0016E">
      <w:pPr>
        <w:spacing w:line="440" w:lineRule="exact"/>
        <w:ind w:firstLine="220" w:firstLineChars="100"/>
        <w:rPr>
          <w:rFonts w:hint="eastAsia" w:ascii="宋体" w:hAnsi="宋体"/>
          <w:color w:val="auto"/>
          <w:sz w:val="22"/>
          <w:szCs w:val="22"/>
          <w:highlight w:val="none"/>
          <w:u w:val="single"/>
        </w:rPr>
      </w:pPr>
      <w:r>
        <w:rPr>
          <w:rFonts w:hint="eastAsia" w:ascii="宋体" w:hAnsi="宋体"/>
          <w:color w:val="auto"/>
          <w:sz w:val="22"/>
          <w:szCs w:val="22"/>
          <w:highlight w:val="none"/>
        </w:rPr>
        <w:t>4. 资金来源：</w:t>
      </w:r>
      <w:r>
        <w:rPr>
          <w:rFonts w:hint="eastAsia" w:ascii="宋体" w:hAnsi="宋体"/>
          <w:color w:val="auto"/>
          <w:sz w:val="22"/>
          <w:szCs w:val="22"/>
          <w:highlight w:val="none"/>
          <w:u w:val="single"/>
        </w:rPr>
        <w:t xml:space="preserve">财政经费                 </w:t>
      </w:r>
    </w:p>
    <w:p w14:paraId="71D07B1E">
      <w:pPr>
        <w:spacing w:line="440" w:lineRule="exact"/>
        <w:ind w:left="548" w:leftChars="104" w:hanging="330" w:hangingChars="150"/>
        <w:rPr>
          <w:rFonts w:hint="eastAsia" w:ascii="宋体" w:hAnsi="宋体"/>
          <w:color w:val="auto"/>
          <w:sz w:val="22"/>
          <w:szCs w:val="22"/>
          <w:highlight w:val="none"/>
          <w:u w:val="single"/>
        </w:rPr>
      </w:pPr>
      <w:r>
        <w:rPr>
          <w:rFonts w:hint="eastAsia" w:ascii="宋体" w:hAnsi="宋体"/>
          <w:color w:val="auto"/>
          <w:sz w:val="22"/>
          <w:szCs w:val="22"/>
          <w:highlight w:val="none"/>
        </w:rPr>
        <w:t>5. 工程内容：</w:t>
      </w:r>
      <w:r>
        <w:rPr>
          <w:rFonts w:hint="eastAsia" w:ascii="宋体" w:hAnsi="宋体" w:cs="宋体"/>
          <w:color w:val="auto"/>
          <w:sz w:val="22"/>
          <w:szCs w:val="22"/>
          <w:highlight w:val="none"/>
          <w:u w:val="single"/>
        </w:rPr>
        <w:t xml:space="preserve"> </w:t>
      </w:r>
      <w:r>
        <w:rPr>
          <w:rFonts w:hint="eastAsia" w:ascii="宋体" w:hAnsi="宋体"/>
          <w:color w:val="auto"/>
          <w:sz w:val="22"/>
          <w:szCs w:val="22"/>
          <w:highlight w:val="none"/>
          <w:u w:val="single"/>
          <w:lang w:eastAsia="zh-CN"/>
        </w:rPr>
        <w:t>温州市综合行政执法局2*630kVA配电室增容改造工程</w:t>
      </w:r>
      <w:r>
        <w:rPr>
          <w:rFonts w:hint="eastAsia" w:ascii="宋体" w:hAnsi="宋体" w:cs="宋体"/>
          <w:color w:val="auto"/>
          <w:sz w:val="22"/>
          <w:szCs w:val="22"/>
          <w:highlight w:val="none"/>
          <w:u w:val="single"/>
        </w:rPr>
        <w:t xml:space="preserve"> 。</w:t>
      </w:r>
      <w:r>
        <w:rPr>
          <w:rFonts w:hint="eastAsia" w:ascii="宋体" w:hAnsi="宋体"/>
          <w:color w:val="auto"/>
          <w:sz w:val="22"/>
          <w:szCs w:val="22"/>
          <w:highlight w:val="none"/>
          <w:u w:val="single"/>
        </w:rPr>
        <w:t xml:space="preserve"> </w:t>
      </w:r>
    </w:p>
    <w:p w14:paraId="0046C3CA">
      <w:pPr>
        <w:spacing w:line="440" w:lineRule="exact"/>
        <w:ind w:firstLine="220" w:firstLineChars="100"/>
        <w:rPr>
          <w:rFonts w:hint="eastAsia" w:ascii="宋体" w:hAnsi="宋体"/>
          <w:color w:val="auto"/>
          <w:sz w:val="22"/>
          <w:szCs w:val="22"/>
          <w:highlight w:val="none"/>
          <w:u w:val="single"/>
        </w:rPr>
      </w:pPr>
      <w:r>
        <w:rPr>
          <w:rFonts w:hint="eastAsia" w:ascii="宋体" w:hAnsi="宋体"/>
          <w:color w:val="auto"/>
          <w:sz w:val="22"/>
          <w:szCs w:val="22"/>
          <w:highlight w:val="none"/>
        </w:rPr>
        <w:t>6</w:t>
      </w:r>
      <w:r>
        <w:rPr>
          <w:rFonts w:ascii="宋体" w:hAnsi="宋体"/>
          <w:color w:val="auto"/>
          <w:sz w:val="22"/>
          <w:szCs w:val="22"/>
          <w:highlight w:val="none"/>
        </w:rPr>
        <w:t>.</w:t>
      </w:r>
      <w:r>
        <w:rPr>
          <w:rFonts w:hint="eastAsia" w:ascii="宋体" w:hAnsi="宋体"/>
          <w:color w:val="auto"/>
          <w:sz w:val="22"/>
          <w:szCs w:val="22"/>
          <w:highlight w:val="none"/>
        </w:rPr>
        <w:t xml:space="preserve"> </w:t>
      </w:r>
      <w:r>
        <w:rPr>
          <w:rFonts w:ascii="宋体" w:hAnsi="宋体"/>
          <w:color w:val="auto"/>
          <w:sz w:val="22"/>
          <w:szCs w:val="22"/>
          <w:highlight w:val="none"/>
        </w:rPr>
        <w:t>工程承包范围：</w:t>
      </w:r>
      <w:r>
        <w:rPr>
          <w:rFonts w:hint="eastAsia" w:ascii="宋体" w:hAnsi="宋体"/>
          <w:color w:val="auto"/>
          <w:sz w:val="22"/>
          <w:szCs w:val="22"/>
          <w:highlight w:val="none"/>
          <w:u w:val="single"/>
        </w:rPr>
        <w:t xml:space="preserve">根据招标时发包方提供的施工图、工程量清单和磋商文件  </w:t>
      </w:r>
    </w:p>
    <w:p w14:paraId="42408072">
      <w:pPr>
        <w:spacing w:line="440" w:lineRule="exact"/>
        <w:rPr>
          <w:rFonts w:hint="eastAsia" w:ascii="宋体" w:hAnsi="宋体"/>
          <w:b/>
          <w:bCs/>
          <w:color w:val="auto"/>
          <w:sz w:val="22"/>
          <w:szCs w:val="22"/>
          <w:highlight w:val="none"/>
        </w:rPr>
      </w:pPr>
      <w:r>
        <w:rPr>
          <w:rFonts w:hint="eastAsia" w:ascii="宋体" w:hAnsi="宋体"/>
          <w:b/>
          <w:bCs/>
          <w:color w:val="auto"/>
          <w:sz w:val="22"/>
          <w:szCs w:val="22"/>
          <w:highlight w:val="none"/>
        </w:rPr>
        <w:t>二、 合同工期</w:t>
      </w:r>
    </w:p>
    <w:p w14:paraId="680CB7B3">
      <w:pPr>
        <w:spacing w:line="440" w:lineRule="exact"/>
        <w:ind w:firstLine="550" w:firstLineChars="250"/>
        <w:rPr>
          <w:rFonts w:hint="eastAsia" w:ascii="宋体" w:hAnsi="宋体"/>
          <w:color w:val="auto"/>
          <w:sz w:val="22"/>
          <w:szCs w:val="22"/>
          <w:highlight w:val="none"/>
          <w:u w:val="single"/>
        </w:rPr>
      </w:pPr>
      <w:r>
        <w:rPr>
          <w:rFonts w:hint="eastAsia" w:ascii="宋体" w:hAnsi="宋体"/>
          <w:color w:val="auto"/>
          <w:sz w:val="22"/>
          <w:szCs w:val="22"/>
          <w:highlight w:val="none"/>
        </w:rPr>
        <w:t xml:space="preserve">开工日期： </w:t>
      </w:r>
      <w:r>
        <w:rPr>
          <w:rFonts w:ascii="宋体" w:hAnsi="宋体"/>
          <w:color w:val="auto"/>
          <w:sz w:val="22"/>
          <w:szCs w:val="22"/>
          <w:highlight w:val="none"/>
          <w:u w:val="single"/>
        </w:rPr>
        <w:t>202</w:t>
      </w:r>
      <w:r>
        <w:rPr>
          <w:rFonts w:hint="eastAsia" w:ascii="宋体" w:hAnsi="宋体"/>
          <w:color w:val="auto"/>
          <w:sz w:val="22"/>
          <w:szCs w:val="22"/>
          <w:highlight w:val="none"/>
          <w:u w:val="single"/>
          <w:lang w:val="en-US" w:eastAsia="zh-CN"/>
        </w:rPr>
        <w:t>5</w:t>
      </w:r>
      <w:r>
        <w:rPr>
          <w:rFonts w:ascii="宋体" w:hAnsi="宋体"/>
          <w:color w:val="auto"/>
          <w:sz w:val="22"/>
          <w:szCs w:val="22"/>
          <w:highlight w:val="none"/>
          <w:u w:val="single"/>
        </w:rPr>
        <w:t xml:space="preserve">年   月    </w:t>
      </w:r>
      <w:r>
        <w:rPr>
          <w:rFonts w:hint="eastAsia" w:ascii="宋体" w:hAnsi="宋体"/>
          <w:color w:val="auto"/>
          <w:sz w:val="22"/>
          <w:szCs w:val="22"/>
          <w:highlight w:val="none"/>
          <w:u w:val="single"/>
        </w:rPr>
        <w:t>日</w:t>
      </w:r>
    </w:p>
    <w:p w14:paraId="7A312544">
      <w:pPr>
        <w:spacing w:line="440" w:lineRule="exact"/>
        <w:ind w:firstLine="550" w:firstLineChars="250"/>
        <w:rPr>
          <w:rFonts w:hint="eastAsia" w:ascii="宋体" w:hAnsi="宋体"/>
          <w:color w:val="auto"/>
          <w:sz w:val="22"/>
          <w:szCs w:val="22"/>
          <w:highlight w:val="none"/>
          <w:u w:val="single"/>
        </w:rPr>
      </w:pPr>
      <w:r>
        <w:rPr>
          <w:rFonts w:hint="eastAsia" w:ascii="宋体" w:hAnsi="宋体"/>
          <w:color w:val="auto"/>
          <w:sz w:val="22"/>
          <w:szCs w:val="22"/>
          <w:highlight w:val="none"/>
        </w:rPr>
        <w:t xml:space="preserve">竣工日期： </w:t>
      </w:r>
      <w:r>
        <w:rPr>
          <w:rFonts w:ascii="宋体" w:hAnsi="宋体"/>
          <w:color w:val="auto"/>
          <w:sz w:val="22"/>
          <w:szCs w:val="22"/>
          <w:highlight w:val="none"/>
          <w:u w:val="single"/>
        </w:rPr>
        <w:t>202</w:t>
      </w:r>
      <w:r>
        <w:rPr>
          <w:rFonts w:hint="eastAsia" w:ascii="宋体" w:hAnsi="宋体"/>
          <w:color w:val="auto"/>
          <w:sz w:val="22"/>
          <w:szCs w:val="22"/>
          <w:highlight w:val="none"/>
          <w:u w:val="single"/>
          <w:lang w:val="en-US" w:eastAsia="zh-CN"/>
        </w:rPr>
        <w:t>5</w:t>
      </w:r>
      <w:r>
        <w:rPr>
          <w:rFonts w:ascii="宋体" w:hAnsi="宋体"/>
          <w:color w:val="auto"/>
          <w:sz w:val="22"/>
          <w:szCs w:val="22"/>
          <w:highlight w:val="none"/>
          <w:u w:val="single"/>
        </w:rPr>
        <w:t xml:space="preserve">年  月    </w:t>
      </w:r>
      <w:r>
        <w:rPr>
          <w:rFonts w:hint="eastAsia" w:ascii="宋体" w:hAnsi="宋体"/>
          <w:color w:val="auto"/>
          <w:sz w:val="22"/>
          <w:szCs w:val="22"/>
          <w:highlight w:val="none"/>
          <w:u w:val="single"/>
        </w:rPr>
        <w:t>日</w:t>
      </w:r>
    </w:p>
    <w:p w14:paraId="690BDB3D">
      <w:pPr>
        <w:spacing w:line="440" w:lineRule="exact"/>
        <w:ind w:left="548" w:leftChars="261"/>
        <w:rPr>
          <w:rFonts w:ascii="宋体" w:hAnsi="宋体"/>
          <w:color w:val="auto"/>
          <w:sz w:val="22"/>
          <w:szCs w:val="22"/>
          <w:highlight w:val="none"/>
        </w:rPr>
      </w:pPr>
      <w:r>
        <w:rPr>
          <w:rFonts w:ascii="宋体" w:hAnsi="宋体"/>
          <w:color w:val="auto"/>
          <w:sz w:val="22"/>
          <w:szCs w:val="22"/>
          <w:highlight w:val="none"/>
        </w:rPr>
        <w:t>工期总日历天数：</w:t>
      </w:r>
      <w:r>
        <w:rPr>
          <w:rFonts w:ascii="宋体" w:hAnsi="宋体"/>
          <w:color w:val="auto"/>
          <w:sz w:val="22"/>
          <w:szCs w:val="22"/>
          <w:highlight w:val="none"/>
          <w:u w:val="single"/>
        </w:rPr>
        <w:t></w:t>
      </w:r>
      <w:r>
        <w:rPr>
          <w:rFonts w:hint="eastAsia" w:ascii="宋体" w:hAnsi="宋体"/>
          <w:color w:val="auto"/>
          <w:sz w:val="22"/>
          <w:szCs w:val="22"/>
          <w:highlight w:val="none"/>
          <w:u w:val="single"/>
          <w:lang w:val="en-US" w:eastAsia="zh-CN"/>
        </w:rPr>
        <w:t>35</w:t>
      </w:r>
      <w:r>
        <w:rPr>
          <w:rFonts w:ascii="宋体" w:hAnsi="宋体"/>
          <w:color w:val="auto"/>
          <w:sz w:val="22"/>
          <w:szCs w:val="22"/>
          <w:highlight w:val="none"/>
          <w:u w:val="single"/>
        </w:rPr>
        <w:t xml:space="preserve"> </w:t>
      </w:r>
      <w:r>
        <w:rPr>
          <w:rFonts w:hint="eastAsia" w:ascii="宋体" w:hAnsi="宋体"/>
          <w:color w:val="auto"/>
          <w:sz w:val="22"/>
          <w:szCs w:val="22"/>
          <w:highlight w:val="none"/>
        </w:rPr>
        <w:t>日历</w:t>
      </w:r>
      <w:r>
        <w:rPr>
          <w:rFonts w:ascii="宋体" w:hAnsi="宋体"/>
          <w:color w:val="auto"/>
          <w:sz w:val="22"/>
          <w:szCs w:val="22"/>
          <w:highlight w:val="none"/>
        </w:rPr>
        <w:t>天</w:t>
      </w:r>
      <w:r>
        <w:rPr>
          <w:rFonts w:hint="eastAsia" w:ascii="宋体" w:hAnsi="宋体"/>
          <w:color w:val="auto"/>
          <w:sz w:val="22"/>
          <w:szCs w:val="22"/>
          <w:highlight w:val="none"/>
          <w:lang w:eastAsia="zh-CN"/>
        </w:rPr>
        <w:t>（</w:t>
      </w:r>
      <w:r>
        <w:rPr>
          <w:rFonts w:hint="eastAsia" w:ascii="宋体"/>
          <w:color w:val="auto"/>
          <w:sz w:val="22"/>
          <w:szCs w:val="22"/>
          <w:highlight w:val="none"/>
          <w:u w:val="single"/>
        </w:rPr>
        <w:t>材料备货2</w:t>
      </w:r>
      <w:r>
        <w:rPr>
          <w:rFonts w:hint="eastAsia" w:ascii="宋体"/>
          <w:color w:val="auto"/>
          <w:sz w:val="22"/>
          <w:szCs w:val="22"/>
          <w:highlight w:val="none"/>
          <w:u w:val="single"/>
          <w:lang w:val="en-US" w:eastAsia="zh-CN"/>
        </w:rPr>
        <w:t>0</w:t>
      </w:r>
      <w:r>
        <w:rPr>
          <w:rFonts w:hint="eastAsia" w:ascii="宋体"/>
          <w:color w:val="auto"/>
          <w:sz w:val="22"/>
          <w:szCs w:val="22"/>
          <w:highlight w:val="none"/>
          <w:u w:val="single"/>
          <w:lang w:eastAsia="zh-CN"/>
        </w:rPr>
        <w:t>日历</w:t>
      </w:r>
      <w:r>
        <w:rPr>
          <w:rFonts w:hint="eastAsia" w:ascii="宋体"/>
          <w:color w:val="auto"/>
          <w:sz w:val="22"/>
          <w:szCs w:val="22"/>
          <w:highlight w:val="none"/>
          <w:u w:val="single"/>
        </w:rPr>
        <w:t>天，施工工期</w:t>
      </w:r>
      <w:r>
        <w:rPr>
          <w:rFonts w:hint="eastAsia" w:ascii="宋体"/>
          <w:color w:val="auto"/>
          <w:sz w:val="22"/>
          <w:szCs w:val="22"/>
          <w:highlight w:val="none"/>
          <w:u w:val="single"/>
          <w:lang w:val="en-US" w:eastAsia="zh-CN"/>
        </w:rPr>
        <w:t>15</w:t>
      </w:r>
      <w:r>
        <w:rPr>
          <w:rFonts w:hint="eastAsia" w:ascii="宋体"/>
          <w:color w:val="auto"/>
          <w:sz w:val="22"/>
          <w:szCs w:val="22"/>
          <w:highlight w:val="none"/>
          <w:u w:val="single"/>
          <w:lang w:eastAsia="zh-CN"/>
        </w:rPr>
        <w:t>日历</w:t>
      </w:r>
      <w:r>
        <w:rPr>
          <w:rFonts w:hint="eastAsia" w:ascii="宋体"/>
          <w:color w:val="auto"/>
          <w:sz w:val="22"/>
          <w:szCs w:val="22"/>
          <w:highlight w:val="none"/>
          <w:u w:val="single"/>
        </w:rPr>
        <w:t>天</w:t>
      </w:r>
      <w:r>
        <w:rPr>
          <w:rFonts w:hint="eastAsia" w:ascii="宋体" w:hAnsi="宋体"/>
          <w:color w:val="auto"/>
          <w:sz w:val="22"/>
          <w:szCs w:val="22"/>
          <w:highlight w:val="none"/>
          <w:lang w:eastAsia="zh-CN"/>
        </w:rPr>
        <w:t>）</w:t>
      </w:r>
      <w:r>
        <w:rPr>
          <w:rFonts w:ascii="宋体" w:hAnsi="宋体"/>
          <w:color w:val="auto"/>
          <w:sz w:val="22"/>
          <w:szCs w:val="22"/>
          <w:highlight w:val="none"/>
        </w:rPr>
        <w:t>。工期总日历天数与根据前述开竣工日期计算的工期天数不一致的，以工期总日历天数为准。</w:t>
      </w:r>
    </w:p>
    <w:p w14:paraId="78F2A732">
      <w:pPr>
        <w:spacing w:line="440" w:lineRule="exact"/>
        <w:rPr>
          <w:rFonts w:hint="eastAsia" w:ascii="宋体" w:hAnsi="宋体"/>
          <w:b/>
          <w:bCs/>
          <w:color w:val="auto"/>
          <w:sz w:val="22"/>
          <w:szCs w:val="22"/>
          <w:highlight w:val="none"/>
        </w:rPr>
      </w:pPr>
      <w:r>
        <w:rPr>
          <w:rFonts w:hint="eastAsia" w:ascii="宋体" w:hAnsi="宋体"/>
          <w:b/>
          <w:bCs/>
          <w:color w:val="auto"/>
          <w:sz w:val="22"/>
          <w:szCs w:val="22"/>
          <w:highlight w:val="none"/>
        </w:rPr>
        <w:t>三、 质量标准</w:t>
      </w:r>
    </w:p>
    <w:p w14:paraId="33BF7C71">
      <w:pPr>
        <w:spacing w:line="440" w:lineRule="exact"/>
        <w:ind w:left="548" w:leftChars="261"/>
        <w:rPr>
          <w:rFonts w:ascii="宋体" w:hAnsi="宋体"/>
          <w:color w:val="auto"/>
          <w:sz w:val="22"/>
          <w:szCs w:val="22"/>
          <w:highlight w:val="none"/>
        </w:rPr>
      </w:pPr>
      <w:r>
        <w:rPr>
          <w:rFonts w:ascii="宋体" w:hAnsi="宋体"/>
          <w:color w:val="auto"/>
          <w:sz w:val="22"/>
          <w:szCs w:val="22"/>
          <w:highlight w:val="none"/>
        </w:rPr>
        <w:t>工程质量符合</w:t>
      </w:r>
      <w:r>
        <w:rPr>
          <w:rFonts w:hint="eastAsia" w:ascii="宋体" w:hAnsi="宋体"/>
          <w:color w:val="auto"/>
          <w:sz w:val="22"/>
          <w:szCs w:val="22"/>
          <w:highlight w:val="none"/>
          <w:u w:val="single"/>
        </w:rPr>
        <w:t xml:space="preserve"> </w:t>
      </w:r>
      <w:r>
        <w:rPr>
          <w:rFonts w:hint="eastAsia" w:hAnsi="宋体" w:cs="宋体"/>
          <w:color w:val="auto"/>
          <w:sz w:val="22"/>
          <w:szCs w:val="22"/>
          <w:highlight w:val="none"/>
          <w:u w:val="single"/>
        </w:rPr>
        <w:t>《建筑工程施工技术规范》</w:t>
      </w:r>
      <w:r>
        <w:rPr>
          <w:rFonts w:hint="eastAsia" w:ascii="宋体" w:hAnsi="宋体"/>
          <w:color w:val="auto"/>
          <w:sz w:val="22"/>
          <w:szCs w:val="22"/>
          <w:highlight w:val="none"/>
          <w:u w:val="single"/>
        </w:rPr>
        <w:t xml:space="preserve"> </w:t>
      </w:r>
      <w:r>
        <w:rPr>
          <w:rFonts w:ascii="宋体" w:hAnsi="宋体"/>
          <w:color w:val="auto"/>
          <w:sz w:val="22"/>
          <w:szCs w:val="22"/>
          <w:highlight w:val="none"/>
        </w:rPr>
        <w:t>标准。</w:t>
      </w:r>
    </w:p>
    <w:p w14:paraId="0A17A03E">
      <w:pPr>
        <w:spacing w:line="440" w:lineRule="exact"/>
        <w:rPr>
          <w:rFonts w:hint="eastAsia" w:ascii="宋体" w:hAnsi="宋体"/>
          <w:b/>
          <w:bCs/>
          <w:color w:val="auto"/>
          <w:sz w:val="22"/>
          <w:szCs w:val="22"/>
          <w:highlight w:val="none"/>
        </w:rPr>
      </w:pPr>
      <w:r>
        <w:rPr>
          <w:rFonts w:hint="eastAsia" w:ascii="宋体" w:hAnsi="宋体"/>
          <w:b/>
          <w:bCs/>
          <w:color w:val="auto"/>
          <w:sz w:val="22"/>
          <w:szCs w:val="22"/>
          <w:highlight w:val="none"/>
        </w:rPr>
        <w:t>四、 签约合同价与合同价格形式</w:t>
      </w:r>
    </w:p>
    <w:p w14:paraId="15B4CC43">
      <w:pPr>
        <w:spacing w:line="440" w:lineRule="exact"/>
        <w:ind w:firstLine="220" w:firstLineChars="100"/>
        <w:rPr>
          <w:rFonts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 xml:space="preserve"> </w:t>
      </w:r>
      <w:r>
        <w:rPr>
          <w:rFonts w:ascii="宋体" w:hAnsi="宋体"/>
          <w:color w:val="auto"/>
          <w:sz w:val="22"/>
          <w:szCs w:val="22"/>
          <w:highlight w:val="none"/>
        </w:rPr>
        <w:t>签约合同价为：</w:t>
      </w:r>
    </w:p>
    <w:p w14:paraId="78698180">
      <w:pPr>
        <w:spacing w:line="440" w:lineRule="exact"/>
        <w:ind w:left="548" w:leftChars="261"/>
        <w:rPr>
          <w:rFonts w:ascii="宋体" w:hAnsi="宋体"/>
          <w:color w:val="auto"/>
          <w:sz w:val="22"/>
          <w:szCs w:val="22"/>
          <w:highlight w:val="none"/>
        </w:rPr>
      </w:pPr>
      <w:r>
        <w:rPr>
          <w:rFonts w:ascii="宋体" w:hAnsi="宋体"/>
          <w:color w:val="auto"/>
          <w:sz w:val="22"/>
          <w:szCs w:val="22"/>
          <w:highlight w:val="none"/>
        </w:rPr>
        <w:t>人民币（大写）</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r>
        <w:rPr>
          <w:rFonts w:hint="eastAsia" w:ascii="宋体" w:hAnsi="宋体"/>
          <w:color w:val="auto"/>
          <w:sz w:val="22"/>
          <w:szCs w:val="22"/>
          <w:highlight w:val="none"/>
        </w:rPr>
        <w:t>￥</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元)；</w:t>
      </w:r>
    </w:p>
    <w:p w14:paraId="5CF71BC0">
      <w:pPr>
        <w:spacing w:line="440" w:lineRule="exact"/>
        <w:ind w:left="548" w:leftChars="261"/>
        <w:rPr>
          <w:rFonts w:ascii="宋体" w:hAnsi="宋体"/>
          <w:color w:val="auto"/>
          <w:sz w:val="22"/>
          <w:szCs w:val="22"/>
          <w:highlight w:val="none"/>
        </w:rPr>
      </w:pPr>
      <w:r>
        <w:rPr>
          <w:rFonts w:ascii="宋体" w:hAnsi="宋体"/>
          <w:color w:val="auto"/>
          <w:sz w:val="22"/>
          <w:szCs w:val="22"/>
          <w:highlight w:val="none"/>
        </w:rPr>
        <w:t>其中：</w:t>
      </w:r>
    </w:p>
    <w:p w14:paraId="30AD479D">
      <w:pPr>
        <w:spacing w:line="440" w:lineRule="exact"/>
        <w:ind w:left="548" w:leftChars="261"/>
        <w:rPr>
          <w:rFonts w:ascii="宋体" w:hAnsi="宋体"/>
          <w:color w:val="auto"/>
          <w:sz w:val="22"/>
          <w:szCs w:val="22"/>
          <w:highlight w:val="none"/>
        </w:rPr>
      </w:pPr>
      <w:r>
        <w:rPr>
          <w:rFonts w:ascii="宋体" w:hAnsi="宋体"/>
          <w:color w:val="auto"/>
          <w:sz w:val="22"/>
          <w:szCs w:val="22"/>
          <w:highlight w:val="none"/>
        </w:rPr>
        <w:t>（1）安全文明施工费：</w:t>
      </w:r>
    </w:p>
    <w:p w14:paraId="786EFCAD">
      <w:pPr>
        <w:spacing w:line="440" w:lineRule="exact"/>
        <w:ind w:left="548" w:leftChars="261"/>
        <w:rPr>
          <w:rFonts w:ascii="宋体" w:hAnsi="宋体"/>
          <w:color w:val="auto"/>
          <w:sz w:val="22"/>
          <w:szCs w:val="22"/>
          <w:highlight w:val="none"/>
        </w:rPr>
      </w:pPr>
      <w:r>
        <w:rPr>
          <w:rFonts w:ascii="宋体" w:hAnsi="宋体"/>
          <w:color w:val="auto"/>
          <w:sz w:val="22"/>
          <w:szCs w:val="22"/>
          <w:highlight w:val="none"/>
        </w:rPr>
        <w:t>人民币（大写）</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r>
        <w:rPr>
          <w:rFonts w:hint="eastAsia" w:ascii="宋体" w:hAnsi="宋体"/>
          <w:color w:val="auto"/>
          <w:sz w:val="22"/>
          <w:szCs w:val="22"/>
          <w:highlight w:val="none"/>
        </w:rPr>
        <w:t>￥</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元)；</w:t>
      </w:r>
    </w:p>
    <w:p w14:paraId="2212A99C">
      <w:pPr>
        <w:spacing w:line="440" w:lineRule="exact"/>
        <w:ind w:left="548" w:leftChars="261"/>
        <w:rPr>
          <w:rFonts w:ascii="宋体" w:hAnsi="宋体"/>
          <w:color w:val="auto"/>
          <w:sz w:val="22"/>
          <w:szCs w:val="22"/>
          <w:highlight w:val="none"/>
        </w:rPr>
      </w:pPr>
      <w:r>
        <w:rPr>
          <w:rFonts w:ascii="宋体" w:hAnsi="宋体"/>
          <w:color w:val="auto"/>
          <w:sz w:val="22"/>
          <w:szCs w:val="22"/>
          <w:highlight w:val="none"/>
        </w:rPr>
        <w:t>（2）材料和工程设备暂估价金额：</w:t>
      </w:r>
    </w:p>
    <w:p w14:paraId="3CDABA65">
      <w:pPr>
        <w:spacing w:line="440" w:lineRule="exact"/>
        <w:ind w:left="548" w:leftChars="261"/>
        <w:rPr>
          <w:rFonts w:ascii="宋体" w:hAnsi="宋体"/>
          <w:color w:val="auto"/>
          <w:sz w:val="22"/>
          <w:szCs w:val="22"/>
          <w:highlight w:val="none"/>
        </w:rPr>
      </w:pPr>
      <w:r>
        <w:rPr>
          <w:rFonts w:ascii="宋体" w:hAnsi="宋体"/>
          <w:color w:val="auto"/>
          <w:sz w:val="22"/>
          <w:szCs w:val="22"/>
          <w:highlight w:val="none"/>
        </w:rPr>
        <w:t>人民币（大写）</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r>
        <w:rPr>
          <w:rFonts w:hint="eastAsia" w:ascii="宋体" w:hAnsi="宋体"/>
          <w:color w:val="auto"/>
          <w:sz w:val="22"/>
          <w:szCs w:val="22"/>
          <w:highlight w:val="none"/>
        </w:rPr>
        <w:t>￥</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元)；</w:t>
      </w:r>
    </w:p>
    <w:p w14:paraId="4F604CBD">
      <w:pPr>
        <w:spacing w:line="440" w:lineRule="exact"/>
        <w:ind w:left="548" w:leftChars="261"/>
        <w:rPr>
          <w:rFonts w:ascii="宋体" w:hAnsi="宋体"/>
          <w:color w:val="auto"/>
          <w:sz w:val="22"/>
          <w:szCs w:val="22"/>
          <w:highlight w:val="none"/>
        </w:rPr>
      </w:pPr>
      <w:r>
        <w:rPr>
          <w:rFonts w:ascii="宋体" w:hAnsi="宋体"/>
          <w:color w:val="auto"/>
          <w:sz w:val="22"/>
          <w:szCs w:val="22"/>
          <w:highlight w:val="none"/>
        </w:rPr>
        <w:t>（3）专业工程暂估价金额：</w:t>
      </w:r>
    </w:p>
    <w:p w14:paraId="338E995C">
      <w:pPr>
        <w:spacing w:line="440" w:lineRule="exact"/>
        <w:ind w:left="548" w:leftChars="261"/>
        <w:rPr>
          <w:rFonts w:ascii="宋体" w:hAnsi="宋体"/>
          <w:color w:val="auto"/>
          <w:sz w:val="22"/>
          <w:szCs w:val="22"/>
          <w:highlight w:val="none"/>
        </w:rPr>
      </w:pPr>
      <w:r>
        <w:rPr>
          <w:rFonts w:ascii="宋体" w:hAnsi="宋体"/>
          <w:color w:val="auto"/>
          <w:sz w:val="22"/>
          <w:szCs w:val="22"/>
          <w:highlight w:val="none"/>
        </w:rPr>
        <w:t>人民币（大写）</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r>
        <w:rPr>
          <w:rFonts w:hint="eastAsia" w:ascii="宋体" w:hAnsi="宋体"/>
          <w:color w:val="auto"/>
          <w:sz w:val="22"/>
          <w:szCs w:val="22"/>
          <w:highlight w:val="none"/>
        </w:rPr>
        <w:t>￥</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元)；</w:t>
      </w:r>
    </w:p>
    <w:p w14:paraId="087AB830">
      <w:pPr>
        <w:spacing w:line="440" w:lineRule="exact"/>
        <w:ind w:left="548" w:leftChars="261"/>
        <w:rPr>
          <w:rFonts w:ascii="宋体" w:hAnsi="宋体"/>
          <w:color w:val="auto"/>
          <w:sz w:val="22"/>
          <w:szCs w:val="22"/>
          <w:highlight w:val="none"/>
        </w:rPr>
      </w:pPr>
      <w:r>
        <w:rPr>
          <w:rFonts w:ascii="宋体" w:hAnsi="宋体"/>
          <w:color w:val="auto"/>
          <w:sz w:val="22"/>
          <w:szCs w:val="22"/>
          <w:highlight w:val="none"/>
        </w:rPr>
        <w:t>（4）暂列金额：</w:t>
      </w:r>
    </w:p>
    <w:p w14:paraId="091000A2">
      <w:pPr>
        <w:spacing w:line="440" w:lineRule="exact"/>
        <w:ind w:left="548" w:leftChars="261"/>
        <w:rPr>
          <w:rFonts w:ascii="宋体" w:hAnsi="宋体"/>
          <w:color w:val="auto"/>
          <w:sz w:val="22"/>
          <w:szCs w:val="22"/>
          <w:highlight w:val="none"/>
        </w:rPr>
      </w:pPr>
      <w:r>
        <w:rPr>
          <w:rFonts w:ascii="宋体" w:hAnsi="宋体"/>
          <w:color w:val="auto"/>
          <w:sz w:val="22"/>
          <w:szCs w:val="22"/>
          <w:highlight w:val="none"/>
        </w:rPr>
        <w:t>人民币（大写）</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r>
        <w:rPr>
          <w:rFonts w:hint="eastAsia" w:ascii="宋体" w:hAnsi="宋体"/>
          <w:color w:val="auto"/>
          <w:sz w:val="22"/>
          <w:szCs w:val="22"/>
          <w:highlight w:val="none"/>
        </w:rPr>
        <w:t>￥</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元)。</w:t>
      </w:r>
    </w:p>
    <w:p w14:paraId="3944A606">
      <w:pPr>
        <w:spacing w:line="440" w:lineRule="exact"/>
        <w:ind w:left="548" w:leftChars="261"/>
        <w:rPr>
          <w:rFonts w:hint="eastAsia" w:ascii="宋体" w:hAnsi="宋体"/>
          <w:color w:val="auto"/>
          <w:sz w:val="22"/>
          <w:szCs w:val="22"/>
          <w:highlight w:val="none"/>
        </w:rPr>
      </w:pPr>
      <w:r>
        <w:rPr>
          <w:rFonts w:ascii="宋体" w:hAnsi="宋体"/>
          <w:color w:val="auto"/>
          <w:sz w:val="22"/>
          <w:szCs w:val="22"/>
          <w:highlight w:val="none"/>
        </w:rPr>
        <w:t>2.合同价格形式：</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w:t>
      </w:r>
    </w:p>
    <w:p w14:paraId="5D6338E9">
      <w:pPr>
        <w:spacing w:line="440" w:lineRule="exact"/>
        <w:rPr>
          <w:rFonts w:hint="eastAsia" w:ascii="宋体" w:hAnsi="宋体"/>
          <w:b/>
          <w:bCs/>
          <w:color w:val="auto"/>
          <w:sz w:val="22"/>
          <w:szCs w:val="22"/>
          <w:highlight w:val="none"/>
        </w:rPr>
      </w:pPr>
      <w:r>
        <w:rPr>
          <w:rFonts w:hint="eastAsia" w:ascii="宋体" w:hAnsi="宋体"/>
          <w:b/>
          <w:bCs/>
          <w:color w:val="auto"/>
          <w:sz w:val="22"/>
          <w:szCs w:val="22"/>
          <w:highlight w:val="none"/>
        </w:rPr>
        <w:t>五、 项目经理</w:t>
      </w:r>
    </w:p>
    <w:p w14:paraId="68474148">
      <w:pPr>
        <w:spacing w:line="440" w:lineRule="exact"/>
        <w:ind w:left="548" w:leftChars="261"/>
        <w:rPr>
          <w:rFonts w:hint="eastAsia" w:ascii="宋体" w:hAnsi="宋体"/>
          <w:color w:val="auto"/>
          <w:sz w:val="22"/>
          <w:szCs w:val="22"/>
          <w:highlight w:val="none"/>
        </w:rPr>
      </w:pPr>
      <w:r>
        <w:rPr>
          <w:rFonts w:ascii="宋体" w:hAnsi="宋体"/>
          <w:color w:val="auto"/>
          <w:sz w:val="22"/>
          <w:szCs w:val="22"/>
          <w:highlight w:val="none"/>
        </w:rPr>
        <w:t>承包人项目经理</w:t>
      </w:r>
      <w:r>
        <w:rPr>
          <w:rFonts w:hint="eastAsia" w:ascii="宋体" w:hAnsi="宋体"/>
          <w:color w:val="auto"/>
          <w:sz w:val="22"/>
          <w:szCs w:val="22"/>
          <w:highlight w:val="none"/>
        </w:rPr>
        <w:t>（项目负责人）</w:t>
      </w:r>
      <w:r>
        <w:rPr>
          <w:rFonts w:ascii="宋体" w:hAnsi="宋体"/>
          <w:color w:val="auto"/>
          <w:sz w:val="22"/>
          <w:szCs w:val="22"/>
          <w:highlight w:val="none"/>
        </w:rPr>
        <w:t>：</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w:t>
      </w:r>
      <w:r>
        <w:rPr>
          <w:rFonts w:ascii="宋体" w:hAnsi="宋体"/>
          <w:color w:val="auto"/>
          <w:sz w:val="22"/>
          <w:szCs w:val="22"/>
          <w:highlight w:val="none"/>
        </w:rPr>
        <w:t>。</w:t>
      </w:r>
    </w:p>
    <w:p w14:paraId="16B70B54">
      <w:pPr>
        <w:spacing w:line="440" w:lineRule="exact"/>
        <w:rPr>
          <w:rFonts w:hint="eastAsia" w:ascii="宋体" w:hAnsi="宋体"/>
          <w:b/>
          <w:bCs/>
          <w:color w:val="auto"/>
          <w:sz w:val="22"/>
          <w:szCs w:val="22"/>
          <w:highlight w:val="none"/>
        </w:rPr>
      </w:pPr>
      <w:r>
        <w:rPr>
          <w:rFonts w:hint="eastAsia" w:ascii="宋体" w:hAnsi="宋体"/>
          <w:b/>
          <w:bCs/>
          <w:color w:val="auto"/>
          <w:sz w:val="22"/>
          <w:szCs w:val="22"/>
          <w:highlight w:val="none"/>
        </w:rPr>
        <w:t>六、 合同文件构成</w:t>
      </w:r>
    </w:p>
    <w:p w14:paraId="5B601FEB">
      <w:pPr>
        <w:spacing w:line="440" w:lineRule="exact"/>
        <w:ind w:firstLine="550" w:firstLineChars="250"/>
        <w:rPr>
          <w:rFonts w:ascii="宋体" w:hAnsi="宋体"/>
          <w:color w:val="auto"/>
          <w:sz w:val="22"/>
          <w:szCs w:val="22"/>
          <w:highlight w:val="none"/>
        </w:rPr>
      </w:pPr>
      <w:r>
        <w:rPr>
          <w:rFonts w:ascii="宋体" w:hAnsi="宋体"/>
          <w:color w:val="auto"/>
          <w:sz w:val="22"/>
          <w:szCs w:val="22"/>
          <w:highlight w:val="none"/>
        </w:rPr>
        <w:t>本协议书与下列文件一起构成合同文件：</w:t>
      </w:r>
    </w:p>
    <w:p w14:paraId="5D92E6BD">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（1）成交通知书</w:t>
      </w:r>
    </w:p>
    <w:p w14:paraId="4C1D2893">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（2）磋商响应</w:t>
      </w:r>
      <w:r>
        <w:rPr>
          <w:rFonts w:ascii="宋体" w:hAnsi="宋体"/>
          <w:color w:val="auto"/>
          <w:sz w:val="22"/>
          <w:szCs w:val="22"/>
          <w:highlight w:val="none"/>
        </w:rPr>
        <w:t>函及其附录</w:t>
      </w:r>
    </w:p>
    <w:p w14:paraId="5EFA631A">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（3）本合同专用条款及附件</w:t>
      </w:r>
    </w:p>
    <w:p w14:paraId="77A7F570">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（4）本合同通用条款</w:t>
      </w:r>
    </w:p>
    <w:p w14:paraId="21223235">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（5）磋商文件、磋商响应文件及其附件</w:t>
      </w:r>
    </w:p>
    <w:p w14:paraId="0B9FC9BF">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（7）技术标准和要求</w:t>
      </w:r>
    </w:p>
    <w:p w14:paraId="33B610EB">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（8）图纸</w:t>
      </w:r>
    </w:p>
    <w:p w14:paraId="5F6AA6BD">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（9）</w:t>
      </w:r>
      <w:r>
        <w:rPr>
          <w:rFonts w:ascii="宋体" w:hAnsi="宋体"/>
          <w:color w:val="auto"/>
          <w:sz w:val="22"/>
          <w:szCs w:val="22"/>
          <w:highlight w:val="none"/>
        </w:rPr>
        <w:t>已标价工程量清单或预算书</w:t>
      </w:r>
    </w:p>
    <w:p w14:paraId="5928C065">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（10）</w:t>
      </w:r>
      <w:r>
        <w:rPr>
          <w:rFonts w:ascii="宋体" w:hAnsi="宋体"/>
          <w:color w:val="auto"/>
          <w:sz w:val="22"/>
          <w:szCs w:val="22"/>
          <w:highlight w:val="none"/>
        </w:rPr>
        <w:t>其他合同文件</w:t>
      </w:r>
    </w:p>
    <w:p w14:paraId="3A3F7012">
      <w:pPr>
        <w:spacing w:line="440" w:lineRule="exact"/>
        <w:ind w:firstLine="550" w:firstLineChars="250"/>
        <w:rPr>
          <w:rFonts w:ascii="宋体" w:hAnsi="宋体"/>
          <w:color w:val="auto"/>
          <w:sz w:val="22"/>
          <w:szCs w:val="22"/>
          <w:highlight w:val="none"/>
        </w:rPr>
      </w:pPr>
      <w:r>
        <w:rPr>
          <w:rFonts w:ascii="宋体" w:hAnsi="宋体"/>
          <w:color w:val="auto"/>
          <w:sz w:val="22"/>
          <w:szCs w:val="22"/>
          <w:highlight w:val="none"/>
        </w:rPr>
        <w:t>在合同订立及履行过程中形成的与合同有关的文件均构成合同文件组成部分。</w:t>
      </w:r>
    </w:p>
    <w:p w14:paraId="7D9E9F8B">
      <w:pPr>
        <w:spacing w:line="440" w:lineRule="exact"/>
        <w:ind w:left="548" w:leftChars="261"/>
        <w:rPr>
          <w:rFonts w:hint="eastAsia" w:ascii="宋体" w:hAnsi="宋体"/>
          <w:color w:val="auto"/>
          <w:sz w:val="22"/>
          <w:szCs w:val="22"/>
          <w:highlight w:val="none"/>
        </w:rPr>
      </w:pPr>
      <w:r>
        <w:rPr>
          <w:rFonts w:ascii="宋体" w:hAnsi="宋体"/>
          <w:color w:val="auto"/>
          <w:sz w:val="22"/>
          <w:szCs w:val="22"/>
          <w:highlight w:val="none"/>
        </w:rPr>
        <w:t>上述各项合同文件包括合同当事人就该项合同文件所作出的补充和修改，属于同一类内容的文件，应以最新签署的为准。</w:t>
      </w:r>
      <w:r>
        <w:rPr>
          <w:rFonts w:hint="eastAsia" w:ascii="宋体" w:hAnsi="宋体"/>
          <w:color w:val="auto"/>
          <w:sz w:val="22"/>
          <w:szCs w:val="22"/>
          <w:highlight w:val="none"/>
        </w:rPr>
        <w:t>专用合同条款及其附件须经合同当事人签字或盖章。</w:t>
      </w:r>
      <w:bookmarkStart w:id="37" w:name="_Toc351203487"/>
    </w:p>
    <w:p w14:paraId="5FBEBDC7">
      <w:pPr>
        <w:spacing w:line="440" w:lineRule="exact"/>
        <w:rPr>
          <w:rFonts w:ascii="宋体" w:hAnsi="宋体"/>
          <w:color w:val="auto"/>
          <w:sz w:val="22"/>
          <w:szCs w:val="22"/>
          <w:highlight w:val="none"/>
        </w:rPr>
      </w:pPr>
      <w:r>
        <w:rPr>
          <w:rFonts w:hint="eastAsia" w:ascii="宋体" w:hAnsi="宋体"/>
          <w:b/>
          <w:bCs/>
          <w:color w:val="auto"/>
          <w:sz w:val="22"/>
          <w:szCs w:val="22"/>
          <w:highlight w:val="none"/>
        </w:rPr>
        <w:t>七</w:t>
      </w:r>
      <w:r>
        <w:rPr>
          <w:rFonts w:ascii="宋体" w:hAnsi="宋体"/>
          <w:b/>
          <w:bCs/>
          <w:color w:val="auto"/>
          <w:sz w:val="22"/>
          <w:szCs w:val="22"/>
          <w:highlight w:val="none"/>
        </w:rPr>
        <w:t>、</w:t>
      </w:r>
      <w:r>
        <w:rPr>
          <w:rFonts w:hint="eastAsia" w:ascii="宋体" w:hAnsi="宋体"/>
          <w:b/>
          <w:bCs/>
          <w:color w:val="auto"/>
          <w:sz w:val="22"/>
          <w:szCs w:val="22"/>
          <w:highlight w:val="none"/>
        </w:rPr>
        <w:t xml:space="preserve"> </w:t>
      </w:r>
      <w:r>
        <w:rPr>
          <w:rFonts w:ascii="宋体" w:hAnsi="宋体"/>
          <w:b/>
          <w:bCs/>
          <w:color w:val="auto"/>
          <w:sz w:val="22"/>
          <w:szCs w:val="22"/>
          <w:highlight w:val="none"/>
        </w:rPr>
        <w:t>承诺</w:t>
      </w:r>
      <w:bookmarkEnd w:id="37"/>
    </w:p>
    <w:p w14:paraId="307BB53E">
      <w:pPr>
        <w:spacing w:line="440" w:lineRule="exact"/>
        <w:ind w:left="569" w:leftChars="114" w:hanging="330" w:hangingChars="150"/>
        <w:rPr>
          <w:rFonts w:ascii="宋体" w:hAnsi="宋体"/>
          <w:color w:val="auto"/>
          <w:sz w:val="22"/>
          <w:szCs w:val="22"/>
          <w:highlight w:val="none"/>
        </w:rPr>
      </w:pPr>
      <w:r>
        <w:rPr>
          <w:rFonts w:hint="eastAsia" w:ascii="宋体" w:hAnsi="宋体"/>
          <w:color w:val="auto"/>
          <w:sz w:val="22"/>
          <w:szCs w:val="22"/>
          <w:highlight w:val="none"/>
        </w:rPr>
        <w:t xml:space="preserve">1. </w:t>
      </w:r>
      <w:r>
        <w:rPr>
          <w:rFonts w:ascii="宋体" w:hAnsi="宋体"/>
          <w:color w:val="auto"/>
          <w:sz w:val="22"/>
          <w:szCs w:val="22"/>
          <w:highlight w:val="none"/>
        </w:rPr>
        <w:t>发包人承诺按照法律规定履行项目审批手续、筹集工程建设资金并按照合同约定的期限和方式支付合同价款。</w:t>
      </w:r>
    </w:p>
    <w:p w14:paraId="01F1E53C">
      <w:pPr>
        <w:spacing w:line="440" w:lineRule="exact"/>
        <w:ind w:left="548" w:leftChars="104" w:hanging="330" w:hangingChars="150"/>
        <w:rPr>
          <w:rFonts w:ascii="宋体" w:hAnsi="宋体"/>
          <w:color w:val="auto"/>
          <w:sz w:val="22"/>
          <w:szCs w:val="22"/>
          <w:highlight w:val="none"/>
        </w:rPr>
      </w:pPr>
      <w:r>
        <w:rPr>
          <w:rFonts w:hint="eastAsia" w:ascii="宋体" w:hAnsi="宋体"/>
          <w:color w:val="auto"/>
          <w:sz w:val="22"/>
          <w:szCs w:val="22"/>
          <w:highlight w:val="none"/>
        </w:rPr>
        <w:t xml:space="preserve">2. </w:t>
      </w:r>
      <w:r>
        <w:rPr>
          <w:rFonts w:ascii="宋体" w:hAnsi="宋体"/>
          <w:color w:val="auto"/>
          <w:sz w:val="22"/>
          <w:szCs w:val="22"/>
          <w:highlight w:val="none"/>
        </w:rPr>
        <w:t>承包人承诺按照法律规定及合同约定组织完成工程施工，确保工程质量和安全，不进行转包及违法分包，并在缺陷责任期及保修期内承担相应的工程维修责任。</w:t>
      </w:r>
    </w:p>
    <w:p w14:paraId="0F58DE50">
      <w:pPr>
        <w:spacing w:line="440" w:lineRule="exact"/>
        <w:ind w:left="548" w:leftChars="104" w:hanging="330" w:hangingChars="150"/>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 xml:space="preserve"> </w:t>
      </w:r>
      <w:r>
        <w:rPr>
          <w:rFonts w:ascii="宋体" w:hAnsi="宋体"/>
          <w:color w:val="auto"/>
          <w:sz w:val="22"/>
          <w:szCs w:val="22"/>
          <w:highlight w:val="none"/>
        </w:rPr>
        <w:t>发包人和承包人通过磋商形式签订合同的，双方理解并</w:t>
      </w:r>
      <w:r>
        <w:rPr>
          <w:rFonts w:hint="eastAsia" w:ascii="宋体" w:hAnsi="宋体"/>
          <w:color w:val="auto"/>
          <w:sz w:val="22"/>
          <w:szCs w:val="22"/>
          <w:highlight w:val="none"/>
        </w:rPr>
        <w:t>承诺</w:t>
      </w:r>
      <w:r>
        <w:rPr>
          <w:rFonts w:ascii="宋体" w:hAnsi="宋体"/>
          <w:color w:val="auto"/>
          <w:sz w:val="22"/>
          <w:szCs w:val="22"/>
          <w:highlight w:val="none"/>
        </w:rPr>
        <w:t>不再就同一工程另行签订与合同实质性内容相背离的协议。</w:t>
      </w:r>
    </w:p>
    <w:p w14:paraId="3612C36A">
      <w:pPr>
        <w:spacing w:line="440" w:lineRule="exact"/>
        <w:rPr>
          <w:rFonts w:hint="eastAsia" w:eastAsia="黑体"/>
          <w:bCs/>
          <w:color w:val="auto"/>
          <w:sz w:val="32"/>
          <w:szCs w:val="32"/>
          <w:highlight w:val="none"/>
        </w:rPr>
      </w:pPr>
      <w:bookmarkStart w:id="38" w:name="_Toc351203488"/>
      <w:r>
        <w:rPr>
          <w:rFonts w:hint="eastAsia" w:ascii="宋体" w:hAnsi="宋体"/>
          <w:b/>
          <w:bCs/>
          <w:color w:val="auto"/>
          <w:sz w:val="22"/>
          <w:szCs w:val="22"/>
          <w:highlight w:val="none"/>
        </w:rPr>
        <w:t>八</w:t>
      </w:r>
      <w:r>
        <w:rPr>
          <w:rFonts w:ascii="宋体" w:hAnsi="宋体"/>
          <w:b/>
          <w:bCs/>
          <w:color w:val="auto"/>
          <w:sz w:val="22"/>
          <w:szCs w:val="22"/>
          <w:highlight w:val="none"/>
        </w:rPr>
        <w:t>、</w:t>
      </w:r>
      <w:r>
        <w:rPr>
          <w:rFonts w:hint="eastAsia" w:ascii="宋体" w:hAnsi="宋体"/>
          <w:b/>
          <w:bCs/>
          <w:color w:val="auto"/>
          <w:sz w:val="22"/>
          <w:szCs w:val="22"/>
          <w:highlight w:val="none"/>
        </w:rPr>
        <w:t xml:space="preserve"> </w:t>
      </w:r>
      <w:r>
        <w:rPr>
          <w:rFonts w:ascii="宋体" w:hAnsi="宋体"/>
          <w:b/>
          <w:bCs/>
          <w:color w:val="auto"/>
          <w:sz w:val="22"/>
          <w:szCs w:val="22"/>
          <w:highlight w:val="none"/>
        </w:rPr>
        <w:t>词语含义</w:t>
      </w:r>
      <w:bookmarkEnd w:id="38"/>
    </w:p>
    <w:p w14:paraId="5E43B4FF">
      <w:pPr>
        <w:spacing w:line="440" w:lineRule="exact"/>
        <w:ind w:left="548" w:leftChars="261"/>
        <w:rPr>
          <w:rFonts w:ascii="宋体" w:hAnsi="宋体"/>
          <w:color w:val="auto"/>
          <w:sz w:val="22"/>
          <w:szCs w:val="22"/>
          <w:highlight w:val="none"/>
        </w:rPr>
      </w:pPr>
      <w:r>
        <w:rPr>
          <w:rFonts w:ascii="宋体" w:hAnsi="宋体"/>
          <w:color w:val="auto"/>
          <w:sz w:val="22"/>
          <w:szCs w:val="22"/>
          <w:highlight w:val="none"/>
        </w:rPr>
        <w:t>本协议书中词语含义与第二部分通用合同条款中赋予的含义相同。</w:t>
      </w:r>
    </w:p>
    <w:p w14:paraId="76E4E5E3">
      <w:pPr>
        <w:spacing w:line="440" w:lineRule="exact"/>
        <w:rPr>
          <w:rFonts w:ascii="宋体" w:hAnsi="宋体"/>
          <w:b/>
          <w:bCs/>
          <w:color w:val="auto"/>
          <w:sz w:val="22"/>
          <w:szCs w:val="22"/>
          <w:highlight w:val="none"/>
        </w:rPr>
      </w:pPr>
      <w:bookmarkStart w:id="39" w:name="_Toc351203489"/>
      <w:r>
        <w:rPr>
          <w:rFonts w:hint="eastAsia" w:ascii="宋体" w:hAnsi="宋体"/>
          <w:b/>
          <w:bCs/>
          <w:color w:val="auto"/>
          <w:sz w:val="22"/>
          <w:szCs w:val="22"/>
          <w:highlight w:val="none"/>
        </w:rPr>
        <w:t>九</w:t>
      </w:r>
      <w:r>
        <w:rPr>
          <w:rFonts w:ascii="宋体" w:hAnsi="宋体"/>
          <w:b/>
          <w:bCs/>
          <w:color w:val="auto"/>
          <w:sz w:val="22"/>
          <w:szCs w:val="22"/>
          <w:highlight w:val="none"/>
        </w:rPr>
        <w:t>、</w:t>
      </w:r>
      <w:r>
        <w:rPr>
          <w:rFonts w:hint="eastAsia" w:ascii="宋体" w:hAnsi="宋体"/>
          <w:b/>
          <w:bCs/>
          <w:color w:val="auto"/>
          <w:sz w:val="22"/>
          <w:szCs w:val="22"/>
          <w:highlight w:val="none"/>
        </w:rPr>
        <w:t xml:space="preserve"> </w:t>
      </w:r>
      <w:r>
        <w:rPr>
          <w:rFonts w:ascii="宋体" w:hAnsi="宋体"/>
          <w:b/>
          <w:bCs/>
          <w:color w:val="auto"/>
          <w:sz w:val="22"/>
          <w:szCs w:val="22"/>
          <w:highlight w:val="none"/>
        </w:rPr>
        <w:t>签订时间</w:t>
      </w:r>
      <w:bookmarkEnd w:id="39"/>
    </w:p>
    <w:p w14:paraId="41AA8318">
      <w:pPr>
        <w:spacing w:line="440" w:lineRule="exact"/>
        <w:ind w:left="548" w:leftChars="261"/>
        <w:rPr>
          <w:rFonts w:ascii="宋体" w:hAnsi="宋体"/>
          <w:color w:val="auto"/>
          <w:sz w:val="22"/>
          <w:szCs w:val="22"/>
          <w:highlight w:val="none"/>
        </w:rPr>
      </w:pPr>
      <w:r>
        <w:rPr>
          <w:rFonts w:ascii="宋体" w:hAnsi="宋体"/>
          <w:color w:val="auto"/>
          <w:sz w:val="22"/>
          <w:szCs w:val="22"/>
          <w:highlight w:val="none"/>
        </w:rPr>
        <w:t>本合同于</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202</w:t>
      </w:r>
      <w:r>
        <w:rPr>
          <w:rFonts w:hint="eastAsia" w:ascii="宋体" w:hAnsi="宋体"/>
          <w:color w:val="auto"/>
          <w:sz w:val="22"/>
          <w:szCs w:val="22"/>
          <w:highlight w:val="none"/>
          <w:u w:val="single"/>
          <w:lang w:val="en-US" w:eastAsia="zh-CN"/>
        </w:rPr>
        <w:t>5</w:t>
      </w:r>
      <w:r>
        <w:rPr>
          <w:rFonts w:ascii="宋体" w:hAnsi="宋体"/>
          <w:color w:val="auto"/>
          <w:sz w:val="22"/>
          <w:szCs w:val="22"/>
          <w:highlight w:val="none"/>
          <w:u w:val="single"/>
        </w:rPr>
        <w:t xml:space="preserve">   </w:t>
      </w:r>
      <w:r>
        <w:rPr>
          <w:rFonts w:ascii="宋体" w:hAnsi="宋体"/>
          <w:color w:val="auto"/>
          <w:sz w:val="22"/>
          <w:szCs w:val="22"/>
          <w:highlight w:val="none"/>
        </w:rPr>
        <w:t>年</w:t>
      </w:r>
      <w:r>
        <w:rPr>
          <w:rFonts w:ascii="宋体" w:hAnsi="宋体"/>
          <w:color w:val="auto"/>
          <w:sz w:val="22"/>
          <w:szCs w:val="22"/>
          <w:highlight w:val="none"/>
          <w:u w:val="single"/>
        </w:rPr>
        <w:t xml:space="preserve">    </w:t>
      </w:r>
      <w:r>
        <w:rPr>
          <w:rFonts w:ascii="宋体" w:hAnsi="宋体"/>
          <w:color w:val="auto"/>
          <w:sz w:val="22"/>
          <w:szCs w:val="22"/>
          <w:highlight w:val="none"/>
        </w:rPr>
        <w:t>月</w:t>
      </w:r>
      <w:r>
        <w:rPr>
          <w:rFonts w:ascii="宋体" w:hAnsi="宋体"/>
          <w:color w:val="auto"/>
          <w:sz w:val="22"/>
          <w:szCs w:val="22"/>
          <w:highlight w:val="none"/>
          <w:u w:val="single"/>
        </w:rPr>
        <w:t xml:space="preserve">    </w:t>
      </w:r>
      <w:r>
        <w:rPr>
          <w:rFonts w:ascii="宋体" w:hAnsi="宋体"/>
          <w:color w:val="auto"/>
          <w:sz w:val="22"/>
          <w:szCs w:val="22"/>
          <w:highlight w:val="none"/>
        </w:rPr>
        <w:t>日签订。</w:t>
      </w:r>
    </w:p>
    <w:p w14:paraId="1513D4FE">
      <w:pPr>
        <w:spacing w:line="440" w:lineRule="exact"/>
        <w:rPr>
          <w:rFonts w:eastAsia="黑体"/>
          <w:bCs/>
          <w:color w:val="auto"/>
          <w:sz w:val="32"/>
          <w:szCs w:val="32"/>
          <w:highlight w:val="none"/>
        </w:rPr>
      </w:pPr>
      <w:bookmarkStart w:id="40" w:name="_Toc351203490"/>
      <w:r>
        <w:rPr>
          <w:rFonts w:ascii="宋体" w:hAnsi="宋体"/>
          <w:b/>
          <w:bCs/>
          <w:color w:val="auto"/>
          <w:sz w:val="22"/>
          <w:szCs w:val="22"/>
          <w:highlight w:val="none"/>
        </w:rPr>
        <w:t>十、</w:t>
      </w:r>
      <w:r>
        <w:rPr>
          <w:rFonts w:hint="eastAsia" w:ascii="宋体" w:hAnsi="宋体"/>
          <w:b/>
          <w:bCs/>
          <w:color w:val="auto"/>
          <w:sz w:val="22"/>
          <w:szCs w:val="22"/>
          <w:highlight w:val="none"/>
        </w:rPr>
        <w:t xml:space="preserve"> </w:t>
      </w:r>
      <w:r>
        <w:rPr>
          <w:rFonts w:ascii="宋体" w:hAnsi="宋体"/>
          <w:b/>
          <w:bCs/>
          <w:color w:val="auto"/>
          <w:sz w:val="22"/>
          <w:szCs w:val="22"/>
          <w:highlight w:val="none"/>
        </w:rPr>
        <w:t>签订地点</w:t>
      </w:r>
      <w:bookmarkEnd w:id="40"/>
    </w:p>
    <w:p w14:paraId="116F8DCB">
      <w:pPr>
        <w:spacing w:line="440" w:lineRule="exact"/>
        <w:ind w:left="548" w:leftChars="261"/>
        <w:rPr>
          <w:rFonts w:ascii="宋体" w:hAnsi="宋体"/>
          <w:color w:val="auto"/>
          <w:sz w:val="22"/>
          <w:szCs w:val="22"/>
          <w:highlight w:val="none"/>
        </w:rPr>
      </w:pPr>
      <w:r>
        <w:rPr>
          <w:rFonts w:ascii="宋体" w:hAnsi="宋体"/>
          <w:color w:val="auto"/>
          <w:sz w:val="22"/>
          <w:szCs w:val="22"/>
          <w:highlight w:val="none"/>
        </w:rPr>
        <w:t>本合同在</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签订。</w:t>
      </w:r>
    </w:p>
    <w:p w14:paraId="06082549">
      <w:pPr>
        <w:spacing w:line="440" w:lineRule="exact"/>
        <w:rPr>
          <w:rFonts w:ascii="宋体" w:hAnsi="宋体"/>
          <w:b/>
          <w:bCs/>
          <w:color w:val="auto"/>
          <w:sz w:val="22"/>
          <w:szCs w:val="22"/>
          <w:highlight w:val="none"/>
        </w:rPr>
      </w:pPr>
      <w:bookmarkStart w:id="41" w:name="_Toc351203491"/>
      <w:r>
        <w:rPr>
          <w:rFonts w:ascii="宋体" w:hAnsi="宋体"/>
          <w:b/>
          <w:bCs/>
          <w:color w:val="auto"/>
          <w:sz w:val="22"/>
          <w:szCs w:val="22"/>
          <w:highlight w:val="none"/>
        </w:rPr>
        <w:t>十</w:t>
      </w:r>
      <w:r>
        <w:rPr>
          <w:rFonts w:hint="eastAsia" w:ascii="宋体" w:hAnsi="宋体"/>
          <w:b/>
          <w:bCs/>
          <w:color w:val="auto"/>
          <w:sz w:val="22"/>
          <w:szCs w:val="22"/>
          <w:highlight w:val="none"/>
        </w:rPr>
        <w:t>一</w:t>
      </w:r>
      <w:r>
        <w:rPr>
          <w:rFonts w:ascii="宋体" w:hAnsi="宋体"/>
          <w:b/>
          <w:bCs/>
          <w:color w:val="auto"/>
          <w:sz w:val="22"/>
          <w:szCs w:val="22"/>
          <w:highlight w:val="none"/>
        </w:rPr>
        <w:t>、补充协议</w:t>
      </w:r>
      <w:bookmarkEnd w:id="41"/>
    </w:p>
    <w:p w14:paraId="279D0A98">
      <w:pPr>
        <w:spacing w:line="440" w:lineRule="exact"/>
        <w:ind w:firstLine="550" w:firstLineChars="250"/>
        <w:rPr>
          <w:rFonts w:ascii="宋体" w:hAnsi="宋体"/>
          <w:color w:val="auto"/>
          <w:sz w:val="22"/>
          <w:szCs w:val="22"/>
          <w:highlight w:val="none"/>
        </w:rPr>
      </w:pPr>
      <w:r>
        <w:rPr>
          <w:rFonts w:ascii="宋体" w:hAnsi="宋体"/>
          <w:color w:val="auto"/>
          <w:sz w:val="22"/>
          <w:szCs w:val="22"/>
          <w:highlight w:val="none"/>
        </w:rPr>
        <w:t>合同未尽事宜，合同当事人另行签订补充协议</w:t>
      </w:r>
      <w:r>
        <w:rPr>
          <w:rFonts w:hint="eastAsia" w:ascii="宋体" w:hAnsi="宋体"/>
          <w:color w:val="auto"/>
          <w:sz w:val="22"/>
          <w:szCs w:val="22"/>
          <w:highlight w:val="none"/>
        </w:rPr>
        <w:t>，</w:t>
      </w:r>
      <w:r>
        <w:rPr>
          <w:rFonts w:ascii="宋体" w:hAnsi="宋体"/>
          <w:color w:val="auto"/>
          <w:sz w:val="22"/>
          <w:szCs w:val="22"/>
          <w:highlight w:val="none"/>
        </w:rPr>
        <w:t>补充协议是合同的组成部分。</w:t>
      </w:r>
    </w:p>
    <w:p w14:paraId="59845455">
      <w:pPr>
        <w:spacing w:line="440" w:lineRule="exact"/>
        <w:rPr>
          <w:rFonts w:ascii="宋体" w:hAnsi="宋体"/>
          <w:b/>
          <w:bCs/>
          <w:color w:val="auto"/>
          <w:sz w:val="22"/>
          <w:szCs w:val="22"/>
          <w:highlight w:val="none"/>
        </w:rPr>
      </w:pPr>
      <w:bookmarkStart w:id="42" w:name="_Toc351203492"/>
      <w:r>
        <w:rPr>
          <w:rFonts w:ascii="宋体" w:hAnsi="宋体"/>
          <w:b/>
          <w:bCs/>
          <w:color w:val="auto"/>
          <w:sz w:val="22"/>
          <w:szCs w:val="22"/>
          <w:highlight w:val="none"/>
        </w:rPr>
        <w:t>十</w:t>
      </w:r>
      <w:r>
        <w:rPr>
          <w:rFonts w:hint="eastAsia" w:ascii="宋体" w:hAnsi="宋体"/>
          <w:b/>
          <w:bCs/>
          <w:color w:val="auto"/>
          <w:sz w:val="22"/>
          <w:szCs w:val="22"/>
          <w:highlight w:val="none"/>
        </w:rPr>
        <w:t>二</w:t>
      </w:r>
      <w:r>
        <w:rPr>
          <w:rFonts w:ascii="宋体" w:hAnsi="宋体"/>
          <w:b/>
          <w:bCs/>
          <w:color w:val="auto"/>
          <w:sz w:val="22"/>
          <w:szCs w:val="22"/>
          <w:highlight w:val="none"/>
        </w:rPr>
        <w:t>、合同生效</w:t>
      </w:r>
      <w:bookmarkEnd w:id="42"/>
    </w:p>
    <w:p w14:paraId="48CDF934">
      <w:pPr>
        <w:spacing w:line="440" w:lineRule="exact"/>
        <w:ind w:left="548" w:leftChars="261"/>
        <w:rPr>
          <w:rFonts w:ascii="宋体" w:hAnsi="宋体"/>
          <w:color w:val="auto"/>
          <w:sz w:val="22"/>
          <w:szCs w:val="22"/>
          <w:highlight w:val="none"/>
        </w:rPr>
      </w:pPr>
      <w:r>
        <w:rPr>
          <w:rFonts w:ascii="宋体" w:hAnsi="宋体"/>
          <w:color w:val="auto"/>
          <w:sz w:val="22"/>
          <w:szCs w:val="22"/>
          <w:highlight w:val="none"/>
        </w:rPr>
        <w:t>本合同自</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签订之日起</w:t>
      </w:r>
      <w:r>
        <w:rPr>
          <w:rFonts w:ascii="宋体" w:hAnsi="宋体"/>
          <w:color w:val="auto"/>
          <w:sz w:val="22"/>
          <w:szCs w:val="22"/>
          <w:highlight w:val="none"/>
          <w:u w:val="single"/>
        </w:rPr>
        <w:t xml:space="preserve">    </w:t>
      </w:r>
      <w:r>
        <w:rPr>
          <w:rFonts w:ascii="宋体" w:hAnsi="宋体"/>
          <w:color w:val="auto"/>
          <w:sz w:val="22"/>
          <w:szCs w:val="22"/>
          <w:highlight w:val="none"/>
        </w:rPr>
        <w:t>生效。</w:t>
      </w:r>
    </w:p>
    <w:p w14:paraId="4B1D9F3A">
      <w:pPr>
        <w:spacing w:line="440" w:lineRule="exact"/>
        <w:rPr>
          <w:rFonts w:ascii="宋体" w:hAnsi="宋体"/>
          <w:b/>
          <w:bCs/>
          <w:color w:val="auto"/>
          <w:sz w:val="22"/>
          <w:szCs w:val="22"/>
          <w:highlight w:val="none"/>
        </w:rPr>
      </w:pPr>
      <w:bookmarkStart w:id="43" w:name="_Toc351203493"/>
      <w:r>
        <w:rPr>
          <w:rFonts w:ascii="宋体" w:hAnsi="宋体"/>
          <w:b/>
          <w:bCs/>
          <w:color w:val="auto"/>
          <w:sz w:val="22"/>
          <w:szCs w:val="22"/>
          <w:highlight w:val="none"/>
        </w:rPr>
        <w:t>十</w:t>
      </w:r>
      <w:r>
        <w:rPr>
          <w:rFonts w:hint="eastAsia" w:ascii="宋体" w:hAnsi="宋体"/>
          <w:b/>
          <w:bCs/>
          <w:color w:val="auto"/>
          <w:sz w:val="22"/>
          <w:szCs w:val="22"/>
          <w:highlight w:val="none"/>
        </w:rPr>
        <w:t>三</w:t>
      </w:r>
      <w:r>
        <w:rPr>
          <w:rFonts w:ascii="宋体" w:hAnsi="宋体"/>
          <w:b/>
          <w:bCs/>
          <w:color w:val="auto"/>
          <w:sz w:val="22"/>
          <w:szCs w:val="22"/>
          <w:highlight w:val="none"/>
        </w:rPr>
        <w:t>、合同份数</w:t>
      </w:r>
      <w:bookmarkEnd w:id="43"/>
    </w:p>
    <w:p w14:paraId="00C78539">
      <w:pPr>
        <w:spacing w:line="440" w:lineRule="exact"/>
        <w:ind w:left="548" w:leftChars="261"/>
        <w:rPr>
          <w:rFonts w:ascii="宋体" w:hAnsi="宋体"/>
          <w:color w:val="auto"/>
          <w:sz w:val="22"/>
          <w:szCs w:val="22"/>
          <w:highlight w:val="none"/>
        </w:rPr>
      </w:pPr>
      <w:r>
        <w:rPr>
          <w:rFonts w:ascii="宋体" w:hAnsi="宋体"/>
          <w:color w:val="auto"/>
          <w:sz w:val="22"/>
          <w:szCs w:val="22"/>
          <w:highlight w:val="none"/>
        </w:rPr>
        <w:t>本合同一式</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伍</w:t>
      </w:r>
      <w:r>
        <w:rPr>
          <w:rFonts w:ascii="宋体" w:hAnsi="宋体"/>
          <w:color w:val="auto"/>
          <w:sz w:val="22"/>
          <w:szCs w:val="22"/>
          <w:highlight w:val="none"/>
          <w:u w:val="single"/>
        </w:rPr>
        <w:t xml:space="preserve"> </w:t>
      </w:r>
      <w:r>
        <w:rPr>
          <w:rFonts w:ascii="宋体" w:hAnsi="宋体"/>
          <w:color w:val="auto"/>
          <w:sz w:val="22"/>
          <w:szCs w:val="22"/>
          <w:highlight w:val="none"/>
        </w:rPr>
        <w:t>份，均具有同等法律效力，发包人执</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贰</w:t>
      </w:r>
      <w:r>
        <w:rPr>
          <w:rFonts w:ascii="宋体" w:hAnsi="宋体"/>
          <w:color w:val="auto"/>
          <w:sz w:val="22"/>
          <w:szCs w:val="22"/>
          <w:highlight w:val="none"/>
          <w:u w:val="single"/>
        </w:rPr>
        <w:t xml:space="preserve"> </w:t>
      </w:r>
      <w:r>
        <w:rPr>
          <w:rFonts w:ascii="宋体" w:hAnsi="宋体"/>
          <w:color w:val="auto"/>
          <w:sz w:val="22"/>
          <w:szCs w:val="22"/>
          <w:highlight w:val="none"/>
        </w:rPr>
        <w:t xml:space="preserve">份，承包人执 </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贰</w:t>
      </w:r>
      <w:r>
        <w:rPr>
          <w:rFonts w:ascii="宋体" w:hAnsi="宋体"/>
          <w:color w:val="auto"/>
          <w:sz w:val="22"/>
          <w:szCs w:val="22"/>
          <w:highlight w:val="none"/>
          <w:u w:val="single"/>
        </w:rPr>
        <w:t xml:space="preserve"> </w:t>
      </w:r>
      <w:r>
        <w:rPr>
          <w:rFonts w:ascii="宋体" w:hAnsi="宋体"/>
          <w:color w:val="auto"/>
          <w:sz w:val="22"/>
          <w:szCs w:val="22"/>
          <w:highlight w:val="none"/>
        </w:rPr>
        <w:t>份</w:t>
      </w:r>
      <w:r>
        <w:rPr>
          <w:rFonts w:hint="eastAsia" w:ascii="宋体" w:hAnsi="宋体"/>
          <w:color w:val="auto"/>
          <w:sz w:val="22"/>
          <w:szCs w:val="22"/>
          <w:highlight w:val="none"/>
        </w:rPr>
        <w:t>，另一份交由采购代理机构备案</w:t>
      </w:r>
      <w:r>
        <w:rPr>
          <w:rFonts w:ascii="宋体" w:hAnsi="宋体"/>
          <w:color w:val="auto"/>
          <w:sz w:val="22"/>
          <w:szCs w:val="22"/>
          <w:highlight w:val="none"/>
        </w:rPr>
        <w:t>。</w:t>
      </w:r>
    </w:p>
    <w:p w14:paraId="084C09D5">
      <w:pPr>
        <w:spacing w:line="440" w:lineRule="exact"/>
        <w:rPr>
          <w:rFonts w:hint="eastAsia" w:ascii="宋体" w:hAnsi="宋体"/>
          <w:color w:val="auto"/>
          <w:sz w:val="22"/>
          <w:szCs w:val="22"/>
          <w:highlight w:val="none"/>
        </w:rPr>
      </w:pPr>
    </w:p>
    <w:p w14:paraId="7340F827">
      <w:pPr>
        <w:spacing w:line="440" w:lineRule="exact"/>
        <w:rPr>
          <w:rFonts w:hint="eastAsia" w:ascii="宋体" w:hAnsi="宋体"/>
          <w:color w:val="auto"/>
          <w:sz w:val="22"/>
          <w:szCs w:val="22"/>
          <w:highlight w:val="none"/>
        </w:rPr>
      </w:pPr>
      <w:bookmarkStart w:id="44" w:name="_Toc361063113"/>
      <w:r>
        <w:rPr>
          <w:rFonts w:ascii="宋体" w:hAnsi="宋体"/>
          <w:color w:val="auto"/>
          <w:sz w:val="22"/>
          <w:szCs w:val="22"/>
          <w:highlight w:val="none"/>
        </w:rPr>
        <w:t>发包人</w:t>
      </w:r>
      <w:r>
        <w:rPr>
          <w:rFonts w:hint="eastAsia" w:ascii="宋体" w:hAnsi="宋体"/>
          <w:color w:val="auto"/>
          <w:sz w:val="22"/>
          <w:szCs w:val="22"/>
          <w:highlight w:val="none"/>
        </w:rPr>
        <w:t xml:space="preserve">：  </w:t>
      </w:r>
      <w:r>
        <w:rPr>
          <w:rFonts w:ascii="宋体" w:hAnsi="宋体"/>
          <w:color w:val="auto"/>
          <w:sz w:val="22"/>
          <w:szCs w:val="22"/>
          <w:highlight w:val="none"/>
        </w:rPr>
        <w:t>(公章)</w:t>
      </w:r>
      <w:r>
        <w:rPr>
          <w:rFonts w:hint="eastAsia" w:ascii="宋体" w:hAnsi="宋体"/>
          <w:color w:val="auto"/>
          <w:sz w:val="22"/>
          <w:szCs w:val="22"/>
          <w:highlight w:val="none"/>
        </w:rPr>
        <w:t xml:space="preserve">                           </w:t>
      </w:r>
      <w:r>
        <w:rPr>
          <w:rFonts w:ascii="宋体" w:hAnsi="宋体"/>
          <w:color w:val="auto"/>
          <w:sz w:val="22"/>
          <w:szCs w:val="22"/>
          <w:highlight w:val="none"/>
        </w:rPr>
        <w:t>承包人</w:t>
      </w:r>
      <w:r>
        <w:rPr>
          <w:rFonts w:hint="eastAsia" w:ascii="宋体" w:hAnsi="宋体"/>
          <w:color w:val="auto"/>
          <w:sz w:val="22"/>
          <w:szCs w:val="22"/>
          <w:highlight w:val="none"/>
        </w:rPr>
        <w:t xml:space="preserve">：  </w:t>
      </w:r>
      <w:r>
        <w:rPr>
          <w:rFonts w:ascii="宋体" w:hAnsi="宋体"/>
          <w:color w:val="auto"/>
          <w:sz w:val="22"/>
          <w:szCs w:val="22"/>
          <w:highlight w:val="none"/>
        </w:rPr>
        <w:t>(公章)</w:t>
      </w:r>
    </w:p>
    <w:p w14:paraId="49581710">
      <w:pPr>
        <w:spacing w:line="440" w:lineRule="exact"/>
        <w:rPr>
          <w:rFonts w:hint="eastAsia" w:ascii="宋体" w:hAnsi="宋体"/>
          <w:color w:val="auto"/>
          <w:sz w:val="22"/>
          <w:szCs w:val="22"/>
          <w:highlight w:val="none"/>
          <w:u w:val="single"/>
        </w:rPr>
      </w:pPr>
      <w:r>
        <w:rPr>
          <w:rFonts w:hint="eastAsia" w:ascii="宋体" w:hAnsi="宋体"/>
          <w:color w:val="auto"/>
          <w:sz w:val="22"/>
          <w:szCs w:val="22"/>
          <w:highlight w:val="none"/>
        </w:rPr>
        <w:t xml:space="preserve">                                 </w:t>
      </w:r>
    </w:p>
    <w:p w14:paraId="00BAAD0D">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法定代表人或其委托代理人：                法定代表人或其委托代理人：</w:t>
      </w:r>
    </w:p>
    <w:p w14:paraId="5EA4ACF0">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（签字）                                 （签字）</w:t>
      </w:r>
    </w:p>
    <w:p w14:paraId="00E89A56">
      <w:pPr>
        <w:spacing w:line="440" w:lineRule="exact"/>
        <w:rPr>
          <w:rFonts w:hint="eastAsia" w:ascii="宋体" w:hAnsi="宋体"/>
          <w:color w:val="auto"/>
          <w:sz w:val="22"/>
          <w:szCs w:val="22"/>
          <w:highlight w:val="none"/>
          <w:u w:val="single"/>
        </w:rPr>
      </w:pPr>
    </w:p>
    <w:p w14:paraId="7B3FB39C">
      <w:pPr>
        <w:tabs>
          <w:tab w:val="left" w:pos="4410"/>
        </w:tabs>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组织机构代码：</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组织机构代码：</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p>
    <w:p w14:paraId="610EA7E4">
      <w:pPr>
        <w:spacing w:line="440" w:lineRule="exact"/>
        <w:rPr>
          <w:rFonts w:ascii="宋体" w:hAnsi="宋体"/>
          <w:color w:val="auto"/>
          <w:sz w:val="22"/>
          <w:szCs w:val="22"/>
          <w:highlight w:val="none"/>
        </w:rPr>
      </w:pPr>
      <w:r>
        <w:rPr>
          <w:rFonts w:ascii="宋体" w:hAnsi="宋体"/>
          <w:color w:val="auto"/>
          <w:sz w:val="22"/>
          <w:szCs w:val="22"/>
          <w:highlight w:val="none"/>
        </w:rPr>
        <w:t>地  址：</w:t>
      </w:r>
      <w:r>
        <w:rPr>
          <w:rFonts w:ascii="宋体" w:hAnsi="宋体"/>
          <w:color w:val="auto"/>
          <w:sz w:val="22"/>
          <w:szCs w:val="22"/>
          <w:highlight w:val="none"/>
          <w:u w:val="single"/>
        </w:rPr>
        <w:t xml:space="preserve">     </w:t>
      </w:r>
      <w:r>
        <w:rPr>
          <w:rFonts w:hint="eastAsia" w:ascii="宋体" w:hAnsi="宋体"/>
          <w:color w:val="auto"/>
          <w:sz w:val="22"/>
          <w:szCs w:val="22"/>
          <w:highlight w:val="none"/>
        </w:rPr>
        <w:t xml:space="preserve">                </w:t>
      </w:r>
      <w:r>
        <w:rPr>
          <w:rFonts w:ascii="宋体" w:hAnsi="宋体"/>
          <w:color w:val="auto"/>
          <w:sz w:val="22"/>
          <w:szCs w:val="22"/>
          <w:highlight w:val="none"/>
        </w:rPr>
        <w:t>地  址：</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p>
    <w:p w14:paraId="070CD74F">
      <w:pPr>
        <w:spacing w:line="440" w:lineRule="exact"/>
        <w:rPr>
          <w:rFonts w:ascii="宋体" w:hAnsi="宋体"/>
          <w:color w:val="auto"/>
          <w:sz w:val="22"/>
          <w:szCs w:val="22"/>
          <w:highlight w:val="none"/>
        </w:rPr>
      </w:pPr>
      <w:r>
        <w:rPr>
          <w:rFonts w:ascii="宋体" w:hAnsi="宋体"/>
          <w:color w:val="auto"/>
          <w:sz w:val="22"/>
          <w:szCs w:val="22"/>
          <w:highlight w:val="none"/>
        </w:rPr>
        <w:t>邮政编码：</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r>
        <w:rPr>
          <w:rFonts w:ascii="宋体" w:hAnsi="宋体"/>
          <w:color w:val="auto"/>
          <w:sz w:val="22"/>
          <w:szCs w:val="22"/>
          <w:highlight w:val="none"/>
        </w:rPr>
        <w:t>邮政编码：</w:t>
      </w:r>
      <w:r>
        <w:rPr>
          <w:rFonts w:ascii="宋体" w:hAnsi="宋体"/>
          <w:color w:val="auto"/>
          <w:sz w:val="22"/>
          <w:szCs w:val="22"/>
          <w:highlight w:val="none"/>
          <w:u w:val="single"/>
        </w:rPr>
        <w:t xml:space="preserve">   </w:t>
      </w:r>
    </w:p>
    <w:p w14:paraId="6EB026C7">
      <w:pPr>
        <w:spacing w:line="440" w:lineRule="exact"/>
        <w:rPr>
          <w:rFonts w:ascii="宋体" w:hAnsi="宋体"/>
          <w:color w:val="auto"/>
          <w:sz w:val="22"/>
          <w:szCs w:val="22"/>
          <w:highlight w:val="none"/>
        </w:rPr>
      </w:pPr>
      <w:r>
        <w:rPr>
          <w:rFonts w:ascii="宋体" w:hAnsi="宋体"/>
          <w:color w:val="auto"/>
          <w:sz w:val="22"/>
          <w:szCs w:val="22"/>
          <w:highlight w:val="none"/>
        </w:rPr>
        <w:t>法定代表人：</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r>
        <w:rPr>
          <w:rFonts w:ascii="宋体" w:hAnsi="宋体"/>
          <w:color w:val="auto"/>
          <w:sz w:val="22"/>
          <w:szCs w:val="22"/>
          <w:highlight w:val="none"/>
        </w:rPr>
        <w:t>法定代表人：</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p>
    <w:p w14:paraId="17B3779B">
      <w:pPr>
        <w:spacing w:line="440" w:lineRule="exact"/>
        <w:rPr>
          <w:rFonts w:ascii="宋体" w:hAnsi="宋体"/>
          <w:color w:val="auto"/>
          <w:sz w:val="22"/>
          <w:szCs w:val="22"/>
          <w:highlight w:val="none"/>
        </w:rPr>
      </w:pPr>
      <w:r>
        <w:rPr>
          <w:rFonts w:ascii="宋体" w:hAnsi="宋体"/>
          <w:color w:val="auto"/>
          <w:sz w:val="22"/>
          <w:szCs w:val="22"/>
          <w:highlight w:val="none"/>
        </w:rPr>
        <w:t>委托代理人：</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r>
        <w:rPr>
          <w:rFonts w:ascii="宋体" w:hAnsi="宋体"/>
          <w:color w:val="auto"/>
          <w:sz w:val="22"/>
          <w:szCs w:val="22"/>
          <w:highlight w:val="none"/>
        </w:rPr>
        <w:t>委托代理人：</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p>
    <w:p w14:paraId="3969CB07">
      <w:pPr>
        <w:spacing w:line="440" w:lineRule="exact"/>
        <w:rPr>
          <w:rFonts w:ascii="宋体" w:hAnsi="宋体"/>
          <w:color w:val="auto"/>
          <w:sz w:val="22"/>
          <w:szCs w:val="22"/>
          <w:highlight w:val="none"/>
        </w:rPr>
      </w:pPr>
      <w:r>
        <w:rPr>
          <w:rFonts w:ascii="宋体" w:hAnsi="宋体"/>
          <w:color w:val="auto"/>
          <w:sz w:val="22"/>
          <w:szCs w:val="22"/>
          <w:highlight w:val="none"/>
        </w:rPr>
        <w:t>电  话：</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r>
        <w:rPr>
          <w:rFonts w:ascii="宋体" w:hAnsi="宋体"/>
          <w:color w:val="auto"/>
          <w:sz w:val="22"/>
          <w:szCs w:val="22"/>
          <w:highlight w:val="none"/>
        </w:rPr>
        <w:t>电  话：</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p>
    <w:p w14:paraId="3F089AF9">
      <w:pPr>
        <w:spacing w:line="440" w:lineRule="exact"/>
        <w:rPr>
          <w:rFonts w:ascii="宋体" w:hAnsi="宋体"/>
          <w:color w:val="auto"/>
          <w:sz w:val="22"/>
          <w:szCs w:val="22"/>
          <w:highlight w:val="none"/>
        </w:rPr>
      </w:pPr>
      <w:r>
        <w:rPr>
          <w:rFonts w:ascii="宋体" w:hAnsi="宋体"/>
          <w:color w:val="auto"/>
          <w:sz w:val="22"/>
          <w:szCs w:val="22"/>
          <w:highlight w:val="none"/>
        </w:rPr>
        <w:t>传  真：</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r>
        <w:rPr>
          <w:rFonts w:ascii="宋体" w:hAnsi="宋体"/>
          <w:color w:val="auto"/>
          <w:sz w:val="22"/>
          <w:szCs w:val="22"/>
          <w:highlight w:val="none"/>
        </w:rPr>
        <w:t>传  真：</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p>
    <w:p w14:paraId="3215A85F">
      <w:pPr>
        <w:spacing w:line="440" w:lineRule="exact"/>
        <w:rPr>
          <w:rFonts w:ascii="宋体" w:hAnsi="宋体"/>
          <w:color w:val="auto"/>
          <w:sz w:val="22"/>
          <w:szCs w:val="22"/>
          <w:highlight w:val="none"/>
        </w:rPr>
      </w:pPr>
      <w:r>
        <w:rPr>
          <w:rFonts w:ascii="宋体" w:hAnsi="宋体"/>
          <w:color w:val="auto"/>
          <w:sz w:val="22"/>
          <w:szCs w:val="22"/>
          <w:highlight w:val="none"/>
        </w:rPr>
        <w:t>电子信箱：</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r>
        <w:rPr>
          <w:rFonts w:ascii="宋体" w:hAnsi="宋体"/>
          <w:color w:val="auto"/>
          <w:sz w:val="22"/>
          <w:szCs w:val="22"/>
          <w:highlight w:val="none"/>
        </w:rPr>
        <w:t>电子信箱：</w:t>
      </w:r>
      <w:r>
        <w:rPr>
          <w:rFonts w:ascii="宋体" w:hAnsi="宋体"/>
          <w:color w:val="auto"/>
          <w:sz w:val="22"/>
          <w:szCs w:val="22"/>
          <w:highlight w:val="none"/>
          <w:u w:val="single"/>
        </w:rPr>
        <w:t xml:space="preserve">   </w:t>
      </w:r>
    </w:p>
    <w:p w14:paraId="088466EC">
      <w:pPr>
        <w:spacing w:line="440" w:lineRule="exact"/>
        <w:rPr>
          <w:rFonts w:ascii="宋体" w:hAnsi="宋体"/>
          <w:color w:val="auto"/>
          <w:sz w:val="22"/>
          <w:szCs w:val="22"/>
          <w:highlight w:val="none"/>
        </w:rPr>
      </w:pPr>
      <w:r>
        <w:rPr>
          <w:rFonts w:ascii="宋体" w:hAnsi="宋体"/>
          <w:color w:val="auto"/>
          <w:sz w:val="22"/>
          <w:szCs w:val="22"/>
          <w:highlight w:val="none"/>
        </w:rPr>
        <w:t>开户银行：</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r>
        <w:rPr>
          <w:rFonts w:ascii="宋体" w:hAnsi="宋体"/>
          <w:color w:val="auto"/>
          <w:sz w:val="22"/>
          <w:szCs w:val="22"/>
          <w:highlight w:val="none"/>
        </w:rPr>
        <w:t>开户银行：</w:t>
      </w:r>
      <w:r>
        <w:rPr>
          <w:rFonts w:ascii="宋体" w:hAnsi="宋体"/>
          <w:color w:val="auto"/>
          <w:sz w:val="22"/>
          <w:szCs w:val="22"/>
          <w:highlight w:val="none"/>
          <w:u w:val="single"/>
        </w:rPr>
        <w:t xml:space="preserve">   </w:t>
      </w:r>
    </w:p>
    <w:p w14:paraId="66DC2911">
      <w:pPr>
        <w:spacing w:line="440" w:lineRule="exact"/>
        <w:rPr>
          <w:rFonts w:ascii="宋体" w:hAnsi="宋体"/>
          <w:color w:val="auto"/>
          <w:sz w:val="22"/>
          <w:szCs w:val="22"/>
          <w:highlight w:val="none"/>
          <w:u w:val="single"/>
        </w:rPr>
      </w:pPr>
      <w:r>
        <w:rPr>
          <w:rFonts w:ascii="宋体" w:hAnsi="宋体"/>
          <w:color w:val="auto"/>
          <w:sz w:val="22"/>
          <w:szCs w:val="22"/>
          <w:highlight w:val="none"/>
        </w:rPr>
        <w:t>账  号：</w:t>
      </w:r>
      <w:r>
        <w:rPr>
          <w:rFonts w:ascii="宋体" w:hAnsi="宋体"/>
          <w:color w:val="auto"/>
          <w:sz w:val="22"/>
          <w:szCs w:val="22"/>
          <w:highlight w:val="none"/>
          <w:u w:val="single"/>
        </w:rPr>
        <w:t xml:space="preserve">       </w:t>
      </w:r>
      <w:r>
        <w:rPr>
          <w:rFonts w:hint="eastAsia" w:ascii="宋体" w:hAnsi="宋体"/>
          <w:color w:val="auto"/>
          <w:sz w:val="22"/>
          <w:szCs w:val="22"/>
          <w:highlight w:val="none"/>
        </w:rPr>
        <w:t xml:space="preserve">                </w:t>
      </w:r>
      <w:r>
        <w:rPr>
          <w:rFonts w:ascii="宋体" w:hAnsi="宋体"/>
          <w:color w:val="auto"/>
          <w:sz w:val="22"/>
          <w:szCs w:val="22"/>
          <w:highlight w:val="none"/>
        </w:rPr>
        <w:t>账</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号：</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p>
    <w:p w14:paraId="75DDBDA4">
      <w:pPr>
        <w:pStyle w:val="5"/>
        <w:spacing w:line="480" w:lineRule="exact"/>
        <w:jc w:val="center"/>
        <w:rPr>
          <w:color w:val="auto"/>
          <w:sz w:val="28"/>
          <w:szCs w:val="28"/>
          <w:highlight w:val="none"/>
        </w:rPr>
      </w:pPr>
      <w:bookmarkStart w:id="45" w:name="_Toc22487"/>
      <w:bookmarkStart w:id="46" w:name="_Toc15540"/>
      <w:r>
        <w:rPr>
          <w:rFonts w:hint="eastAsia"/>
          <w:color w:val="auto"/>
          <w:sz w:val="28"/>
          <w:szCs w:val="28"/>
          <w:highlight w:val="none"/>
        </w:rPr>
        <w:t>（二）通用条款（略）</w:t>
      </w:r>
      <w:bookmarkEnd w:id="44"/>
      <w:bookmarkEnd w:id="45"/>
      <w:bookmarkEnd w:id="46"/>
    </w:p>
    <w:p w14:paraId="387A7A78">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下载地址：</w:t>
      </w:r>
    </w:p>
    <w:p w14:paraId="1C08D7E6">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https://www.mohurd.gov.cn/gongkai/zhengce/zhengcefilelib/201710/20171030_233757.html</w:t>
      </w:r>
    </w:p>
    <w:p w14:paraId="43B3E955">
      <w:pPr>
        <w:spacing w:line="440" w:lineRule="exact"/>
        <w:ind w:firstLine="660" w:firstLineChars="300"/>
        <w:rPr>
          <w:rFonts w:hint="eastAsia" w:ascii="宋体" w:hAnsi="宋体"/>
          <w:color w:val="auto"/>
          <w:sz w:val="22"/>
          <w:szCs w:val="22"/>
          <w:highlight w:val="none"/>
        </w:rPr>
      </w:pPr>
    </w:p>
    <w:p w14:paraId="7159515D">
      <w:pPr>
        <w:pStyle w:val="5"/>
        <w:spacing w:line="480" w:lineRule="exact"/>
        <w:jc w:val="center"/>
        <w:rPr>
          <w:rFonts w:hint="eastAsia"/>
          <w:color w:val="auto"/>
          <w:sz w:val="28"/>
          <w:szCs w:val="28"/>
          <w:highlight w:val="none"/>
        </w:rPr>
      </w:pPr>
      <w:bookmarkStart w:id="47" w:name="_Toc21837"/>
      <w:bookmarkStart w:id="48" w:name="_Toc13883"/>
      <w:bookmarkStart w:id="49" w:name="_Toc361063114"/>
      <w:r>
        <w:rPr>
          <w:rFonts w:hint="eastAsia"/>
          <w:color w:val="auto"/>
          <w:sz w:val="28"/>
          <w:szCs w:val="28"/>
          <w:highlight w:val="none"/>
        </w:rPr>
        <w:t>（三）专用条款</w:t>
      </w:r>
      <w:bookmarkEnd w:id="47"/>
      <w:bookmarkEnd w:id="48"/>
      <w:bookmarkEnd w:id="49"/>
    </w:p>
    <w:p w14:paraId="4793B39A">
      <w:pPr>
        <w:spacing w:before="0" w:after="0" w:line="440" w:lineRule="exact"/>
        <w:ind w:firstLine="422"/>
        <w:outlineLvl w:val="9"/>
        <w:rPr>
          <w:rFonts w:hint="eastAsia" w:ascii="宋体" w:hAnsi="宋体" w:eastAsia="宋体"/>
          <w:color w:val="auto"/>
          <w:sz w:val="22"/>
          <w:szCs w:val="22"/>
          <w:highlight w:val="none"/>
        </w:rPr>
      </w:pPr>
      <w:r>
        <w:rPr>
          <w:rFonts w:hint="eastAsia" w:ascii="宋体" w:hAnsi="宋体" w:eastAsia="宋体"/>
          <w:color w:val="auto"/>
          <w:sz w:val="22"/>
          <w:szCs w:val="22"/>
          <w:highlight w:val="none"/>
        </w:rPr>
        <w:t>1. 一般约定</w:t>
      </w:r>
    </w:p>
    <w:p w14:paraId="0C76D7F4">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1.1 词语定义</w:t>
      </w:r>
    </w:p>
    <w:p w14:paraId="69F4D146">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1.1.1合同</w:t>
      </w:r>
    </w:p>
    <w:p w14:paraId="6C897CA5">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1.1.1.10其他合同文件包括：</w:t>
      </w:r>
      <w:r>
        <w:rPr>
          <w:rFonts w:hint="eastAsia" w:ascii="宋体" w:hAnsi="宋体"/>
          <w:color w:val="auto"/>
          <w:sz w:val="22"/>
          <w:szCs w:val="22"/>
          <w:highlight w:val="none"/>
          <w:u w:val="single"/>
        </w:rPr>
        <w:t>磋商文件及其补充文件（含采购单位发的工程量清单及招标控制价），磋商响应文件及其补充文件，双方有关工程洽商、变更等书面协议或文件视为协议书的组成部分</w:t>
      </w:r>
      <w:r>
        <w:rPr>
          <w:rFonts w:hint="eastAsia" w:ascii="宋体" w:hAnsi="宋体"/>
          <w:color w:val="auto"/>
          <w:sz w:val="22"/>
          <w:szCs w:val="22"/>
          <w:highlight w:val="none"/>
        </w:rPr>
        <w:t>；</w:t>
      </w:r>
    </w:p>
    <w:p w14:paraId="03B5E88C">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1.1.2 合同当事人及其他相关方</w:t>
      </w:r>
    </w:p>
    <w:p w14:paraId="6D70C61B">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1.1.2.4监理人：</w:t>
      </w:r>
    </w:p>
    <w:p w14:paraId="5F84E510">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名    称：</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08556336">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资质类别和等级：</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1906F4EC">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联系电话：</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7CCCBDCF">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电子信箱：</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2C35EBAE">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通信地址：</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7574D9DC">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1.1.2.5 设计人：</w:t>
      </w:r>
    </w:p>
    <w:p w14:paraId="169016F2">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名    称：</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21875671">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资质类别和等级：</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2543D378">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联系电话：</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5DA1F301">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电子信箱：</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4FF6331B">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通信地址：</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47EE14D1">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1.1.3 工程和设备</w:t>
      </w:r>
    </w:p>
    <w:p w14:paraId="5E2C12FD">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rPr>
        <w:t>1.1.3.7 作为施工现场组成部分的其他场所包括：</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w:t>
      </w:r>
    </w:p>
    <w:p w14:paraId="495A4D92">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1.1.3.9 永久占地包括：</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79F71EAB">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1.1.3.10 临时占地包括：</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32B60181">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 xml:space="preserve">1.3法律 </w:t>
      </w:r>
    </w:p>
    <w:p w14:paraId="18543124">
      <w:pPr>
        <w:autoSpaceDE w:val="0"/>
        <w:autoSpaceDN w:val="0"/>
        <w:spacing w:line="440" w:lineRule="exact"/>
        <w:ind w:firstLine="712" w:firstLineChars="324"/>
        <w:jc w:val="left"/>
        <w:outlineLvl w:val="9"/>
        <w:rPr>
          <w:rFonts w:ascii="宋体" w:hAnsi="宋体"/>
          <w:color w:val="auto"/>
          <w:sz w:val="22"/>
          <w:szCs w:val="22"/>
          <w:highlight w:val="none"/>
        </w:rPr>
      </w:pPr>
      <w:r>
        <w:rPr>
          <w:rFonts w:hint="eastAsia" w:ascii="宋体" w:hAnsi="宋体"/>
          <w:color w:val="auto"/>
          <w:sz w:val="22"/>
          <w:szCs w:val="22"/>
          <w:highlight w:val="none"/>
        </w:rPr>
        <w:t>适用于合同的其他规范性文件：</w:t>
      </w:r>
    </w:p>
    <w:p w14:paraId="2128BE39">
      <w:pPr>
        <w:autoSpaceDE w:val="0"/>
        <w:autoSpaceDN w:val="0"/>
        <w:spacing w:line="440" w:lineRule="exact"/>
        <w:ind w:firstLine="712" w:firstLineChars="324"/>
        <w:jc w:val="left"/>
        <w:outlineLvl w:val="9"/>
        <w:rPr>
          <w:rFonts w:hint="eastAsia" w:ascii="宋体" w:hAnsi="宋体"/>
          <w:color w:val="auto"/>
          <w:sz w:val="22"/>
          <w:szCs w:val="22"/>
          <w:highlight w:val="none"/>
          <w:u w:val="single"/>
        </w:rPr>
      </w:pPr>
      <w:r>
        <w:rPr>
          <w:rFonts w:hint="eastAsia" w:ascii="宋体" w:hAnsi="宋体"/>
          <w:color w:val="auto"/>
          <w:sz w:val="22"/>
          <w:szCs w:val="22"/>
          <w:highlight w:val="none"/>
          <w:u w:val="single"/>
        </w:rPr>
        <w:t>1）《关于印发〈建设工程价款结算暂行办法〉的通知》（财建〔2004〕369号）；2） 《关于印发〈浙江省建设工程价格信息动态管理办法〉的通知》（浙建〔2012〕1号）；3）《关于转发〈企业安全生产费用提取和使用管理办法〉的通知》（温住建发〔2012〕190号）；4）《关于贯彻〈建设工程工程量清单计价规范〉（GB50500-2013）等国家标准的意见》（建建发〔2013〕273号）；</w:t>
      </w:r>
      <w:r>
        <w:rPr>
          <w:rFonts w:hint="eastAsia" w:ascii="宋体" w:hAnsi="宋体"/>
          <w:b/>
          <w:color w:val="auto"/>
          <w:sz w:val="22"/>
          <w:szCs w:val="22"/>
          <w:highlight w:val="none"/>
          <w:u w:val="single"/>
        </w:rPr>
        <w:t xml:space="preserve"> 5) 《转发关于浙江省建设工程计价依据 （2018版）的通知》（温住建发〔2018〕299号）。</w:t>
      </w:r>
      <w:r>
        <w:rPr>
          <w:rFonts w:hint="eastAsia" w:ascii="宋体" w:hAnsi="宋体"/>
          <w:color w:val="auto"/>
          <w:sz w:val="22"/>
          <w:szCs w:val="22"/>
          <w:highlight w:val="none"/>
          <w:u w:val="single"/>
        </w:rPr>
        <w:t>及现行的温州市的其他规范性文件。</w:t>
      </w:r>
    </w:p>
    <w:p w14:paraId="6477F609">
      <w:pPr>
        <w:autoSpaceDE w:val="0"/>
        <w:autoSpaceDN w:val="0"/>
        <w:spacing w:line="440" w:lineRule="exact"/>
        <w:ind w:firstLine="712" w:firstLineChars="324"/>
        <w:jc w:val="left"/>
        <w:outlineLvl w:val="9"/>
        <w:rPr>
          <w:rFonts w:hint="eastAsia" w:ascii="宋体" w:hAnsi="宋体"/>
          <w:color w:val="auto"/>
          <w:sz w:val="22"/>
          <w:szCs w:val="22"/>
          <w:highlight w:val="none"/>
        </w:rPr>
      </w:pPr>
      <w:r>
        <w:rPr>
          <w:rFonts w:hint="eastAsia" w:ascii="宋体" w:hAnsi="宋体"/>
          <w:color w:val="auto"/>
          <w:sz w:val="22"/>
          <w:szCs w:val="22"/>
          <w:highlight w:val="none"/>
          <w:u w:val="single"/>
        </w:rPr>
        <w:t>以上文件若有规定不一致的，以最新规定的文件为准。</w:t>
      </w:r>
    </w:p>
    <w:p w14:paraId="191E236B">
      <w:pPr>
        <w:autoSpaceDE w:val="0"/>
        <w:autoSpaceDN w:val="0"/>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1.4 标准和规范</w:t>
      </w:r>
    </w:p>
    <w:p w14:paraId="2E17962F">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1.4.1适用于工程的标准规范包括：</w:t>
      </w:r>
      <w:r>
        <w:rPr>
          <w:rFonts w:hint="eastAsia" w:ascii="宋体" w:hAnsi="宋体"/>
          <w:color w:val="auto"/>
          <w:sz w:val="22"/>
          <w:szCs w:val="22"/>
          <w:highlight w:val="none"/>
          <w:u w:val="single"/>
        </w:rPr>
        <w:t>现行的按现行国家、浙江省和温州市的有关标准规范、质量评定标准和竣工验收规范。</w:t>
      </w:r>
    </w:p>
    <w:p w14:paraId="52A4AB9E">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rPr>
        <w:t>1.4.2 发包人提供国外标准、规范的名称：</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57C26293">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发包人提供国外标准、规范的份数：</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79BA4683">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发包人提供国外标准、规范的名称：</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34E8B08F">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1.4.3发包人对工程的技术标准和功能要求的特殊要求：</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w:t>
      </w:r>
    </w:p>
    <w:p w14:paraId="66E3106D">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1.5 合同文件的优先顺序</w:t>
      </w:r>
    </w:p>
    <w:p w14:paraId="346E18D9">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rPr>
        <w:t>合同文件组成及优先顺序为：</w:t>
      </w:r>
      <w:r>
        <w:rPr>
          <w:rFonts w:hint="eastAsia" w:ascii="宋体" w:hAnsi="宋体"/>
          <w:color w:val="auto"/>
          <w:sz w:val="22"/>
          <w:szCs w:val="22"/>
          <w:highlight w:val="none"/>
          <w:u w:val="single"/>
        </w:rPr>
        <w:t>（1）本合同协议书；（2）成交通知书；（3）报价函及其附录；（4）本合同专用条款及附件；（5）磋商文件及其补充文件（含采购单位发的工程量清单及招标控制价）。</w:t>
      </w:r>
    </w:p>
    <w:p w14:paraId="543E95E5">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u w:val="single"/>
        </w:rPr>
        <w:t>（6）本合同通用条款；（7）除报价函及其附录和已标价工程量清单或预算书外</w:t>
      </w:r>
      <w:r>
        <w:rPr>
          <w:rFonts w:ascii="宋体" w:hAnsi="宋体"/>
          <w:color w:val="auto"/>
          <w:sz w:val="22"/>
          <w:szCs w:val="22"/>
          <w:highlight w:val="none"/>
          <w:u w:val="single"/>
        </w:rPr>
        <w:t>的</w:t>
      </w:r>
      <w:r>
        <w:rPr>
          <w:rFonts w:hint="eastAsia" w:ascii="宋体" w:hAnsi="宋体"/>
          <w:color w:val="auto"/>
          <w:sz w:val="22"/>
          <w:szCs w:val="22"/>
          <w:highlight w:val="none"/>
          <w:u w:val="single"/>
        </w:rPr>
        <w:t>磋商响应文件及其补充文件；（8）技术标准和要求；（9）图纸（如有）；（10）已标价工程量清单或预算书；注：双方有关工程洽商、变更等书面协议或文件视为协议书的组成部分。</w:t>
      </w:r>
    </w:p>
    <w:p w14:paraId="6CA17FBA">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1.6 图纸和承包人文件</w:t>
      </w:r>
      <w:r>
        <w:rPr>
          <w:rFonts w:hint="eastAsia" w:ascii="宋体" w:hAnsi="宋体"/>
          <w:color w:val="auto"/>
          <w:sz w:val="22"/>
          <w:szCs w:val="22"/>
          <w:highlight w:val="none"/>
        </w:rPr>
        <w:tab/>
      </w:r>
    </w:p>
    <w:p w14:paraId="5175C773">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1.6.1 图纸的提供</w:t>
      </w:r>
    </w:p>
    <w:p w14:paraId="64497D67">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发包人向承包人提供图纸的期限：</w:t>
      </w:r>
      <w:r>
        <w:rPr>
          <w:rFonts w:hint="eastAsia" w:ascii="宋体" w:hAnsi="宋体"/>
          <w:color w:val="auto"/>
          <w:sz w:val="22"/>
          <w:szCs w:val="22"/>
          <w:highlight w:val="none"/>
          <w:u w:val="single"/>
        </w:rPr>
        <w:t>　　　/　　　　</w:t>
      </w:r>
      <w:r>
        <w:rPr>
          <w:rFonts w:hint="eastAsia" w:ascii="宋体" w:hAnsi="宋体"/>
          <w:color w:val="auto"/>
          <w:sz w:val="22"/>
          <w:szCs w:val="22"/>
          <w:highlight w:val="none"/>
        </w:rPr>
        <w:t>；</w:t>
      </w:r>
    </w:p>
    <w:p w14:paraId="71AA1DF7">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发包人向承包人提供图纸的数量：</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3D4D3852">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发包人向承包人提供图纸的内容：</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2AF54CA1">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1.6.4 承包人文件</w:t>
      </w:r>
    </w:p>
    <w:p w14:paraId="11525B0B">
      <w:pPr>
        <w:spacing w:line="440" w:lineRule="exact"/>
        <w:ind w:firstLine="624" w:firstLineChars="284"/>
        <w:jc w:val="left"/>
        <w:outlineLvl w:val="9"/>
        <w:rPr>
          <w:rFonts w:ascii="宋体" w:hAnsi="宋体"/>
          <w:color w:val="auto"/>
          <w:sz w:val="22"/>
          <w:szCs w:val="22"/>
          <w:highlight w:val="none"/>
          <w:u w:val="single"/>
        </w:rPr>
      </w:pPr>
      <w:r>
        <w:rPr>
          <w:rFonts w:hint="eastAsia" w:ascii="宋体" w:hAnsi="宋体"/>
          <w:color w:val="auto"/>
          <w:sz w:val="22"/>
          <w:szCs w:val="22"/>
          <w:highlight w:val="none"/>
        </w:rPr>
        <w:t>需要由承包人提供的文件，包括：</w:t>
      </w:r>
      <w:r>
        <w:rPr>
          <w:rFonts w:hint="eastAsia" w:ascii="宋体" w:hAnsi="宋体"/>
          <w:color w:val="auto"/>
          <w:sz w:val="22"/>
          <w:szCs w:val="22"/>
          <w:highlight w:val="none"/>
          <w:u w:val="single"/>
        </w:rPr>
        <w:t>工程施工进度计划表，提供由监理工程师认可的当月实际完成工程量月报表，下月进度计划表；</w:t>
      </w:r>
    </w:p>
    <w:p w14:paraId="1D3BDFF9">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rPr>
        <w:t>承包人提供的文件的期限为：</w:t>
      </w:r>
      <w:r>
        <w:rPr>
          <w:rFonts w:hint="eastAsia" w:ascii="宋体" w:hAnsi="宋体"/>
          <w:color w:val="auto"/>
          <w:sz w:val="22"/>
          <w:szCs w:val="22"/>
          <w:highlight w:val="none"/>
          <w:u w:val="single"/>
        </w:rPr>
        <w:t>施工进度计划表开工前；当月实际完成工程量月报表、下月进度计划表每月25日前提供；</w:t>
      </w:r>
    </w:p>
    <w:p w14:paraId="1F60209D">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承包人提供的文件的数量为：</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w:t>
      </w:r>
    </w:p>
    <w:p w14:paraId="4ADD75CD">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承包人提供的文件的形式为：</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u w:val="single"/>
        </w:rPr>
        <w:t xml:space="preserve">书面 </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66CC3F4E">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发包人审批承包人文件的期限：</w:t>
      </w:r>
      <w:r>
        <w:rPr>
          <w:rFonts w:hint="eastAsia" w:ascii="宋体" w:hAnsi="宋体"/>
          <w:color w:val="auto"/>
          <w:sz w:val="22"/>
          <w:szCs w:val="22"/>
          <w:highlight w:val="none"/>
          <w:u w:val="single"/>
        </w:rPr>
        <w:t>收到承包人文件后7天内，如遇特殊情况需延期将另行通知承包人</w:t>
      </w:r>
      <w:r>
        <w:rPr>
          <w:rFonts w:hint="eastAsia" w:ascii="宋体" w:hAnsi="宋体"/>
          <w:color w:val="auto"/>
          <w:sz w:val="22"/>
          <w:szCs w:val="22"/>
          <w:highlight w:val="none"/>
        </w:rPr>
        <w:t>。</w:t>
      </w:r>
    </w:p>
    <w:p w14:paraId="63EF2222">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1.6.5 现场图纸准备</w:t>
      </w:r>
    </w:p>
    <w:p w14:paraId="40635A8E">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关于现场图纸准备的约定：</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执行通用条款</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7C226995">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1.7 联络</w:t>
      </w:r>
    </w:p>
    <w:p w14:paraId="4F348F67">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1.7.1发包人和承包人应当在</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u w:val="single"/>
        </w:rPr>
        <w:t xml:space="preserve"> 7  </w:t>
      </w:r>
      <w:r>
        <w:rPr>
          <w:rFonts w:hint="eastAsia" w:ascii="宋体" w:hAnsi="宋体"/>
          <w:color w:val="auto"/>
          <w:sz w:val="22"/>
          <w:szCs w:val="22"/>
          <w:highlight w:val="none"/>
        </w:rPr>
        <w:t>天内将与合同有关的通知、批准、证明、证书、指示、指令、要求、请求、同意、意见、确定和决定等书面函件送达对方当事人。</w:t>
      </w:r>
    </w:p>
    <w:p w14:paraId="24BFA312">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1.7.2 发包人接收文件的地点：</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项目所在地承</w:t>
      </w:r>
      <w:r>
        <w:rPr>
          <w:rFonts w:hint="eastAsia" w:ascii="宋体" w:hAnsi="宋体" w:cs="仿宋_GB2312"/>
          <w:color w:val="auto"/>
          <w:sz w:val="22"/>
          <w:szCs w:val="22"/>
          <w:highlight w:val="none"/>
          <w:u w:val="single"/>
        </w:rPr>
        <w:t>包人项目部</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525FD727">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发包人指定的接收人为：</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签订合同时另行确定</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6D0112D5">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承包人接收文件的地点：</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项目所在地承包人项目部</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65FA101D">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承包人指定的接收人为：</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签订合同时另行确定</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2437A2D8">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监理人接收文件的地点：</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项目所在地承包人项目部</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58821CDB">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监理人指定的接收人为：</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签订合同时另行确定</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0CB5F391">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1.10 交通运输</w:t>
      </w:r>
    </w:p>
    <w:p w14:paraId="560A8291">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1.10.1 出入现场的权利</w:t>
      </w:r>
    </w:p>
    <w:p w14:paraId="29FCBD41">
      <w:pPr>
        <w:spacing w:line="440" w:lineRule="exact"/>
        <w:ind w:left="596" w:leftChars="284" w:firstLine="420"/>
        <w:outlineLvl w:val="9"/>
        <w:rPr>
          <w:rFonts w:ascii="宋体" w:hAnsi="宋体"/>
          <w:color w:val="auto"/>
          <w:sz w:val="22"/>
          <w:szCs w:val="22"/>
          <w:highlight w:val="none"/>
          <w:u w:val="single"/>
        </w:rPr>
      </w:pPr>
      <w:r>
        <w:rPr>
          <w:rFonts w:hint="eastAsia" w:ascii="宋体" w:hAnsi="宋体"/>
          <w:color w:val="auto"/>
          <w:sz w:val="22"/>
          <w:szCs w:val="22"/>
          <w:highlight w:val="none"/>
        </w:rPr>
        <w:t>关于出入现场的权利的约定：</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hint="eastAsia" w:ascii="宋体" w:hAnsi="宋体" w:cs="MingLiU_HKSCS"/>
          <w:color w:val="auto"/>
          <w:sz w:val="22"/>
          <w:szCs w:val="22"/>
          <w:highlight w:val="none"/>
          <w:u w:val="single"/>
        </w:rPr>
        <w:t xml:space="preserve">  /    </w:t>
      </w:r>
    </w:p>
    <w:p w14:paraId="37D9AC36">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1.10.3 场内交通</w:t>
      </w:r>
    </w:p>
    <w:p w14:paraId="4A3E2668">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关于场外交通和场内交通的边界的约定：</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另行协商</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w:t>
      </w:r>
    </w:p>
    <w:p w14:paraId="6BFD549E">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关于发包人向承包人免费提供满足工程施工需要的场内道路和交通设施的约定：</w:t>
      </w:r>
      <w:r>
        <w:rPr>
          <w:rFonts w:hint="eastAsia" w:ascii="宋体" w:hAnsi="宋体" w:cs="仿宋_GB2312"/>
          <w:color w:val="auto"/>
          <w:sz w:val="22"/>
          <w:szCs w:val="22"/>
          <w:highlight w:val="none"/>
          <w:u w:val="single"/>
        </w:rPr>
        <w:t>由承包人负责施工现场的材料运输道路开通及施工道路与城区道路开通，包含城市交通管制协调承包人处理。费用由承包方承担</w:t>
      </w:r>
      <w:r>
        <w:rPr>
          <w:rFonts w:hint="eastAsia" w:ascii="宋体" w:hAnsi="宋体"/>
          <w:color w:val="auto"/>
          <w:sz w:val="22"/>
          <w:szCs w:val="22"/>
          <w:highlight w:val="none"/>
        </w:rPr>
        <w:t>。</w:t>
      </w:r>
    </w:p>
    <w:p w14:paraId="196030D5">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1.10.4超大件和超重件的运输</w:t>
      </w:r>
    </w:p>
    <w:p w14:paraId="6FAD96FB">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运输超大件或超重件所需的道路和桥梁临时加固改造费用和其他有关费用由</w:t>
      </w:r>
      <w:r>
        <w:rPr>
          <w:rFonts w:hint="eastAsia" w:ascii="宋体" w:hAnsi="宋体"/>
          <w:color w:val="auto"/>
          <w:sz w:val="22"/>
          <w:szCs w:val="22"/>
          <w:highlight w:val="none"/>
          <w:u w:val="single"/>
        </w:rPr>
        <w:t>承包人</w:t>
      </w:r>
      <w:r>
        <w:rPr>
          <w:rFonts w:hint="eastAsia" w:ascii="宋体" w:hAnsi="宋体"/>
          <w:color w:val="auto"/>
          <w:sz w:val="22"/>
          <w:szCs w:val="22"/>
          <w:highlight w:val="none"/>
        </w:rPr>
        <w:t>承担。</w:t>
      </w:r>
    </w:p>
    <w:p w14:paraId="524A7649">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1.11 知识产权</w:t>
      </w:r>
    </w:p>
    <w:p w14:paraId="500B6ED0">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rPr>
        <w:t>1.11.1关于发包人提供给承包人的图纸（如有）、发包人为实施工程自行编制或委托编制的技术规范以及反映发包人关于合同要求或其他类似性质的文件的著作权的归属：</w:t>
      </w:r>
      <w:r>
        <w:rPr>
          <w:rFonts w:hint="eastAsia" w:ascii="宋体" w:hAnsi="宋体"/>
          <w:color w:val="auto"/>
          <w:sz w:val="22"/>
          <w:szCs w:val="22"/>
          <w:highlight w:val="none"/>
          <w:u w:val="single"/>
        </w:rPr>
        <w:t>著作权属于发包人。</w:t>
      </w:r>
    </w:p>
    <w:p w14:paraId="0A6C06A0">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u w:val="single"/>
        </w:rPr>
        <w:t>承包人可以为实现合同目的而复制、使用此类文件，但不能用于与合同无关的其他事项。未经发包人书面同意，承包人不得为了合同以外的目的而复制、使用上述文件或将之提供给任何第三方。</w:t>
      </w:r>
    </w:p>
    <w:p w14:paraId="7AB19654">
      <w:pPr>
        <w:spacing w:line="440" w:lineRule="exact"/>
        <w:ind w:left="596" w:leftChars="284" w:firstLine="420"/>
        <w:outlineLvl w:val="9"/>
        <w:rPr>
          <w:rFonts w:ascii="宋体" w:hAnsi="宋体"/>
          <w:color w:val="auto"/>
          <w:sz w:val="22"/>
          <w:szCs w:val="22"/>
          <w:highlight w:val="none"/>
        </w:rPr>
      </w:pPr>
      <w:r>
        <w:rPr>
          <w:rFonts w:hint="eastAsia" w:ascii="宋体" w:hAnsi="宋体"/>
          <w:color w:val="auto"/>
          <w:sz w:val="22"/>
          <w:szCs w:val="22"/>
          <w:highlight w:val="none"/>
        </w:rPr>
        <w:t>关于发包人提供的上述文件的使用限制的要求：</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eastAsia="zh-CN"/>
        </w:rPr>
        <w:t>执行通用</w:t>
      </w:r>
      <w:r>
        <w:rPr>
          <w:rFonts w:hint="eastAsia" w:ascii="宋体" w:hAnsi="宋体"/>
          <w:color w:val="auto"/>
          <w:sz w:val="22"/>
          <w:szCs w:val="22"/>
          <w:highlight w:val="none"/>
          <w:u w:val="single"/>
        </w:rPr>
        <w:t>条款     。</w:t>
      </w:r>
    </w:p>
    <w:p w14:paraId="3280AEAF">
      <w:pPr>
        <w:spacing w:line="440" w:lineRule="exact"/>
        <w:ind w:firstLine="624" w:firstLineChars="284"/>
        <w:outlineLvl w:val="9"/>
        <w:rPr>
          <w:rFonts w:ascii="宋体" w:hAnsi="宋体"/>
          <w:color w:val="auto"/>
          <w:sz w:val="22"/>
          <w:szCs w:val="22"/>
          <w:highlight w:val="none"/>
          <w:u w:val="single"/>
        </w:rPr>
      </w:pPr>
      <w:r>
        <w:rPr>
          <w:rFonts w:hint="eastAsia" w:ascii="宋体" w:hAnsi="宋体"/>
          <w:color w:val="auto"/>
          <w:sz w:val="22"/>
          <w:szCs w:val="22"/>
          <w:highlight w:val="none"/>
        </w:rPr>
        <w:t>1.11.2 关于承包人为实施工程所编制文件的著作权的归属：</w:t>
      </w:r>
      <w:r>
        <w:rPr>
          <w:rFonts w:hint="eastAsia" w:ascii="宋体" w:hAnsi="宋体"/>
          <w:color w:val="auto"/>
          <w:sz w:val="22"/>
          <w:szCs w:val="22"/>
          <w:highlight w:val="none"/>
          <w:u w:val="single"/>
        </w:rPr>
        <w:t>除署名权以外的著作权属于发包人。</w:t>
      </w:r>
    </w:p>
    <w:p w14:paraId="6A524100">
      <w:pPr>
        <w:spacing w:line="440" w:lineRule="exact"/>
        <w:ind w:firstLine="624" w:firstLineChars="284"/>
        <w:outlineLvl w:val="9"/>
        <w:rPr>
          <w:rFonts w:ascii="宋体" w:hAnsi="宋体"/>
          <w:color w:val="auto"/>
          <w:sz w:val="22"/>
          <w:szCs w:val="22"/>
          <w:highlight w:val="none"/>
        </w:rPr>
      </w:pPr>
      <w:r>
        <w:rPr>
          <w:rFonts w:hint="eastAsia" w:ascii="宋体" w:hAnsi="宋体"/>
          <w:color w:val="auto"/>
          <w:sz w:val="22"/>
          <w:szCs w:val="22"/>
          <w:highlight w:val="none"/>
          <w:u w:val="single"/>
        </w:rPr>
        <w:t>承包人可因实施工程的运行、调试、维修、改造等目的而复制、使用此类文件，但不能用于与合同无关的其他事项。未经发包人书面同意，承包人不得为了合同以外的目的而复制、使用上述文件或将之提供给任何第三方。</w:t>
      </w:r>
    </w:p>
    <w:p w14:paraId="1560B8BB">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rPr>
        <w:t>关于承包人提供的上述文件的使用限制的要求：</w:t>
      </w:r>
      <w:r>
        <w:rPr>
          <w:rFonts w:hint="eastAsia" w:ascii="宋体" w:hAnsi="宋体"/>
          <w:color w:val="auto"/>
          <w:sz w:val="22"/>
          <w:szCs w:val="22"/>
          <w:highlight w:val="none"/>
          <w:u w:val="single"/>
        </w:rPr>
        <w:t>永久性限制。</w:t>
      </w:r>
    </w:p>
    <w:p w14:paraId="4415713B">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1.11.4 承包人在施工过程中所采用的专利、专有技术、技术秘密的使用费的承担方式：</w:t>
      </w:r>
      <w:r>
        <w:rPr>
          <w:rFonts w:hint="eastAsia" w:ascii="宋体" w:hAnsi="宋体"/>
          <w:color w:val="auto"/>
          <w:sz w:val="22"/>
          <w:szCs w:val="22"/>
          <w:highlight w:val="none"/>
          <w:u w:val="single"/>
        </w:rPr>
        <w:t>承包人在合同签订前和签订时已确定采用的专利、专有技术、技术秘密的使用费已包含在签约合同价中</w:t>
      </w:r>
      <w:r>
        <w:rPr>
          <w:rFonts w:hint="eastAsia" w:ascii="宋体" w:hAnsi="宋体"/>
          <w:color w:val="auto"/>
          <w:sz w:val="22"/>
          <w:szCs w:val="22"/>
          <w:highlight w:val="none"/>
        </w:rPr>
        <w:t>。</w:t>
      </w:r>
    </w:p>
    <w:p w14:paraId="296F455A">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1.13工程量清单错误的修正</w:t>
      </w:r>
    </w:p>
    <w:p w14:paraId="66EB44AF">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rPr>
        <w:t>出现工程量清单错误时，是否调整合同价格：</w:t>
      </w:r>
      <w:r>
        <w:rPr>
          <w:rFonts w:ascii="宋体" w:hAnsi="宋体"/>
          <w:color w:val="auto"/>
          <w:sz w:val="22"/>
          <w:szCs w:val="22"/>
          <w:highlight w:val="none"/>
          <w:u w:val="single"/>
        </w:rPr>
        <w:t>是。</w:t>
      </w:r>
      <w:r>
        <w:rPr>
          <w:rFonts w:hint="eastAsia" w:ascii="宋体" w:hAnsi="宋体"/>
          <w:b/>
          <w:color w:val="auto"/>
          <w:sz w:val="22"/>
          <w:szCs w:val="22"/>
          <w:highlight w:val="none"/>
          <w:u w:val="single"/>
        </w:rPr>
        <w:t>在提出修正要求后，应给予对方明确书面答复，未答复的，以对方修正报价为准。在约定的时间内完成核价，作为结算依据。在核价过程中，双方核价人员应具备相应从业资格并在成果上签字和盖章，不具备相应从业资格或未在成果上签字和盖章，视同违约。</w:t>
      </w:r>
    </w:p>
    <w:p w14:paraId="2CDD4107">
      <w:pPr>
        <w:spacing w:line="440" w:lineRule="exact"/>
        <w:ind w:firstLine="420"/>
        <w:outlineLvl w:val="9"/>
        <w:rPr>
          <w:rFonts w:ascii="宋体" w:hAnsi="宋体"/>
          <w:color w:val="auto"/>
          <w:sz w:val="22"/>
          <w:szCs w:val="22"/>
          <w:highlight w:val="none"/>
          <w:u w:val="single"/>
        </w:rPr>
      </w:pPr>
      <w:r>
        <w:rPr>
          <w:rFonts w:ascii="宋体" w:hAnsi="宋体"/>
          <w:color w:val="auto"/>
          <w:sz w:val="22"/>
          <w:szCs w:val="22"/>
          <w:highlight w:val="none"/>
          <w:u w:val="single"/>
        </w:rPr>
        <w:t>允许调整合同总价的工程量偏差范围：</w:t>
      </w:r>
      <w:r>
        <w:rPr>
          <w:rFonts w:hint="eastAsia" w:ascii="宋体" w:hAnsi="宋体"/>
          <w:color w:val="auto"/>
          <w:sz w:val="22"/>
          <w:szCs w:val="22"/>
          <w:highlight w:val="none"/>
          <w:u w:val="single"/>
        </w:rPr>
        <w:t>发包人及承包人应按相关规定对发包人提供的工程量清单中的项目和数量进行复核，清单中若有项目缺项和工程量误差的，发包人及承包人可以提出核对申请。发包人及承包人对工程量清单核对提出书面请求时，需同时提供书面核对报告，报告应同时包括核对的要求和内容明细、金额、注明图纸的部位、工程量计算书等内容，并做送达及签收的书面记录。修正计价规则参照合同条款10.4.1款执行。</w:t>
      </w:r>
    </w:p>
    <w:p w14:paraId="45389665">
      <w:pPr>
        <w:spacing w:before="0" w:after="0" w:line="440" w:lineRule="exact"/>
        <w:ind w:firstLine="422"/>
        <w:outlineLvl w:val="9"/>
        <w:rPr>
          <w:rFonts w:ascii="宋体" w:hAnsi="宋体" w:eastAsia="宋体"/>
          <w:color w:val="auto"/>
          <w:sz w:val="22"/>
          <w:szCs w:val="22"/>
          <w:highlight w:val="none"/>
        </w:rPr>
      </w:pPr>
      <w:r>
        <w:rPr>
          <w:rFonts w:hint="eastAsia" w:ascii="宋体" w:hAnsi="宋体" w:eastAsia="宋体"/>
          <w:color w:val="auto"/>
          <w:sz w:val="22"/>
          <w:szCs w:val="22"/>
          <w:highlight w:val="none"/>
        </w:rPr>
        <w:t>2. 发包人</w:t>
      </w:r>
    </w:p>
    <w:p w14:paraId="2FC5C3F6">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2.2 发包人代表</w:t>
      </w:r>
    </w:p>
    <w:p w14:paraId="0EEBA42B">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发包人代表：</w:t>
      </w:r>
    </w:p>
    <w:p w14:paraId="2D05C841">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姓    名：</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签订合同时确定</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560CF370">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身份证号：</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签订合同时确定</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5F99BD37">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职    务：</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签订合同时确定</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493120D5">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联系电话：</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签订合同时确定</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05328061">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电子信箱：</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签订合同时确定</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251C3E91">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通信地址：</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签订合同时确定</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3F013715">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rPr>
        <w:t>发包人对发包人代表的授权范围如下：</w:t>
      </w:r>
      <w:r>
        <w:rPr>
          <w:rFonts w:hint="eastAsia" w:ascii="宋体" w:hAnsi="宋体"/>
          <w:color w:val="auto"/>
          <w:sz w:val="22"/>
          <w:szCs w:val="22"/>
          <w:highlight w:val="none"/>
          <w:u w:val="single"/>
        </w:rPr>
        <w:t>对工程施工进行全过程的进度计划、施工质量、安全生产文明施工等督促工作，对工程款的支付进行审核和签认；工程结算复核签认。</w:t>
      </w:r>
    </w:p>
    <w:p w14:paraId="5B609778">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2.4 施工现场、施工条件和基础资料的提供</w:t>
      </w:r>
    </w:p>
    <w:p w14:paraId="4F7BA400">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2.4.1 提供施工现场</w:t>
      </w:r>
    </w:p>
    <w:p w14:paraId="35E593ED">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关于发包人移交施工现场的期限要求：</w:t>
      </w:r>
      <w:r>
        <w:rPr>
          <w:rFonts w:hint="eastAsia" w:ascii="宋体" w:hAnsi="宋体"/>
          <w:color w:val="auto"/>
          <w:sz w:val="22"/>
          <w:szCs w:val="22"/>
          <w:highlight w:val="none"/>
          <w:u w:val="single"/>
        </w:rPr>
        <w:t>执行通用条款</w:t>
      </w:r>
      <w:r>
        <w:rPr>
          <w:rFonts w:hint="eastAsia" w:ascii="宋体" w:hAnsi="宋体"/>
          <w:color w:val="auto"/>
          <w:sz w:val="22"/>
          <w:szCs w:val="22"/>
          <w:highlight w:val="none"/>
        </w:rPr>
        <w:t>。</w:t>
      </w:r>
    </w:p>
    <w:p w14:paraId="7BDD28CF">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2.4.2 提供施工条件</w:t>
      </w:r>
    </w:p>
    <w:p w14:paraId="19C1D91C">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rPr>
        <w:t>关于发包人应负责提供施工所需要的条件，包括：</w:t>
      </w:r>
    </w:p>
    <w:p w14:paraId="05D593ED">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u w:val="single"/>
        </w:rPr>
        <w:t>(1) 所需供电、供水、电讯线路由承包人自行解决，发包方配合；施工中发生的各项费用、通讯费用由承包方承担。</w:t>
      </w:r>
    </w:p>
    <w:p w14:paraId="1D0491B6">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u w:val="single"/>
        </w:rPr>
        <w:t>(2)承包人负责施工场地周围地下管线和邻近建筑物、构筑物（含文物保护建筑）、古树名木的保护工作，出现情况时，承包人应及时向发包人和有关单位汇报。由承包人负责保护工作，其费用由承包人负责。</w:t>
      </w:r>
    </w:p>
    <w:p w14:paraId="782CF1E5">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2.5 资金来源证明及支付担保</w:t>
      </w:r>
    </w:p>
    <w:p w14:paraId="494E07EA">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发包人提供资金来源证明的期限要求：</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0C347AEF">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发包人是否提供支付担保：</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 xml:space="preserve">  </w:t>
      </w:r>
      <w:r>
        <w:rPr>
          <w:rFonts w:hint="eastAsia" w:ascii="宋体" w:hAnsi="宋体"/>
          <w:color w:val="auto"/>
          <w:sz w:val="22"/>
          <w:szCs w:val="22"/>
          <w:highlight w:val="none"/>
          <w:u w:val="single"/>
        </w:rPr>
        <w:t xml:space="preserve">否   </w:t>
      </w:r>
      <w:r>
        <w:rPr>
          <w:rFonts w:hint="eastAsia" w:ascii="宋体" w:hAnsi="宋体"/>
          <w:color w:val="auto"/>
          <w:sz w:val="22"/>
          <w:szCs w:val="22"/>
          <w:highlight w:val="none"/>
        </w:rPr>
        <w:t>。</w:t>
      </w:r>
    </w:p>
    <w:p w14:paraId="51AB93C2">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rPr>
        <w:t>发包人提供支付担保的形式：</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48569F87">
      <w:pPr>
        <w:spacing w:before="0" w:after="0" w:line="440" w:lineRule="exact"/>
        <w:ind w:firstLine="422"/>
        <w:outlineLvl w:val="9"/>
        <w:rPr>
          <w:rFonts w:ascii="宋体" w:hAnsi="宋体" w:eastAsia="宋体"/>
          <w:color w:val="auto"/>
          <w:sz w:val="22"/>
          <w:szCs w:val="22"/>
          <w:highlight w:val="none"/>
        </w:rPr>
      </w:pPr>
      <w:r>
        <w:rPr>
          <w:rFonts w:hint="eastAsia" w:ascii="宋体" w:hAnsi="宋体" w:eastAsia="宋体"/>
          <w:color w:val="auto"/>
          <w:sz w:val="22"/>
          <w:szCs w:val="22"/>
          <w:highlight w:val="none"/>
        </w:rPr>
        <w:t>3. 承包人</w:t>
      </w:r>
    </w:p>
    <w:p w14:paraId="6B149F01">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3.1 承包人的一般义务</w:t>
      </w:r>
    </w:p>
    <w:p w14:paraId="10DCC141">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（5）承包人提交的竣工资料的内容：</w:t>
      </w:r>
      <w:r>
        <w:rPr>
          <w:rFonts w:hint="eastAsia" w:ascii="宋体" w:hAnsi="宋体"/>
          <w:color w:val="auto"/>
          <w:sz w:val="22"/>
          <w:szCs w:val="22"/>
          <w:highlight w:val="none"/>
          <w:u w:val="single"/>
        </w:rPr>
        <w:t xml:space="preserve">  竣工图及所需技术档案资料、工程竣工报告、竣工验收及质量控制相关记录、施工合同、工程质量保修书等</w:t>
      </w:r>
      <w:r>
        <w:rPr>
          <w:rFonts w:hint="eastAsia" w:ascii="宋体" w:hAnsi="宋体"/>
          <w:color w:val="auto"/>
          <w:sz w:val="22"/>
          <w:szCs w:val="22"/>
          <w:highlight w:val="none"/>
        </w:rPr>
        <w:t>。</w:t>
      </w:r>
    </w:p>
    <w:p w14:paraId="3E18CBC8">
      <w:pPr>
        <w:spacing w:line="440" w:lineRule="exact"/>
        <w:ind w:firstLine="660" w:firstLineChars="300"/>
        <w:jc w:val="left"/>
        <w:outlineLvl w:val="9"/>
        <w:rPr>
          <w:rFonts w:ascii="宋体" w:hAnsi="宋体"/>
          <w:color w:val="auto"/>
          <w:sz w:val="22"/>
          <w:szCs w:val="22"/>
          <w:highlight w:val="none"/>
        </w:rPr>
      </w:pPr>
      <w:r>
        <w:rPr>
          <w:rFonts w:hint="eastAsia" w:ascii="宋体" w:hAnsi="宋体"/>
          <w:color w:val="auto"/>
          <w:sz w:val="22"/>
          <w:szCs w:val="22"/>
          <w:highlight w:val="none"/>
        </w:rPr>
        <w:t>承包人需要提交的竣工资料套数：</w:t>
      </w:r>
      <w:r>
        <w:rPr>
          <w:rFonts w:hint="eastAsia" w:ascii="宋体" w:hAnsi="宋体"/>
          <w:color w:val="auto"/>
          <w:sz w:val="22"/>
          <w:szCs w:val="22"/>
          <w:highlight w:val="none"/>
          <w:u w:val="single"/>
        </w:rPr>
        <w:t>提供6套竣工图及所需技术档案资料6套</w:t>
      </w:r>
      <w:r>
        <w:rPr>
          <w:rFonts w:hint="eastAsia" w:ascii="宋体" w:hAnsi="宋体"/>
          <w:color w:val="auto"/>
          <w:sz w:val="22"/>
          <w:szCs w:val="22"/>
          <w:highlight w:val="none"/>
        </w:rPr>
        <w:t>。</w:t>
      </w:r>
    </w:p>
    <w:p w14:paraId="5FECEE32">
      <w:pPr>
        <w:spacing w:line="440" w:lineRule="exact"/>
        <w:ind w:left="638" w:leftChars="304" w:firstLine="420"/>
        <w:jc w:val="left"/>
        <w:outlineLvl w:val="9"/>
        <w:rPr>
          <w:rFonts w:ascii="宋体" w:hAnsi="宋体"/>
          <w:color w:val="auto"/>
          <w:sz w:val="22"/>
          <w:szCs w:val="22"/>
          <w:highlight w:val="none"/>
        </w:rPr>
      </w:pPr>
      <w:r>
        <w:rPr>
          <w:rFonts w:hint="eastAsia" w:ascii="宋体" w:hAnsi="宋体"/>
          <w:color w:val="auto"/>
          <w:sz w:val="22"/>
          <w:szCs w:val="22"/>
          <w:highlight w:val="none"/>
        </w:rPr>
        <w:t>承包人提交的竣工资料的费用承担：</w:t>
      </w:r>
      <w:r>
        <w:rPr>
          <w:rFonts w:hint="eastAsia" w:ascii="宋体" w:hAnsi="宋体"/>
          <w:color w:val="auto"/>
          <w:sz w:val="22"/>
          <w:szCs w:val="22"/>
          <w:highlight w:val="none"/>
          <w:u w:val="single"/>
        </w:rPr>
        <w:t xml:space="preserve">  由承包人自行承担</w:t>
      </w:r>
      <w:r>
        <w:rPr>
          <w:rFonts w:hint="eastAsia" w:ascii="宋体" w:hAnsi="宋体"/>
          <w:color w:val="auto"/>
          <w:sz w:val="22"/>
          <w:szCs w:val="22"/>
          <w:highlight w:val="none"/>
        </w:rPr>
        <w:t>。</w:t>
      </w:r>
    </w:p>
    <w:p w14:paraId="194D8BC0">
      <w:pPr>
        <w:spacing w:line="440" w:lineRule="exact"/>
        <w:ind w:left="638" w:leftChars="304" w:firstLine="420"/>
        <w:jc w:val="left"/>
        <w:outlineLvl w:val="9"/>
        <w:rPr>
          <w:rFonts w:ascii="宋体" w:hAnsi="宋体"/>
          <w:color w:val="auto"/>
          <w:sz w:val="22"/>
          <w:szCs w:val="22"/>
          <w:highlight w:val="none"/>
        </w:rPr>
      </w:pPr>
      <w:r>
        <w:rPr>
          <w:rFonts w:hint="eastAsia" w:ascii="宋体" w:hAnsi="宋体"/>
          <w:color w:val="auto"/>
          <w:sz w:val="22"/>
          <w:szCs w:val="22"/>
          <w:highlight w:val="none"/>
        </w:rPr>
        <w:t>承包人提交的竣工资料移交时间：</w:t>
      </w:r>
      <w:r>
        <w:rPr>
          <w:rFonts w:hint="eastAsia" w:ascii="宋体" w:hAnsi="宋体"/>
          <w:color w:val="auto"/>
          <w:sz w:val="22"/>
          <w:szCs w:val="22"/>
          <w:highlight w:val="none"/>
          <w:u w:val="single"/>
        </w:rPr>
        <w:t>竣工验收后15天内</w:t>
      </w:r>
      <w:r>
        <w:rPr>
          <w:rFonts w:hint="eastAsia" w:ascii="宋体" w:hAnsi="宋体"/>
          <w:color w:val="auto"/>
          <w:sz w:val="22"/>
          <w:szCs w:val="22"/>
          <w:highlight w:val="none"/>
        </w:rPr>
        <w:t>。</w:t>
      </w:r>
    </w:p>
    <w:p w14:paraId="5ABAD383">
      <w:pPr>
        <w:spacing w:line="440" w:lineRule="exact"/>
        <w:ind w:firstLine="660" w:firstLineChars="300"/>
        <w:jc w:val="left"/>
        <w:outlineLvl w:val="9"/>
        <w:rPr>
          <w:rFonts w:ascii="宋体" w:hAnsi="宋体"/>
          <w:color w:val="auto"/>
          <w:sz w:val="22"/>
          <w:szCs w:val="22"/>
          <w:highlight w:val="none"/>
        </w:rPr>
      </w:pPr>
      <w:r>
        <w:rPr>
          <w:rFonts w:hint="eastAsia" w:ascii="宋体" w:hAnsi="宋体"/>
          <w:color w:val="auto"/>
          <w:sz w:val="22"/>
          <w:szCs w:val="22"/>
          <w:highlight w:val="none"/>
        </w:rPr>
        <w:t>承包人提交的竣工资料形式要求：</w:t>
      </w:r>
      <w:r>
        <w:rPr>
          <w:rFonts w:hint="eastAsia" w:ascii="宋体" w:hAnsi="宋体"/>
          <w:color w:val="auto"/>
          <w:sz w:val="22"/>
          <w:szCs w:val="22"/>
          <w:highlight w:val="none"/>
          <w:u w:val="single"/>
        </w:rPr>
        <w:t>纸质文件及电子文件</w:t>
      </w:r>
      <w:r>
        <w:rPr>
          <w:rFonts w:hint="eastAsia" w:ascii="宋体" w:hAnsi="宋体"/>
          <w:color w:val="auto"/>
          <w:sz w:val="22"/>
          <w:szCs w:val="22"/>
          <w:highlight w:val="none"/>
        </w:rPr>
        <w:t>。</w:t>
      </w:r>
    </w:p>
    <w:p w14:paraId="1B4FF173">
      <w:pPr>
        <w:spacing w:line="440" w:lineRule="exact"/>
        <w:ind w:firstLine="420"/>
        <w:outlineLvl w:val="9"/>
        <w:rPr>
          <w:rFonts w:hint="eastAsia" w:ascii="宋体" w:hAnsi="宋体"/>
          <w:color w:val="auto"/>
          <w:sz w:val="22"/>
          <w:szCs w:val="22"/>
          <w:highlight w:val="none"/>
        </w:rPr>
      </w:pPr>
      <w:r>
        <w:rPr>
          <w:rFonts w:hint="eastAsia" w:ascii="宋体" w:hAnsi="宋体"/>
          <w:color w:val="auto"/>
          <w:sz w:val="22"/>
          <w:szCs w:val="22"/>
          <w:highlight w:val="none"/>
        </w:rPr>
        <w:t>（6）承包人应履行的其他义务：</w:t>
      </w:r>
    </w:p>
    <w:p w14:paraId="7F489B19">
      <w:pPr>
        <w:numPr>
          <w:ilvl w:val="1"/>
          <w:numId w:val="5"/>
        </w:numPr>
        <w:snapToGrid w:val="0"/>
        <w:spacing w:line="440" w:lineRule="exact"/>
        <w:outlineLvl w:val="9"/>
        <w:rPr>
          <w:rFonts w:hint="eastAsia" w:ascii="宋体" w:hAnsi="宋体"/>
          <w:color w:val="auto"/>
          <w:sz w:val="22"/>
          <w:szCs w:val="22"/>
          <w:highlight w:val="none"/>
          <w:u w:val="single"/>
        </w:rPr>
      </w:pPr>
      <w:bookmarkStart w:id="50" w:name="OLE_LINK3"/>
      <w:r>
        <w:rPr>
          <w:rFonts w:hint="eastAsia" w:ascii="宋体" w:hAnsi="宋体"/>
          <w:color w:val="auto"/>
          <w:sz w:val="22"/>
          <w:szCs w:val="22"/>
          <w:highlight w:val="none"/>
          <w:u w:val="single"/>
        </w:rPr>
        <w:t>每月提供实际完成工程量月报表，下月进度计划表，报发包人、监理人。</w:t>
      </w:r>
    </w:p>
    <w:p w14:paraId="451A2886">
      <w:pPr>
        <w:numPr>
          <w:ilvl w:val="1"/>
          <w:numId w:val="5"/>
        </w:numPr>
        <w:snapToGrid w:val="0"/>
        <w:spacing w:line="440" w:lineRule="exact"/>
        <w:outlineLvl w:val="9"/>
        <w:rPr>
          <w:rFonts w:hint="eastAsia" w:ascii="宋体" w:hAnsi="宋体"/>
          <w:color w:val="auto"/>
          <w:sz w:val="22"/>
          <w:szCs w:val="22"/>
          <w:highlight w:val="none"/>
          <w:u w:val="single"/>
        </w:rPr>
      </w:pPr>
      <w:r>
        <w:rPr>
          <w:rFonts w:hint="eastAsia" w:ascii="宋体" w:hAnsi="宋体"/>
          <w:color w:val="auto"/>
          <w:sz w:val="22"/>
          <w:szCs w:val="22"/>
          <w:highlight w:val="none"/>
          <w:u w:val="single"/>
        </w:rPr>
        <w:t>承包人自行办理有关施工场地交通、环卫和施工噪声管理等手续，包括解决施工噪音、物体坠落、材料抛落、建筑垃圾、现场排污等涉及环境保护、卫生、交通、城管等有关部门的问题，费用由承包人负责，发包人给予配合。</w:t>
      </w:r>
    </w:p>
    <w:p w14:paraId="043ACAF5">
      <w:pPr>
        <w:numPr>
          <w:ilvl w:val="1"/>
          <w:numId w:val="5"/>
        </w:numPr>
        <w:snapToGrid w:val="0"/>
        <w:spacing w:line="440" w:lineRule="exact"/>
        <w:outlineLvl w:val="9"/>
        <w:rPr>
          <w:rFonts w:hint="eastAsia" w:ascii="宋体" w:hAnsi="宋体"/>
          <w:color w:val="auto"/>
          <w:sz w:val="22"/>
          <w:szCs w:val="22"/>
          <w:highlight w:val="none"/>
          <w:u w:val="single"/>
        </w:rPr>
      </w:pPr>
      <w:r>
        <w:rPr>
          <w:rFonts w:hint="eastAsia" w:ascii="宋体" w:hAnsi="宋体"/>
          <w:color w:val="auto"/>
          <w:sz w:val="22"/>
          <w:szCs w:val="22"/>
          <w:highlight w:val="none"/>
          <w:u w:val="single"/>
        </w:rPr>
        <w:t>已完工程成品在竣工验收完成前，由承包人明确施工界面、负责相应的保护工作并承担费用。如有损失，由承包人自费负责予以修复。</w:t>
      </w:r>
    </w:p>
    <w:p w14:paraId="29CCD98B">
      <w:pPr>
        <w:numPr>
          <w:ilvl w:val="1"/>
          <w:numId w:val="5"/>
        </w:numPr>
        <w:snapToGrid w:val="0"/>
        <w:spacing w:line="440" w:lineRule="exact"/>
        <w:outlineLvl w:val="9"/>
        <w:rPr>
          <w:rFonts w:ascii="宋体" w:hAnsi="宋体"/>
          <w:color w:val="auto"/>
          <w:sz w:val="22"/>
          <w:szCs w:val="22"/>
          <w:highlight w:val="none"/>
        </w:rPr>
      </w:pPr>
      <w:r>
        <w:rPr>
          <w:rFonts w:hint="eastAsia" w:ascii="宋体" w:hAnsi="宋体"/>
          <w:color w:val="auto"/>
          <w:sz w:val="22"/>
          <w:szCs w:val="22"/>
          <w:highlight w:val="none"/>
          <w:u w:val="single"/>
        </w:rPr>
        <w:t>承包人发现清单漏项或者发包人要求承包人完成工程量清单以外的工作、采购的货物，承包人应按甲方进度安排完成，合同价格按按专用条款中相应的条款进行调整。</w:t>
      </w:r>
    </w:p>
    <w:p w14:paraId="56A7F87C">
      <w:pPr>
        <w:numPr>
          <w:ilvl w:val="1"/>
          <w:numId w:val="5"/>
        </w:numPr>
        <w:snapToGrid w:val="0"/>
        <w:spacing w:line="440" w:lineRule="exact"/>
        <w:outlineLvl w:val="9"/>
        <w:rPr>
          <w:rFonts w:hint="eastAsia" w:ascii="宋体" w:hAnsi="宋体"/>
          <w:color w:val="auto"/>
          <w:sz w:val="22"/>
          <w:szCs w:val="22"/>
          <w:highlight w:val="none"/>
          <w:u w:val="single"/>
        </w:rPr>
      </w:pPr>
      <w:r>
        <w:rPr>
          <w:rFonts w:hint="eastAsia" w:ascii="宋体" w:hAnsi="宋体"/>
          <w:color w:val="auto"/>
          <w:sz w:val="22"/>
          <w:szCs w:val="22"/>
          <w:highlight w:val="none"/>
          <w:u w:val="single"/>
        </w:rPr>
        <w:t>承包人出具的工程进度款发票必须为增值税专用发票。</w:t>
      </w:r>
    </w:p>
    <w:bookmarkEnd w:id="50"/>
    <w:p w14:paraId="071A12F9">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3.2 项目经理</w:t>
      </w:r>
    </w:p>
    <w:p w14:paraId="7D462FC7">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3.2.1 项目经理：</w:t>
      </w:r>
    </w:p>
    <w:p w14:paraId="0295F9BE">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姓    名：</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签订合同时根据磋商响应文件确定</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4D4E4957">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身份证号：</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签订合同时根据磋商响应文件确定</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28B605F7">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建造师执业资格等级：</w:t>
      </w:r>
      <w:r>
        <w:rPr>
          <w:rFonts w:hint="eastAsia" w:ascii="宋体" w:hAnsi="宋体" w:cs="仿宋_GB2312"/>
          <w:color w:val="auto"/>
          <w:sz w:val="22"/>
          <w:szCs w:val="22"/>
          <w:highlight w:val="none"/>
          <w:u w:val="single"/>
        </w:rPr>
        <w:t>签订合同时根据磋商响应文件确定</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1FBFB5E2">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建造师注册证书号：</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签订合同时根据磋商响应文件确定</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03926D45">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建造师执业印章号：</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订合同时根据磋商响应文件确定</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46C12E67">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安全生产考核合格证书号：</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签订合同时</w:t>
      </w:r>
      <w:r>
        <w:rPr>
          <w:rFonts w:hint="eastAsia" w:ascii="宋体" w:hAnsi="宋体" w:cs="仿宋_GB2312"/>
          <w:color w:val="auto"/>
          <w:sz w:val="22"/>
          <w:szCs w:val="22"/>
          <w:highlight w:val="none"/>
          <w:u w:val="single"/>
        </w:rPr>
        <w:t>根据磋商响应文件确定</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2AC7AFBA">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联系电话：</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签订合同时根据磋商响应文件确定</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74596442">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电子信箱：</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签订合同时根据磋商响应文件确定</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5C7C9F98">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通信地址：</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签订合同时根据磋商响应文件确定</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3F9C9759">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承包人对项目经理的授权范围如下：</w:t>
      </w:r>
      <w:r>
        <w:rPr>
          <w:rFonts w:hint="eastAsia" w:ascii="宋体" w:hAnsi="宋体"/>
          <w:color w:val="auto"/>
          <w:sz w:val="22"/>
          <w:szCs w:val="22"/>
          <w:highlight w:val="none"/>
          <w:u w:val="single"/>
        </w:rPr>
        <w:t xml:space="preserve">  签订合同时另行确定      </w:t>
      </w:r>
      <w:r>
        <w:rPr>
          <w:rFonts w:hint="eastAsia" w:ascii="宋体" w:hAnsi="宋体"/>
          <w:color w:val="auto"/>
          <w:sz w:val="22"/>
          <w:szCs w:val="22"/>
          <w:highlight w:val="none"/>
        </w:rPr>
        <w:t>。</w:t>
      </w:r>
    </w:p>
    <w:p w14:paraId="0ADF4292">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关于项目经理每月在施工现场的时间要求：</w:t>
      </w:r>
      <w:r>
        <w:rPr>
          <w:rFonts w:hint="eastAsia" w:ascii="宋体" w:hAnsi="宋体"/>
          <w:color w:val="auto"/>
          <w:sz w:val="22"/>
          <w:szCs w:val="22"/>
          <w:highlight w:val="none"/>
          <w:u w:val="single"/>
        </w:rPr>
        <w:t>项目负责人和技术负责人每月到岗天数均为24天，每缺一天，</w:t>
      </w:r>
      <w:r>
        <w:rPr>
          <w:rFonts w:ascii="宋体" w:hAnsi="宋体"/>
          <w:color w:val="auto"/>
          <w:sz w:val="22"/>
          <w:szCs w:val="22"/>
          <w:highlight w:val="none"/>
          <w:u w:val="single"/>
        </w:rPr>
        <w:t>支付违约金每人</w:t>
      </w:r>
      <w:r>
        <w:rPr>
          <w:rFonts w:hint="eastAsia" w:ascii="宋体" w:hAnsi="宋体"/>
          <w:color w:val="auto"/>
          <w:sz w:val="22"/>
          <w:szCs w:val="22"/>
          <w:highlight w:val="none"/>
          <w:u w:val="single"/>
        </w:rPr>
        <w:t>2000元；每天到岗低于6小时的，视为缺勤；未能参加相关会议的、会议迟到或者未履行责任，承包人向发包人支付500元/人次的违约金。</w:t>
      </w:r>
    </w:p>
    <w:p w14:paraId="6CA475FE">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承包人未提交劳动合同，以及没有为项目经理缴纳社会保险证明的违约责任：</w:t>
      </w:r>
      <w:r>
        <w:rPr>
          <w:rFonts w:hint="eastAsia" w:ascii="宋体" w:hAnsi="宋体"/>
          <w:color w:val="auto"/>
          <w:sz w:val="22"/>
          <w:szCs w:val="22"/>
          <w:highlight w:val="none"/>
          <w:u w:val="single"/>
        </w:rPr>
        <w:t>承包人不提交上述文件的，项目经理无权履行职责，发包人有权要求更换项目经理，由此增加的费用和（或）延误的工期由承包人承担</w:t>
      </w:r>
      <w:r>
        <w:rPr>
          <w:rFonts w:hint="eastAsia" w:ascii="宋体" w:hAnsi="宋体"/>
          <w:color w:val="auto"/>
          <w:sz w:val="22"/>
          <w:szCs w:val="22"/>
          <w:highlight w:val="none"/>
        </w:rPr>
        <w:t>。</w:t>
      </w:r>
    </w:p>
    <w:p w14:paraId="0CED42ED">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rPr>
        <w:t>项目经理未经批准，擅自离开施工现场的违约责任：</w:t>
      </w:r>
      <w:r>
        <w:rPr>
          <w:rFonts w:hint="eastAsia" w:ascii="宋体" w:hAnsi="宋体"/>
          <w:color w:val="auto"/>
          <w:sz w:val="22"/>
          <w:szCs w:val="22"/>
          <w:highlight w:val="none"/>
          <w:u w:val="single"/>
        </w:rPr>
        <w:t>按项目经理未到位处理</w:t>
      </w:r>
      <w:r>
        <w:rPr>
          <w:rFonts w:hint="eastAsia" w:ascii="宋体" w:hAnsi="宋体"/>
          <w:color w:val="auto"/>
          <w:sz w:val="22"/>
          <w:szCs w:val="22"/>
          <w:highlight w:val="none"/>
        </w:rPr>
        <w:t>。</w:t>
      </w:r>
    </w:p>
    <w:p w14:paraId="02AA6535">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3.2.3 承包人擅自更换项目经理的违约责任：</w:t>
      </w:r>
      <w:r>
        <w:rPr>
          <w:rFonts w:hint="eastAsia" w:ascii="宋体" w:hAnsi="宋体"/>
          <w:color w:val="auto"/>
          <w:sz w:val="22"/>
          <w:szCs w:val="22"/>
          <w:highlight w:val="none"/>
          <w:u w:val="single"/>
        </w:rPr>
        <w:t>成交后未经发包人同意，不得擅自更换项目经理，否则按每次支付违约金20000元。</w:t>
      </w:r>
    </w:p>
    <w:p w14:paraId="1672262E">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 xml:space="preserve">    3.2.4 承包人无正当理由拒绝更换项目经理的违约责任：</w:t>
      </w:r>
      <w:r>
        <w:rPr>
          <w:rFonts w:hint="eastAsia" w:ascii="宋体" w:hAnsi="宋体"/>
          <w:color w:val="auto"/>
          <w:sz w:val="22"/>
          <w:szCs w:val="22"/>
          <w:highlight w:val="none"/>
          <w:u w:val="single"/>
        </w:rPr>
        <w:t>发包人有权要求撤换工作不负责、管理不力、不到位、贻误工作的项目经理，或者造成严重的安全事故和工程质量事故的项目经理，更换的项目经理到位时间为发包人发出书面通知后15天内，逾期视为未到位，并按项目经理到位率处罚处理</w:t>
      </w:r>
      <w:r>
        <w:rPr>
          <w:rFonts w:hint="eastAsia" w:ascii="宋体" w:hAnsi="宋体"/>
          <w:color w:val="auto"/>
          <w:sz w:val="22"/>
          <w:szCs w:val="22"/>
          <w:highlight w:val="none"/>
        </w:rPr>
        <w:t>。</w:t>
      </w:r>
    </w:p>
    <w:p w14:paraId="6976A14B">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3.3 承包人人员</w:t>
      </w:r>
    </w:p>
    <w:p w14:paraId="76496438">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3.3.1 承包人提交项目管理机构及施工现场管理人员安排报告的期限：</w:t>
      </w:r>
      <w:r>
        <w:rPr>
          <w:rFonts w:hint="eastAsia" w:ascii="宋体" w:hAnsi="宋体"/>
          <w:color w:val="auto"/>
          <w:sz w:val="22"/>
          <w:szCs w:val="22"/>
          <w:highlight w:val="none"/>
          <w:u w:val="single"/>
        </w:rPr>
        <w:t>接到开工通知后7天内</w:t>
      </w:r>
      <w:r>
        <w:rPr>
          <w:rFonts w:hint="eastAsia" w:ascii="宋体" w:hAnsi="宋体"/>
          <w:color w:val="auto"/>
          <w:sz w:val="22"/>
          <w:szCs w:val="22"/>
          <w:highlight w:val="none"/>
        </w:rPr>
        <w:t>。</w:t>
      </w:r>
    </w:p>
    <w:p w14:paraId="3E235BEF">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3.3.3 承包人无正当理由拒绝撤换主要施工管理人员的违约责任：</w:t>
      </w:r>
      <w:r>
        <w:rPr>
          <w:rFonts w:hint="eastAsia" w:ascii="宋体" w:hAnsi="宋体"/>
          <w:color w:val="auto"/>
          <w:sz w:val="22"/>
          <w:szCs w:val="22"/>
          <w:highlight w:val="none"/>
          <w:u w:val="single"/>
        </w:rPr>
        <w:t>更换人员应在规定的时间内更换并到岗，逾期视为应到人员未到位按项目班组人员到位率的担保处理办法处理</w:t>
      </w:r>
      <w:r>
        <w:rPr>
          <w:rFonts w:hint="eastAsia" w:ascii="宋体" w:hAnsi="宋体"/>
          <w:color w:val="auto"/>
          <w:sz w:val="22"/>
          <w:szCs w:val="22"/>
          <w:highlight w:val="none"/>
        </w:rPr>
        <w:t>。</w:t>
      </w:r>
    </w:p>
    <w:p w14:paraId="01EF7626">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rPr>
        <w:t>3.3.4 承包人主要施工管理人员离开施工现场的批准要求：</w:t>
      </w:r>
      <w:r>
        <w:rPr>
          <w:rFonts w:hint="eastAsia" w:ascii="宋体" w:hAnsi="宋体"/>
          <w:color w:val="auto"/>
          <w:sz w:val="22"/>
          <w:szCs w:val="22"/>
          <w:highlight w:val="none"/>
          <w:u w:val="single"/>
        </w:rPr>
        <w:t>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和发包人的同意</w:t>
      </w:r>
      <w:r>
        <w:rPr>
          <w:rFonts w:hint="eastAsia" w:ascii="宋体" w:hAnsi="宋体"/>
          <w:color w:val="auto"/>
          <w:sz w:val="22"/>
          <w:szCs w:val="22"/>
          <w:highlight w:val="none"/>
        </w:rPr>
        <w:t>。</w:t>
      </w:r>
    </w:p>
    <w:p w14:paraId="5089BA98">
      <w:pPr>
        <w:spacing w:line="440" w:lineRule="exact"/>
        <w:ind w:firstLine="420"/>
        <w:outlineLvl w:val="9"/>
        <w:rPr>
          <w:rFonts w:hint="eastAsia" w:ascii="宋体" w:hAnsi="宋体"/>
          <w:color w:val="auto"/>
          <w:sz w:val="22"/>
          <w:szCs w:val="22"/>
          <w:highlight w:val="none"/>
        </w:rPr>
      </w:pPr>
      <w:r>
        <w:rPr>
          <w:rFonts w:hint="eastAsia" w:ascii="宋体" w:hAnsi="宋体"/>
          <w:color w:val="auto"/>
          <w:sz w:val="22"/>
          <w:szCs w:val="22"/>
          <w:highlight w:val="none"/>
        </w:rPr>
        <w:t>3.3.5承包人擅自更换主要施工管理人员的违约责任：</w:t>
      </w:r>
      <w:r>
        <w:rPr>
          <w:rFonts w:hint="eastAsia" w:ascii="宋体" w:hAnsi="宋体"/>
          <w:color w:val="auto"/>
          <w:sz w:val="22"/>
          <w:szCs w:val="22"/>
          <w:highlight w:val="none"/>
          <w:u w:val="single"/>
        </w:rPr>
        <w:t>成交后未经发包人同意，不得擅自更换主要管理人员，否则</w:t>
      </w:r>
      <w:r>
        <w:rPr>
          <w:rFonts w:ascii="宋体" w:hAnsi="宋体"/>
          <w:color w:val="auto"/>
          <w:sz w:val="22"/>
          <w:szCs w:val="22"/>
          <w:highlight w:val="none"/>
          <w:u w:val="single"/>
        </w:rPr>
        <w:t>支付违约金10000</w:t>
      </w:r>
      <w:r>
        <w:rPr>
          <w:rFonts w:hint="eastAsia" w:ascii="宋体" w:hAnsi="宋体"/>
          <w:color w:val="auto"/>
          <w:sz w:val="22"/>
          <w:szCs w:val="22"/>
          <w:highlight w:val="none"/>
          <w:u w:val="single"/>
        </w:rPr>
        <w:t>元/人。其他管理人员到位率为100%，每少一天按1000元/人支付违约金；项目负责人、项目技术负责人以监理现场签到管理为准。技术负责人每月到岗天数均应达到24天以上，每少一天按2000元/天支付违约金，项目负责人和项目技术负责人严禁同时缺勤或休假，如果同时缺勤或休假一天按每人5000元支付违约金。</w:t>
      </w:r>
    </w:p>
    <w:p w14:paraId="5BCC331F">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承包人主要施工管理人员擅自离开施工现场的违约责任：</w:t>
      </w:r>
      <w:r>
        <w:rPr>
          <w:rFonts w:hint="eastAsia" w:ascii="宋体" w:hAnsi="宋体"/>
          <w:color w:val="auto"/>
          <w:sz w:val="22"/>
          <w:szCs w:val="22"/>
          <w:highlight w:val="none"/>
          <w:u w:val="single"/>
        </w:rPr>
        <w:t>按不到位违约处理</w:t>
      </w:r>
      <w:r>
        <w:rPr>
          <w:rFonts w:hint="eastAsia" w:ascii="宋体" w:hAnsi="宋体"/>
          <w:color w:val="auto"/>
          <w:sz w:val="22"/>
          <w:szCs w:val="22"/>
          <w:highlight w:val="none"/>
        </w:rPr>
        <w:t>。</w:t>
      </w:r>
    </w:p>
    <w:p w14:paraId="7B7F59C1">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3.5 分包</w:t>
      </w:r>
    </w:p>
    <w:p w14:paraId="549C407F">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3.5.1 分包的一般约定</w:t>
      </w:r>
    </w:p>
    <w:p w14:paraId="143BF438">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禁止分包的工程包括：</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执行通用条款</w:t>
      </w:r>
      <w:r>
        <w:rPr>
          <w:rFonts w:hint="eastAsia" w:ascii="宋体" w:hAnsi="宋体"/>
          <w:color w:val="auto"/>
          <w:sz w:val="22"/>
          <w:szCs w:val="22"/>
          <w:highlight w:val="none"/>
        </w:rPr>
        <w:t>。</w:t>
      </w:r>
    </w:p>
    <w:p w14:paraId="1E9211BF">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主体结构、关键性工作的范围：</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执行通用条款</w:t>
      </w:r>
      <w:r>
        <w:rPr>
          <w:rFonts w:hint="eastAsia" w:ascii="宋体" w:hAnsi="宋体"/>
          <w:color w:val="auto"/>
          <w:sz w:val="22"/>
          <w:szCs w:val="22"/>
          <w:highlight w:val="none"/>
        </w:rPr>
        <w:t>。</w:t>
      </w:r>
    </w:p>
    <w:p w14:paraId="0ED73175">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 xml:space="preserve">    3.5.2分包的确定</w:t>
      </w:r>
    </w:p>
    <w:p w14:paraId="23490DAE">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rPr>
        <w:t>允许分包的专业工程包括：</w:t>
      </w:r>
      <w:r>
        <w:rPr>
          <w:rFonts w:hint="eastAsia" w:ascii="宋体" w:hAnsi="宋体" w:cs="MingLiU_HKSCS"/>
          <w:color w:val="auto"/>
          <w:sz w:val="22"/>
          <w:szCs w:val="22"/>
          <w:highlight w:val="none"/>
          <w:u w:val="single"/>
        </w:rPr>
        <w:t xml:space="preserve"> </w:t>
      </w:r>
      <w:r>
        <w:rPr>
          <w:rFonts w:hint="eastAsia" w:ascii="宋体" w:hAnsi="宋体" w:cs="宋体"/>
          <w:color w:val="auto"/>
          <w:sz w:val="22"/>
          <w:szCs w:val="22"/>
          <w:highlight w:val="none"/>
          <w:u w:val="single"/>
        </w:rPr>
        <w:t xml:space="preserve">执行通用条款  </w:t>
      </w:r>
      <w:r>
        <w:rPr>
          <w:rFonts w:hint="eastAsia" w:ascii="宋体" w:hAnsi="宋体"/>
          <w:color w:val="auto"/>
          <w:sz w:val="22"/>
          <w:szCs w:val="22"/>
          <w:highlight w:val="none"/>
        </w:rPr>
        <w:t>。</w:t>
      </w:r>
    </w:p>
    <w:p w14:paraId="6C121CA3">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rPr>
        <w:t>其他关于分包的约定：</w:t>
      </w:r>
      <w:r>
        <w:rPr>
          <w:rFonts w:hint="eastAsia" w:ascii="宋体" w:hAnsi="宋体"/>
          <w:color w:val="auto"/>
          <w:sz w:val="22"/>
          <w:szCs w:val="22"/>
          <w:highlight w:val="none"/>
          <w:u w:val="single"/>
        </w:rPr>
        <w:t xml:space="preserve"> </w:t>
      </w:r>
      <w:r>
        <w:rPr>
          <w:rFonts w:hint="eastAsia" w:ascii="宋体" w:hAnsi="宋体" w:cs="宋体"/>
          <w:color w:val="auto"/>
          <w:sz w:val="22"/>
          <w:szCs w:val="22"/>
          <w:highlight w:val="none"/>
          <w:u w:val="single"/>
        </w:rPr>
        <w:t>执行通用条款</w:t>
      </w:r>
      <w:r>
        <w:rPr>
          <w:rFonts w:hint="eastAsia" w:ascii="宋体" w:hAnsi="宋体"/>
          <w:color w:val="auto"/>
          <w:sz w:val="22"/>
          <w:szCs w:val="22"/>
          <w:highlight w:val="none"/>
        </w:rPr>
        <w:t>。</w:t>
      </w:r>
    </w:p>
    <w:p w14:paraId="62427315">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3.5.4 分包合同价款</w:t>
      </w:r>
    </w:p>
    <w:p w14:paraId="767A3D6F">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关于分包合同价款支付的约定：</w:t>
      </w:r>
      <w:r>
        <w:rPr>
          <w:rFonts w:hint="eastAsia" w:ascii="宋体" w:hAnsi="宋体"/>
          <w:color w:val="auto"/>
          <w:sz w:val="22"/>
          <w:szCs w:val="22"/>
          <w:highlight w:val="none"/>
          <w:u w:val="single"/>
        </w:rPr>
        <w:t>按通用合同条款第3.5.4款执行</w:t>
      </w:r>
      <w:r>
        <w:rPr>
          <w:rFonts w:hint="eastAsia" w:ascii="宋体" w:hAnsi="宋体"/>
          <w:color w:val="auto"/>
          <w:sz w:val="22"/>
          <w:szCs w:val="22"/>
          <w:highlight w:val="none"/>
        </w:rPr>
        <w:t>。</w:t>
      </w:r>
    </w:p>
    <w:p w14:paraId="61726CAB">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3.6 工程照管与成品、半成品保护</w:t>
      </w:r>
    </w:p>
    <w:p w14:paraId="0FD4D799">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rPr>
        <w:t>承包人负责照管工程及工程相关的材料、工程设备的起始时间：</w:t>
      </w:r>
      <w:r>
        <w:rPr>
          <w:rFonts w:hint="eastAsia" w:ascii="宋体" w:hAnsi="宋体"/>
          <w:color w:val="auto"/>
          <w:sz w:val="22"/>
          <w:szCs w:val="22"/>
          <w:highlight w:val="none"/>
          <w:u w:val="single"/>
        </w:rPr>
        <w:t>按通用合同条款第3.6款执行</w:t>
      </w:r>
      <w:r>
        <w:rPr>
          <w:rFonts w:hint="eastAsia" w:ascii="宋体" w:hAnsi="宋体"/>
          <w:color w:val="auto"/>
          <w:sz w:val="22"/>
          <w:szCs w:val="22"/>
          <w:highlight w:val="none"/>
        </w:rPr>
        <w:t>。</w:t>
      </w:r>
    </w:p>
    <w:p w14:paraId="066B27CB">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3.7 履约担保</w:t>
      </w:r>
    </w:p>
    <w:p w14:paraId="0EC28A5C">
      <w:pPr>
        <w:spacing w:line="440" w:lineRule="exact"/>
        <w:ind w:firstLine="420"/>
        <w:jc w:val="left"/>
        <w:outlineLvl w:val="9"/>
        <w:rPr>
          <w:rFonts w:hint="eastAsia" w:ascii="宋体" w:hAnsi="宋体"/>
          <w:color w:val="auto"/>
          <w:sz w:val="22"/>
          <w:szCs w:val="22"/>
          <w:highlight w:val="none"/>
          <w:u w:val="single"/>
        </w:rPr>
      </w:pPr>
      <w:r>
        <w:rPr>
          <w:rFonts w:hint="eastAsia" w:ascii="宋体" w:hAnsi="宋体"/>
          <w:color w:val="auto"/>
          <w:sz w:val="22"/>
          <w:szCs w:val="22"/>
          <w:highlight w:val="none"/>
        </w:rPr>
        <w:t>承包人是否提供履约担保：</w:t>
      </w:r>
      <w:r>
        <w:rPr>
          <w:rFonts w:hint="eastAsia" w:ascii="宋体" w:hAnsi="宋体"/>
          <w:color w:val="auto"/>
          <w:sz w:val="22"/>
          <w:szCs w:val="22"/>
          <w:highlight w:val="none"/>
          <w:u w:val="single"/>
        </w:rPr>
        <w:t>是</w:t>
      </w:r>
      <w:r>
        <w:rPr>
          <w:rFonts w:ascii="宋体" w:hAnsi="宋体"/>
          <w:color w:val="auto"/>
          <w:sz w:val="22"/>
          <w:szCs w:val="22"/>
          <w:highlight w:val="none"/>
          <w:u w:val="single"/>
        </w:rPr>
        <w:t>。</w:t>
      </w:r>
    </w:p>
    <w:p w14:paraId="58F14591">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承包人提供履约担保的形式、金额及期限的：</w:t>
      </w:r>
      <w:r>
        <w:rPr>
          <w:rFonts w:hint="eastAsia" w:ascii="宋体" w:hAnsi="宋体"/>
          <w:color w:val="auto"/>
          <w:sz w:val="22"/>
          <w:szCs w:val="22"/>
          <w:highlight w:val="none"/>
          <w:u w:val="single"/>
        </w:rPr>
        <w:t>银行转账或保函（银行、保险公司出具），工程合同价款的</w:t>
      </w:r>
      <w:r>
        <w:rPr>
          <w:rFonts w:hint="eastAsia" w:ascii="宋体" w:hAnsi="宋体"/>
          <w:color w:val="auto"/>
          <w:sz w:val="22"/>
          <w:szCs w:val="22"/>
          <w:highlight w:val="none"/>
          <w:u w:val="single"/>
          <w:lang w:val="en-US" w:eastAsia="zh-CN"/>
        </w:rPr>
        <w:t>1</w:t>
      </w:r>
      <w:r>
        <w:rPr>
          <w:rFonts w:hint="eastAsia" w:ascii="宋体" w:hAnsi="宋体"/>
          <w:color w:val="auto"/>
          <w:sz w:val="22"/>
          <w:szCs w:val="22"/>
          <w:highlight w:val="none"/>
          <w:u w:val="single"/>
        </w:rPr>
        <w:t>%，在签订施工合同时提交，</w:t>
      </w:r>
      <w:r>
        <w:rPr>
          <w:rFonts w:ascii="宋体" w:hAnsi="宋体"/>
          <w:color w:val="auto"/>
          <w:sz w:val="22"/>
          <w:szCs w:val="22"/>
          <w:highlight w:val="none"/>
          <w:u w:val="single"/>
        </w:rPr>
        <w:t>期限自提供担保之日起</w:t>
      </w:r>
      <w:r>
        <w:rPr>
          <w:rFonts w:hint="eastAsia" w:ascii="宋体" w:hAnsi="宋体"/>
          <w:color w:val="auto"/>
          <w:sz w:val="22"/>
          <w:szCs w:val="22"/>
          <w:highlight w:val="none"/>
          <w:u w:val="single"/>
        </w:rPr>
        <w:t>至工程竣工验收合格后28内结清，不计利息。</w:t>
      </w:r>
    </w:p>
    <w:p w14:paraId="387AA592">
      <w:pPr>
        <w:spacing w:before="0" w:after="0" w:line="440" w:lineRule="exact"/>
        <w:ind w:firstLine="422"/>
        <w:outlineLvl w:val="9"/>
        <w:rPr>
          <w:rFonts w:ascii="宋体" w:hAnsi="宋体" w:eastAsia="宋体"/>
          <w:color w:val="auto"/>
          <w:sz w:val="22"/>
          <w:szCs w:val="22"/>
          <w:highlight w:val="none"/>
        </w:rPr>
      </w:pPr>
      <w:r>
        <w:rPr>
          <w:rFonts w:hint="eastAsia" w:ascii="宋体" w:hAnsi="宋体" w:eastAsia="宋体"/>
          <w:color w:val="auto"/>
          <w:sz w:val="22"/>
          <w:szCs w:val="22"/>
          <w:highlight w:val="none"/>
        </w:rPr>
        <w:t>4. 监理人</w:t>
      </w:r>
    </w:p>
    <w:p w14:paraId="7FB99761">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4.1监理人的一般规定</w:t>
      </w:r>
    </w:p>
    <w:p w14:paraId="22307A9B">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关于监理人的监理内容：</w:t>
      </w:r>
      <w:r>
        <w:rPr>
          <w:rFonts w:hint="eastAsia" w:ascii="宋体" w:hAnsi="宋体"/>
          <w:color w:val="auto"/>
          <w:sz w:val="22"/>
          <w:szCs w:val="22"/>
          <w:highlight w:val="none"/>
          <w:u w:val="single"/>
        </w:rPr>
        <w:t>按《建设工程监理规范</w:t>
      </w:r>
      <w:r>
        <w:rPr>
          <w:rFonts w:ascii="宋体" w:hAnsi="宋体"/>
          <w:color w:val="auto"/>
          <w:sz w:val="22"/>
          <w:szCs w:val="22"/>
          <w:highlight w:val="none"/>
          <w:u w:val="single"/>
        </w:rPr>
        <w:t>GB50319-2013</w:t>
      </w:r>
      <w:r>
        <w:rPr>
          <w:rFonts w:hint="eastAsia" w:ascii="宋体" w:hAnsi="宋体"/>
          <w:color w:val="auto"/>
          <w:sz w:val="22"/>
          <w:szCs w:val="22"/>
          <w:highlight w:val="none"/>
          <w:u w:val="single"/>
        </w:rPr>
        <w:t>》规定的工程质量监督、进度控制、安全管理、核实工程量工程款等工作</w:t>
      </w:r>
      <w:r>
        <w:rPr>
          <w:rFonts w:hint="eastAsia" w:ascii="宋体" w:hAnsi="宋体"/>
          <w:color w:val="auto"/>
          <w:sz w:val="22"/>
          <w:szCs w:val="22"/>
          <w:highlight w:val="none"/>
        </w:rPr>
        <w:t>。</w:t>
      </w:r>
    </w:p>
    <w:p w14:paraId="48B4B9B3">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关于监理人的监理权限：</w:t>
      </w:r>
      <w:r>
        <w:rPr>
          <w:rFonts w:hint="eastAsia" w:ascii="宋体" w:hAnsi="宋体"/>
          <w:color w:val="auto"/>
          <w:sz w:val="22"/>
          <w:szCs w:val="22"/>
          <w:highlight w:val="none"/>
          <w:u w:val="single"/>
        </w:rPr>
        <w:t>执行《建设工程监理规范GB50319-2013》规定的总监理工程师应履行的职责，全过程监理工程质量、进度、安全文明施工及工程造价控制（详见监理合同）。</w:t>
      </w:r>
    </w:p>
    <w:p w14:paraId="0349D2AE">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取得发包人批准才能行使的职权：</w:t>
      </w:r>
      <w:r>
        <w:rPr>
          <w:rFonts w:hint="eastAsia" w:ascii="宋体" w:hAnsi="宋体"/>
          <w:color w:val="auto"/>
          <w:sz w:val="22"/>
          <w:szCs w:val="22"/>
          <w:highlight w:val="none"/>
          <w:u w:val="single"/>
        </w:rPr>
        <w:t>工程变更联系单、停工报告、索赔事项等（详见监理合同）。</w:t>
      </w:r>
    </w:p>
    <w:p w14:paraId="2A877838">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关于监理人在施工现场的办公场所、生活场所的提供和费用承担的约定：</w:t>
      </w:r>
      <w:r>
        <w:rPr>
          <w:rFonts w:hint="eastAsia" w:ascii="宋体" w:hAnsi="宋体"/>
          <w:color w:val="auto"/>
          <w:sz w:val="22"/>
          <w:szCs w:val="22"/>
          <w:highlight w:val="none"/>
          <w:u w:val="single"/>
        </w:rPr>
        <w:t xml:space="preserve">  签订合同时确定  </w:t>
      </w:r>
      <w:r>
        <w:rPr>
          <w:rFonts w:hint="eastAsia" w:ascii="宋体" w:hAnsi="宋体"/>
          <w:color w:val="auto"/>
          <w:sz w:val="22"/>
          <w:szCs w:val="22"/>
          <w:highlight w:val="none"/>
        </w:rPr>
        <w:t>。</w:t>
      </w:r>
    </w:p>
    <w:p w14:paraId="11C0E584">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4.2 监理人员</w:t>
      </w:r>
    </w:p>
    <w:p w14:paraId="307990F4">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总监理工程师：</w:t>
      </w:r>
    </w:p>
    <w:p w14:paraId="4027C5D2">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姓    名：</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u w:val="single"/>
        </w:rPr>
        <w:t>签订合同时确定</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1A73134A">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职    务：</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u w:val="single"/>
        </w:rPr>
        <w:t>签订合同时确定</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0856163F">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监理工程师执业资格证书号：</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u w:val="single"/>
        </w:rPr>
        <w:t>签订合同时确定</w:t>
      </w:r>
      <w:r>
        <w:rPr>
          <w:rFonts w:hint="eastAsia" w:ascii="宋体" w:hAnsi="宋体" w:cs="仿宋_GB2312"/>
          <w:color w:val="auto"/>
          <w:sz w:val="22"/>
          <w:szCs w:val="22"/>
          <w:highlight w:val="none"/>
          <w:u w:val="single"/>
        </w:rPr>
        <w:t xml:space="preserve"> </w:t>
      </w:r>
      <w:r>
        <w:rPr>
          <w:rFonts w:hint="eastAsia" w:ascii="宋体" w:hAnsi="宋体"/>
          <w:color w:val="auto"/>
          <w:sz w:val="22"/>
          <w:szCs w:val="22"/>
          <w:highlight w:val="none"/>
        </w:rPr>
        <w:t>；</w:t>
      </w:r>
    </w:p>
    <w:p w14:paraId="6A773DFB">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联系电话：</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u w:val="single"/>
        </w:rPr>
        <w:t>签订合同时确定</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4B0F67B2">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电子信箱：</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u w:val="single"/>
        </w:rPr>
        <w:t>签订合同时确定</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14BF7603">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通信地址：</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u w:val="single"/>
        </w:rPr>
        <w:t>签订合同时确定</w:t>
      </w:r>
      <w:r>
        <w:rPr>
          <w:rFonts w:hint="eastAsia" w:ascii="宋体" w:hAnsi="宋体" w:cs="MingLiU_HKSCS"/>
          <w:color w:val="auto"/>
          <w:sz w:val="22"/>
          <w:szCs w:val="22"/>
          <w:highlight w:val="none"/>
          <w:u w:val="single"/>
        </w:rPr>
        <w:t xml:space="preserve"> </w:t>
      </w:r>
      <w:r>
        <w:rPr>
          <w:rFonts w:hint="eastAsia" w:ascii="宋体" w:hAnsi="宋体"/>
          <w:color w:val="auto"/>
          <w:sz w:val="22"/>
          <w:szCs w:val="22"/>
          <w:highlight w:val="none"/>
        </w:rPr>
        <w:t>；</w:t>
      </w:r>
    </w:p>
    <w:p w14:paraId="1855431D">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关于监理人的其他约定：</w:t>
      </w:r>
      <w:r>
        <w:rPr>
          <w:rFonts w:hint="eastAsia" w:ascii="宋体" w:hAnsi="宋体"/>
          <w:color w:val="auto"/>
          <w:sz w:val="22"/>
          <w:szCs w:val="22"/>
          <w:highlight w:val="none"/>
          <w:u w:val="single"/>
        </w:rPr>
        <w:t xml:space="preserve">  签订合同时确定 </w:t>
      </w:r>
      <w:r>
        <w:rPr>
          <w:rFonts w:hint="eastAsia" w:ascii="宋体" w:hAnsi="宋体"/>
          <w:color w:val="auto"/>
          <w:sz w:val="22"/>
          <w:szCs w:val="22"/>
          <w:highlight w:val="none"/>
        </w:rPr>
        <w:t>。</w:t>
      </w:r>
    </w:p>
    <w:p w14:paraId="55F81D38">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4.4 商定或确定</w:t>
      </w:r>
    </w:p>
    <w:p w14:paraId="64E8B627">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在发包人和承包人不能通过协商达成一致意见时，发包人授权监理人对以下事项进行确定：</w:t>
      </w:r>
    </w:p>
    <w:p w14:paraId="0EAD4ED3">
      <w:pPr>
        <w:autoSpaceDE w:val="0"/>
        <w:autoSpaceDN w:val="0"/>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u w:val="single"/>
        </w:rPr>
        <w:t xml:space="preserve">      另行确定                  </w:t>
      </w:r>
      <w:r>
        <w:rPr>
          <w:rFonts w:hint="eastAsia" w:ascii="宋体" w:hAnsi="宋体"/>
          <w:color w:val="auto"/>
          <w:sz w:val="22"/>
          <w:szCs w:val="22"/>
          <w:highlight w:val="none"/>
        </w:rPr>
        <w:t>；</w:t>
      </w:r>
    </w:p>
    <w:p w14:paraId="7924D1C4">
      <w:pPr>
        <w:spacing w:before="0" w:after="0" w:line="440" w:lineRule="exact"/>
        <w:ind w:firstLine="422"/>
        <w:outlineLvl w:val="9"/>
        <w:rPr>
          <w:rFonts w:ascii="宋体" w:hAnsi="宋体" w:eastAsia="宋体"/>
          <w:color w:val="auto"/>
          <w:sz w:val="22"/>
          <w:szCs w:val="22"/>
          <w:highlight w:val="none"/>
        </w:rPr>
      </w:pPr>
      <w:r>
        <w:rPr>
          <w:rFonts w:hint="eastAsia" w:ascii="宋体" w:hAnsi="宋体" w:eastAsia="宋体"/>
          <w:color w:val="auto"/>
          <w:sz w:val="22"/>
          <w:szCs w:val="22"/>
          <w:highlight w:val="none"/>
        </w:rPr>
        <w:t>5. 工程质量</w:t>
      </w:r>
    </w:p>
    <w:p w14:paraId="7A87EDD5">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5.1 质量要求</w:t>
      </w:r>
    </w:p>
    <w:p w14:paraId="578E0515">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5.1.1 特殊质量标准和要求：</w:t>
      </w:r>
      <w:r>
        <w:rPr>
          <w:rFonts w:hint="eastAsia" w:ascii="宋体" w:hAnsi="宋体"/>
          <w:color w:val="auto"/>
          <w:sz w:val="22"/>
          <w:szCs w:val="22"/>
          <w:highlight w:val="none"/>
          <w:u w:val="single"/>
        </w:rPr>
        <w:t xml:space="preserve">              /               </w:t>
      </w:r>
    </w:p>
    <w:p w14:paraId="6C983B53">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关于工程奖项的约定：</w:t>
      </w:r>
      <w:r>
        <w:rPr>
          <w:rFonts w:hint="eastAsia" w:ascii="宋体" w:hAnsi="宋体"/>
          <w:color w:val="auto"/>
          <w:sz w:val="22"/>
          <w:szCs w:val="22"/>
          <w:highlight w:val="none"/>
          <w:u w:val="single"/>
        </w:rPr>
        <w:t xml:space="preserve">       /         </w:t>
      </w:r>
    </w:p>
    <w:p w14:paraId="564BB048">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5.3 隐蔽工程检查</w:t>
      </w:r>
    </w:p>
    <w:p w14:paraId="6E037DF3">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5.3.2承包人提前通知监理人隐蔽工程检查的期限的约定：</w:t>
      </w:r>
      <w:r>
        <w:rPr>
          <w:rFonts w:hint="eastAsia" w:ascii="宋体" w:hAnsi="宋体"/>
          <w:color w:val="auto"/>
          <w:sz w:val="22"/>
          <w:szCs w:val="22"/>
          <w:highlight w:val="none"/>
          <w:u w:val="single"/>
        </w:rPr>
        <w:t>按通用合同条款第5.3.2款执行。</w:t>
      </w:r>
    </w:p>
    <w:p w14:paraId="436D8F36">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监理人不能按时进行检查时，应提前</w:t>
      </w:r>
      <w:r>
        <w:rPr>
          <w:rFonts w:hint="eastAsia" w:ascii="宋体" w:hAnsi="宋体"/>
          <w:color w:val="auto"/>
          <w:sz w:val="22"/>
          <w:szCs w:val="22"/>
          <w:highlight w:val="none"/>
          <w:u w:val="single"/>
        </w:rPr>
        <w:t>24</w:t>
      </w:r>
      <w:r>
        <w:rPr>
          <w:rFonts w:hint="eastAsia" w:ascii="宋体" w:hAnsi="宋体"/>
          <w:color w:val="auto"/>
          <w:sz w:val="22"/>
          <w:szCs w:val="22"/>
          <w:highlight w:val="none"/>
        </w:rPr>
        <w:t>小时提交书面延期要求。</w:t>
      </w:r>
    </w:p>
    <w:p w14:paraId="1880D49C">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关于延期最长不得超过：</w:t>
      </w:r>
      <w:r>
        <w:rPr>
          <w:rFonts w:hint="eastAsia" w:ascii="宋体" w:hAnsi="宋体"/>
          <w:color w:val="auto"/>
          <w:sz w:val="22"/>
          <w:szCs w:val="22"/>
          <w:highlight w:val="none"/>
          <w:u w:val="single"/>
        </w:rPr>
        <w:t>48</w:t>
      </w:r>
      <w:r>
        <w:rPr>
          <w:rFonts w:hint="eastAsia" w:ascii="宋体" w:hAnsi="宋体"/>
          <w:color w:val="auto"/>
          <w:sz w:val="22"/>
          <w:szCs w:val="22"/>
          <w:highlight w:val="none"/>
        </w:rPr>
        <w:t>小时。</w:t>
      </w:r>
    </w:p>
    <w:p w14:paraId="6C5DFEDB">
      <w:pPr>
        <w:spacing w:before="0" w:after="0" w:line="440" w:lineRule="exact"/>
        <w:ind w:firstLine="422"/>
        <w:outlineLvl w:val="9"/>
        <w:rPr>
          <w:rFonts w:ascii="宋体" w:hAnsi="宋体" w:eastAsia="宋体"/>
          <w:color w:val="auto"/>
          <w:sz w:val="22"/>
          <w:szCs w:val="22"/>
          <w:highlight w:val="none"/>
        </w:rPr>
      </w:pPr>
      <w:r>
        <w:rPr>
          <w:rFonts w:hint="eastAsia" w:ascii="宋体" w:hAnsi="宋体" w:eastAsia="宋体"/>
          <w:color w:val="auto"/>
          <w:sz w:val="22"/>
          <w:szCs w:val="22"/>
          <w:highlight w:val="none"/>
        </w:rPr>
        <w:t>6. 安全文明施工与环境保护</w:t>
      </w:r>
    </w:p>
    <w:p w14:paraId="14DCB0AD">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6.1安全文明施工</w:t>
      </w:r>
    </w:p>
    <w:p w14:paraId="662731F5">
      <w:pPr>
        <w:spacing w:line="440" w:lineRule="exact"/>
        <w:ind w:firstLine="420"/>
        <w:jc w:val="left"/>
        <w:outlineLvl w:val="9"/>
        <w:rPr>
          <w:rFonts w:hint="eastAsia" w:ascii="宋体" w:hAnsi="宋体"/>
          <w:color w:val="auto"/>
          <w:sz w:val="22"/>
          <w:szCs w:val="22"/>
          <w:highlight w:val="none"/>
          <w:u w:val="single"/>
        </w:rPr>
      </w:pPr>
      <w:r>
        <w:rPr>
          <w:rFonts w:hint="eastAsia" w:ascii="宋体" w:hAnsi="宋体"/>
          <w:color w:val="auto"/>
          <w:sz w:val="22"/>
          <w:szCs w:val="22"/>
          <w:highlight w:val="none"/>
        </w:rPr>
        <w:t>6.</w:t>
      </w:r>
      <w:r>
        <w:rPr>
          <w:rFonts w:hint="eastAsia" w:ascii="宋体" w:hAnsi="宋体"/>
          <w:color w:val="auto"/>
          <w:sz w:val="22"/>
          <w:szCs w:val="22"/>
          <w:highlight w:val="none"/>
          <w:u w:val="single"/>
        </w:rPr>
        <w:t>1.1 项目安全生产的达标目标及相应事项的约定：</w:t>
      </w:r>
    </w:p>
    <w:p w14:paraId="45ED850A">
      <w:pPr>
        <w:spacing w:line="440" w:lineRule="exact"/>
        <w:ind w:firstLine="444" w:firstLineChars="202"/>
        <w:outlineLvl w:val="9"/>
        <w:rPr>
          <w:rFonts w:hint="eastAsia" w:ascii="宋体" w:hAnsi="宋体"/>
          <w:color w:val="auto"/>
          <w:sz w:val="22"/>
          <w:szCs w:val="22"/>
          <w:highlight w:val="none"/>
          <w:u w:val="single"/>
        </w:rPr>
      </w:pPr>
      <w:r>
        <w:rPr>
          <w:rFonts w:hint="eastAsia" w:ascii="宋体" w:hAnsi="宋体"/>
          <w:color w:val="auto"/>
          <w:sz w:val="22"/>
          <w:szCs w:val="22"/>
          <w:highlight w:val="none"/>
          <w:u w:val="single"/>
        </w:rPr>
        <w:t>1）安全生产费用包括建设工程安全施工费(含扬尘防治增加费)、文明施工费、环境保护费、临时设施费、创标化工地增加费等，具体详见温住建发[2013]190号文件附件安全生产费用项目一览表。</w:t>
      </w:r>
    </w:p>
    <w:p w14:paraId="1F63D4DF">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u w:val="single"/>
        </w:rPr>
        <w:t>2）承包人在施工期间，应严格执行本市有关建设工程安全、文明施工的规定，由于管理不善引起政府有关部门罚款或责令停工整改等，其发生的费用或导致的损失应由承包人自行承担，在</w:t>
      </w:r>
      <w:r>
        <w:rPr>
          <w:rFonts w:hint="eastAsia" w:ascii="宋体" w:hAnsi="宋体"/>
          <w:color w:val="auto"/>
          <w:sz w:val="22"/>
          <w:szCs w:val="22"/>
          <w:highlight w:val="none"/>
          <w:u w:val="single"/>
          <w:lang w:eastAsia="zh-CN"/>
        </w:rPr>
        <w:t>承包人</w:t>
      </w:r>
      <w:r>
        <w:rPr>
          <w:rFonts w:hint="eastAsia" w:ascii="宋体" w:hAnsi="宋体"/>
          <w:color w:val="auto"/>
          <w:sz w:val="22"/>
          <w:szCs w:val="22"/>
          <w:highlight w:val="none"/>
          <w:u w:val="single"/>
        </w:rPr>
        <w:t>整改前发包人保留因此而缓付工程进度款的权利，且发包人保留因此而缓付工程进度款的权利。</w:t>
      </w:r>
    </w:p>
    <w:p w14:paraId="634B43C7">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6.1.4 关于治安保卫的特别约定：</w:t>
      </w:r>
      <w:r>
        <w:rPr>
          <w:rFonts w:hint="eastAsia" w:ascii="宋体" w:hAnsi="宋体"/>
          <w:color w:val="auto"/>
          <w:sz w:val="22"/>
          <w:szCs w:val="22"/>
          <w:highlight w:val="none"/>
          <w:u w:val="single"/>
        </w:rPr>
        <w:t>由承包人负责。</w:t>
      </w:r>
    </w:p>
    <w:p w14:paraId="596B7D16">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关于编制施工场地治安管理计划的约定：</w:t>
      </w:r>
      <w:r>
        <w:rPr>
          <w:rFonts w:hint="eastAsia" w:ascii="宋体" w:hAnsi="宋体"/>
          <w:color w:val="auto"/>
          <w:sz w:val="22"/>
          <w:szCs w:val="22"/>
          <w:highlight w:val="none"/>
          <w:u w:val="single"/>
        </w:rPr>
        <w:t>按通用合同条款第6.1.4款执行。</w:t>
      </w:r>
    </w:p>
    <w:p w14:paraId="30A4564D">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6.1.5 文明施工</w:t>
      </w:r>
    </w:p>
    <w:p w14:paraId="6F4609C1">
      <w:pPr>
        <w:spacing w:line="440" w:lineRule="exact"/>
        <w:ind w:firstLine="420"/>
        <w:jc w:val="left"/>
        <w:outlineLvl w:val="9"/>
        <w:rPr>
          <w:rFonts w:hint="eastAsia" w:ascii="宋体" w:hAnsi="宋体"/>
          <w:color w:val="auto"/>
          <w:sz w:val="22"/>
          <w:szCs w:val="22"/>
          <w:highlight w:val="none"/>
          <w:u w:val="single"/>
        </w:rPr>
      </w:pPr>
      <w:r>
        <w:rPr>
          <w:rFonts w:hint="eastAsia" w:ascii="宋体" w:hAnsi="宋体"/>
          <w:color w:val="auto"/>
          <w:sz w:val="22"/>
          <w:szCs w:val="22"/>
          <w:highlight w:val="none"/>
        </w:rPr>
        <w:t>合同当事人对文明施工的要求：</w:t>
      </w:r>
      <w:r>
        <w:rPr>
          <w:rFonts w:hint="eastAsia" w:ascii="宋体" w:hAnsi="宋体"/>
          <w:color w:val="auto"/>
          <w:sz w:val="22"/>
          <w:szCs w:val="22"/>
          <w:highlight w:val="none"/>
          <w:u w:val="single"/>
        </w:rPr>
        <w:t>按有关规定做好文明施工，保证施工场地清洁，符合环境卫生管理要求，承担自身原因造成的损失和罚款。</w:t>
      </w:r>
    </w:p>
    <w:p w14:paraId="0C000A8B">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6.1.6 关于安全文明施工费支付比例和支付期限的约定：</w:t>
      </w:r>
    </w:p>
    <w:p w14:paraId="62C7F81C">
      <w:pPr>
        <w:spacing w:line="440" w:lineRule="exact"/>
        <w:ind w:firstLine="420"/>
        <w:jc w:val="left"/>
        <w:outlineLvl w:val="9"/>
        <w:rPr>
          <w:rFonts w:ascii="宋体" w:hAnsi="宋体"/>
          <w:color w:val="auto"/>
          <w:sz w:val="22"/>
          <w:szCs w:val="22"/>
          <w:highlight w:val="none"/>
          <w:u w:val="single"/>
        </w:rPr>
      </w:pPr>
      <w:r>
        <w:rPr>
          <w:rFonts w:hint="eastAsia" w:ascii="宋体" w:hAnsi="宋体" w:cs="Arial"/>
          <w:color w:val="auto"/>
          <w:sz w:val="22"/>
          <w:szCs w:val="22"/>
          <w:highlight w:val="none"/>
          <w:u w:val="single"/>
        </w:rPr>
        <w:t>按温住建发[2016]87号《转发关于建筑业实施营改增后浙江省建设工程计价规则、施工取费费率及工程材料价格信息发布调整的通知》、温住建发</w:t>
      </w:r>
      <w:r>
        <w:rPr>
          <w:rFonts w:ascii="宋体" w:hAnsi="宋体" w:cs="Arial"/>
          <w:color w:val="auto"/>
          <w:sz w:val="22"/>
          <w:szCs w:val="22"/>
          <w:highlight w:val="none"/>
          <w:u w:val="single"/>
        </w:rPr>
        <w:t>[2012]190</w:t>
      </w:r>
      <w:r>
        <w:rPr>
          <w:rFonts w:hint="eastAsia" w:ascii="宋体" w:hAnsi="宋体" w:cs="Arial"/>
          <w:color w:val="auto"/>
          <w:sz w:val="22"/>
          <w:szCs w:val="22"/>
          <w:highlight w:val="none"/>
          <w:u w:val="single"/>
        </w:rPr>
        <w:t>号《关于转发</w:t>
      </w:r>
      <w:r>
        <w:rPr>
          <w:rFonts w:ascii="宋体" w:hAnsi="宋体" w:cs="Arial"/>
          <w:color w:val="auto"/>
          <w:sz w:val="22"/>
          <w:szCs w:val="22"/>
          <w:highlight w:val="none"/>
          <w:u w:val="single"/>
        </w:rPr>
        <w:t>&lt;</w:t>
      </w:r>
      <w:r>
        <w:rPr>
          <w:rFonts w:hint="eastAsia" w:ascii="宋体" w:hAnsi="宋体" w:cs="Arial"/>
          <w:color w:val="auto"/>
          <w:sz w:val="22"/>
          <w:szCs w:val="22"/>
          <w:highlight w:val="none"/>
          <w:u w:val="single"/>
        </w:rPr>
        <w:t>企业安全生产费用提取和使用管理办法</w:t>
      </w:r>
      <w:r>
        <w:rPr>
          <w:rFonts w:ascii="宋体" w:hAnsi="宋体" w:cs="Arial"/>
          <w:color w:val="auto"/>
          <w:sz w:val="22"/>
          <w:szCs w:val="22"/>
          <w:highlight w:val="none"/>
          <w:u w:val="single"/>
        </w:rPr>
        <w:t>&gt;</w:t>
      </w:r>
      <w:r>
        <w:rPr>
          <w:rFonts w:hint="eastAsia" w:ascii="宋体" w:hAnsi="宋体" w:cs="Arial"/>
          <w:color w:val="auto"/>
          <w:sz w:val="22"/>
          <w:szCs w:val="22"/>
          <w:highlight w:val="none"/>
          <w:u w:val="single"/>
        </w:rPr>
        <w:t>的通知》文件，合同签订之日起五日内将安全生产费用全额划拨至专项资金账户，并在工程项目开工前向</w:t>
      </w:r>
      <w:r>
        <w:rPr>
          <w:rFonts w:hint="eastAsia" w:ascii="宋体" w:hAnsi="宋体" w:cs="Arial"/>
          <w:color w:val="auto"/>
          <w:sz w:val="22"/>
          <w:szCs w:val="22"/>
          <w:highlight w:val="none"/>
          <w:u w:val="single"/>
          <w:lang w:eastAsia="zh-CN"/>
        </w:rPr>
        <w:t>承包人</w:t>
      </w:r>
      <w:r>
        <w:rPr>
          <w:rFonts w:hint="eastAsia" w:ascii="宋体" w:hAnsi="宋体" w:cs="Arial"/>
          <w:color w:val="auto"/>
          <w:sz w:val="22"/>
          <w:szCs w:val="22"/>
          <w:highlight w:val="none"/>
          <w:u w:val="single"/>
        </w:rPr>
        <w:t>预付不低于安全生产费用总额的50%，剩余部分按照施工进度支付。</w:t>
      </w:r>
    </w:p>
    <w:p w14:paraId="70C297B1">
      <w:pPr>
        <w:spacing w:before="0" w:after="0" w:line="440" w:lineRule="exact"/>
        <w:ind w:firstLine="422"/>
        <w:outlineLvl w:val="9"/>
        <w:rPr>
          <w:rFonts w:ascii="宋体" w:hAnsi="宋体" w:eastAsia="宋体"/>
          <w:color w:val="auto"/>
          <w:sz w:val="22"/>
          <w:szCs w:val="22"/>
          <w:highlight w:val="none"/>
        </w:rPr>
      </w:pPr>
      <w:r>
        <w:rPr>
          <w:rFonts w:hint="eastAsia" w:ascii="宋体" w:hAnsi="宋体" w:eastAsia="宋体"/>
          <w:color w:val="auto"/>
          <w:sz w:val="22"/>
          <w:szCs w:val="22"/>
          <w:highlight w:val="none"/>
        </w:rPr>
        <w:t>7. 工期和进度</w:t>
      </w:r>
    </w:p>
    <w:p w14:paraId="524E0028">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7.1 施工组织设计</w:t>
      </w:r>
    </w:p>
    <w:p w14:paraId="3D2EC402">
      <w:pPr>
        <w:autoSpaceDE w:val="0"/>
        <w:autoSpaceDN w:val="0"/>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7.1.1 合同当事人约定的施工组织设计应包括的其他内容：</w:t>
      </w:r>
      <w:r>
        <w:rPr>
          <w:rFonts w:hint="eastAsia" w:ascii="宋体" w:hAnsi="宋体"/>
          <w:color w:val="auto"/>
          <w:sz w:val="22"/>
          <w:szCs w:val="22"/>
          <w:highlight w:val="none"/>
          <w:u w:val="single"/>
        </w:rPr>
        <w:t xml:space="preserve">      /       </w:t>
      </w:r>
    </w:p>
    <w:p w14:paraId="618B6AB9">
      <w:pPr>
        <w:autoSpaceDE w:val="0"/>
        <w:autoSpaceDN w:val="0"/>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7.1.2 施工组织设计的提交和修改</w:t>
      </w:r>
    </w:p>
    <w:p w14:paraId="10E9411E">
      <w:pPr>
        <w:autoSpaceDE w:val="0"/>
        <w:autoSpaceDN w:val="0"/>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承包人提交详细施工组织设计的期限的约定：</w:t>
      </w:r>
      <w:r>
        <w:rPr>
          <w:rFonts w:hint="eastAsia" w:ascii="宋体" w:hAnsi="宋体"/>
          <w:color w:val="auto"/>
          <w:sz w:val="22"/>
          <w:szCs w:val="22"/>
          <w:highlight w:val="none"/>
          <w:u w:val="single"/>
        </w:rPr>
        <w:t>不得晚于开工日期前7天。</w:t>
      </w:r>
    </w:p>
    <w:p w14:paraId="3D542246">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发包人和监理人在收到详细的施工组织设计后确认或提出修改意见的期限：</w:t>
      </w:r>
      <w:r>
        <w:rPr>
          <w:rFonts w:hint="eastAsia" w:ascii="宋体" w:hAnsi="宋体"/>
          <w:color w:val="auto"/>
          <w:sz w:val="22"/>
          <w:szCs w:val="22"/>
          <w:highlight w:val="none"/>
          <w:u w:val="single"/>
        </w:rPr>
        <w:t>监理人收到施工组织设计后7天内</w:t>
      </w:r>
      <w:r>
        <w:rPr>
          <w:rFonts w:hint="eastAsia" w:ascii="宋体" w:hAnsi="宋体"/>
          <w:color w:val="auto"/>
          <w:sz w:val="22"/>
          <w:szCs w:val="22"/>
          <w:highlight w:val="none"/>
        </w:rPr>
        <w:t>。</w:t>
      </w:r>
    </w:p>
    <w:p w14:paraId="7C5B4CC9">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7.2 施工进度计划</w:t>
      </w:r>
    </w:p>
    <w:p w14:paraId="0406F0C2">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7.2.2 施工进度计划的修订</w:t>
      </w:r>
    </w:p>
    <w:p w14:paraId="1B347E3D">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发包人和监理人在收到修订的施工进度计划后确认或提出修改意见的期限：</w:t>
      </w:r>
      <w:r>
        <w:rPr>
          <w:rFonts w:hint="eastAsia" w:ascii="宋体" w:hAnsi="宋体"/>
          <w:color w:val="auto"/>
          <w:sz w:val="22"/>
          <w:szCs w:val="22"/>
          <w:highlight w:val="none"/>
          <w:u w:val="single"/>
        </w:rPr>
        <w:t>在收到修订的施工进度计划后7天内</w:t>
      </w:r>
      <w:r>
        <w:rPr>
          <w:rFonts w:hint="eastAsia" w:ascii="宋体" w:hAnsi="宋体"/>
          <w:color w:val="auto"/>
          <w:sz w:val="22"/>
          <w:szCs w:val="22"/>
          <w:highlight w:val="none"/>
        </w:rPr>
        <w:t>。</w:t>
      </w:r>
    </w:p>
    <w:p w14:paraId="4FE51C41">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7.3 开工</w:t>
      </w:r>
    </w:p>
    <w:p w14:paraId="18B3EE93">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7.3.1 开工准备</w:t>
      </w:r>
    </w:p>
    <w:p w14:paraId="6F169A19">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关于承包人提交工程开工报审表的期限：</w:t>
      </w:r>
      <w:r>
        <w:rPr>
          <w:rFonts w:hint="eastAsia" w:ascii="宋体" w:hAnsi="宋体"/>
          <w:color w:val="auto"/>
          <w:sz w:val="22"/>
          <w:szCs w:val="22"/>
          <w:highlight w:val="none"/>
          <w:u w:val="single"/>
        </w:rPr>
        <w:t>不得晚于开工日期前7天。</w:t>
      </w:r>
    </w:p>
    <w:p w14:paraId="0A42722E">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关于发包人应完成的其他开工准备工作及期限：</w:t>
      </w:r>
      <w:r>
        <w:rPr>
          <w:rFonts w:hint="eastAsia" w:ascii="宋体" w:hAnsi="宋体"/>
          <w:color w:val="auto"/>
          <w:sz w:val="22"/>
          <w:szCs w:val="22"/>
          <w:highlight w:val="none"/>
          <w:u w:val="single"/>
        </w:rPr>
        <w:t>发包人应按照法律规定获得工程施工所需的许可。</w:t>
      </w:r>
    </w:p>
    <w:p w14:paraId="026D11EC">
      <w:pPr>
        <w:spacing w:line="440" w:lineRule="exact"/>
        <w:ind w:firstLine="550" w:firstLineChars="250"/>
        <w:jc w:val="left"/>
        <w:outlineLvl w:val="9"/>
        <w:rPr>
          <w:rFonts w:ascii="宋体" w:hAnsi="宋体"/>
          <w:color w:val="auto"/>
          <w:sz w:val="22"/>
          <w:szCs w:val="22"/>
          <w:highlight w:val="none"/>
          <w:u w:val="single"/>
        </w:rPr>
      </w:pPr>
      <w:r>
        <w:rPr>
          <w:rFonts w:hint="eastAsia" w:ascii="宋体" w:hAnsi="宋体"/>
          <w:color w:val="auto"/>
          <w:sz w:val="22"/>
          <w:szCs w:val="22"/>
          <w:highlight w:val="none"/>
        </w:rPr>
        <w:t>关于承包人应完成的其他开工准备工作及期限：</w:t>
      </w:r>
      <w:r>
        <w:rPr>
          <w:rFonts w:hint="eastAsia" w:ascii="宋体" w:hAnsi="宋体"/>
          <w:color w:val="auto"/>
          <w:sz w:val="22"/>
          <w:szCs w:val="22"/>
          <w:highlight w:val="none"/>
          <w:u w:val="single"/>
        </w:rPr>
        <w:t xml:space="preserve">  执行通用条款   </w:t>
      </w:r>
      <w:r>
        <w:rPr>
          <w:rFonts w:hint="eastAsia" w:ascii="宋体" w:hAnsi="宋体"/>
          <w:color w:val="auto"/>
          <w:sz w:val="22"/>
          <w:szCs w:val="22"/>
          <w:highlight w:val="none"/>
        </w:rPr>
        <w:t>。</w:t>
      </w:r>
    </w:p>
    <w:p w14:paraId="10DBABF6">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7.3.2开工通知</w:t>
      </w:r>
    </w:p>
    <w:p w14:paraId="1DFC9C49">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因发包人原因造成监理人未能在计划开工日期之日起</w:t>
      </w:r>
      <w:r>
        <w:rPr>
          <w:rFonts w:hint="eastAsia" w:ascii="宋体" w:hAnsi="宋体"/>
          <w:color w:val="auto"/>
          <w:sz w:val="22"/>
          <w:szCs w:val="22"/>
          <w:highlight w:val="none"/>
          <w:u w:val="single"/>
        </w:rPr>
        <w:t>90</w:t>
      </w:r>
      <w:r>
        <w:rPr>
          <w:rFonts w:hint="eastAsia" w:ascii="宋体" w:hAnsi="宋体"/>
          <w:color w:val="auto"/>
          <w:sz w:val="22"/>
          <w:szCs w:val="22"/>
          <w:highlight w:val="none"/>
        </w:rPr>
        <w:t>天内发出开工通知的，承包人有权提出价格调整要求，或者解除合同。</w:t>
      </w:r>
    </w:p>
    <w:p w14:paraId="6DFF205B">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7.4 测量放线</w:t>
      </w:r>
    </w:p>
    <w:p w14:paraId="1D4D928E">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7.4.1发包人通过监理人向承包人提供测量基准点、基准线和水准点及其书面资料的期限：</w:t>
      </w:r>
      <w:r>
        <w:rPr>
          <w:rFonts w:hint="eastAsia" w:ascii="宋体" w:hAnsi="宋体"/>
          <w:color w:val="auto"/>
          <w:sz w:val="22"/>
          <w:szCs w:val="22"/>
          <w:highlight w:val="none"/>
          <w:u w:val="single"/>
        </w:rPr>
        <w:t>开工日期前7天</w:t>
      </w:r>
      <w:r>
        <w:rPr>
          <w:rFonts w:hint="eastAsia" w:ascii="宋体" w:hAnsi="宋体"/>
          <w:color w:val="auto"/>
          <w:sz w:val="22"/>
          <w:szCs w:val="22"/>
          <w:highlight w:val="none"/>
        </w:rPr>
        <w:t>。</w:t>
      </w:r>
    </w:p>
    <w:p w14:paraId="6EA29928">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7.5 工期延误</w:t>
      </w:r>
    </w:p>
    <w:p w14:paraId="77546872">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7.5.1 因发包人原因导致工期延误</w:t>
      </w:r>
    </w:p>
    <w:p w14:paraId="093D03F8">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（7）因发包人原因导致工期延误的其他情形：</w:t>
      </w:r>
      <w:r>
        <w:rPr>
          <w:rFonts w:hint="eastAsia" w:ascii="宋体" w:hAnsi="宋体"/>
          <w:color w:val="auto"/>
          <w:sz w:val="22"/>
          <w:szCs w:val="22"/>
          <w:highlight w:val="none"/>
          <w:u w:val="single"/>
        </w:rPr>
        <w:t>按通用合同条款第7.5.1款执行。</w:t>
      </w:r>
    </w:p>
    <w:p w14:paraId="0696604D">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7.5.2 因承包人原因导致工期延误</w:t>
      </w:r>
    </w:p>
    <w:p w14:paraId="1B7C59CC">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因承包人原因造成工期延误，逾期竣工违约金的计算方法为：</w:t>
      </w:r>
      <w:r>
        <w:rPr>
          <w:rFonts w:hint="eastAsia" w:ascii="宋体" w:hAnsi="宋体"/>
          <w:color w:val="auto"/>
          <w:sz w:val="22"/>
          <w:szCs w:val="22"/>
          <w:highlight w:val="none"/>
          <w:u w:val="single"/>
        </w:rPr>
        <w:t>：因承包人原因不能按协议书中约定的竣工日期或工程师同意顺延的工期按时竣工的责任，每延期1天，支付违约金人民币3000元，尾数不足1天的按1天计算。</w:t>
      </w:r>
    </w:p>
    <w:p w14:paraId="0E66FEBD">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因承包人原因造成工期延误，逾期竣工违约金的上限：</w:t>
      </w:r>
      <w:r>
        <w:rPr>
          <w:rFonts w:hint="eastAsia" w:ascii="宋体" w:hAnsi="宋体"/>
          <w:color w:val="auto"/>
          <w:sz w:val="22"/>
          <w:szCs w:val="22"/>
          <w:highlight w:val="none"/>
          <w:u w:val="single"/>
        </w:rPr>
        <w:t>合同总价的3%，一旦达到最高限额，发包人有权终止合同。</w:t>
      </w:r>
    </w:p>
    <w:p w14:paraId="1F7B55D1">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7.6 不利物质条件</w:t>
      </w:r>
    </w:p>
    <w:p w14:paraId="747F1295">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不利物质条件的其他情形和有关约定：</w:t>
      </w:r>
      <w:r>
        <w:rPr>
          <w:rFonts w:hint="eastAsia" w:ascii="宋体" w:hAnsi="宋体"/>
          <w:color w:val="auto"/>
          <w:sz w:val="22"/>
          <w:szCs w:val="22"/>
          <w:highlight w:val="none"/>
          <w:u w:val="single"/>
        </w:rPr>
        <w:t xml:space="preserve">    无            </w:t>
      </w:r>
      <w:r>
        <w:rPr>
          <w:rFonts w:hint="eastAsia" w:ascii="宋体" w:hAnsi="宋体"/>
          <w:color w:val="auto"/>
          <w:sz w:val="22"/>
          <w:szCs w:val="22"/>
          <w:highlight w:val="none"/>
        </w:rPr>
        <w:t>。</w:t>
      </w:r>
    </w:p>
    <w:p w14:paraId="5A0534FB">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7.7异常恶劣的气候条件</w:t>
      </w:r>
    </w:p>
    <w:p w14:paraId="2F06E73E">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发包人和承包人同意以下情形视为异常恶劣的气候条件：</w:t>
      </w:r>
    </w:p>
    <w:p w14:paraId="464575C6">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w:t>
      </w:r>
      <w:r>
        <w:rPr>
          <w:rFonts w:hint="eastAsia" w:ascii="宋体" w:hAnsi="宋体"/>
          <w:color w:val="auto"/>
          <w:sz w:val="22"/>
          <w:szCs w:val="22"/>
          <w:highlight w:val="none"/>
          <w:u w:val="single"/>
        </w:rPr>
        <w:t>温州气象台发布的以下天气预警信号，其他不计：台风预警黄色及以上、暴雨预警橙色及以上、暴雪预警橙色及以上、大风预警橙色及以上、雷电预警橙色及以上、高温预警橙色及以上，同时以上预警信号需结合实际天气情况确定</w:t>
      </w:r>
      <w:r>
        <w:rPr>
          <w:rFonts w:hint="eastAsia" w:ascii="宋体" w:hAnsi="宋体"/>
          <w:color w:val="auto"/>
          <w:sz w:val="22"/>
          <w:szCs w:val="22"/>
          <w:highlight w:val="none"/>
        </w:rPr>
        <w:t>；</w:t>
      </w:r>
    </w:p>
    <w:p w14:paraId="26251731">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（2）</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596CD838">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（3）</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48D0FF83">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7.9 提前竣工的奖励</w:t>
      </w:r>
    </w:p>
    <w:p w14:paraId="7A89C336">
      <w:pPr>
        <w:spacing w:line="440" w:lineRule="exact"/>
        <w:ind w:firstLine="444" w:firstLineChars="202"/>
        <w:outlineLvl w:val="9"/>
        <w:rPr>
          <w:rFonts w:hint="eastAsia" w:ascii="宋体" w:hAnsi="宋体"/>
          <w:color w:val="auto"/>
          <w:sz w:val="22"/>
          <w:szCs w:val="22"/>
          <w:highlight w:val="none"/>
        </w:rPr>
      </w:pPr>
      <w:r>
        <w:rPr>
          <w:rFonts w:hint="eastAsia" w:ascii="宋体" w:hAnsi="宋体"/>
          <w:color w:val="auto"/>
          <w:sz w:val="22"/>
          <w:szCs w:val="22"/>
          <w:highlight w:val="none"/>
        </w:rPr>
        <w:t>7.9.2提前竣工的奖励：</w:t>
      </w:r>
      <w:r>
        <w:rPr>
          <w:rFonts w:hint="eastAsia" w:ascii="宋体" w:hAnsi="宋体"/>
          <w:color w:val="auto"/>
          <w:sz w:val="22"/>
          <w:szCs w:val="22"/>
          <w:highlight w:val="none"/>
          <w:u w:val="single"/>
        </w:rPr>
        <w:t xml:space="preserve">      不奖励    </w:t>
      </w:r>
      <w:r>
        <w:rPr>
          <w:rFonts w:hint="eastAsia" w:ascii="宋体" w:hAnsi="宋体"/>
          <w:color w:val="auto"/>
          <w:sz w:val="22"/>
          <w:szCs w:val="22"/>
          <w:highlight w:val="none"/>
        </w:rPr>
        <w:t>。</w:t>
      </w:r>
    </w:p>
    <w:p w14:paraId="7598E328">
      <w:pPr>
        <w:widowControl/>
        <w:numPr>
          <w:ilvl w:val="0"/>
          <w:numId w:val="6"/>
        </w:numPr>
        <w:tabs>
          <w:tab w:val="left" w:pos="360"/>
        </w:tabs>
        <w:spacing w:before="0" w:after="0" w:line="440" w:lineRule="exact"/>
        <w:outlineLvl w:val="9"/>
        <w:rPr>
          <w:rFonts w:hint="eastAsia" w:ascii="宋体" w:hAnsi="宋体" w:eastAsia="宋体"/>
          <w:color w:val="auto"/>
          <w:sz w:val="22"/>
          <w:szCs w:val="22"/>
          <w:highlight w:val="none"/>
        </w:rPr>
      </w:pPr>
      <w:r>
        <w:rPr>
          <w:rFonts w:hint="eastAsia" w:ascii="宋体" w:hAnsi="宋体" w:eastAsia="宋体"/>
          <w:color w:val="auto"/>
          <w:sz w:val="22"/>
          <w:szCs w:val="22"/>
          <w:highlight w:val="none"/>
        </w:rPr>
        <w:t>材料与设备</w:t>
      </w:r>
    </w:p>
    <w:p w14:paraId="75198024">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8.4材料与工程设备的保管与使用</w:t>
      </w:r>
    </w:p>
    <w:p w14:paraId="43EA504E">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rPr>
        <w:t>8.4.1发包人供应的材料设备的保管费用的承担：</w:t>
      </w:r>
      <w:r>
        <w:rPr>
          <w:rFonts w:hint="eastAsia" w:ascii="宋体" w:hAnsi="宋体"/>
          <w:color w:val="auto"/>
          <w:sz w:val="22"/>
          <w:szCs w:val="22"/>
          <w:highlight w:val="none"/>
          <w:u w:val="single"/>
        </w:rPr>
        <w:t>由承包人妥善保管及承担费用。</w:t>
      </w:r>
    </w:p>
    <w:p w14:paraId="72CC3F83">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8.6 样品</w:t>
      </w:r>
    </w:p>
    <w:p w14:paraId="1BBE0BA3">
      <w:pPr>
        <w:autoSpaceDE w:val="0"/>
        <w:autoSpaceDN w:val="0"/>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8.6.1样品的报送与封存</w:t>
      </w:r>
    </w:p>
    <w:p w14:paraId="1939A9BF">
      <w:pPr>
        <w:autoSpaceDE w:val="0"/>
        <w:autoSpaceDN w:val="0"/>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需要承包人报送样品的材料或工程设备，样品的种类、名称、规格、数量要求：</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428739C6">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8.8 施工设备和临时设施</w:t>
      </w:r>
    </w:p>
    <w:p w14:paraId="44A25F69">
      <w:pPr>
        <w:autoSpaceDE w:val="0"/>
        <w:autoSpaceDN w:val="0"/>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8.8.1 承包人提供的施工设备和临时设施</w:t>
      </w:r>
    </w:p>
    <w:p w14:paraId="69F879CF">
      <w:pPr>
        <w:autoSpaceDE w:val="0"/>
        <w:autoSpaceDN w:val="0"/>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关于修建临时设施费用承担的约定：</w:t>
      </w:r>
      <w:r>
        <w:rPr>
          <w:rFonts w:hint="eastAsia" w:ascii="宋体" w:hAnsi="宋体"/>
          <w:color w:val="auto"/>
          <w:sz w:val="22"/>
          <w:szCs w:val="22"/>
          <w:highlight w:val="none"/>
          <w:u w:val="single"/>
        </w:rPr>
        <w:t>按通用合同条款第8.8.1款执行。</w:t>
      </w:r>
    </w:p>
    <w:p w14:paraId="4A075B60">
      <w:pPr>
        <w:spacing w:before="0" w:after="0" w:line="440" w:lineRule="exact"/>
        <w:ind w:firstLine="422"/>
        <w:outlineLvl w:val="9"/>
        <w:rPr>
          <w:rFonts w:ascii="宋体" w:hAnsi="宋体" w:eastAsia="宋体"/>
          <w:color w:val="auto"/>
          <w:sz w:val="22"/>
          <w:szCs w:val="22"/>
          <w:highlight w:val="none"/>
        </w:rPr>
      </w:pPr>
      <w:r>
        <w:rPr>
          <w:rFonts w:hint="eastAsia" w:ascii="宋体" w:hAnsi="宋体" w:eastAsia="宋体"/>
          <w:color w:val="auto"/>
          <w:sz w:val="22"/>
          <w:szCs w:val="22"/>
          <w:highlight w:val="none"/>
        </w:rPr>
        <w:t>9. 试验与检验</w:t>
      </w:r>
    </w:p>
    <w:p w14:paraId="2C241D55">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9.1试验设备与试验人员</w:t>
      </w:r>
    </w:p>
    <w:p w14:paraId="55E47A0A">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9.1.2 试验设备</w:t>
      </w:r>
    </w:p>
    <w:p w14:paraId="448D7D14">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施工现场需要配置的试验场所：</w:t>
      </w:r>
      <w:r>
        <w:rPr>
          <w:rFonts w:hint="eastAsia" w:ascii="宋体" w:hAnsi="宋体"/>
          <w:color w:val="auto"/>
          <w:sz w:val="22"/>
          <w:szCs w:val="22"/>
          <w:highlight w:val="none"/>
          <w:u w:val="single"/>
        </w:rPr>
        <w:t xml:space="preserve">  承包人解决                 </w:t>
      </w:r>
      <w:r>
        <w:rPr>
          <w:rFonts w:hint="eastAsia" w:ascii="宋体" w:hAnsi="宋体"/>
          <w:color w:val="auto"/>
          <w:sz w:val="22"/>
          <w:szCs w:val="22"/>
          <w:highlight w:val="none"/>
        </w:rPr>
        <w:t xml:space="preserve">。 </w:t>
      </w:r>
    </w:p>
    <w:p w14:paraId="0C2B215E">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施工现场需要配备的试验设备：</w:t>
      </w:r>
      <w:r>
        <w:rPr>
          <w:rFonts w:hint="eastAsia" w:ascii="宋体" w:hAnsi="宋体"/>
          <w:color w:val="auto"/>
          <w:sz w:val="22"/>
          <w:szCs w:val="22"/>
          <w:highlight w:val="none"/>
          <w:u w:val="single"/>
        </w:rPr>
        <w:t xml:space="preserve">   承包人解决                </w:t>
      </w:r>
      <w:r>
        <w:rPr>
          <w:rFonts w:hint="eastAsia" w:ascii="宋体" w:hAnsi="宋体"/>
          <w:color w:val="auto"/>
          <w:sz w:val="22"/>
          <w:szCs w:val="22"/>
          <w:highlight w:val="none"/>
        </w:rPr>
        <w:t>。</w:t>
      </w:r>
    </w:p>
    <w:p w14:paraId="1F3E9745">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施工现场需要具备的其他试验条件：</w:t>
      </w:r>
      <w:r>
        <w:rPr>
          <w:rFonts w:hint="eastAsia" w:ascii="宋体" w:hAnsi="宋体"/>
          <w:color w:val="auto"/>
          <w:sz w:val="22"/>
          <w:szCs w:val="22"/>
          <w:highlight w:val="none"/>
          <w:u w:val="single"/>
        </w:rPr>
        <w:t xml:space="preserve">    承包人解决            </w:t>
      </w:r>
      <w:r>
        <w:rPr>
          <w:rFonts w:hint="eastAsia" w:ascii="宋体" w:hAnsi="宋体"/>
          <w:color w:val="auto"/>
          <w:sz w:val="22"/>
          <w:szCs w:val="22"/>
          <w:highlight w:val="none"/>
        </w:rPr>
        <w:t>。</w:t>
      </w:r>
    </w:p>
    <w:p w14:paraId="66564006">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 xml:space="preserve">9.4 现场工艺试验 </w:t>
      </w:r>
    </w:p>
    <w:p w14:paraId="31B06EA5">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现场工艺试验的有关约定：</w:t>
      </w:r>
      <w:r>
        <w:rPr>
          <w:rFonts w:hint="eastAsia" w:ascii="宋体" w:hAnsi="宋体"/>
          <w:color w:val="auto"/>
          <w:sz w:val="22"/>
          <w:szCs w:val="22"/>
          <w:highlight w:val="none"/>
          <w:u w:val="single"/>
        </w:rPr>
        <w:t xml:space="preserve">    执行通用条款         </w:t>
      </w:r>
      <w:r>
        <w:rPr>
          <w:rFonts w:hint="eastAsia" w:ascii="宋体" w:hAnsi="宋体"/>
          <w:color w:val="auto"/>
          <w:sz w:val="22"/>
          <w:szCs w:val="22"/>
          <w:highlight w:val="none"/>
        </w:rPr>
        <w:t>。</w:t>
      </w:r>
    </w:p>
    <w:p w14:paraId="0A9F9B43">
      <w:pPr>
        <w:spacing w:before="0" w:after="0" w:line="440" w:lineRule="exact"/>
        <w:ind w:firstLine="422"/>
        <w:outlineLvl w:val="9"/>
        <w:rPr>
          <w:rFonts w:ascii="宋体" w:hAnsi="宋体" w:eastAsia="宋体"/>
          <w:color w:val="auto"/>
          <w:sz w:val="22"/>
          <w:szCs w:val="22"/>
          <w:highlight w:val="none"/>
        </w:rPr>
      </w:pPr>
      <w:r>
        <w:rPr>
          <w:rFonts w:hint="eastAsia" w:ascii="宋体" w:hAnsi="宋体" w:eastAsia="宋体"/>
          <w:color w:val="auto"/>
          <w:sz w:val="22"/>
          <w:szCs w:val="22"/>
          <w:highlight w:val="none"/>
        </w:rPr>
        <w:t>10. 变更</w:t>
      </w:r>
    </w:p>
    <w:p w14:paraId="61789ED5">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10.1变更的范围</w:t>
      </w:r>
    </w:p>
    <w:p w14:paraId="4F7FA549">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关于变更的范围的约定：</w:t>
      </w:r>
      <w:r>
        <w:rPr>
          <w:rFonts w:hint="eastAsia" w:ascii="宋体" w:hAnsi="宋体" w:cs="宋体"/>
          <w:b/>
          <w:bCs/>
          <w:color w:val="auto"/>
          <w:sz w:val="22"/>
          <w:szCs w:val="22"/>
          <w:highlight w:val="none"/>
          <w:u w:val="single"/>
        </w:rPr>
        <w:t>为了满足工程施工需要，发包人设计变更或工程量调整，承包人必须服从和配合并应予以实施，否则视同承包人合同违约。</w:t>
      </w:r>
    </w:p>
    <w:p w14:paraId="7D471E08">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10.4 变更估价</w:t>
      </w:r>
    </w:p>
    <w:p w14:paraId="05ED1180">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10.4.1 变更估价原则</w:t>
      </w:r>
    </w:p>
    <w:p w14:paraId="58BCF378">
      <w:pPr>
        <w:snapToGrid w:val="0"/>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关于变更估价的约定</w:t>
      </w:r>
      <w:r>
        <w:rPr>
          <w:rFonts w:ascii="宋体" w:hAnsi="宋体"/>
          <w:color w:val="auto"/>
          <w:sz w:val="22"/>
          <w:szCs w:val="22"/>
          <w:highlight w:val="none"/>
        </w:rPr>
        <w:t>:</w:t>
      </w:r>
    </w:p>
    <w:p w14:paraId="605C0D32">
      <w:pPr>
        <w:tabs>
          <w:tab w:val="left" w:pos="482"/>
          <w:tab w:val="left" w:pos="2183"/>
          <w:tab w:val="left" w:pos="3884"/>
          <w:tab w:val="left" w:pos="5585"/>
        </w:tabs>
        <w:spacing w:line="440" w:lineRule="exact"/>
        <w:ind w:firstLine="420"/>
        <w:jc w:val="left"/>
        <w:outlineLvl w:val="9"/>
        <w:rPr>
          <w:rFonts w:hint="eastAsia" w:ascii="宋体" w:hAnsi="宋体"/>
          <w:color w:val="auto"/>
          <w:sz w:val="22"/>
          <w:szCs w:val="22"/>
          <w:highlight w:val="none"/>
          <w:u w:val="single"/>
        </w:rPr>
      </w:pPr>
      <w:r>
        <w:rPr>
          <w:rFonts w:hint="eastAsia" w:ascii="宋体" w:hAnsi="宋体"/>
          <w:color w:val="auto"/>
          <w:sz w:val="22"/>
          <w:szCs w:val="22"/>
          <w:highlight w:val="none"/>
          <w:u w:val="single"/>
        </w:rPr>
        <w:t>1、关于变更估价的约定：凡合价金额占合同总价2%及以上的分部分项工程量清单项目，其工程量增加或减少超过本项目工程数量15%及以上时，或和价金额占合同总价不到2%的分部分项工程量清单项目，但其工程量增减超过本项目工程数量25%及以上时，其增加部分工程量或减少后剩余部分工程量相应综合单价应按第5条约定执行。</w:t>
      </w:r>
    </w:p>
    <w:p w14:paraId="1942250F">
      <w:pPr>
        <w:pStyle w:val="71"/>
        <w:adjustRightInd w:val="0"/>
        <w:snapToGrid w:val="0"/>
        <w:spacing w:line="440" w:lineRule="exact"/>
        <w:ind w:left="0" w:firstLine="440"/>
        <w:outlineLvl w:val="9"/>
        <w:rPr>
          <w:rFonts w:hint="eastAsia"/>
          <w:b w:val="0"/>
          <w:color w:val="auto"/>
          <w:sz w:val="22"/>
          <w:szCs w:val="22"/>
          <w:highlight w:val="none"/>
          <w:u w:val="single"/>
        </w:rPr>
      </w:pPr>
      <w:r>
        <w:rPr>
          <w:rFonts w:hint="eastAsia"/>
          <w:b w:val="0"/>
          <w:color w:val="auto"/>
          <w:sz w:val="22"/>
          <w:szCs w:val="22"/>
          <w:highlight w:val="none"/>
          <w:u w:val="single"/>
        </w:rPr>
        <w:t>2、采购人提供工程量清单项目漏项或设计变更引起新的工程项目或施工图纸、工程变更后与原招标工程量清单的特征描述不符的项目，其相应单价的确定方法为：</w:t>
      </w:r>
    </w:p>
    <w:p w14:paraId="45EEEFCD">
      <w:pPr>
        <w:pStyle w:val="71"/>
        <w:adjustRightInd w:val="0"/>
        <w:snapToGrid w:val="0"/>
        <w:spacing w:line="440" w:lineRule="exact"/>
        <w:ind w:left="0" w:firstLine="440"/>
        <w:outlineLvl w:val="9"/>
        <w:rPr>
          <w:rFonts w:hint="eastAsia"/>
          <w:b w:val="0"/>
          <w:color w:val="auto"/>
          <w:sz w:val="22"/>
          <w:szCs w:val="22"/>
          <w:highlight w:val="none"/>
          <w:u w:val="single"/>
        </w:rPr>
      </w:pPr>
      <w:r>
        <w:rPr>
          <w:rFonts w:hint="eastAsia"/>
          <w:b w:val="0"/>
          <w:color w:val="auto"/>
          <w:sz w:val="22"/>
          <w:szCs w:val="22"/>
          <w:highlight w:val="none"/>
          <w:u w:val="single"/>
        </w:rPr>
        <w:t>2.1中标商务标中有类似工程项目单价的，参照类似工程项目单价：</w:t>
      </w:r>
    </w:p>
    <w:p w14:paraId="2D6F767B">
      <w:pPr>
        <w:pStyle w:val="71"/>
        <w:adjustRightInd w:val="0"/>
        <w:snapToGrid w:val="0"/>
        <w:spacing w:line="440" w:lineRule="exact"/>
        <w:ind w:left="0" w:firstLine="440"/>
        <w:outlineLvl w:val="9"/>
        <w:rPr>
          <w:rFonts w:hint="eastAsia"/>
          <w:b w:val="0"/>
          <w:color w:val="auto"/>
          <w:sz w:val="22"/>
          <w:szCs w:val="22"/>
          <w:highlight w:val="none"/>
          <w:u w:val="single"/>
        </w:rPr>
      </w:pPr>
      <w:r>
        <w:rPr>
          <w:rFonts w:hint="eastAsia"/>
          <w:b w:val="0"/>
          <w:color w:val="auto"/>
          <w:sz w:val="22"/>
          <w:szCs w:val="22"/>
          <w:highlight w:val="none"/>
          <w:u w:val="single"/>
        </w:rPr>
        <w:t>2.1.1某种材料（或半场品及成品）等级、标准变化的，清单组合子目不变，仅调整不同的材料价格之差。调整时材料价格基数需一致，即信息价与信息价相比较，市场价与市场价相比较；</w:t>
      </w:r>
      <w:r>
        <w:rPr>
          <w:rFonts w:hint="eastAsia"/>
          <w:b w:val="0"/>
          <w:color w:val="auto"/>
          <w:sz w:val="22"/>
          <w:szCs w:val="22"/>
          <w:highlight w:val="none"/>
          <w:u w:val="single"/>
        </w:rPr>
        <w:tab/>
      </w:r>
    </w:p>
    <w:p w14:paraId="13038B48">
      <w:pPr>
        <w:pStyle w:val="71"/>
        <w:adjustRightInd w:val="0"/>
        <w:snapToGrid w:val="0"/>
        <w:spacing w:line="440" w:lineRule="exact"/>
        <w:ind w:left="0" w:firstLine="440"/>
        <w:outlineLvl w:val="9"/>
        <w:rPr>
          <w:rFonts w:hint="eastAsia"/>
          <w:b w:val="0"/>
          <w:color w:val="auto"/>
          <w:sz w:val="22"/>
          <w:szCs w:val="22"/>
          <w:highlight w:val="none"/>
          <w:u w:val="single"/>
        </w:rPr>
      </w:pPr>
      <w:r>
        <w:rPr>
          <w:rFonts w:hint="eastAsia"/>
          <w:b w:val="0"/>
          <w:color w:val="auto"/>
          <w:sz w:val="22"/>
          <w:szCs w:val="22"/>
          <w:highlight w:val="none"/>
          <w:u w:val="single"/>
        </w:rPr>
        <w:t>2.1.2清单项目某一特征或工程内容变化，不影响其他特征及工程内容价格的，其他特征组合标准不变，仅调整发生变化的组合子目价格。变化部分综合单价按第5条约定执行。</w:t>
      </w:r>
    </w:p>
    <w:p w14:paraId="5B2D76FF">
      <w:pPr>
        <w:pStyle w:val="71"/>
        <w:adjustRightInd w:val="0"/>
        <w:snapToGrid w:val="0"/>
        <w:spacing w:line="440" w:lineRule="exact"/>
        <w:ind w:left="0" w:firstLine="440"/>
        <w:outlineLvl w:val="9"/>
        <w:rPr>
          <w:rFonts w:hint="eastAsia"/>
          <w:b w:val="0"/>
          <w:color w:val="auto"/>
          <w:sz w:val="22"/>
          <w:szCs w:val="22"/>
          <w:highlight w:val="none"/>
          <w:u w:val="single"/>
        </w:rPr>
      </w:pPr>
      <w:r>
        <w:rPr>
          <w:rFonts w:hint="eastAsia"/>
          <w:b w:val="0"/>
          <w:color w:val="auto"/>
          <w:sz w:val="22"/>
          <w:szCs w:val="22"/>
          <w:highlight w:val="none"/>
          <w:u w:val="single"/>
        </w:rPr>
        <w:t>2.1.3如该类似工程项目综合单价异常，则不宜参照，按《浙江省建设工程计价规则2018版》中第8.3.5条“投标综合单价异常的处理”执行。</w:t>
      </w:r>
    </w:p>
    <w:p w14:paraId="73ECD9C9">
      <w:pPr>
        <w:pStyle w:val="71"/>
        <w:adjustRightInd w:val="0"/>
        <w:snapToGrid w:val="0"/>
        <w:spacing w:line="440" w:lineRule="exact"/>
        <w:ind w:left="0" w:firstLine="440"/>
        <w:outlineLvl w:val="9"/>
        <w:rPr>
          <w:rFonts w:hint="eastAsia"/>
          <w:b w:val="0"/>
          <w:color w:val="auto"/>
          <w:sz w:val="22"/>
          <w:szCs w:val="22"/>
          <w:highlight w:val="none"/>
          <w:u w:val="single"/>
        </w:rPr>
      </w:pPr>
      <w:r>
        <w:rPr>
          <w:rFonts w:hint="eastAsia"/>
          <w:b w:val="0"/>
          <w:color w:val="auto"/>
          <w:sz w:val="22"/>
          <w:szCs w:val="22"/>
          <w:highlight w:val="none"/>
          <w:u w:val="single"/>
        </w:rPr>
        <w:t>2.2中标商务标中无类似工程项目单价的，应按第5条约定执行。如当前施行的计价依据缺项内容，承包人应通过市场调查等手段提出单价，经监理人和发包人确定后执行。</w:t>
      </w:r>
    </w:p>
    <w:p w14:paraId="670BAB20">
      <w:pPr>
        <w:pStyle w:val="71"/>
        <w:adjustRightInd w:val="0"/>
        <w:snapToGrid w:val="0"/>
        <w:spacing w:line="440" w:lineRule="exact"/>
        <w:ind w:left="0" w:firstLine="440"/>
        <w:outlineLvl w:val="9"/>
        <w:rPr>
          <w:rFonts w:hint="eastAsia"/>
          <w:b w:val="0"/>
          <w:color w:val="auto"/>
          <w:sz w:val="22"/>
          <w:szCs w:val="22"/>
          <w:highlight w:val="none"/>
          <w:u w:val="single"/>
        </w:rPr>
      </w:pPr>
      <w:r>
        <w:rPr>
          <w:rFonts w:hint="eastAsia"/>
          <w:b w:val="0"/>
          <w:color w:val="auto"/>
          <w:sz w:val="22"/>
          <w:szCs w:val="22"/>
          <w:highlight w:val="none"/>
          <w:u w:val="single"/>
        </w:rPr>
        <w:t>3、措施项目的调整：</w:t>
      </w:r>
    </w:p>
    <w:p w14:paraId="079BD7B7">
      <w:pPr>
        <w:pStyle w:val="71"/>
        <w:adjustRightInd w:val="0"/>
        <w:snapToGrid w:val="0"/>
        <w:spacing w:line="440" w:lineRule="exact"/>
        <w:ind w:left="0" w:firstLine="440"/>
        <w:outlineLvl w:val="9"/>
        <w:rPr>
          <w:rFonts w:hint="eastAsia"/>
          <w:b w:val="0"/>
          <w:color w:val="auto"/>
          <w:sz w:val="22"/>
          <w:szCs w:val="22"/>
          <w:highlight w:val="none"/>
          <w:u w:val="single"/>
        </w:rPr>
      </w:pPr>
      <w:r>
        <w:rPr>
          <w:rFonts w:hint="eastAsia"/>
          <w:b w:val="0"/>
          <w:color w:val="auto"/>
          <w:sz w:val="22"/>
          <w:szCs w:val="22"/>
          <w:highlight w:val="none"/>
          <w:u w:val="single"/>
        </w:rPr>
        <w:t>分部分项工程量清单漏缺项项、重复列项、招标工程量清单工程数量有误、特征描述不符或非承包人原因的施工图、工程变更引起工程项目增减、工程量增减、特征描述不符，造成施工组织设计或施工方案变更，应调整技术措施项目内容和措施费，调整方法按《浙江省建设工程计价规则2018版》中第8.3.6条执行，但是招标文件中约定不予调整的项目除外。施工组织措施费调整按招标文件约定执行。</w:t>
      </w:r>
    </w:p>
    <w:p w14:paraId="51D9CF3B">
      <w:pPr>
        <w:pStyle w:val="71"/>
        <w:adjustRightInd w:val="0"/>
        <w:snapToGrid w:val="0"/>
        <w:spacing w:line="440" w:lineRule="exact"/>
        <w:ind w:left="0" w:firstLine="440"/>
        <w:outlineLvl w:val="9"/>
        <w:rPr>
          <w:rFonts w:hint="eastAsia"/>
          <w:b w:val="0"/>
          <w:color w:val="auto"/>
          <w:sz w:val="22"/>
          <w:szCs w:val="22"/>
          <w:highlight w:val="none"/>
          <w:u w:val="single"/>
        </w:rPr>
      </w:pPr>
      <w:r>
        <w:rPr>
          <w:rFonts w:hint="eastAsia"/>
          <w:b w:val="0"/>
          <w:color w:val="auto"/>
          <w:sz w:val="22"/>
          <w:szCs w:val="22"/>
          <w:highlight w:val="none"/>
          <w:u w:val="single"/>
        </w:rPr>
        <w:t>4、其他项目费的调整按《浙江省建设工程计价规则》（2018版）第8.3.8条执行。</w:t>
      </w:r>
    </w:p>
    <w:p w14:paraId="4AA62E14">
      <w:pPr>
        <w:pStyle w:val="71"/>
        <w:adjustRightInd w:val="0"/>
        <w:snapToGrid w:val="0"/>
        <w:spacing w:line="440" w:lineRule="exact"/>
        <w:ind w:left="0" w:firstLine="440"/>
        <w:outlineLvl w:val="9"/>
        <w:rPr>
          <w:rFonts w:hint="eastAsia"/>
          <w:b w:val="0"/>
          <w:color w:val="auto"/>
          <w:sz w:val="22"/>
          <w:szCs w:val="22"/>
          <w:highlight w:val="none"/>
          <w:u w:val="single"/>
        </w:rPr>
      </w:pPr>
      <w:r>
        <w:rPr>
          <w:rFonts w:hint="eastAsia"/>
          <w:b w:val="0"/>
          <w:color w:val="auto"/>
          <w:sz w:val="22"/>
          <w:szCs w:val="22"/>
          <w:highlight w:val="none"/>
          <w:u w:val="single"/>
        </w:rPr>
        <w:t>5、本文第1条、第2.1.2条、第2.2条、第3条中说明造价计算原则和执行计价依据文件如下：</w:t>
      </w:r>
    </w:p>
    <w:p w14:paraId="1917DF7C">
      <w:pPr>
        <w:pStyle w:val="71"/>
        <w:adjustRightInd w:val="0"/>
        <w:snapToGrid w:val="0"/>
        <w:spacing w:line="440" w:lineRule="exact"/>
        <w:ind w:left="0" w:firstLine="440"/>
        <w:outlineLvl w:val="9"/>
        <w:rPr>
          <w:rFonts w:hint="eastAsia"/>
          <w:b w:val="0"/>
          <w:color w:val="auto"/>
          <w:sz w:val="22"/>
          <w:szCs w:val="22"/>
          <w:highlight w:val="none"/>
          <w:u w:val="single"/>
        </w:rPr>
      </w:pPr>
      <w:r>
        <w:rPr>
          <w:rFonts w:hint="eastAsia"/>
          <w:b w:val="0"/>
          <w:color w:val="auto"/>
          <w:sz w:val="22"/>
          <w:szCs w:val="22"/>
          <w:highlight w:val="none"/>
          <w:u w:val="single"/>
        </w:rPr>
        <w:t>（1）《建设工程工程量清单计价规范（GB50500-2013）》；</w:t>
      </w:r>
    </w:p>
    <w:p w14:paraId="5931F1E4">
      <w:pPr>
        <w:pStyle w:val="71"/>
        <w:adjustRightInd w:val="0"/>
        <w:snapToGrid w:val="0"/>
        <w:spacing w:line="440" w:lineRule="exact"/>
        <w:ind w:left="0" w:firstLine="440"/>
        <w:outlineLvl w:val="9"/>
        <w:rPr>
          <w:rFonts w:hint="eastAsia"/>
          <w:b w:val="0"/>
          <w:color w:val="auto"/>
          <w:sz w:val="22"/>
          <w:szCs w:val="22"/>
          <w:highlight w:val="none"/>
          <w:u w:val="single"/>
        </w:rPr>
      </w:pPr>
      <w:r>
        <w:rPr>
          <w:rFonts w:hint="eastAsia"/>
          <w:b w:val="0"/>
          <w:color w:val="auto"/>
          <w:sz w:val="22"/>
          <w:szCs w:val="22"/>
          <w:highlight w:val="none"/>
          <w:u w:val="single"/>
        </w:rPr>
        <w:t>（2）《浙江省建设工程工程量清单计价指引》；</w:t>
      </w:r>
    </w:p>
    <w:p w14:paraId="38B99BA0">
      <w:pPr>
        <w:pStyle w:val="71"/>
        <w:adjustRightInd w:val="0"/>
        <w:snapToGrid w:val="0"/>
        <w:spacing w:line="440" w:lineRule="exact"/>
        <w:ind w:left="0" w:firstLine="440"/>
        <w:outlineLvl w:val="9"/>
        <w:rPr>
          <w:rFonts w:hint="eastAsia"/>
          <w:b w:val="0"/>
          <w:color w:val="auto"/>
          <w:sz w:val="22"/>
          <w:szCs w:val="22"/>
          <w:highlight w:val="none"/>
          <w:u w:val="single"/>
        </w:rPr>
      </w:pPr>
      <w:r>
        <w:rPr>
          <w:rFonts w:hint="eastAsia"/>
          <w:b w:val="0"/>
          <w:color w:val="auto"/>
          <w:sz w:val="22"/>
          <w:szCs w:val="22"/>
          <w:highlight w:val="none"/>
          <w:u w:val="single"/>
        </w:rPr>
        <w:t>（3）《浙江省建设工程计价规则（2018版）》；</w:t>
      </w:r>
    </w:p>
    <w:p w14:paraId="6A8D7A68">
      <w:pPr>
        <w:pStyle w:val="71"/>
        <w:adjustRightInd w:val="0"/>
        <w:snapToGrid w:val="0"/>
        <w:spacing w:line="440" w:lineRule="exact"/>
        <w:ind w:left="0" w:firstLine="440"/>
        <w:outlineLvl w:val="9"/>
        <w:rPr>
          <w:rFonts w:hint="eastAsia"/>
          <w:b w:val="0"/>
          <w:color w:val="auto"/>
          <w:sz w:val="22"/>
          <w:szCs w:val="22"/>
          <w:highlight w:val="none"/>
          <w:u w:val="single"/>
        </w:rPr>
      </w:pPr>
      <w:r>
        <w:rPr>
          <w:rFonts w:hint="eastAsia"/>
          <w:b w:val="0"/>
          <w:color w:val="auto"/>
          <w:sz w:val="22"/>
          <w:szCs w:val="22"/>
          <w:highlight w:val="none"/>
          <w:u w:val="single"/>
        </w:rPr>
        <w:t>（4）《浙江省房屋建筑与装饰工程预算定额》2018版、《浙江省通用安装工程预算定额（2018版）》、《浙江省市政工程预算定额》（2018版）、《浙江省园林绿化及仿古建筑工程预算定额》（2018版）；</w:t>
      </w:r>
    </w:p>
    <w:p w14:paraId="1D42C4B7">
      <w:pPr>
        <w:pStyle w:val="71"/>
        <w:adjustRightInd w:val="0"/>
        <w:snapToGrid w:val="0"/>
        <w:spacing w:line="440" w:lineRule="exact"/>
        <w:ind w:left="0" w:firstLine="440"/>
        <w:outlineLvl w:val="9"/>
        <w:rPr>
          <w:rFonts w:hint="eastAsia"/>
          <w:b w:val="0"/>
          <w:color w:val="auto"/>
          <w:sz w:val="22"/>
          <w:szCs w:val="22"/>
          <w:highlight w:val="none"/>
          <w:u w:val="single"/>
        </w:rPr>
      </w:pPr>
      <w:r>
        <w:rPr>
          <w:rFonts w:hint="eastAsia"/>
          <w:b w:val="0"/>
          <w:color w:val="auto"/>
          <w:sz w:val="22"/>
          <w:szCs w:val="22"/>
          <w:highlight w:val="none"/>
          <w:u w:val="single"/>
        </w:rPr>
        <w:t>（5）《浙江省建设工程施工机械台班费用定额（2018版）》；</w:t>
      </w:r>
    </w:p>
    <w:p w14:paraId="1A64C474">
      <w:pPr>
        <w:pStyle w:val="71"/>
        <w:adjustRightInd w:val="0"/>
        <w:snapToGrid w:val="0"/>
        <w:spacing w:line="440" w:lineRule="exact"/>
        <w:ind w:left="0" w:firstLine="440"/>
        <w:outlineLvl w:val="9"/>
        <w:rPr>
          <w:rFonts w:hint="eastAsia"/>
          <w:b w:val="0"/>
          <w:color w:val="auto"/>
          <w:sz w:val="22"/>
          <w:szCs w:val="22"/>
          <w:highlight w:val="none"/>
          <w:u w:val="single"/>
        </w:rPr>
      </w:pPr>
      <w:r>
        <w:rPr>
          <w:rFonts w:hint="eastAsia"/>
          <w:b w:val="0"/>
          <w:color w:val="auto"/>
          <w:sz w:val="22"/>
          <w:szCs w:val="22"/>
          <w:highlight w:val="none"/>
          <w:u w:val="single"/>
        </w:rPr>
        <w:t>（6）如属于招标工程量清单错误的应套用本项目招标基准价格；如属于施工图、工程变更的应套用变更批准月份的《温州工程造价信息》上的信息价；</w:t>
      </w:r>
    </w:p>
    <w:p w14:paraId="4C9798A7">
      <w:pPr>
        <w:pStyle w:val="3"/>
        <w:spacing w:line="440" w:lineRule="exact"/>
        <w:ind w:firstLine="420"/>
        <w:outlineLvl w:val="9"/>
        <w:rPr>
          <w:rFonts w:hint="eastAsia" w:ascii="宋体" w:hAnsi="宋体"/>
          <w:color w:val="auto"/>
          <w:sz w:val="22"/>
          <w:szCs w:val="22"/>
          <w:highlight w:val="none"/>
          <w:u w:val="single"/>
        </w:rPr>
      </w:pPr>
      <w:r>
        <w:rPr>
          <w:rFonts w:hint="eastAsia" w:ascii="宋体" w:hAnsi="宋体"/>
          <w:color w:val="auto"/>
          <w:sz w:val="22"/>
          <w:szCs w:val="22"/>
          <w:highlight w:val="none"/>
          <w:u w:val="single"/>
        </w:rPr>
        <w:t>（7）转发《关于发布浙江省房屋建筑人工综合价格指数的通知》（温建价（2018）42号）、浙建建发（2019）92号文《关于增值税调整后我省建设工程计价依据增值税税率及有关计价调整的通知》；</w:t>
      </w:r>
    </w:p>
    <w:p w14:paraId="6518B669">
      <w:pPr>
        <w:pStyle w:val="3"/>
        <w:spacing w:line="440" w:lineRule="exact"/>
        <w:ind w:firstLine="420"/>
        <w:outlineLvl w:val="9"/>
        <w:rPr>
          <w:rFonts w:hint="eastAsia" w:ascii="宋体" w:hAnsi="宋体"/>
          <w:color w:val="auto"/>
          <w:sz w:val="22"/>
          <w:szCs w:val="22"/>
          <w:highlight w:val="none"/>
        </w:rPr>
      </w:pPr>
      <w:r>
        <w:rPr>
          <w:rFonts w:hint="eastAsia" w:ascii="宋体" w:hAnsi="宋体"/>
          <w:color w:val="auto"/>
          <w:sz w:val="22"/>
          <w:szCs w:val="22"/>
          <w:highlight w:val="none"/>
          <w:u w:val="single"/>
        </w:rPr>
        <w:t>（8）按以上计价依据文件计算造价后需下浮中标下浮率，中标下浮率=（中标价格－招标控制价）/招标控制价×100%（不含暂估价和暂列金额及其税金），本工程下浮率为      。</w:t>
      </w:r>
    </w:p>
    <w:p w14:paraId="296E9507">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10.5承包人的合理化建议</w:t>
      </w:r>
    </w:p>
    <w:p w14:paraId="09005F5C">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监理人审查承包人合理化建议的期限：</w:t>
      </w:r>
      <w:r>
        <w:rPr>
          <w:rFonts w:hint="eastAsia" w:ascii="宋体" w:hAnsi="宋体"/>
          <w:color w:val="auto"/>
          <w:sz w:val="22"/>
          <w:szCs w:val="22"/>
          <w:highlight w:val="none"/>
          <w:u w:val="single"/>
        </w:rPr>
        <w:t>收到承包人提交的合理化建议后7天内审核完毕并报送发包人，发现其中存在技术上的缺陷，应通知承包人修改</w:t>
      </w:r>
      <w:r>
        <w:rPr>
          <w:rFonts w:hint="eastAsia" w:ascii="宋体" w:hAnsi="宋体"/>
          <w:color w:val="auto"/>
          <w:sz w:val="22"/>
          <w:szCs w:val="22"/>
          <w:highlight w:val="none"/>
        </w:rPr>
        <w:t>。</w:t>
      </w:r>
    </w:p>
    <w:p w14:paraId="3BB88FD6">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发包人审批承包人合理化建议的期限：</w:t>
      </w:r>
      <w:r>
        <w:rPr>
          <w:rFonts w:hint="eastAsia" w:ascii="宋体" w:hAnsi="宋体"/>
          <w:color w:val="auto"/>
          <w:sz w:val="22"/>
          <w:szCs w:val="22"/>
          <w:highlight w:val="none"/>
          <w:u w:val="single"/>
        </w:rPr>
        <w:t>受到监理人报送的合理化建议后7天内</w:t>
      </w:r>
      <w:r>
        <w:rPr>
          <w:rFonts w:hint="eastAsia" w:ascii="宋体" w:hAnsi="宋体"/>
          <w:color w:val="auto"/>
          <w:sz w:val="22"/>
          <w:szCs w:val="22"/>
          <w:highlight w:val="none"/>
        </w:rPr>
        <w:t>。</w:t>
      </w:r>
    </w:p>
    <w:p w14:paraId="6A66F50C">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承包人提出的合理化建议降低了合同价格或者提高了工程经济效益的奖励的方法和金额为：</w:t>
      </w:r>
      <w:r>
        <w:rPr>
          <w:rFonts w:hint="eastAsia" w:ascii="宋体" w:hAnsi="宋体"/>
          <w:color w:val="auto"/>
          <w:sz w:val="22"/>
          <w:szCs w:val="22"/>
          <w:highlight w:val="none"/>
          <w:u w:val="single"/>
        </w:rPr>
        <w:t xml:space="preserve">    无    </w:t>
      </w:r>
      <w:r>
        <w:rPr>
          <w:rFonts w:hint="eastAsia" w:ascii="宋体" w:hAnsi="宋体"/>
          <w:color w:val="auto"/>
          <w:sz w:val="22"/>
          <w:szCs w:val="22"/>
          <w:highlight w:val="none"/>
        </w:rPr>
        <w:t>。</w:t>
      </w:r>
    </w:p>
    <w:p w14:paraId="07E9EA32">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10.7 暂估价</w:t>
      </w:r>
    </w:p>
    <w:p w14:paraId="1927AFCB">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暂估价材料和工程设备的明细详见附件11：《暂估价一览表》。</w:t>
      </w:r>
    </w:p>
    <w:p w14:paraId="12CA65AC">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10.7.1 依法必须招标的暂估价项目</w:t>
      </w:r>
    </w:p>
    <w:p w14:paraId="7732D4EA">
      <w:pPr>
        <w:spacing w:line="440" w:lineRule="exact"/>
        <w:ind w:firstLine="420"/>
        <w:jc w:val="left"/>
        <w:outlineLvl w:val="9"/>
        <w:rPr>
          <w:rFonts w:hint="eastAsia" w:ascii="宋体" w:hAnsi="宋体"/>
          <w:color w:val="auto"/>
          <w:sz w:val="22"/>
          <w:szCs w:val="22"/>
          <w:highlight w:val="none"/>
        </w:rPr>
      </w:pPr>
      <w:r>
        <w:rPr>
          <w:rFonts w:hint="eastAsia" w:ascii="宋体" w:hAnsi="宋体"/>
          <w:color w:val="auto"/>
          <w:sz w:val="22"/>
          <w:szCs w:val="22"/>
          <w:highlight w:val="none"/>
        </w:rPr>
        <w:t>对于依法必须招标的暂估价项目的确认和批准采取第</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种方式确定。</w:t>
      </w:r>
    </w:p>
    <w:p w14:paraId="4A186B70">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10.7.2 不属于依法必须招标的暂估价项目</w:t>
      </w:r>
    </w:p>
    <w:p w14:paraId="6221460E">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对于不属于依法必须招标的暂估价项目的确认和批准采取第</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种方式确定。</w:t>
      </w:r>
    </w:p>
    <w:p w14:paraId="21CCD283">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第3种方式：承包人直接实施的暂估价项目</w:t>
      </w:r>
    </w:p>
    <w:p w14:paraId="5656E4E2">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承包人直接实施的暂估价项目的约定：</w:t>
      </w:r>
      <w:r>
        <w:rPr>
          <w:rFonts w:hint="eastAsia" w:ascii="宋体" w:hAnsi="宋体"/>
          <w:color w:val="auto"/>
          <w:sz w:val="22"/>
          <w:szCs w:val="22"/>
          <w:highlight w:val="none"/>
          <w:u w:val="single"/>
        </w:rPr>
        <w:t xml:space="preserve">  另行商定       </w:t>
      </w:r>
    </w:p>
    <w:p w14:paraId="3F5A7DB9">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10.8 暂列金额</w:t>
      </w:r>
    </w:p>
    <w:p w14:paraId="51D47421">
      <w:pPr>
        <w:autoSpaceDE w:val="0"/>
        <w:autoSpaceDN w:val="0"/>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合同当事人关于暂列金额使用的约定：</w:t>
      </w:r>
      <w:r>
        <w:rPr>
          <w:rFonts w:hint="eastAsia" w:ascii="宋体" w:hAnsi="宋体"/>
          <w:color w:val="auto"/>
          <w:sz w:val="22"/>
          <w:szCs w:val="22"/>
          <w:highlight w:val="none"/>
          <w:u w:val="single"/>
        </w:rPr>
        <w:t>按通用合同条款第10.8款及磋商文件执行。</w:t>
      </w:r>
    </w:p>
    <w:p w14:paraId="31286307">
      <w:pPr>
        <w:spacing w:before="0" w:after="0" w:line="440" w:lineRule="exact"/>
        <w:ind w:firstLine="422"/>
        <w:outlineLvl w:val="9"/>
        <w:rPr>
          <w:rFonts w:ascii="宋体" w:hAnsi="宋体" w:eastAsia="宋体"/>
          <w:color w:val="auto"/>
          <w:sz w:val="22"/>
          <w:szCs w:val="22"/>
          <w:highlight w:val="none"/>
        </w:rPr>
      </w:pPr>
      <w:r>
        <w:rPr>
          <w:rFonts w:hint="eastAsia" w:ascii="宋体" w:hAnsi="宋体" w:eastAsia="宋体"/>
          <w:color w:val="auto"/>
          <w:sz w:val="22"/>
          <w:szCs w:val="22"/>
          <w:highlight w:val="none"/>
        </w:rPr>
        <w:t>11. 价格调整</w:t>
      </w:r>
    </w:p>
    <w:p w14:paraId="4CE629AB">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11.1 市场价格波动引起的调整</w:t>
      </w:r>
    </w:p>
    <w:p w14:paraId="5C9841F0">
      <w:pPr>
        <w:spacing w:line="440" w:lineRule="exact"/>
        <w:ind w:firstLine="420"/>
        <w:jc w:val="left"/>
        <w:outlineLvl w:val="9"/>
        <w:rPr>
          <w:rFonts w:hint="eastAsia" w:ascii="宋体" w:hAnsi="宋体"/>
          <w:color w:val="auto"/>
          <w:sz w:val="22"/>
          <w:szCs w:val="22"/>
          <w:highlight w:val="none"/>
        </w:rPr>
      </w:pPr>
      <w:r>
        <w:rPr>
          <w:rFonts w:hint="eastAsia" w:ascii="宋体" w:hAnsi="宋体"/>
          <w:color w:val="auto"/>
          <w:sz w:val="22"/>
          <w:szCs w:val="22"/>
          <w:highlight w:val="none"/>
        </w:rPr>
        <w:t>市场价格波动是否调整合同价格的约定：</w:t>
      </w:r>
      <w:r>
        <w:rPr>
          <w:rFonts w:hint="eastAsia" w:ascii="宋体" w:hAnsi="宋体"/>
          <w:color w:val="auto"/>
          <w:sz w:val="22"/>
          <w:szCs w:val="22"/>
          <w:highlight w:val="none"/>
          <w:u w:val="single"/>
        </w:rPr>
        <w:t xml:space="preserve">   否        </w:t>
      </w:r>
      <w:r>
        <w:rPr>
          <w:rFonts w:hint="eastAsia" w:ascii="宋体" w:hAnsi="宋体"/>
          <w:color w:val="auto"/>
          <w:sz w:val="22"/>
          <w:szCs w:val="22"/>
          <w:highlight w:val="none"/>
        </w:rPr>
        <w:t>。</w:t>
      </w:r>
    </w:p>
    <w:p w14:paraId="2D117290">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因市场价格波动调整合同价格，采用以下第</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种方式对合同价格进行调整：</w:t>
      </w:r>
    </w:p>
    <w:p w14:paraId="4CACA6EB">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第1种方式：采用价格指数进行价格调整。</w:t>
      </w:r>
    </w:p>
    <w:p w14:paraId="697F26FE">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关于各可调因子、定值和变值权重，以及基本价格指数及其来源的约定：</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w:t>
      </w:r>
    </w:p>
    <w:p w14:paraId="5F2C20F6">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第2种方式：采用造价信息进行价格调整。</w:t>
      </w:r>
    </w:p>
    <w:p w14:paraId="69BDF631">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（2）关于基准价格的约定：</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w:t>
      </w:r>
    </w:p>
    <w:p w14:paraId="0758C83E">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专用合同条款</w:t>
      </w:r>
      <w:r>
        <w:rPr>
          <w:rFonts w:hint="eastAsia" w:ascii="宋体" w:hAnsi="宋体" w:cs="宋体"/>
          <w:color w:val="auto"/>
          <w:sz w:val="22"/>
          <w:szCs w:val="22"/>
          <w:highlight w:val="none"/>
        </w:rPr>
        <w:t>①</w:t>
      </w:r>
      <w:r>
        <w:rPr>
          <w:rFonts w:hint="eastAsia" w:ascii="宋体" w:hAnsi="宋体"/>
          <w:color w:val="auto"/>
          <w:sz w:val="22"/>
          <w:szCs w:val="22"/>
          <w:highlight w:val="none"/>
        </w:rPr>
        <w:t>承包人在已标价工程量清单或预算书中载明的材料单价低于基准价格的：专用合同条款合同履行期间材料单价涨幅以基准价格为基础超过</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%时，或材料单价跌幅以已标价工程量清单或预算书中载明材料单价为基础超过</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%时，其超过部分据实调整。</w:t>
      </w:r>
    </w:p>
    <w:p w14:paraId="32A9FAD0">
      <w:pPr>
        <w:spacing w:line="440" w:lineRule="exact"/>
        <w:ind w:firstLine="420"/>
        <w:jc w:val="left"/>
        <w:outlineLvl w:val="9"/>
        <w:rPr>
          <w:rFonts w:ascii="宋体" w:hAnsi="宋体"/>
          <w:color w:val="auto"/>
          <w:sz w:val="22"/>
          <w:szCs w:val="22"/>
          <w:highlight w:val="none"/>
        </w:rPr>
      </w:pPr>
      <w:r>
        <w:rPr>
          <w:rFonts w:hint="eastAsia" w:ascii="宋体" w:hAnsi="宋体" w:cs="宋体"/>
          <w:color w:val="auto"/>
          <w:sz w:val="22"/>
          <w:szCs w:val="22"/>
          <w:highlight w:val="none"/>
        </w:rPr>
        <w:t>②</w:t>
      </w:r>
      <w:r>
        <w:rPr>
          <w:rFonts w:hint="eastAsia" w:ascii="宋体" w:hAnsi="宋体"/>
          <w:color w:val="auto"/>
          <w:sz w:val="22"/>
          <w:szCs w:val="22"/>
          <w:highlight w:val="none"/>
        </w:rPr>
        <w:t>承包人在已标价工程量清单或预算书中载明的材料单价高于基准价格的：专用合同条款合同履行期间材料单价跌幅以基准价格为基础超过</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%时，材料单价涨幅以已标价工程量清单或预算书中载明材料单价为基础超过</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%时，其超过部分据实调整。</w:t>
      </w:r>
    </w:p>
    <w:p w14:paraId="2CA06032">
      <w:pPr>
        <w:spacing w:line="440" w:lineRule="exact"/>
        <w:ind w:firstLine="420"/>
        <w:jc w:val="left"/>
        <w:outlineLvl w:val="9"/>
        <w:rPr>
          <w:rFonts w:ascii="宋体" w:hAnsi="宋体"/>
          <w:color w:val="auto"/>
          <w:sz w:val="22"/>
          <w:szCs w:val="22"/>
          <w:highlight w:val="none"/>
        </w:rPr>
      </w:pPr>
      <w:r>
        <w:rPr>
          <w:rFonts w:hint="eastAsia" w:ascii="宋体" w:hAnsi="宋体" w:cs="宋体"/>
          <w:color w:val="auto"/>
          <w:sz w:val="22"/>
          <w:szCs w:val="22"/>
          <w:highlight w:val="none"/>
        </w:rPr>
        <w:t>③</w:t>
      </w:r>
      <w:r>
        <w:rPr>
          <w:rFonts w:hint="eastAsia" w:ascii="宋体" w:hAnsi="宋体"/>
          <w:color w:val="auto"/>
          <w:sz w:val="22"/>
          <w:szCs w:val="22"/>
          <w:highlight w:val="none"/>
        </w:rPr>
        <w:t>承包人在已标价工程量清单或预算书中载明的材料单价等于基准单价的：专用合同条款合同履行期间材料单价涨跌幅以基准单价为基础超过±</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%时，其超过部分据实调整。</w:t>
      </w:r>
    </w:p>
    <w:p w14:paraId="337E2006">
      <w:pPr>
        <w:pStyle w:val="20"/>
        <w:spacing w:line="440" w:lineRule="exact"/>
        <w:ind w:firstLine="495" w:firstLineChars="225"/>
        <w:outlineLvl w:val="9"/>
        <w:rPr>
          <w:rFonts w:hAnsi="宋体"/>
          <w:color w:val="auto"/>
          <w:sz w:val="22"/>
          <w:szCs w:val="22"/>
          <w:highlight w:val="none"/>
          <w:u w:val="single"/>
        </w:rPr>
      </w:pPr>
      <w:r>
        <w:rPr>
          <w:rFonts w:hint="eastAsia" w:hAnsi="宋体"/>
          <w:color w:val="auto"/>
          <w:sz w:val="22"/>
          <w:szCs w:val="22"/>
          <w:highlight w:val="none"/>
        </w:rPr>
        <w:t>第3种方式：</w:t>
      </w:r>
    </w:p>
    <w:p w14:paraId="461F71F6">
      <w:pPr>
        <w:spacing w:before="0" w:after="0" w:line="440" w:lineRule="exact"/>
        <w:ind w:firstLine="422"/>
        <w:outlineLvl w:val="9"/>
        <w:rPr>
          <w:rFonts w:ascii="宋体" w:hAnsi="宋体" w:eastAsia="宋体"/>
          <w:color w:val="auto"/>
          <w:sz w:val="22"/>
          <w:szCs w:val="22"/>
          <w:highlight w:val="none"/>
        </w:rPr>
      </w:pPr>
      <w:r>
        <w:rPr>
          <w:rFonts w:hint="eastAsia" w:ascii="宋体" w:hAnsi="宋体" w:eastAsia="宋体"/>
          <w:color w:val="auto"/>
          <w:sz w:val="22"/>
          <w:szCs w:val="22"/>
          <w:highlight w:val="none"/>
        </w:rPr>
        <w:t>12. 合同价格、计量与支付</w:t>
      </w:r>
    </w:p>
    <w:p w14:paraId="2AD842CA">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12.1 合同价格形式</w:t>
      </w:r>
    </w:p>
    <w:p w14:paraId="3B8E6595">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1、单价合同。</w:t>
      </w:r>
    </w:p>
    <w:p w14:paraId="2C92AF21">
      <w:pPr>
        <w:spacing w:line="440" w:lineRule="exact"/>
        <w:ind w:firstLine="420"/>
        <w:jc w:val="left"/>
        <w:outlineLvl w:val="9"/>
        <w:rPr>
          <w:rFonts w:ascii="宋体" w:hAnsi="宋体"/>
          <w:color w:val="auto"/>
          <w:sz w:val="22"/>
          <w:szCs w:val="22"/>
          <w:highlight w:val="none"/>
        </w:rPr>
      </w:pPr>
      <w:r>
        <w:rPr>
          <w:rFonts w:ascii="宋体" w:hAnsi="宋体"/>
          <w:color w:val="auto"/>
          <w:sz w:val="22"/>
          <w:szCs w:val="22"/>
          <w:highlight w:val="none"/>
        </w:rPr>
        <w:t>综合单价包含的风险范围：</w:t>
      </w:r>
      <w:r>
        <w:rPr>
          <w:rFonts w:hint="eastAsia" w:ascii="宋体" w:hAnsi="宋体"/>
          <w:color w:val="auto"/>
          <w:sz w:val="22"/>
          <w:szCs w:val="22"/>
          <w:highlight w:val="none"/>
          <w:u w:val="single"/>
        </w:rPr>
        <w:t>今后除工程量清单修正、变更（包括设计变更和依据发包人指令的工程范围变更）、人工材料动态管理、优质工程增加费、因法律变化引起的调整外均不再调整</w:t>
      </w:r>
      <w:r>
        <w:rPr>
          <w:rFonts w:ascii="宋体" w:hAnsi="宋体"/>
          <w:color w:val="auto"/>
          <w:sz w:val="22"/>
          <w:szCs w:val="22"/>
          <w:highlight w:val="none"/>
        </w:rPr>
        <w:t>。</w:t>
      </w:r>
    </w:p>
    <w:p w14:paraId="5CE855D0">
      <w:pPr>
        <w:spacing w:line="440" w:lineRule="exact"/>
        <w:ind w:firstLine="420"/>
        <w:jc w:val="left"/>
        <w:outlineLvl w:val="9"/>
        <w:rPr>
          <w:rFonts w:ascii="宋体" w:hAnsi="宋体"/>
          <w:color w:val="auto"/>
          <w:sz w:val="22"/>
          <w:szCs w:val="22"/>
          <w:highlight w:val="none"/>
        </w:rPr>
      </w:pPr>
      <w:r>
        <w:rPr>
          <w:rFonts w:ascii="宋体" w:hAnsi="宋体"/>
          <w:color w:val="auto"/>
          <w:sz w:val="22"/>
          <w:szCs w:val="22"/>
          <w:highlight w:val="none"/>
        </w:rPr>
        <w:t>风险费用的计算方法：</w:t>
      </w:r>
      <w:r>
        <w:rPr>
          <w:rFonts w:hint="eastAsia" w:ascii="宋体" w:hAnsi="宋体"/>
          <w:color w:val="auto"/>
          <w:sz w:val="22"/>
          <w:szCs w:val="22"/>
          <w:highlight w:val="none"/>
          <w:u w:val="single"/>
        </w:rPr>
        <w:t>已包含在合同价中，由供应商在报价时综合考虑各项风险费用</w:t>
      </w:r>
      <w:r>
        <w:rPr>
          <w:rFonts w:ascii="宋体" w:hAnsi="宋体"/>
          <w:color w:val="auto"/>
          <w:sz w:val="22"/>
          <w:szCs w:val="22"/>
          <w:highlight w:val="none"/>
        </w:rPr>
        <w:t>。</w:t>
      </w:r>
    </w:p>
    <w:p w14:paraId="40F48AE3">
      <w:pPr>
        <w:spacing w:line="440" w:lineRule="exact"/>
        <w:ind w:firstLine="420"/>
        <w:jc w:val="left"/>
        <w:outlineLvl w:val="9"/>
        <w:rPr>
          <w:rFonts w:ascii="宋体" w:hAnsi="宋体"/>
          <w:color w:val="auto"/>
          <w:sz w:val="22"/>
          <w:szCs w:val="22"/>
          <w:highlight w:val="none"/>
        </w:rPr>
      </w:pPr>
      <w:r>
        <w:rPr>
          <w:rFonts w:ascii="宋体" w:hAnsi="宋体"/>
          <w:color w:val="auto"/>
          <w:sz w:val="22"/>
          <w:szCs w:val="22"/>
          <w:highlight w:val="none"/>
        </w:rPr>
        <w:t>风险范围以外合同价格的调整方法：</w:t>
      </w:r>
      <w:r>
        <w:rPr>
          <w:rFonts w:ascii="宋体" w:hAnsi="宋体"/>
          <w:color w:val="auto"/>
          <w:sz w:val="22"/>
          <w:szCs w:val="22"/>
          <w:highlight w:val="none"/>
          <w:u w:val="single"/>
        </w:rPr>
        <w:t>工程量清单错误修正、设计变更（审查后的施工图与招标时施工图不一致的调整视为设计变更）、因法律变化引起的调整</w:t>
      </w:r>
      <w:r>
        <w:rPr>
          <w:rFonts w:hint="eastAsia" w:ascii="宋体" w:hAnsi="宋体"/>
          <w:color w:val="auto"/>
          <w:sz w:val="22"/>
          <w:szCs w:val="22"/>
          <w:highlight w:val="none"/>
          <w:u w:val="single"/>
        </w:rPr>
        <w:t>均</w:t>
      </w:r>
      <w:r>
        <w:rPr>
          <w:rFonts w:ascii="宋体" w:hAnsi="宋体"/>
          <w:color w:val="auto"/>
          <w:sz w:val="22"/>
          <w:szCs w:val="22"/>
          <w:highlight w:val="none"/>
          <w:u w:val="single"/>
        </w:rPr>
        <w:t>按合同相关条款执行</w:t>
      </w:r>
      <w:r>
        <w:rPr>
          <w:rFonts w:ascii="宋体" w:hAnsi="宋体"/>
          <w:color w:val="auto"/>
          <w:sz w:val="22"/>
          <w:szCs w:val="22"/>
          <w:highlight w:val="none"/>
        </w:rPr>
        <w:t>。</w:t>
      </w:r>
    </w:p>
    <w:p w14:paraId="6D4D6D65">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2、总价合同。</w:t>
      </w:r>
    </w:p>
    <w:p w14:paraId="4BDDFC2B">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总价包含的风险范围：</w:t>
      </w:r>
      <w:r>
        <w:rPr>
          <w:rFonts w:hint="eastAsia" w:ascii="宋体" w:hAnsi="宋体"/>
          <w:color w:val="auto"/>
          <w:sz w:val="22"/>
          <w:szCs w:val="22"/>
          <w:highlight w:val="none"/>
          <w:u w:val="single"/>
        </w:rPr>
        <w:t>不适用</w:t>
      </w:r>
      <w:r>
        <w:rPr>
          <w:rFonts w:hint="eastAsia" w:ascii="宋体" w:hAnsi="宋体"/>
          <w:color w:val="auto"/>
          <w:sz w:val="22"/>
          <w:szCs w:val="22"/>
          <w:highlight w:val="none"/>
        </w:rPr>
        <w:t>。</w:t>
      </w:r>
    </w:p>
    <w:p w14:paraId="7E226FA2">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风险费用的计算方法：</w:t>
      </w:r>
      <w:r>
        <w:rPr>
          <w:rFonts w:hint="eastAsia" w:ascii="宋体" w:hAnsi="宋体"/>
          <w:color w:val="auto"/>
          <w:sz w:val="22"/>
          <w:szCs w:val="22"/>
          <w:highlight w:val="none"/>
          <w:u w:val="single"/>
        </w:rPr>
        <w:t xml:space="preserve">  不适用  </w:t>
      </w:r>
      <w:r>
        <w:rPr>
          <w:rFonts w:hint="eastAsia" w:ascii="宋体" w:hAnsi="宋体"/>
          <w:color w:val="auto"/>
          <w:sz w:val="22"/>
          <w:szCs w:val="22"/>
          <w:highlight w:val="none"/>
        </w:rPr>
        <w:t>。</w:t>
      </w:r>
    </w:p>
    <w:p w14:paraId="21B7177D">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风险范围以外合同价格的调整方法：</w:t>
      </w:r>
      <w:r>
        <w:rPr>
          <w:rFonts w:hint="eastAsia" w:ascii="宋体" w:hAnsi="宋体"/>
          <w:color w:val="auto"/>
          <w:sz w:val="22"/>
          <w:szCs w:val="22"/>
          <w:highlight w:val="none"/>
          <w:u w:val="single"/>
        </w:rPr>
        <w:t xml:space="preserve">不适用   </w:t>
      </w:r>
      <w:r>
        <w:rPr>
          <w:rFonts w:hint="eastAsia" w:ascii="宋体" w:hAnsi="宋体"/>
          <w:color w:val="auto"/>
          <w:sz w:val="22"/>
          <w:szCs w:val="22"/>
          <w:highlight w:val="none"/>
        </w:rPr>
        <w:t xml:space="preserve"> </w:t>
      </w:r>
    </w:p>
    <w:p w14:paraId="36B353F4">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3、其他价格方式：/</w:t>
      </w:r>
    </w:p>
    <w:p w14:paraId="369470A0">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12.2 预付款</w:t>
      </w:r>
    </w:p>
    <w:p w14:paraId="65EE73AF">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12.2.1 预付款的支付</w:t>
      </w:r>
    </w:p>
    <w:p w14:paraId="1AC28194">
      <w:pPr>
        <w:pStyle w:val="20"/>
        <w:spacing w:line="440" w:lineRule="exact"/>
        <w:ind w:firstLine="420"/>
        <w:outlineLvl w:val="9"/>
        <w:rPr>
          <w:rFonts w:hAnsi="宋体"/>
          <w:bCs/>
          <w:color w:val="auto"/>
          <w:sz w:val="22"/>
          <w:szCs w:val="22"/>
          <w:highlight w:val="none"/>
          <w:u w:val="single"/>
        </w:rPr>
      </w:pPr>
      <w:r>
        <w:rPr>
          <w:rFonts w:hint="eastAsia" w:hAnsi="宋体"/>
          <w:color w:val="auto"/>
          <w:sz w:val="22"/>
          <w:szCs w:val="22"/>
          <w:highlight w:val="none"/>
        </w:rPr>
        <w:t>预付款支付比例或金额：</w:t>
      </w:r>
      <w:r>
        <w:rPr>
          <w:rFonts w:hint="eastAsia" w:hAnsi="宋体"/>
          <w:bCs/>
          <w:color w:val="auto"/>
          <w:sz w:val="22"/>
          <w:szCs w:val="22"/>
          <w:highlight w:val="none"/>
          <w:u w:val="single"/>
        </w:rPr>
        <w:t>签订合同后7天内，发包人支付合同价款的30%</w:t>
      </w:r>
      <w:r>
        <w:rPr>
          <w:rFonts w:hint="eastAsia" w:hAnsi="宋体"/>
          <w:color w:val="auto"/>
          <w:sz w:val="22"/>
          <w:szCs w:val="22"/>
          <w:highlight w:val="none"/>
          <w:u w:val="single"/>
        </w:rPr>
        <w:t>（不包括暂列金额和安全文明施工费）</w:t>
      </w:r>
      <w:r>
        <w:rPr>
          <w:rFonts w:hint="eastAsia" w:hAnsi="宋体"/>
          <w:bCs/>
          <w:color w:val="auto"/>
          <w:sz w:val="22"/>
          <w:szCs w:val="22"/>
          <w:highlight w:val="none"/>
          <w:u w:val="single"/>
        </w:rPr>
        <w:t>。</w:t>
      </w:r>
    </w:p>
    <w:p w14:paraId="66F0F54B">
      <w:pPr>
        <w:pStyle w:val="20"/>
        <w:spacing w:line="440" w:lineRule="exact"/>
        <w:ind w:firstLine="420"/>
        <w:outlineLvl w:val="9"/>
        <w:rPr>
          <w:rFonts w:hAnsi="宋体"/>
          <w:color w:val="auto"/>
          <w:sz w:val="22"/>
          <w:szCs w:val="22"/>
          <w:highlight w:val="none"/>
          <w:u w:val="single"/>
        </w:rPr>
      </w:pPr>
      <w:r>
        <w:rPr>
          <w:rFonts w:hint="eastAsia" w:hAnsi="宋体"/>
          <w:color w:val="auto"/>
          <w:sz w:val="22"/>
          <w:szCs w:val="22"/>
          <w:highlight w:val="none"/>
        </w:rPr>
        <w:t>扣回预付工程款的时间、比例:</w:t>
      </w:r>
      <w:r>
        <w:rPr>
          <w:rFonts w:hint="eastAsia" w:hAnsi="宋体"/>
          <w:color w:val="auto"/>
          <w:sz w:val="22"/>
          <w:szCs w:val="22"/>
          <w:highlight w:val="none"/>
          <w:u w:val="single"/>
        </w:rPr>
        <w:t>　不扣回　。</w:t>
      </w:r>
    </w:p>
    <w:p w14:paraId="755A1D33">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12.2.2 预付款担保</w:t>
      </w:r>
    </w:p>
    <w:p w14:paraId="05ED1593">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承包人提交预付款担保的期限：</w:t>
      </w:r>
      <w:r>
        <w:rPr>
          <w:rFonts w:hint="eastAsia" w:ascii="宋体" w:hAnsi="宋体"/>
          <w:color w:val="auto"/>
          <w:sz w:val="22"/>
          <w:szCs w:val="22"/>
          <w:highlight w:val="none"/>
          <w:u w:val="single"/>
        </w:rPr>
        <w:t xml:space="preserve">    无                      </w:t>
      </w:r>
      <w:r>
        <w:rPr>
          <w:rFonts w:hint="eastAsia" w:ascii="宋体" w:hAnsi="宋体"/>
          <w:color w:val="auto"/>
          <w:sz w:val="22"/>
          <w:szCs w:val="22"/>
          <w:highlight w:val="none"/>
        </w:rPr>
        <w:t>。</w:t>
      </w:r>
    </w:p>
    <w:p w14:paraId="386D36DC">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预付款担保的形式为：</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50A668F2">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12.3 计量</w:t>
      </w:r>
    </w:p>
    <w:p w14:paraId="5F82F4B9">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12.3.1 计量原则</w:t>
      </w:r>
    </w:p>
    <w:p w14:paraId="56A767C3">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工程量计算规则：</w:t>
      </w:r>
      <w:r>
        <w:rPr>
          <w:rFonts w:hint="eastAsia" w:ascii="宋体" w:hAnsi="宋体"/>
          <w:b/>
          <w:color w:val="auto"/>
          <w:sz w:val="22"/>
          <w:szCs w:val="22"/>
          <w:highlight w:val="none"/>
          <w:u w:val="single"/>
        </w:rPr>
        <w:t>按图纸（如有）及变更联系单、建设工程工程量清单计价规范和工程量计算规范2013版，浙江省2018计价依据及浙江省、温州市的现行规定。</w:t>
      </w:r>
    </w:p>
    <w:p w14:paraId="33441068">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12.3.2 计量周期</w:t>
      </w:r>
    </w:p>
    <w:p w14:paraId="50F66545">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关于计量周期的约定：</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085D43F7">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12.3.3 单价合同的计量</w:t>
      </w:r>
    </w:p>
    <w:p w14:paraId="5C6083C7">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关于单价合同计量的约定：</w:t>
      </w:r>
      <w:r>
        <w:rPr>
          <w:rFonts w:hint="eastAsia" w:ascii="宋体" w:hAnsi="宋体"/>
          <w:color w:val="auto"/>
          <w:sz w:val="22"/>
          <w:szCs w:val="22"/>
          <w:highlight w:val="none"/>
          <w:u w:val="single"/>
        </w:rPr>
        <w:t xml:space="preserve"> 1）承包人前向发包人报送已完成的工程量报告，并附具进度付款申请单、已完成工程量报表和有关资料。</w:t>
      </w:r>
    </w:p>
    <w:p w14:paraId="36709B53">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u w:val="single"/>
        </w:rPr>
        <w:t>（2）监理人应在收到承包人提交的工程量报告后7天内完成对承包人提交的工程量报表的审核并报送发包人，以确定当月实际完成的工程量。发包人对工程量有异议的，有权要求承包人进行共同复核或抽样复测，承包人应协助发包人进行复核或抽样复测，并按发包人要求提供补充计量资料。承包人未按发包人要求参加复核或抽样复测的，发包人复核或修正的工程量视为承包人实际完成的工程量。</w:t>
      </w:r>
    </w:p>
    <w:p w14:paraId="3362773E">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u w:val="single"/>
        </w:rPr>
        <w:t>（3）发包人未在收到承包人提交的工程量报表后7天内完成审核的，承包人报送的工程量报告中的工程量视为承包人实际完成的工程量，据此计算工程价款。</w:t>
      </w:r>
    </w:p>
    <w:p w14:paraId="1C207F58">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12.3.4 总价合同的计量</w:t>
      </w:r>
    </w:p>
    <w:p w14:paraId="383D116B">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关于总价合同计量的约定：</w:t>
      </w:r>
      <w:r>
        <w:rPr>
          <w:rFonts w:hint="eastAsia" w:ascii="宋体" w:hAnsi="宋体"/>
          <w:color w:val="auto"/>
          <w:sz w:val="22"/>
          <w:szCs w:val="22"/>
          <w:highlight w:val="none"/>
          <w:u w:val="single"/>
        </w:rPr>
        <w:t xml:space="preserve">不适用  </w:t>
      </w:r>
    </w:p>
    <w:p w14:paraId="5C1FEDD1">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12.3.5总价合同采用支付分解表计量支付的，是否适用第12.3.4 项〔总价合同的计量〕约定进行计量：</w:t>
      </w:r>
      <w:r>
        <w:rPr>
          <w:rFonts w:hint="eastAsia" w:ascii="宋体" w:hAnsi="宋体"/>
          <w:color w:val="auto"/>
          <w:sz w:val="22"/>
          <w:szCs w:val="22"/>
          <w:highlight w:val="none"/>
          <w:u w:val="single"/>
        </w:rPr>
        <w:t xml:space="preserve">    不适用      </w:t>
      </w:r>
      <w:r>
        <w:rPr>
          <w:rFonts w:hint="eastAsia" w:ascii="宋体" w:hAnsi="宋体"/>
          <w:color w:val="auto"/>
          <w:sz w:val="22"/>
          <w:szCs w:val="22"/>
          <w:highlight w:val="none"/>
        </w:rPr>
        <w:t>。</w:t>
      </w:r>
    </w:p>
    <w:p w14:paraId="5969E334">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12.3.6 其他价格形式合同的计量</w:t>
      </w:r>
    </w:p>
    <w:p w14:paraId="70E222EA">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其他价格形式的计量方式和程序：</w:t>
      </w:r>
      <w:r>
        <w:rPr>
          <w:rFonts w:hint="eastAsia" w:ascii="宋体" w:hAnsi="宋体"/>
          <w:color w:val="auto"/>
          <w:sz w:val="22"/>
          <w:szCs w:val="22"/>
          <w:highlight w:val="none"/>
          <w:u w:val="single"/>
        </w:rPr>
        <w:t xml:space="preserve">    不适用      </w:t>
      </w:r>
      <w:r>
        <w:rPr>
          <w:rFonts w:hint="eastAsia" w:ascii="宋体" w:hAnsi="宋体"/>
          <w:color w:val="auto"/>
          <w:sz w:val="22"/>
          <w:szCs w:val="22"/>
          <w:highlight w:val="none"/>
        </w:rPr>
        <w:t>。</w:t>
      </w:r>
    </w:p>
    <w:p w14:paraId="067AB368">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12.4 工程进度款支付</w:t>
      </w:r>
    </w:p>
    <w:p w14:paraId="1B9284C1">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12.4.1 付款周期</w:t>
      </w:r>
    </w:p>
    <w:p w14:paraId="690F7099">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关于付款周期的约定：</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10765B31">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12.4.2 进度付款申请单的编制</w:t>
      </w:r>
    </w:p>
    <w:p w14:paraId="5BE61368">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关于进度付款申请单编制的约定：</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u w:val="single"/>
          <w:lang w:val="en-US" w:eastAsia="zh-CN"/>
        </w:rPr>
        <w:t xml:space="preserve">    </w:t>
      </w:r>
      <w:r>
        <w:rPr>
          <w:rFonts w:hint="eastAsia" w:ascii="宋体" w:hAnsi="宋体"/>
          <w:color w:val="auto"/>
          <w:sz w:val="22"/>
          <w:szCs w:val="22"/>
          <w:highlight w:val="none"/>
          <w:u w:val="single"/>
        </w:rPr>
        <w:t>。</w:t>
      </w:r>
    </w:p>
    <w:p w14:paraId="24F5D192">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12.4.3 进度付款申请单的提交</w:t>
      </w:r>
    </w:p>
    <w:p w14:paraId="6FD05980">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（1）单价合同进度付款申请单提交的约定：</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6D8E843F">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rPr>
        <w:t>（2）总价合同进度付款申请单提交的约定：</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30BB53F6">
      <w:pPr>
        <w:spacing w:line="440" w:lineRule="exact"/>
        <w:ind w:firstLine="420"/>
        <w:jc w:val="left"/>
        <w:outlineLvl w:val="9"/>
        <w:rPr>
          <w:rFonts w:hint="eastAsia" w:ascii="宋体" w:hAnsi="宋体"/>
          <w:color w:val="auto"/>
          <w:sz w:val="22"/>
          <w:szCs w:val="22"/>
          <w:highlight w:val="none"/>
        </w:rPr>
      </w:pPr>
      <w:r>
        <w:rPr>
          <w:rFonts w:hint="eastAsia" w:ascii="宋体" w:hAnsi="宋体"/>
          <w:color w:val="auto"/>
          <w:sz w:val="22"/>
          <w:szCs w:val="22"/>
          <w:highlight w:val="none"/>
        </w:rPr>
        <w:t>（3）其他价格形式合同进度付款申请单提交的约定：</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14611307">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12.4.4 进度款审核和支付</w:t>
      </w:r>
    </w:p>
    <w:p w14:paraId="2FCE972F">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（1）监理人审查并报送发包人的期限：</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w:t>
      </w:r>
    </w:p>
    <w:p w14:paraId="30DFD596">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发包人完成审批并签发进度款支付证书的期限：</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w:t>
      </w:r>
    </w:p>
    <w:p w14:paraId="4248DB43">
      <w:pPr>
        <w:snapToGrid w:val="0"/>
        <w:spacing w:line="440" w:lineRule="exact"/>
        <w:ind w:firstLine="420"/>
        <w:jc w:val="left"/>
        <w:outlineLvl w:val="9"/>
        <w:rPr>
          <w:rFonts w:hint="eastAsia" w:ascii="宋体" w:hAnsi="宋体"/>
          <w:b/>
          <w:color w:val="auto"/>
          <w:sz w:val="22"/>
          <w:szCs w:val="22"/>
          <w:highlight w:val="none"/>
          <w:u w:val="single"/>
        </w:rPr>
      </w:pPr>
      <w:r>
        <w:rPr>
          <w:rFonts w:hint="eastAsia" w:ascii="宋体" w:hAnsi="宋体"/>
          <w:color w:val="auto"/>
          <w:sz w:val="22"/>
          <w:szCs w:val="22"/>
          <w:highlight w:val="none"/>
        </w:rPr>
        <w:t>（2）发包人支付进度款的期限：</w:t>
      </w:r>
      <w:r>
        <w:rPr>
          <w:rFonts w:hint="eastAsia" w:ascii="宋体" w:hAnsi="宋体"/>
          <w:b/>
          <w:bCs/>
          <w:color w:val="auto"/>
          <w:sz w:val="22"/>
          <w:szCs w:val="22"/>
          <w:highlight w:val="none"/>
          <w:u w:val="single"/>
        </w:rPr>
        <w:t>合同签订</w:t>
      </w:r>
      <w:r>
        <w:rPr>
          <w:rFonts w:hint="eastAsia" w:ascii="宋体" w:hAnsi="宋体"/>
          <w:b/>
          <w:bCs/>
          <w:color w:val="auto"/>
          <w:sz w:val="22"/>
          <w:szCs w:val="22"/>
          <w:highlight w:val="none"/>
          <w:u w:val="single"/>
          <w:lang w:val="en-US" w:eastAsia="zh-CN"/>
        </w:rPr>
        <w:t>并</w:t>
      </w:r>
      <w:r>
        <w:rPr>
          <w:rFonts w:hint="eastAsia" w:ascii="宋体" w:hAnsi="宋体"/>
          <w:b/>
          <w:color w:val="auto"/>
          <w:sz w:val="22"/>
          <w:szCs w:val="22"/>
          <w:highlight w:val="none"/>
          <w:u w:val="single"/>
          <w:lang w:val="en-US" w:eastAsia="zh-CN"/>
        </w:rPr>
        <w:t>待财政资金下达后</w:t>
      </w:r>
      <w:r>
        <w:rPr>
          <w:rFonts w:hint="eastAsia" w:ascii="宋体" w:hAnsi="宋体"/>
          <w:b/>
          <w:color w:val="auto"/>
          <w:sz w:val="22"/>
          <w:szCs w:val="22"/>
          <w:highlight w:val="none"/>
          <w:u w:val="single"/>
        </w:rPr>
        <w:t>支付合同总额</w:t>
      </w:r>
      <w:r>
        <w:rPr>
          <w:rFonts w:ascii="宋体" w:hAnsi="宋体"/>
          <w:b/>
          <w:color w:val="auto"/>
          <w:sz w:val="22"/>
          <w:szCs w:val="22"/>
          <w:highlight w:val="none"/>
          <w:u w:val="single"/>
        </w:rPr>
        <w:t>30%</w:t>
      </w:r>
      <w:r>
        <w:rPr>
          <w:rFonts w:hint="eastAsia" w:ascii="宋体" w:hAnsi="宋体"/>
          <w:b/>
          <w:color w:val="auto"/>
          <w:sz w:val="22"/>
          <w:szCs w:val="22"/>
          <w:highlight w:val="none"/>
          <w:u w:val="single"/>
        </w:rPr>
        <w:t>的预付款；工程竣工验收合格后</w:t>
      </w:r>
      <w:r>
        <w:rPr>
          <w:rFonts w:hint="eastAsia" w:ascii="宋体" w:hAnsi="宋体"/>
          <w:b/>
          <w:color w:val="auto"/>
          <w:sz w:val="22"/>
          <w:szCs w:val="22"/>
          <w:highlight w:val="none"/>
          <w:u w:val="single"/>
          <w:lang w:eastAsia="zh-CN"/>
        </w:rPr>
        <w:t>，</w:t>
      </w:r>
      <w:r>
        <w:rPr>
          <w:rFonts w:hint="eastAsia" w:ascii="宋体" w:hAnsi="宋体"/>
          <w:b/>
          <w:color w:val="auto"/>
          <w:sz w:val="22"/>
          <w:szCs w:val="22"/>
          <w:highlight w:val="none"/>
          <w:u w:val="single"/>
          <w:lang w:val="en-US" w:eastAsia="zh-CN"/>
        </w:rPr>
        <w:t>待财政资金下达后</w:t>
      </w:r>
      <w:r>
        <w:rPr>
          <w:rFonts w:hint="eastAsia" w:ascii="宋体" w:hAnsi="宋体"/>
          <w:b/>
          <w:color w:val="auto"/>
          <w:sz w:val="22"/>
          <w:szCs w:val="22"/>
          <w:highlight w:val="none"/>
          <w:u w:val="single"/>
        </w:rPr>
        <w:t>支付至</w:t>
      </w:r>
      <w:r>
        <w:rPr>
          <w:rFonts w:hint="eastAsia" w:ascii="宋体" w:hAnsi="宋体"/>
          <w:b/>
          <w:color w:val="auto"/>
          <w:sz w:val="22"/>
          <w:szCs w:val="22"/>
          <w:highlight w:val="none"/>
          <w:u w:val="single"/>
          <w:lang w:val="en-US" w:eastAsia="zh-CN"/>
        </w:rPr>
        <w:t>合同总额</w:t>
      </w:r>
      <w:r>
        <w:rPr>
          <w:rFonts w:hint="eastAsia" w:ascii="宋体" w:hAnsi="宋体"/>
          <w:b/>
          <w:color w:val="auto"/>
          <w:sz w:val="22"/>
          <w:szCs w:val="22"/>
          <w:highlight w:val="none"/>
          <w:u w:val="single"/>
        </w:rPr>
        <w:t>80%的工程</w:t>
      </w:r>
      <w:r>
        <w:rPr>
          <w:rFonts w:hint="eastAsia" w:ascii="宋体" w:hAnsi="宋体"/>
          <w:b/>
          <w:color w:val="auto"/>
          <w:sz w:val="22"/>
          <w:szCs w:val="22"/>
          <w:highlight w:val="none"/>
          <w:u w:val="single"/>
          <w:lang w:val="en-US" w:eastAsia="zh-CN"/>
        </w:rPr>
        <w:t>进度</w:t>
      </w:r>
      <w:r>
        <w:rPr>
          <w:rFonts w:hint="eastAsia" w:ascii="宋体" w:hAnsi="宋体"/>
          <w:b/>
          <w:color w:val="auto"/>
          <w:sz w:val="22"/>
          <w:szCs w:val="22"/>
          <w:highlight w:val="none"/>
          <w:u w:val="single"/>
        </w:rPr>
        <w:t>款；竣工结算完成后，付至结算价</w:t>
      </w:r>
      <w:r>
        <w:rPr>
          <w:rFonts w:hint="eastAsia" w:ascii="宋体" w:hAnsi="宋体"/>
          <w:b/>
          <w:color w:val="auto"/>
          <w:sz w:val="22"/>
          <w:szCs w:val="22"/>
          <w:highlight w:val="none"/>
          <w:u w:val="single"/>
          <w:lang w:eastAsia="zh-CN"/>
        </w:rPr>
        <w:t>（</w:t>
      </w:r>
      <w:r>
        <w:rPr>
          <w:rFonts w:hint="eastAsia" w:ascii="宋体" w:hAnsi="宋体"/>
          <w:b/>
          <w:color w:val="auto"/>
          <w:sz w:val="22"/>
          <w:szCs w:val="22"/>
          <w:highlight w:val="none"/>
          <w:u w:val="single"/>
          <w:lang w:val="en-US" w:eastAsia="zh-CN"/>
        </w:rPr>
        <w:t>以第三方审计为准</w:t>
      </w:r>
      <w:r>
        <w:rPr>
          <w:rFonts w:hint="eastAsia" w:ascii="宋体" w:hAnsi="宋体"/>
          <w:b/>
          <w:color w:val="auto"/>
          <w:sz w:val="22"/>
          <w:szCs w:val="22"/>
          <w:highlight w:val="none"/>
          <w:u w:val="single"/>
          <w:lang w:eastAsia="zh-CN"/>
        </w:rPr>
        <w:t>）</w:t>
      </w:r>
      <w:r>
        <w:rPr>
          <w:rFonts w:hint="eastAsia" w:ascii="宋体" w:hAnsi="宋体"/>
          <w:b/>
          <w:color w:val="auto"/>
          <w:sz w:val="22"/>
          <w:szCs w:val="22"/>
          <w:highlight w:val="none"/>
          <w:u w:val="single"/>
        </w:rPr>
        <w:t>的100%，同时无息退还履约保证金，承包人另行提交结算款的1.5%（允许使用银行转账或保函）作为工程质量保修金（不计利息）。 竣工验收完成后2个月内必须提交工程结算资料，否则迟一天罚款1000元人民币。</w:t>
      </w:r>
    </w:p>
    <w:p w14:paraId="19DED169">
      <w:pPr>
        <w:snapToGrid w:val="0"/>
        <w:spacing w:line="440" w:lineRule="exact"/>
        <w:ind w:firstLine="420"/>
        <w:jc w:val="left"/>
        <w:outlineLvl w:val="9"/>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二年保修期满后</w:t>
      </w:r>
      <w:r>
        <w:rPr>
          <w:rFonts w:hint="eastAsia" w:ascii="宋体" w:hAnsi="宋体"/>
          <w:b/>
          <w:color w:val="auto"/>
          <w:sz w:val="22"/>
          <w:szCs w:val="22"/>
          <w:highlight w:val="none"/>
          <w:u w:val="single"/>
        </w:rPr>
        <w:t>，扣除由发包人垫付的应由承包人承担的维修款后，一次性退还（保修期从竣工验收存在问题全部整改完成并经核实之日起开始计算）。</w:t>
      </w:r>
    </w:p>
    <w:p w14:paraId="18B27B15">
      <w:pPr>
        <w:snapToGrid w:val="0"/>
        <w:spacing w:line="440" w:lineRule="exact"/>
        <w:ind w:firstLine="422"/>
        <w:jc w:val="left"/>
        <w:outlineLvl w:val="9"/>
        <w:rPr>
          <w:rFonts w:ascii="宋体" w:hAnsi="宋体"/>
          <w:b/>
          <w:color w:val="auto"/>
          <w:sz w:val="22"/>
          <w:szCs w:val="22"/>
          <w:highlight w:val="none"/>
          <w:u w:val="single"/>
        </w:rPr>
      </w:pPr>
      <w:r>
        <w:rPr>
          <w:rFonts w:hint="eastAsia" w:ascii="宋体" w:hAnsi="宋体"/>
          <w:b/>
          <w:color w:val="auto"/>
          <w:sz w:val="22"/>
          <w:szCs w:val="22"/>
          <w:highlight w:val="none"/>
          <w:u w:val="single"/>
        </w:rPr>
        <w:t>保修期期间如出现质量问题，承包人在接到发包人维修通知后2天内没有响应，发包人将自行委托维修，费用在工程质量保修金中扣除，并加收50%管理费用。</w:t>
      </w:r>
    </w:p>
    <w:p w14:paraId="74504EDE">
      <w:pPr>
        <w:snapToGrid w:val="0"/>
        <w:spacing w:line="440" w:lineRule="exact"/>
        <w:ind w:firstLine="422"/>
        <w:jc w:val="left"/>
        <w:outlineLvl w:val="9"/>
        <w:rPr>
          <w:rFonts w:hint="eastAsia" w:ascii="宋体" w:hAnsi="宋体"/>
          <w:b/>
          <w:color w:val="auto"/>
          <w:sz w:val="22"/>
          <w:szCs w:val="22"/>
          <w:highlight w:val="none"/>
          <w:u w:val="single"/>
        </w:rPr>
      </w:pPr>
      <w:r>
        <w:rPr>
          <w:rFonts w:hint="eastAsia" w:ascii="宋体" w:hAnsi="宋体"/>
          <w:b/>
          <w:color w:val="auto"/>
          <w:sz w:val="22"/>
          <w:szCs w:val="22"/>
          <w:highlight w:val="none"/>
          <w:u w:val="single"/>
        </w:rPr>
        <w:t>承包人在预验收后，应该清运建筑垃圾及可能影响其他工程施工的材料。否则发包人有权自行处理，费用由承包人承担。</w:t>
      </w:r>
    </w:p>
    <w:p w14:paraId="6BBD148C">
      <w:pPr>
        <w:spacing w:line="440" w:lineRule="exact"/>
        <w:ind w:firstLine="550" w:firstLineChars="250"/>
        <w:jc w:val="left"/>
        <w:outlineLvl w:val="9"/>
        <w:rPr>
          <w:rFonts w:ascii="宋体" w:hAnsi="宋体"/>
          <w:color w:val="auto"/>
          <w:sz w:val="22"/>
          <w:szCs w:val="22"/>
          <w:highlight w:val="none"/>
          <w:u w:val="single"/>
        </w:rPr>
      </w:pPr>
      <w:r>
        <w:rPr>
          <w:rFonts w:hint="eastAsia" w:ascii="宋体" w:hAnsi="宋体"/>
          <w:color w:val="auto"/>
          <w:sz w:val="22"/>
          <w:szCs w:val="22"/>
          <w:highlight w:val="none"/>
        </w:rPr>
        <w:t>发包人逾期支付进度款的违约金的计算方式：</w:t>
      </w:r>
      <w:r>
        <w:rPr>
          <w:rFonts w:hint="eastAsia" w:ascii="宋体" w:hAnsi="宋体"/>
          <w:color w:val="auto"/>
          <w:sz w:val="22"/>
          <w:szCs w:val="22"/>
          <w:highlight w:val="none"/>
          <w:u w:val="single"/>
        </w:rPr>
        <w:t xml:space="preserve">   按通用条款   </w:t>
      </w:r>
      <w:r>
        <w:rPr>
          <w:rFonts w:hint="eastAsia" w:ascii="宋体" w:hAnsi="宋体"/>
          <w:color w:val="auto"/>
          <w:sz w:val="22"/>
          <w:szCs w:val="22"/>
          <w:highlight w:val="none"/>
        </w:rPr>
        <w:t>。</w:t>
      </w:r>
    </w:p>
    <w:p w14:paraId="262CEA1E">
      <w:pPr>
        <w:spacing w:line="440" w:lineRule="exact"/>
        <w:ind w:firstLine="550" w:firstLineChars="250"/>
        <w:jc w:val="left"/>
        <w:outlineLvl w:val="9"/>
        <w:rPr>
          <w:rFonts w:ascii="宋体" w:hAnsi="宋体"/>
          <w:color w:val="auto"/>
          <w:sz w:val="22"/>
          <w:szCs w:val="22"/>
          <w:highlight w:val="none"/>
        </w:rPr>
      </w:pPr>
      <w:r>
        <w:rPr>
          <w:rFonts w:hint="eastAsia" w:ascii="宋体" w:hAnsi="宋体"/>
          <w:color w:val="auto"/>
          <w:sz w:val="22"/>
          <w:szCs w:val="22"/>
          <w:highlight w:val="none"/>
        </w:rPr>
        <w:t>12.4.6 支付分解表的编制</w:t>
      </w:r>
    </w:p>
    <w:p w14:paraId="7336F625">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2、总价合同支付分解表的编制与审批：</w:t>
      </w:r>
      <w:r>
        <w:rPr>
          <w:rFonts w:hint="eastAsia" w:ascii="宋体" w:hAnsi="宋体"/>
          <w:color w:val="auto"/>
          <w:sz w:val="22"/>
          <w:szCs w:val="22"/>
          <w:highlight w:val="none"/>
          <w:u w:val="single"/>
        </w:rPr>
        <w:t xml:space="preserve">     无          </w:t>
      </w:r>
      <w:r>
        <w:rPr>
          <w:rFonts w:hint="eastAsia" w:ascii="宋体" w:hAnsi="宋体"/>
          <w:color w:val="auto"/>
          <w:sz w:val="22"/>
          <w:szCs w:val="22"/>
          <w:highlight w:val="none"/>
        </w:rPr>
        <w:t>。</w:t>
      </w:r>
    </w:p>
    <w:p w14:paraId="760F8FFA">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3、单价合同的总价项目支付分解表的编制与审批：</w:t>
      </w:r>
      <w:r>
        <w:rPr>
          <w:rFonts w:hint="eastAsia" w:ascii="宋体" w:hAnsi="宋体"/>
          <w:color w:val="auto"/>
          <w:sz w:val="22"/>
          <w:szCs w:val="22"/>
          <w:highlight w:val="none"/>
          <w:u w:val="single"/>
        </w:rPr>
        <w:t xml:space="preserve">     无    </w:t>
      </w:r>
      <w:r>
        <w:rPr>
          <w:rFonts w:hint="eastAsia" w:ascii="宋体" w:hAnsi="宋体"/>
          <w:color w:val="auto"/>
          <w:sz w:val="22"/>
          <w:szCs w:val="22"/>
          <w:highlight w:val="none"/>
        </w:rPr>
        <w:t xml:space="preserve">  。</w:t>
      </w:r>
    </w:p>
    <w:p w14:paraId="415A6997">
      <w:pPr>
        <w:spacing w:before="0" w:after="0" w:line="440" w:lineRule="exact"/>
        <w:ind w:firstLine="422"/>
        <w:outlineLvl w:val="9"/>
        <w:rPr>
          <w:rFonts w:ascii="宋体" w:hAnsi="宋体" w:eastAsia="宋体"/>
          <w:color w:val="auto"/>
          <w:sz w:val="22"/>
          <w:szCs w:val="22"/>
          <w:highlight w:val="none"/>
        </w:rPr>
      </w:pPr>
      <w:r>
        <w:rPr>
          <w:rFonts w:hint="eastAsia" w:ascii="宋体" w:hAnsi="宋体" w:eastAsia="宋体"/>
          <w:color w:val="auto"/>
          <w:sz w:val="22"/>
          <w:szCs w:val="22"/>
          <w:highlight w:val="none"/>
        </w:rPr>
        <w:t>13. 验收和工程试车</w:t>
      </w:r>
    </w:p>
    <w:p w14:paraId="611D2584">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13.1 分部分项工程验收</w:t>
      </w:r>
    </w:p>
    <w:p w14:paraId="35E0EB14">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13.1.2监理人不能按时进行验收时，应提前</w:t>
      </w:r>
      <w:r>
        <w:rPr>
          <w:rFonts w:hint="eastAsia" w:ascii="宋体" w:hAnsi="宋体"/>
          <w:color w:val="auto"/>
          <w:sz w:val="22"/>
          <w:szCs w:val="22"/>
          <w:highlight w:val="none"/>
          <w:u w:val="single"/>
        </w:rPr>
        <w:t>24</w:t>
      </w:r>
      <w:r>
        <w:rPr>
          <w:rFonts w:hint="eastAsia" w:ascii="宋体" w:hAnsi="宋体"/>
          <w:color w:val="auto"/>
          <w:sz w:val="22"/>
          <w:szCs w:val="22"/>
          <w:highlight w:val="none"/>
        </w:rPr>
        <w:t>小时提交书面延期要求。</w:t>
      </w:r>
    </w:p>
    <w:p w14:paraId="4D2AB149">
      <w:pPr>
        <w:spacing w:line="440" w:lineRule="exact"/>
        <w:ind w:firstLine="420"/>
        <w:jc w:val="left"/>
        <w:outlineLvl w:val="9"/>
        <w:rPr>
          <w:rFonts w:ascii="宋体" w:hAnsi="宋体"/>
          <w:b/>
          <w:color w:val="auto"/>
          <w:sz w:val="22"/>
          <w:szCs w:val="22"/>
          <w:highlight w:val="none"/>
        </w:rPr>
      </w:pPr>
      <w:r>
        <w:rPr>
          <w:rFonts w:hint="eastAsia" w:ascii="宋体" w:hAnsi="宋体"/>
          <w:color w:val="auto"/>
          <w:sz w:val="22"/>
          <w:szCs w:val="22"/>
          <w:highlight w:val="none"/>
        </w:rPr>
        <w:t>关于延期最长不得超过：</w:t>
      </w:r>
      <w:r>
        <w:rPr>
          <w:rFonts w:hint="eastAsia" w:ascii="宋体" w:hAnsi="宋体"/>
          <w:color w:val="auto"/>
          <w:sz w:val="22"/>
          <w:szCs w:val="22"/>
          <w:highlight w:val="none"/>
          <w:u w:val="single"/>
        </w:rPr>
        <w:t>48</w:t>
      </w:r>
      <w:r>
        <w:rPr>
          <w:rFonts w:hint="eastAsia" w:ascii="宋体" w:hAnsi="宋体"/>
          <w:color w:val="auto"/>
          <w:sz w:val="22"/>
          <w:szCs w:val="22"/>
          <w:highlight w:val="none"/>
        </w:rPr>
        <w:t>小时。</w:t>
      </w:r>
    </w:p>
    <w:p w14:paraId="49E83B05">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13.2 竣工验收</w:t>
      </w:r>
    </w:p>
    <w:p w14:paraId="5A086785">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13.2.2竣工验收程序</w:t>
      </w:r>
    </w:p>
    <w:p w14:paraId="3E4D7F3C">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关于竣工验收程序的约定：</w:t>
      </w:r>
      <w:r>
        <w:rPr>
          <w:rFonts w:hint="eastAsia" w:ascii="宋体" w:hAnsi="宋体"/>
          <w:color w:val="auto"/>
          <w:sz w:val="22"/>
          <w:szCs w:val="22"/>
          <w:highlight w:val="none"/>
          <w:u w:val="single"/>
        </w:rPr>
        <w:t>按通用合同条款第13.2.2款执行。</w:t>
      </w:r>
    </w:p>
    <w:p w14:paraId="5B314F91">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发包人不按照本项约定组织竣工验收、颁发工程接收证书的违约金的计算方法：</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w:t>
      </w:r>
    </w:p>
    <w:p w14:paraId="36D72F5D">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13.2.5移交、接收全部与部分工程</w:t>
      </w:r>
    </w:p>
    <w:p w14:paraId="0F96E5B5">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承包人向发包人移交工程的期限：</w:t>
      </w:r>
      <w:r>
        <w:rPr>
          <w:rFonts w:hint="eastAsia" w:ascii="宋体" w:hAnsi="宋体"/>
          <w:color w:val="auto"/>
          <w:sz w:val="22"/>
          <w:szCs w:val="22"/>
          <w:highlight w:val="none"/>
          <w:u w:val="single"/>
        </w:rPr>
        <w:t>在颁发工程接收证书后7天内完成</w:t>
      </w:r>
      <w:r>
        <w:rPr>
          <w:rFonts w:hint="eastAsia" w:ascii="宋体" w:hAnsi="宋体"/>
          <w:color w:val="auto"/>
          <w:sz w:val="22"/>
          <w:szCs w:val="22"/>
          <w:highlight w:val="none"/>
        </w:rPr>
        <w:t>。</w:t>
      </w:r>
    </w:p>
    <w:p w14:paraId="54F6E50B">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发包人未按本合同约定接收全部或部分工程的，违约金的计算方法为：</w:t>
      </w:r>
      <w:r>
        <w:rPr>
          <w:rFonts w:hint="eastAsia" w:ascii="宋体" w:hAnsi="宋体"/>
          <w:color w:val="auto"/>
          <w:sz w:val="22"/>
          <w:szCs w:val="22"/>
          <w:highlight w:val="none"/>
          <w:u w:val="single"/>
        </w:rPr>
        <w:t>按通用合同条款第13.2.5款执行。</w:t>
      </w:r>
    </w:p>
    <w:p w14:paraId="2E8C38FD">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承包人未按时移交工程的，违约金的计算方法为：</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25BF89E8">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13.3 工程试车</w:t>
      </w:r>
    </w:p>
    <w:p w14:paraId="705CACB0">
      <w:pPr>
        <w:spacing w:line="440" w:lineRule="exact"/>
        <w:ind w:firstLine="420"/>
        <w:jc w:val="left"/>
        <w:outlineLvl w:val="9"/>
        <w:rPr>
          <w:rFonts w:hint="eastAsia" w:ascii="宋体" w:hAnsi="宋体"/>
          <w:color w:val="auto"/>
          <w:sz w:val="22"/>
          <w:szCs w:val="22"/>
          <w:highlight w:val="none"/>
        </w:rPr>
      </w:pPr>
      <w:r>
        <w:rPr>
          <w:rFonts w:hint="eastAsia" w:ascii="宋体" w:hAnsi="宋体"/>
          <w:color w:val="auto"/>
          <w:sz w:val="22"/>
          <w:szCs w:val="22"/>
          <w:highlight w:val="none"/>
        </w:rPr>
        <w:t>无。</w:t>
      </w:r>
    </w:p>
    <w:p w14:paraId="46C9037D">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13.6 竣工退场</w:t>
      </w:r>
    </w:p>
    <w:p w14:paraId="22E371AE">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13.6.1 竣工退场</w:t>
      </w:r>
    </w:p>
    <w:p w14:paraId="5EC3D9DD">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承包人完成竣工退场的期限：</w:t>
      </w:r>
      <w:r>
        <w:rPr>
          <w:rFonts w:hint="eastAsia" w:ascii="宋体" w:hAnsi="宋体"/>
          <w:color w:val="auto"/>
          <w:sz w:val="22"/>
          <w:szCs w:val="22"/>
          <w:highlight w:val="none"/>
          <w:u w:val="single"/>
        </w:rPr>
        <w:t>颁发工程接收证书后28天内</w:t>
      </w:r>
      <w:r>
        <w:rPr>
          <w:rFonts w:hint="eastAsia" w:ascii="宋体" w:hAnsi="宋体"/>
          <w:color w:val="auto"/>
          <w:sz w:val="22"/>
          <w:szCs w:val="22"/>
          <w:highlight w:val="none"/>
        </w:rPr>
        <w:t>。</w:t>
      </w:r>
    </w:p>
    <w:p w14:paraId="3E9E807F">
      <w:pPr>
        <w:spacing w:before="0" w:after="0" w:line="440" w:lineRule="exact"/>
        <w:ind w:firstLine="422"/>
        <w:outlineLvl w:val="9"/>
        <w:rPr>
          <w:rFonts w:ascii="宋体" w:hAnsi="宋体" w:eastAsia="宋体"/>
          <w:color w:val="auto"/>
          <w:sz w:val="22"/>
          <w:szCs w:val="22"/>
          <w:highlight w:val="none"/>
        </w:rPr>
      </w:pPr>
      <w:r>
        <w:rPr>
          <w:rFonts w:hint="eastAsia" w:ascii="宋体" w:hAnsi="宋体" w:eastAsia="宋体"/>
          <w:color w:val="auto"/>
          <w:sz w:val="22"/>
          <w:szCs w:val="22"/>
          <w:highlight w:val="none"/>
        </w:rPr>
        <w:t>14. 竣工结算</w:t>
      </w:r>
    </w:p>
    <w:p w14:paraId="4D5D61B9">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14.1 竣工付款申请</w:t>
      </w:r>
    </w:p>
    <w:p w14:paraId="6F48D595">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承包人提交竣工付款申请单的期限：</w:t>
      </w:r>
    </w:p>
    <w:p w14:paraId="0C9554BF">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u w:val="single"/>
        </w:rPr>
        <w:t>1)承包人完成本合同约定工程内容并经竣工验收合格后7天内，承包人应当及时提交合同价款结算报告。承包人逾期没有提交合同价款结算报告的，发包人应当以书面方式予以催促，经催促后28天内仍未提交的，发包人可自行或委托工程造价咨询机构编制合同价款结算报告并提交政府职能部门审核。</w:t>
      </w:r>
    </w:p>
    <w:p w14:paraId="15D2FD15">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u w:val="single"/>
        </w:rPr>
        <w:t>2)承包人提交合同价款结算报告应当符合浙江省建设工程造价咨询成果操作规程关于结算技术文件的规定格式要求。</w:t>
      </w:r>
    </w:p>
    <w:p w14:paraId="799C3A49">
      <w:pPr>
        <w:spacing w:line="440" w:lineRule="exact"/>
        <w:ind w:firstLine="444" w:firstLineChars="202"/>
        <w:outlineLvl w:val="9"/>
        <w:rPr>
          <w:rFonts w:hint="eastAsia" w:ascii="宋体" w:hAnsi="宋体"/>
          <w:color w:val="auto"/>
          <w:sz w:val="22"/>
          <w:szCs w:val="22"/>
          <w:highlight w:val="none"/>
          <w:u w:val="single"/>
        </w:rPr>
      </w:pPr>
      <w:r>
        <w:rPr>
          <w:rFonts w:hint="eastAsia" w:ascii="宋体" w:hAnsi="宋体"/>
          <w:color w:val="auto"/>
          <w:sz w:val="22"/>
          <w:szCs w:val="22"/>
          <w:highlight w:val="none"/>
          <w:u w:val="single"/>
        </w:rPr>
        <w:t>3)承包人提交合同价款结算报告应当同时附有经监理工程师确认完整的工程竣工验收资料移交清单和工程合同履行文件移交清单。</w:t>
      </w:r>
    </w:p>
    <w:p w14:paraId="3579977F">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u w:val="single"/>
        </w:rPr>
        <w:t>4)发包人接到承包人合同价款结算报告后，应当在7天内就其完整性、真实性做出审核意见并提交政府职能部门审核。发包人可以要求承包人在7天内修正结算报告或进一步补充结算资料，承包人应当修正或按要求补充资料。承包人逾期或未提交修正意见或结算资料的，视为放弃相应的权利。</w:t>
      </w:r>
    </w:p>
    <w:p w14:paraId="7BF8B549">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u w:val="single"/>
        </w:rPr>
        <w:t>5)发包人提交合同价款结算报告及完整结算资料后，根据</w:t>
      </w:r>
      <w:r>
        <w:rPr>
          <w:rFonts w:hint="eastAsia" w:ascii="宋体" w:hAnsi="宋体"/>
          <w:color w:val="auto"/>
          <w:sz w:val="22"/>
          <w:szCs w:val="22"/>
          <w:highlight w:val="none"/>
          <w:u w:val="single"/>
          <w:lang w:eastAsia="zh-CN"/>
        </w:rPr>
        <w:t>有关</w:t>
      </w:r>
      <w:r>
        <w:rPr>
          <w:rFonts w:hint="eastAsia" w:ascii="宋体" w:hAnsi="宋体"/>
          <w:color w:val="auto"/>
          <w:sz w:val="22"/>
          <w:szCs w:val="22"/>
          <w:highlight w:val="none"/>
          <w:u w:val="single"/>
        </w:rPr>
        <w:t>部门的相关规定执行。</w:t>
      </w:r>
    </w:p>
    <w:p w14:paraId="13D6B2FE">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u w:val="single"/>
        </w:rPr>
        <w:t>6)承包人合同价款结算报告经审核后，核减率超过百分之五的，超过部分的审核费用及核增部分的审核费用由承包人承担，发包人可直接在结算尾款中予以扣除。</w:t>
      </w:r>
    </w:p>
    <w:p w14:paraId="1F83C75D">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u w:val="single"/>
        </w:rPr>
        <w:t>7)承发包双方办理工程结算完毕后，发包人按照《</w:t>
      </w:r>
      <w:r>
        <w:rPr>
          <w:rFonts w:ascii="宋体" w:hAnsi="宋体"/>
          <w:color w:val="auto"/>
          <w:sz w:val="22"/>
          <w:szCs w:val="22"/>
          <w:highlight w:val="none"/>
          <w:u w:val="single"/>
        </w:rPr>
        <w:t>关于转发《浙江省国有投资建设工程招标控制价、成交价、竣工结算价信息报送和公开管理办法》的通知</w:t>
      </w:r>
      <w:r>
        <w:rPr>
          <w:rFonts w:hint="eastAsia" w:ascii="宋体" w:hAnsi="宋体"/>
          <w:color w:val="auto"/>
          <w:sz w:val="22"/>
          <w:szCs w:val="22"/>
          <w:highlight w:val="none"/>
          <w:u w:val="single"/>
        </w:rPr>
        <w:t>》（温住建发[2013]2号）的规定执行。</w:t>
      </w:r>
    </w:p>
    <w:p w14:paraId="7116BEBE">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14.2.2发包人完成竣工付款的期限：</w:t>
      </w:r>
      <w:r>
        <w:rPr>
          <w:rFonts w:hint="eastAsia" w:ascii="宋体" w:hAnsi="宋体"/>
          <w:color w:val="auto"/>
          <w:sz w:val="22"/>
          <w:szCs w:val="22"/>
          <w:highlight w:val="none"/>
          <w:u w:val="single"/>
        </w:rPr>
        <w:t>按通用合同条款第14.2款执行</w:t>
      </w:r>
      <w:r>
        <w:rPr>
          <w:rFonts w:hint="eastAsia" w:ascii="宋体" w:hAnsi="宋体"/>
          <w:color w:val="auto"/>
          <w:sz w:val="22"/>
          <w:szCs w:val="22"/>
          <w:highlight w:val="none"/>
        </w:rPr>
        <w:t>。</w:t>
      </w:r>
    </w:p>
    <w:p w14:paraId="3FBBF803">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14.2.3关于竣工付款证书异议部分复核的方式和程序：</w:t>
      </w:r>
      <w:r>
        <w:rPr>
          <w:rFonts w:hint="eastAsia" w:ascii="宋体" w:hAnsi="宋体"/>
          <w:color w:val="auto"/>
          <w:sz w:val="22"/>
          <w:szCs w:val="22"/>
          <w:highlight w:val="none"/>
          <w:u w:val="single"/>
        </w:rPr>
        <w:t>按通用合同条款第14.2款执行</w:t>
      </w:r>
      <w:r>
        <w:rPr>
          <w:rFonts w:hint="eastAsia" w:ascii="宋体" w:hAnsi="宋体"/>
          <w:color w:val="auto"/>
          <w:sz w:val="22"/>
          <w:szCs w:val="22"/>
          <w:highlight w:val="none"/>
        </w:rPr>
        <w:t>。</w:t>
      </w:r>
    </w:p>
    <w:p w14:paraId="21978565">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14.4 最终结清</w:t>
      </w:r>
    </w:p>
    <w:p w14:paraId="3862DE6A">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14.4.1 最终结清申请单</w:t>
      </w:r>
    </w:p>
    <w:p w14:paraId="4A52E6BB">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承包人提交最终结清申请单的份数：</w:t>
      </w:r>
      <w:r>
        <w:rPr>
          <w:rFonts w:hint="eastAsia" w:ascii="宋体" w:hAnsi="宋体"/>
          <w:color w:val="auto"/>
          <w:sz w:val="22"/>
          <w:szCs w:val="22"/>
          <w:highlight w:val="none"/>
          <w:u w:val="single"/>
        </w:rPr>
        <w:t xml:space="preserve">   待定      </w:t>
      </w:r>
      <w:r>
        <w:rPr>
          <w:rFonts w:hint="eastAsia" w:ascii="宋体" w:hAnsi="宋体"/>
          <w:color w:val="auto"/>
          <w:sz w:val="22"/>
          <w:szCs w:val="22"/>
          <w:highlight w:val="none"/>
        </w:rPr>
        <w:t>。</w:t>
      </w:r>
    </w:p>
    <w:p w14:paraId="60BFEC74">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承包人提交最终结算申请单的期限：</w:t>
      </w:r>
      <w:r>
        <w:rPr>
          <w:rFonts w:hint="eastAsia" w:ascii="宋体" w:hAnsi="宋体"/>
          <w:color w:val="auto"/>
          <w:sz w:val="22"/>
          <w:szCs w:val="22"/>
          <w:highlight w:val="none"/>
          <w:u w:val="single"/>
        </w:rPr>
        <w:t>在缺陷责任期终止证书颁发后7天内</w:t>
      </w:r>
      <w:r>
        <w:rPr>
          <w:rFonts w:hint="eastAsia" w:ascii="宋体" w:hAnsi="宋体"/>
          <w:color w:val="auto"/>
          <w:sz w:val="22"/>
          <w:szCs w:val="22"/>
          <w:highlight w:val="none"/>
        </w:rPr>
        <w:t xml:space="preserve">。 </w:t>
      </w:r>
    </w:p>
    <w:p w14:paraId="61353D7B">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14.4.2 最终结清证书和支付</w:t>
      </w:r>
    </w:p>
    <w:p w14:paraId="52F3E2C3">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（1）发包人完成最终结清申请单的审批并颁发最终结清证书的期限：</w:t>
      </w:r>
      <w:r>
        <w:rPr>
          <w:rFonts w:hint="eastAsia" w:ascii="宋体" w:hAnsi="宋体"/>
          <w:color w:val="auto"/>
          <w:sz w:val="22"/>
          <w:szCs w:val="22"/>
          <w:highlight w:val="none"/>
          <w:u w:val="single"/>
        </w:rPr>
        <w:t>收到承包人提交的最终结算申请单后14天内</w:t>
      </w:r>
      <w:r>
        <w:rPr>
          <w:rFonts w:hint="eastAsia" w:ascii="宋体" w:hAnsi="宋体"/>
          <w:color w:val="auto"/>
          <w:sz w:val="22"/>
          <w:szCs w:val="22"/>
          <w:highlight w:val="none"/>
        </w:rPr>
        <w:t>。</w:t>
      </w:r>
    </w:p>
    <w:p w14:paraId="770CCAAA">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（2）发包人完成支付的期限：</w:t>
      </w:r>
      <w:r>
        <w:rPr>
          <w:rFonts w:hint="eastAsia" w:ascii="宋体" w:hAnsi="宋体"/>
          <w:color w:val="auto"/>
          <w:sz w:val="22"/>
          <w:szCs w:val="22"/>
          <w:highlight w:val="none"/>
          <w:u w:val="single"/>
        </w:rPr>
        <w:t>颁发最终结清证书后7天内</w:t>
      </w:r>
      <w:r>
        <w:rPr>
          <w:rFonts w:hint="eastAsia" w:ascii="宋体" w:hAnsi="宋体"/>
          <w:color w:val="auto"/>
          <w:sz w:val="22"/>
          <w:szCs w:val="22"/>
          <w:highlight w:val="none"/>
        </w:rPr>
        <w:t>。</w:t>
      </w:r>
    </w:p>
    <w:p w14:paraId="7C091639">
      <w:pPr>
        <w:spacing w:before="0" w:after="0" w:line="440" w:lineRule="exact"/>
        <w:ind w:firstLine="422"/>
        <w:outlineLvl w:val="9"/>
        <w:rPr>
          <w:rFonts w:ascii="宋体" w:hAnsi="宋体" w:eastAsia="宋体"/>
          <w:color w:val="auto"/>
          <w:sz w:val="22"/>
          <w:szCs w:val="22"/>
          <w:highlight w:val="none"/>
        </w:rPr>
      </w:pPr>
      <w:r>
        <w:rPr>
          <w:rFonts w:hint="eastAsia" w:ascii="宋体" w:hAnsi="宋体" w:eastAsia="宋体"/>
          <w:color w:val="auto"/>
          <w:sz w:val="22"/>
          <w:szCs w:val="22"/>
          <w:highlight w:val="none"/>
        </w:rPr>
        <w:t>15. 缺陷责任期与保修</w:t>
      </w:r>
    </w:p>
    <w:p w14:paraId="3F1F6D01">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15.2缺陷责任期</w:t>
      </w:r>
    </w:p>
    <w:p w14:paraId="1C4738BC">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缺陷责任期的具体期限：</w:t>
      </w:r>
      <w:r>
        <w:rPr>
          <w:rFonts w:hint="eastAsia" w:ascii="宋体" w:hAnsi="宋体"/>
          <w:color w:val="auto"/>
          <w:sz w:val="22"/>
          <w:szCs w:val="22"/>
          <w:highlight w:val="none"/>
          <w:u w:val="single"/>
        </w:rPr>
        <w:t>自实际竣工日期起24个月</w:t>
      </w:r>
      <w:r>
        <w:rPr>
          <w:rFonts w:hint="eastAsia" w:ascii="宋体" w:hAnsi="宋体"/>
          <w:color w:val="auto"/>
          <w:sz w:val="22"/>
          <w:szCs w:val="22"/>
          <w:highlight w:val="none"/>
        </w:rPr>
        <w:t>。</w:t>
      </w:r>
    </w:p>
    <w:p w14:paraId="563ED757">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15.3 质量保证金</w:t>
      </w:r>
    </w:p>
    <w:p w14:paraId="6A520D25">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关于是否扣留质量保证金的约定：</w:t>
      </w:r>
      <w:r>
        <w:rPr>
          <w:rFonts w:hint="eastAsia" w:ascii="宋体" w:hAnsi="宋体"/>
          <w:color w:val="auto"/>
          <w:sz w:val="22"/>
          <w:szCs w:val="22"/>
          <w:highlight w:val="none"/>
          <w:u w:val="single"/>
        </w:rPr>
        <w:t xml:space="preserve">  是   </w:t>
      </w:r>
      <w:r>
        <w:rPr>
          <w:rFonts w:hint="eastAsia" w:ascii="宋体" w:hAnsi="宋体"/>
          <w:color w:val="auto"/>
          <w:sz w:val="22"/>
          <w:szCs w:val="22"/>
          <w:highlight w:val="none"/>
        </w:rPr>
        <w:t>。</w:t>
      </w:r>
    </w:p>
    <w:p w14:paraId="3E3596AA">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15.3.1 承包人提供质量保证金的方式</w:t>
      </w:r>
    </w:p>
    <w:p w14:paraId="6AB0C9AE">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质量保证金采用以下第</w:t>
      </w:r>
      <w:r>
        <w:rPr>
          <w:rFonts w:hint="eastAsia" w:ascii="宋体" w:hAnsi="宋体"/>
          <w:color w:val="auto"/>
          <w:sz w:val="22"/>
          <w:szCs w:val="22"/>
          <w:highlight w:val="none"/>
          <w:u w:val="single"/>
        </w:rPr>
        <w:t>2</w:t>
      </w:r>
      <w:r>
        <w:rPr>
          <w:rFonts w:hint="eastAsia" w:ascii="宋体" w:hAnsi="宋体"/>
          <w:color w:val="auto"/>
          <w:sz w:val="22"/>
          <w:szCs w:val="22"/>
          <w:highlight w:val="none"/>
        </w:rPr>
        <w:t>种方式：</w:t>
      </w:r>
    </w:p>
    <w:p w14:paraId="5FF2C2F5">
      <w:pPr>
        <w:autoSpaceDE w:val="0"/>
        <w:autoSpaceDN w:val="0"/>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（1）质量保证金保函，保证金额为：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 xml:space="preserve">； </w:t>
      </w:r>
    </w:p>
    <w:p w14:paraId="20102C5F">
      <w:pPr>
        <w:autoSpaceDE w:val="0"/>
        <w:autoSpaceDN w:val="0"/>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（2）</w:t>
      </w:r>
      <w:r>
        <w:rPr>
          <w:rFonts w:hint="eastAsia" w:ascii="宋体" w:hAnsi="宋体"/>
          <w:color w:val="auto"/>
          <w:sz w:val="22"/>
          <w:szCs w:val="22"/>
          <w:highlight w:val="none"/>
          <w:u w:val="single"/>
        </w:rPr>
        <w:t>1.5</w:t>
      </w:r>
      <w:r>
        <w:rPr>
          <w:rFonts w:hint="eastAsia" w:ascii="宋体" w:hAnsi="宋体"/>
          <w:color w:val="auto"/>
          <w:sz w:val="22"/>
          <w:szCs w:val="22"/>
          <w:highlight w:val="none"/>
        </w:rPr>
        <w:t>%的结算款；</w:t>
      </w:r>
    </w:p>
    <w:p w14:paraId="63B412D5">
      <w:pPr>
        <w:autoSpaceDE w:val="0"/>
        <w:autoSpaceDN w:val="0"/>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（3）其他方式:</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w:t>
      </w:r>
    </w:p>
    <w:p w14:paraId="7648E158">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 xml:space="preserve">15.3.2 质量保证金的扣留 </w:t>
      </w:r>
    </w:p>
    <w:p w14:paraId="678E3F9E">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质量保证金的扣留采取以下第</w:t>
      </w:r>
      <w:r>
        <w:rPr>
          <w:rFonts w:hint="eastAsia" w:ascii="宋体" w:hAnsi="宋体"/>
          <w:color w:val="auto"/>
          <w:sz w:val="22"/>
          <w:szCs w:val="22"/>
          <w:highlight w:val="none"/>
          <w:u w:val="single"/>
        </w:rPr>
        <w:t>2</w:t>
      </w:r>
      <w:r>
        <w:rPr>
          <w:rFonts w:hint="eastAsia" w:ascii="宋体" w:hAnsi="宋体"/>
          <w:color w:val="auto"/>
          <w:sz w:val="22"/>
          <w:szCs w:val="22"/>
          <w:highlight w:val="none"/>
        </w:rPr>
        <w:t>种方式：</w:t>
      </w:r>
    </w:p>
    <w:p w14:paraId="62BBA91F">
      <w:pPr>
        <w:autoSpaceDE w:val="0"/>
        <w:autoSpaceDN w:val="0"/>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（1）在支付工程进度款时逐次扣留，在此情形下，质量保证金的计算基数不包括预付款的支付、扣回以及价格调整的金额；</w:t>
      </w:r>
    </w:p>
    <w:p w14:paraId="20DAE00B">
      <w:pPr>
        <w:autoSpaceDE w:val="0"/>
        <w:autoSpaceDN w:val="0"/>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（2）工程竣工结算时一次性扣留质量保证金；</w:t>
      </w:r>
    </w:p>
    <w:p w14:paraId="089EDCCA">
      <w:pPr>
        <w:autoSpaceDE w:val="0"/>
        <w:autoSpaceDN w:val="0"/>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（3）其他扣留方式:</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w:t>
      </w:r>
    </w:p>
    <w:p w14:paraId="078D5701">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关于质量保证金的补充约定：</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w:t>
      </w:r>
    </w:p>
    <w:p w14:paraId="7EA6ABA1">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15.4保修</w:t>
      </w:r>
    </w:p>
    <w:p w14:paraId="66592177">
      <w:pPr>
        <w:spacing w:line="440" w:lineRule="exact"/>
        <w:ind w:firstLine="429" w:firstLineChars="195"/>
        <w:jc w:val="left"/>
        <w:outlineLvl w:val="9"/>
        <w:rPr>
          <w:rFonts w:ascii="宋体" w:hAnsi="宋体"/>
          <w:color w:val="auto"/>
          <w:sz w:val="22"/>
          <w:szCs w:val="22"/>
          <w:highlight w:val="none"/>
        </w:rPr>
      </w:pPr>
      <w:r>
        <w:rPr>
          <w:rFonts w:hint="eastAsia" w:ascii="宋体" w:hAnsi="宋体"/>
          <w:color w:val="auto"/>
          <w:sz w:val="22"/>
          <w:szCs w:val="22"/>
          <w:highlight w:val="none"/>
        </w:rPr>
        <w:t>15.4.1 保修责任</w:t>
      </w:r>
    </w:p>
    <w:p w14:paraId="72A67F44">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缺陷责任期为：</w:t>
      </w:r>
    </w:p>
    <w:p w14:paraId="282D46F0">
      <w:pPr>
        <w:spacing w:line="440" w:lineRule="exact"/>
        <w:ind w:firstLine="429" w:firstLineChars="195"/>
        <w:jc w:val="left"/>
        <w:outlineLvl w:val="9"/>
        <w:rPr>
          <w:rFonts w:ascii="宋体" w:hAnsi="宋体"/>
          <w:color w:val="auto"/>
          <w:sz w:val="22"/>
          <w:szCs w:val="22"/>
          <w:highlight w:val="none"/>
          <w:u w:val="single"/>
        </w:rPr>
      </w:pPr>
      <w:r>
        <w:rPr>
          <w:rFonts w:hint="eastAsia" w:ascii="宋体" w:hAnsi="宋体"/>
          <w:color w:val="auto"/>
          <w:sz w:val="22"/>
          <w:szCs w:val="22"/>
          <w:highlight w:val="none"/>
          <w:u w:val="single"/>
        </w:rPr>
        <w:t>本工程缺陷责任期为2年，自实际竣工日期起。</w:t>
      </w:r>
    </w:p>
    <w:p w14:paraId="5CF698E1">
      <w:pPr>
        <w:spacing w:line="440" w:lineRule="exact"/>
        <w:ind w:firstLine="429" w:firstLineChars="195"/>
        <w:jc w:val="left"/>
        <w:outlineLvl w:val="9"/>
        <w:rPr>
          <w:rFonts w:ascii="宋体" w:hAnsi="宋体"/>
          <w:color w:val="auto"/>
          <w:sz w:val="22"/>
          <w:szCs w:val="22"/>
          <w:highlight w:val="none"/>
        </w:rPr>
      </w:pPr>
      <w:r>
        <w:rPr>
          <w:rFonts w:hint="eastAsia" w:ascii="宋体" w:hAnsi="宋体"/>
          <w:color w:val="auto"/>
          <w:sz w:val="22"/>
          <w:szCs w:val="22"/>
          <w:highlight w:val="none"/>
        </w:rPr>
        <w:t>15.4.3 修复通知</w:t>
      </w:r>
    </w:p>
    <w:p w14:paraId="2A6628A0">
      <w:pPr>
        <w:spacing w:line="440" w:lineRule="exact"/>
        <w:ind w:firstLine="429" w:firstLineChars="195"/>
        <w:jc w:val="left"/>
        <w:outlineLvl w:val="9"/>
        <w:rPr>
          <w:rFonts w:ascii="宋体" w:hAnsi="宋体"/>
          <w:color w:val="auto"/>
          <w:sz w:val="22"/>
          <w:szCs w:val="22"/>
          <w:highlight w:val="none"/>
          <w:u w:val="single"/>
        </w:rPr>
      </w:pPr>
      <w:r>
        <w:rPr>
          <w:rFonts w:hint="eastAsia" w:ascii="宋体" w:hAnsi="宋体"/>
          <w:color w:val="auto"/>
          <w:sz w:val="22"/>
          <w:szCs w:val="22"/>
          <w:highlight w:val="none"/>
        </w:rPr>
        <w:t>承包人收到保修通知并到达工程现场的合理时间</w:t>
      </w:r>
      <w:r>
        <w:rPr>
          <w:rFonts w:hint="eastAsia" w:ascii="宋体" w:hAnsi="宋体"/>
          <w:color w:val="auto"/>
          <w:sz w:val="22"/>
          <w:szCs w:val="22"/>
          <w:highlight w:val="none"/>
          <w:u w:val="single"/>
        </w:rPr>
        <w:t xml:space="preserve">   待定          </w:t>
      </w:r>
    </w:p>
    <w:p w14:paraId="04BB58FF">
      <w:pPr>
        <w:spacing w:before="0" w:after="0" w:line="440" w:lineRule="exact"/>
        <w:ind w:firstLine="422"/>
        <w:outlineLvl w:val="9"/>
        <w:rPr>
          <w:rFonts w:ascii="宋体" w:hAnsi="宋体" w:eastAsia="宋体"/>
          <w:color w:val="auto"/>
          <w:sz w:val="22"/>
          <w:szCs w:val="22"/>
          <w:highlight w:val="none"/>
        </w:rPr>
      </w:pPr>
      <w:r>
        <w:rPr>
          <w:rFonts w:hint="eastAsia" w:ascii="宋体" w:hAnsi="宋体" w:eastAsia="宋体"/>
          <w:color w:val="auto"/>
          <w:sz w:val="22"/>
          <w:szCs w:val="22"/>
          <w:highlight w:val="none"/>
        </w:rPr>
        <w:t>16. 违约</w:t>
      </w:r>
    </w:p>
    <w:p w14:paraId="4324636E">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16.1 发包人违约</w:t>
      </w:r>
    </w:p>
    <w:p w14:paraId="46FAE755">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16.1.1发包人违约的情形</w:t>
      </w:r>
    </w:p>
    <w:p w14:paraId="6652E990">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发包人违约的其他情形：</w:t>
      </w:r>
      <w:r>
        <w:rPr>
          <w:rFonts w:hint="eastAsia" w:ascii="宋体" w:hAnsi="宋体"/>
          <w:color w:val="auto"/>
          <w:sz w:val="22"/>
          <w:szCs w:val="22"/>
          <w:highlight w:val="none"/>
          <w:u w:val="single"/>
        </w:rPr>
        <w:t xml:space="preserve">            /                    </w:t>
      </w:r>
    </w:p>
    <w:p w14:paraId="5D9B065F">
      <w:pPr>
        <w:spacing w:line="440" w:lineRule="exact"/>
        <w:ind w:left="1100" w:hanging="1100" w:hangingChars="500"/>
        <w:jc w:val="left"/>
        <w:outlineLvl w:val="9"/>
        <w:rPr>
          <w:rFonts w:ascii="宋体" w:hAnsi="宋体"/>
          <w:color w:val="auto"/>
          <w:sz w:val="22"/>
          <w:szCs w:val="22"/>
          <w:highlight w:val="none"/>
        </w:rPr>
      </w:pPr>
      <w:r>
        <w:rPr>
          <w:rFonts w:hint="eastAsia" w:ascii="宋体" w:hAnsi="宋体"/>
          <w:color w:val="auto"/>
          <w:sz w:val="22"/>
          <w:szCs w:val="22"/>
          <w:highlight w:val="none"/>
        </w:rPr>
        <w:t xml:space="preserve">    16.1.2 发包人违约的责任</w:t>
      </w:r>
    </w:p>
    <w:p w14:paraId="45AE66B5">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发包人违约责任的承担方式和计算方法：</w:t>
      </w:r>
    </w:p>
    <w:p w14:paraId="378D6251">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（1）因发包人原因未能在计划开工日期前7天内下达开工通知的违约责任：</w:t>
      </w:r>
      <w:r>
        <w:rPr>
          <w:rFonts w:hint="eastAsia" w:ascii="宋体" w:hAnsi="宋体"/>
          <w:color w:val="auto"/>
          <w:sz w:val="22"/>
          <w:szCs w:val="22"/>
          <w:highlight w:val="none"/>
          <w:u w:val="single"/>
        </w:rPr>
        <w:t xml:space="preserve">  待定   </w:t>
      </w:r>
      <w:r>
        <w:rPr>
          <w:rFonts w:hint="eastAsia" w:ascii="宋体" w:hAnsi="宋体"/>
          <w:color w:val="auto"/>
          <w:sz w:val="22"/>
          <w:szCs w:val="22"/>
          <w:highlight w:val="none"/>
        </w:rPr>
        <w:t>。</w:t>
      </w:r>
    </w:p>
    <w:p w14:paraId="504546A9">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（2）因发包人原因未能按合同约定支付合同价款的违约责任：</w:t>
      </w:r>
      <w:r>
        <w:rPr>
          <w:rFonts w:hint="eastAsia" w:ascii="宋体" w:hAnsi="宋体"/>
          <w:color w:val="auto"/>
          <w:sz w:val="22"/>
          <w:szCs w:val="22"/>
          <w:highlight w:val="none"/>
          <w:u w:val="single"/>
        </w:rPr>
        <w:t xml:space="preserve">  待定          </w:t>
      </w:r>
      <w:r>
        <w:rPr>
          <w:rFonts w:hint="eastAsia" w:ascii="宋体" w:hAnsi="宋体"/>
          <w:color w:val="auto"/>
          <w:sz w:val="22"/>
          <w:szCs w:val="22"/>
          <w:highlight w:val="none"/>
        </w:rPr>
        <w:t>。</w:t>
      </w:r>
    </w:p>
    <w:p w14:paraId="10646409">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（3）发包人违反第10.1款〔变更的范围〕第（2）项约定，自行实施被取消的工作或转由他人实施的违约责任：</w:t>
      </w:r>
      <w:r>
        <w:rPr>
          <w:rFonts w:hint="eastAsia" w:ascii="宋体" w:hAnsi="宋体"/>
          <w:color w:val="auto"/>
          <w:sz w:val="22"/>
          <w:szCs w:val="22"/>
          <w:highlight w:val="none"/>
          <w:u w:val="single"/>
        </w:rPr>
        <w:t xml:space="preserve">      待定                              </w:t>
      </w:r>
      <w:r>
        <w:rPr>
          <w:rFonts w:hint="eastAsia" w:ascii="宋体" w:hAnsi="宋体"/>
          <w:color w:val="auto"/>
          <w:sz w:val="22"/>
          <w:szCs w:val="22"/>
          <w:highlight w:val="none"/>
        </w:rPr>
        <w:t>。</w:t>
      </w:r>
    </w:p>
    <w:p w14:paraId="12BC79A8">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（4）发包人提供的材料、工程设备的规格、数量或质量不符合合同约定，或因发包人原因导致交货日期延误或交货地点变更等情况的违约责任：</w:t>
      </w:r>
      <w:r>
        <w:rPr>
          <w:rFonts w:hint="eastAsia" w:ascii="宋体" w:hAnsi="宋体"/>
          <w:color w:val="auto"/>
          <w:sz w:val="22"/>
          <w:szCs w:val="22"/>
          <w:highlight w:val="none"/>
          <w:u w:val="single"/>
        </w:rPr>
        <w:t xml:space="preserve">     待定      </w:t>
      </w:r>
      <w:r>
        <w:rPr>
          <w:rFonts w:hint="eastAsia" w:ascii="宋体" w:hAnsi="宋体"/>
          <w:color w:val="auto"/>
          <w:sz w:val="22"/>
          <w:szCs w:val="22"/>
          <w:highlight w:val="none"/>
        </w:rPr>
        <w:t>。</w:t>
      </w:r>
    </w:p>
    <w:p w14:paraId="42070812">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（5）因发包人违反合同约定造成暂停施工的违约责任：</w:t>
      </w:r>
      <w:r>
        <w:rPr>
          <w:rFonts w:hint="eastAsia" w:ascii="宋体" w:hAnsi="宋体"/>
          <w:color w:val="auto"/>
          <w:sz w:val="22"/>
          <w:szCs w:val="22"/>
          <w:highlight w:val="none"/>
          <w:u w:val="single"/>
        </w:rPr>
        <w:t xml:space="preserve">     待定       </w:t>
      </w:r>
      <w:r>
        <w:rPr>
          <w:rFonts w:hint="eastAsia" w:ascii="宋体" w:hAnsi="宋体"/>
          <w:color w:val="auto"/>
          <w:sz w:val="22"/>
          <w:szCs w:val="22"/>
          <w:highlight w:val="none"/>
        </w:rPr>
        <w:t>。</w:t>
      </w:r>
    </w:p>
    <w:p w14:paraId="58806F39">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（6）发包人无正当理由没有在约定期限内发出复工指示，导致承包人无法复工的违约责任：</w:t>
      </w:r>
      <w:r>
        <w:rPr>
          <w:rFonts w:hint="eastAsia" w:ascii="宋体" w:hAnsi="宋体"/>
          <w:color w:val="auto"/>
          <w:sz w:val="22"/>
          <w:szCs w:val="22"/>
          <w:highlight w:val="none"/>
          <w:u w:val="single"/>
        </w:rPr>
        <w:t xml:space="preserve">   待定</w:t>
      </w:r>
      <w:r>
        <w:rPr>
          <w:rFonts w:hint="eastAsia" w:ascii="宋体" w:hAnsi="宋体"/>
          <w:color w:val="auto"/>
          <w:sz w:val="22"/>
          <w:szCs w:val="22"/>
          <w:highlight w:val="none"/>
        </w:rPr>
        <w:t>。</w:t>
      </w:r>
    </w:p>
    <w:p w14:paraId="7D8F695B">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（7）其他：</w:t>
      </w:r>
      <w:r>
        <w:rPr>
          <w:rFonts w:hint="eastAsia" w:ascii="宋体" w:hAnsi="宋体"/>
          <w:color w:val="auto"/>
          <w:sz w:val="22"/>
          <w:szCs w:val="22"/>
          <w:highlight w:val="none"/>
          <w:u w:val="single"/>
        </w:rPr>
        <w:t xml:space="preserve">另行协商                                   </w:t>
      </w:r>
      <w:r>
        <w:rPr>
          <w:rFonts w:hint="eastAsia" w:ascii="宋体" w:hAnsi="宋体"/>
          <w:color w:val="auto"/>
          <w:sz w:val="22"/>
          <w:szCs w:val="22"/>
          <w:highlight w:val="none"/>
        </w:rPr>
        <w:t>。</w:t>
      </w:r>
    </w:p>
    <w:p w14:paraId="34CE2B13">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16.1.3 因发包人违约解除合同</w:t>
      </w:r>
    </w:p>
    <w:p w14:paraId="03F0F383">
      <w:pPr>
        <w:autoSpaceDE w:val="0"/>
        <w:autoSpaceDN w:val="0"/>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承包人按16.1.1项〔发包人违约的情形〕约定暂停施工满</w:t>
      </w:r>
      <w:r>
        <w:rPr>
          <w:rFonts w:hint="eastAsia" w:ascii="宋体" w:hAnsi="宋体"/>
          <w:color w:val="auto"/>
          <w:sz w:val="22"/>
          <w:szCs w:val="22"/>
          <w:highlight w:val="none"/>
          <w:u w:val="single"/>
        </w:rPr>
        <w:t>28</w:t>
      </w:r>
      <w:r>
        <w:rPr>
          <w:rFonts w:hint="eastAsia" w:ascii="宋体" w:hAnsi="宋体"/>
          <w:color w:val="auto"/>
          <w:sz w:val="22"/>
          <w:szCs w:val="22"/>
          <w:highlight w:val="none"/>
        </w:rPr>
        <w:t>天后发包人仍不纠正其违约行为并致使合同目的不能实现的，承包人有权解除合同。</w:t>
      </w:r>
    </w:p>
    <w:p w14:paraId="068C8E74">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16.2 承包人违约</w:t>
      </w:r>
    </w:p>
    <w:p w14:paraId="2CD415A6">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16.2.1 承包人违约的情形</w:t>
      </w:r>
    </w:p>
    <w:p w14:paraId="4BBCA32B">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承包人违约的其他情形：</w:t>
      </w:r>
      <w:r>
        <w:rPr>
          <w:rFonts w:hint="eastAsia" w:ascii="宋体" w:hAnsi="宋体"/>
          <w:color w:val="auto"/>
          <w:sz w:val="22"/>
          <w:szCs w:val="22"/>
          <w:highlight w:val="none"/>
          <w:u w:val="single"/>
        </w:rPr>
        <w:t>违反安全文明施工、日常工程管理违约责任。</w:t>
      </w:r>
    </w:p>
    <w:p w14:paraId="00933EF4">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16.2.2承包人违约的责任</w:t>
      </w:r>
    </w:p>
    <w:p w14:paraId="335C4770">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承包人违约责任的承担方式和计算方法：</w:t>
      </w:r>
      <w:r>
        <w:rPr>
          <w:rFonts w:hint="eastAsia" w:ascii="宋体" w:hAnsi="宋体"/>
          <w:color w:val="auto"/>
          <w:sz w:val="22"/>
          <w:szCs w:val="22"/>
          <w:highlight w:val="none"/>
          <w:u w:val="single"/>
        </w:rPr>
        <w:t>承包人如违反安全文明施工则按现场安全文明规定进行处罚，处罚累计总额不超过履约担保额度中的工程安全文明施工担保金额，如发生安全事故应及时向有关部门报告并及时作出处理，并承担相应的一切责任。</w:t>
      </w:r>
    </w:p>
    <w:p w14:paraId="028D17E5">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u w:val="single"/>
        </w:rPr>
        <w:t>因承包人原因工程质量达不到协议书中约定的质量标准的责任；发包人将扣除承包人的履约保证金，并有权按以下发出以下指令：</w:t>
      </w:r>
    </w:p>
    <w:p w14:paraId="704041DC">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u w:val="single"/>
        </w:rPr>
        <w:t>（1）、拆除重建；</w:t>
      </w:r>
    </w:p>
    <w:p w14:paraId="4F6572CC">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u w:val="single"/>
        </w:rPr>
        <w:t>（2）、折价接收；</w:t>
      </w:r>
    </w:p>
    <w:p w14:paraId="2C92EF4C">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16.2.3 因承包人违约解除合同</w:t>
      </w:r>
    </w:p>
    <w:p w14:paraId="78DC8FBE">
      <w:pPr>
        <w:spacing w:line="440" w:lineRule="exact"/>
        <w:ind w:firstLine="420"/>
        <w:outlineLvl w:val="9"/>
        <w:rPr>
          <w:rFonts w:ascii="宋体" w:hAnsi="宋体"/>
          <w:color w:val="auto"/>
          <w:sz w:val="22"/>
          <w:szCs w:val="22"/>
          <w:highlight w:val="none"/>
          <w:u w:val="single"/>
        </w:rPr>
      </w:pPr>
      <w:r>
        <w:rPr>
          <w:rFonts w:hint="eastAsia" w:ascii="宋体" w:hAnsi="宋体"/>
          <w:color w:val="auto"/>
          <w:sz w:val="22"/>
          <w:szCs w:val="22"/>
          <w:highlight w:val="none"/>
        </w:rPr>
        <w:t>关于承包人违约解除合同的特别约定：</w:t>
      </w:r>
      <w:r>
        <w:rPr>
          <w:rFonts w:hint="eastAsia" w:ascii="宋体" w:hAnsi="宋体"/>
          <w:color w:val="auto"/>
          <w:sz w:val="22"/>
          <w:szCs w:val="22"/>
          <w:highlight w:val="none"/>
          <w:u w:val="single"/>
        </w:rPr>
        <w:t xml:space="preserve">除通用合同条款规定外，承包人还应承担由此给发包人造成的一切损失，直至追究法律责任   </w:t>
      </w:r>
      <w:r>
        <w:rPr>
          <w:rFonts w:hint="eastAsia" w:ascii="宋体" w:hAnsi="宋体"/>
          <w:color w:val="auto"/>
          <w:sz w:val="22"/>
          <w:szCs w:val="22"/>
          <w:highlight w:val="none"/>
        </w:rPr>
        <w:t>。</w:t>
      </w:r>
    </w:p>
    <w:p w14:paraId="4E0F4EEE">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发包人继续使用承包人在施工现场的材料、设备、临时工程、承包人文件和由承包人或以其名义编制的其他文件的费用承担方式：</w:t>
      </w:r>
      <w:r>
        <w:rPr>
          <w:rFonts w:hint="eastAsia" w:ascii="宋体" w:hAnsi="宋体"/>
          <w:color w:val="auto"/>
          <w:sz w:val="22"/>
          <w:szCs w:val="22"/>
          <w:highlight w:val="none"/>
          <w:u w:val="single"/>
        </w:rPr>
        <w:t xml:space="preserve">  双主协商确定      </w:t>
      </w:r>
      <w:r>
        <w:rPr>
          <w:rFonts w:hint="eastAsia" w:ascii="宋体" w:hAnsi="宋体"/>
          <w:color w:val="auto"/>
          <w:sz w:val="22"/>
          <w:szCs w:val="22"/>
          <w:highlight w:val="none"/>
        </w:rPr>
        <w:t>。</w:t>
      </w:r>
    </w:p>
    <w:p w14:paraId="177BDDB1">
      <w:pPr>
        <w:spacing w:before="0" w:after="0" w:line="440" w:lineRule="exact"/>
        <w:ind w:firstLine="422"/>
        <w:outlineLvl w:val="9"/>
        <w:rPr>
          <w:rFonts w:ascii="宋体" w:hAnsi="宋体" w:eastAsia="宋体"/>
          <w:color w:val="auto"/>
          <w:sz w:val="22"/>
          <w:szCs w:val="22"/>
          <w:highlight w:val="none"/>
        </w:rPr>
      </w:pPr>
      <w:r>
        <w:rPr>
          <w:rFonts w:hint="eastAsia" w:ascii="宋体" w:hAnsi="宋体" w:eastAsia="宋体"/>
          <w:color w:val="auto"/>
          <w:sz w:val="22"/>
          <w:szCs w:val="22"/>
          <w:highlight w:val="none"/>
        </w:rPr>
        <w:t xml:space="preserve">17. 不可抗力 </w:t>
      </w:r>
    </w:p>
    <w:p w14:paraId="1A8DEB8F">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17.1 不可抗力的确认</w:t>
      </w:r>
    </w:p>
    <w:p w14:paraId="56615E02">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 xml:space="preserve">除通用合同条款约定的不可抗力事件之外，视为不可抗力的其他情形： </w:t>
      </w:r>
      <w:r>
        <w:rPr>
          <w:rFonts w:hint="eastAsia" w:ascii="宋体" w:hAnsi="宋体"/>
          <w:color w:val="auto"/>
          <w:sz w:val="22"/>
          <w:szCs w:val="22"/>
          <w:highlight w:val="none"/>
          <w:u w:val="single"/>
        </w:rPr>
        <w:t xml:space="preserve">  无   </w:t>
      </w:r>
      <w:r>
        <w:rPr>
          <w:rFonts w:hint="eastAsia" w:ascii="宋体" w:hAnsi="宋体"/>
          <w:color w:val="auto"/>
          <w:sz w:val="22"/>
          <w:szCs w:val="22"/>
          <w:highlight w:val="none"/>
        </w:rPr>
        <w:t>。</w:t>
      </w:r>
    </w:p>
    <w:p w14:paraId="0C493CFF">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17.4 因不可抗力解除合同</w:t>
      </w:r>
    </w:p>
    <w:p w14:paraId="7A0D3477">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合同解除后，发包人应在商定或确定发包人应支付款项后</w:t>
      </w:r>
      <w:r>
        <w:rPr>
          <w:rFonts w:hint="eastAsia" w:ascii="宋体" w:hAnsi="宋体"/>
          <w:color w:val="auto"/>
          <w:sz w:val="22"/>
          <w:szCs w:val="22"/>
          <w:highlight w:val="none"/>
          <w:u w:val="single"/>
        </w:rPr>
        <w:t>28</w:t>
      </w:r>
      <w:r>
        <w:rPr>
          <w:rFonts w:hint="eastAsia" w:ascii="宋体" w:hAnsi="宋体"/>
          <w:color w:val="auto"/>
          <w:sz w:val="22"/>
          <w:szCs w:val="22"/>
          <w:highlight w:val="none"/>
        </w:rPr>
        <w:t>天内完成款项的支付。</w:t>
      </w:r>
    </w:p>
    <w:p w14:paraId="0C1826E3">
      <w:pPr>
        <w:spacing w:before="0" w:after="0" w:line="440" w:lineRule="exact"/>
        <w:ind w:firstLine="422"/>
        <w:outlineLvl w:val="9"/>
        <w:rPr>
          <w:rFonts w:ascii="宋体" w:hAnsi="宋体" w:eastAsia="宋体"/>
          <w:color w:val="auto"/>
          <w:sz w:val="22"/>
          <w:szCs w:val="22"/>
          <w:highlight w:val="none"/>
        </w:rPr>
      </w:pPr>
      <w:r>
        <w:rPr>
          <w:rFonts w:hint="eastAsia" w:ascii="宋体" w:hAnsi="宋体" w:eastAsia="宋体"/>
          <w:color w:val="auto"/>
          <w:sz w:val="22"/>
          <w:szCs w:val="22"/>
          <w:highlight w:val="none"/>
        </w:rPr>
        <w:t>18. 保险</w:t>
      </w:r>
    </w:p>
    <w:p w14:paraId="549DAD55">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18.1 工程保险</w:t>
      </w:r>
    </w:p>
    <w:p w14:paraId="2770258E">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关于工程保险的特别约定：</w:t>
      </w:r>
      <w:r>
        <w:rPr>
          <w:rFonts w:hint="eastAsia" w:ascii="宋体" w:hAnsi="宋体"/>
          <w:color w:val="auto"/>
          <w:sz w:val="22"/>
          <w:szCs w:val="22"/>
          <w:highlight w:val="none"/>
          <w:u w:val="single"/>
        </w:rPr>
        <w:t xml:space="preserve">      无            </w:t>
      </w:r>
      <w:r>
        <w:rPr>
          <w:rFonts w:hint="eastAsia" w:ascii="宋体" w:hAnsi="宋体"/>
          <w:color w:val="auto"/>
          <w:sz w:val="22"/>
          <w:szCs w:val="22"/>
          <w:highlight w:val="none"/>
        </w:rPr>
        <w:t>。</w:t>
      </w:r>
    </w:p>
    <w:p w14:paraId="3D40B93E">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18.3 其他保险</w:t>
      </w:r>
    </w:p>
    <w:p w14:paraId="5B3CB95A">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关于其他保险的约定：</w:t>
      </w:r>
      <w:r>
        <w:rPr>
          <w:rFonts w:hint="eastAsia" w:ascii="宋体" w:hAnsi="宋体"/>
          <w:color w:val="auto"/>
          <w:sz w:val="22"/>
          <w:szCs w:val="22"/>
          <w:highlight w:val="none"/>
          <w:u w:val="single"/>
        </w:rPr>
        <w:t>自身的财产及施工现场内的自身员工的人身伤害及财产，从事危险作业员工的意外伤害，第三人人身伤害及财产等</w:t>
      </w:r>
      <w:r>
        <w:rPr>
          <w:rFonts w:hint="eastAsia" w:ascii="宋体" w:hAnsi="宋体"/>
          <w:color w:val="auto"/>
          <w:sz w:val="22"/>
          <w:szCs w:val="22"/>
          <w:highlight w:val="none"/>
        </w:rPr>
        <w:t>。</w:t>
      </w:r>
    </w:p>
    <w:p w14:paraId="18BFEBA0">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承包人是否应为其施工设备等办理财产保险：</w:t>
      </w:r>
      <w:r>
        <w:rPr>
          <w:rFonts w:hint="eastAsia" w:ascii="宋体" w:hAnsi="宋体"/>
          <w:color w:val="auto"/>
          <w:sz w:val="22"/>
          <w:szCs w:val="22"/>
          <w:highlight w:val="none"/>
          <w:u w:val="single"/>
        </w:rPr>
        <w:t xml:space="preserve">  是   </w:t>
      </w:r>
      <w:r>
        <w:rPr>
          <w:rFonts w:hint="eastAsia" w:ascii="宋体" w:hAnsi="宋体"/>
          <w:color w:val="auto"/>
          <w:sz w:val="22"/>
          <w:szCs w:val="22"/>
          <w:highlight w:val="none"/>
        </w:rPr>
        <w:t>。</w:t>
      </w:r>
    </w:p>
    <w:p w14:paraId="0E9D67D5">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18.7 通知义务</w:t>
      </w:r>
    </w:p>
    <w:p w14:paraId="2088B61C">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关于变更保险合同时的通知义务的约定：</w:t>
      </w:r>
      <w:r>
        <w:rPr>
          <w:rFonts w:hint="eastAsia" w:ascii="宋体" w:hAnsi="宋体"/>
          <w:color w:val="auto"/>
          <w:sz w:val="22"/>
          <w:szCs w:val="22"/>
          <w:highlight w:val="none"/>
          <w:u w:val="single"/>
        </w:rPr>
        <w:t>按通用合同条款第18.7款执行。</w:t>
      </w:r>
    </w:p>
    <w:p w14:paraId="2BEBE0E6">
      <w:pPr>
        <w:spacing w:before="0" w:after="0" w:line="440" w:lineRule="exact"/>
        <w:ind w:firstLine="422"/>
        <w:outlineLvl w:val="9"/>
        <w:rPr>
          <w:rFonts w:ascii="宋体" w:hAnsi="宋体" w:eastAsia="宋体"/>
          <w:color w:val="auto"/>
          <w:sz w:val="22"/>
          <w:szCs w:val="22"/>
          <w:highlight w:val="none"/>
        </w:rPr>
      </w:pPr>
      <w:r>
        <w:rPr>
          <w:rFonts w:hint="eastAsia" w:ascii="宋体" w:hAnsi="宋体" w:eastAsia="宋体"/>
          <w:color w:val="auto"/>
          <w:sz w:val="22"/>
          <w:szCs w:val="22"/>
          <w:highlight w:val="none"/>
          <w:lang w:eastAsia="zh-CN"/>
        </w:rPr>
        <w:t>19</w:t>
      </w:r>
      <w:r>
        <w:rPr>
          <w:rFonts w:hint="eastAsia" w:ascii="宋体" w:hAnsi="宋体" w:eastAsia="宋体"/>
          <w:color w:val="auto"/>
          <w:sz w:val="22"/>
          <w:szCs w:val="22"/>
          <w:highlight w:val="none"/>
        </w:rPr>
        <w:t>. 争议解决</w:t>
      </w:r>
    </w:p>
    <w:p w14:paraId="1D85EC31">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lang w:eastAsia="zh-CN"/>
        </w:rPr>
        <w:t>19</w:t>
      </w:r>
      <w:r>
        <w:rPr>
          <w:rFonts w:hint="eastAsia" w:ascii="宋体" w:hAnsi="宋体"/>
          <w:color w:val="auto"/>
          <w:sz w:val="22"/>
          <w:szCs w:val="22"/>
          <w:highlight w:val="none"/>
        </w:rPr>
        <w:t>.3 争议评审</w:t>
      </w:r>
    </w:p>
    <w:p w14:paraId="6B3F74A9">
      <w:pPr>
        <w:spacing w:line="440" w:lineRule="exact"/>
        <w:ind w:left="149" w:leftChars="71" w:firstLine="330" w:firstLineChars="150"/>
        <w:jc w:val="left"/>
        <w:outlineLvl w:val="9"/>
        <w:rPr>
          <w:rFonts w:ascii="宋体" w:hAnsi="宋体"/>
          <w:color w:val="auto"/>
          <w:sz w:val="22"/>
          <w:szCs w:val="22"/>
          <w:highlight w:val="none"/>
          <w:u w:val="single"/>
        </w:rPr>
      </w:pPr>
      <w:r>
        <w:rPr>
          <w:rFonts w:hint="eastAsia" w:ascii="宋体" w:hAnsi="宋体"/>
          <w:color w:val="auto"/>
          <w:sz w:val="22"/>
          <w:szCs w:val="22"/>
          <w:highlight w:val="none"/>
        </w:rPr>
        <w:t>合同当事人是否同意将工程争议提交争议评审小组决定：</w:t>
      </w:r>
      <w:r>
        <w:rPr>
          <w:rFonts w:hint="eastAsia" w:ascii="宋体" w:hAnsi="宋体"/>
          <w:color w:val="auto"/>
          <w:sz w:val="22"/>
          <w:szCs w:val="22"/>
          <w:highlight w:val="none"/>
          <w:u w:val="single"/>
        </w:rPr>
        <w:t xml:space="preserve">  否  </w:t>
      </w:r>
    </w:p>
    <w:p w14:paraId="215B8E3C">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lang w:eastAsia="zh-CN"/>
        </w:rPr>
        <w:t>19</w:t>
      </w:r>
      <w:r>
        <w:rPr>
          <w:rFonts w:hint="eastAsia" w:ascii="宋体" w:hAnsi="宋体"/>
          <w:color w:val="auto"/>
          <w:sz w:val="22"/>
          <w:szCs w:val="22"/>
          <w:highlight w:val="none"/>
        </w:rPr>
        <w:t>.3.1 争议评审小组的确定</w:t>
      </w:r>
    </w:p>
    <w:p w14:paraId="3FF130EF">
      <w:pPr>
        <w:spacing w:line="440" w:lineRule="exact"/>
        <w:ind w:firstLine="420"/>
        <w:jc w:val="left"/>
        <w:outlineLvl w:val="9"/>
        <w:rPr>
          <w:rFonts w:ascii="宋体" w:hAnsi="宋体"/>
          <w:color w:val="auto"/>
          <w:sz w:val="22"/>
          <w:szCs w:val="22"/>
          <w:highlight w:val="none"/>
          <w:u w:val="single"/>
        </w:rPr>
      </w:pPr>
      <w:r>
        <w:rPr>
          <w:rFonts w:hint="eastAsia" w:ascii="宋体" w:hAnsi="宋体"/>
          <w:color w:val="auto"/>
          <w:sz w:val="22"/>
          <w:szCs w:val="22"/>
          <w:highlight w:val="none"/>
        </w:rPr>
        <w:t>争议评审小组成员的确定：</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171F19A1">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选定争议评审员的期限：</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019D8D26">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争议评审小组成员的报酬承担方式：</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75C7ABAF">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其他事项的约定：</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11844B06">
      <w:pPr>
        <w:autoSpaceDE w:val="0"/>
        <w:autoSpaceDN w:val="0"/>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lang w:eastAsia="zh-CN"/>
        </w:rPr>
        <w:t>19</w:t>
      </w:r>
      <w:r>
        <w:rPr>
          <w:rFonts w:hint="eastAsia" w:ascii="宋体" w:hAnsi="宋体"/>
          <w:color w:val="auto"/>
          <w:sz w:val="22"/>
          <w:szCs w:val="22"/>
          <w:highlight w:val="none"/>
        </w:rPr>
        <w:t>.3.2 争议评审小组的决定</w:t>
      </w:r>
    </w:p>
    <w:p w14:paraId="7E008E04">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合同当事人关于本项的约定：</w:t>
      </w:r>
      <w:r>
        <w:rPr>
          <w:rFonts w:hint="eastAsia" w:ascii="宋体" w:hAnsi="宋体"/>
          <w:color w:val="auto"/>
          <w:sz w:val="22"/>
          <w:szCs w:val="22"/>
          <w:highlight w:val="none"/>
          <w:u w:val="single"/>
        </w:rPr>
        <w:t xml:space="preserve">            /               </w:t>
      </w:r>
      <w:r>
        <w:rPr>
          <w:rFonts w:hint="eastAsia" w:ascii="宋体" w:hAnsi="宋体"/>
          <w:color w:val="auto"/>
          <w:sz w:val="22"/>
          <w:szCs w:val="22"/>
          <w:highlight w:val="none"/>
        </w:rPr>
        <w:t>。</w:t>
      </w:r>
    </w:p>
    <w:p w14:paraId="74034B0A">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lang w:eastAsia="zh-CN"/>
        </w:rPr>
        <w:t>19</w:t>
      </w:r>
      <w:r>
        <w:rPr>
          <w:rFonts w:hint="eastAsia" w:ascii="宋体" w:hAnsi="宋体"/>
          <w:color w:val="auto"/>
          <w:sz w:val="22"/>
          <w:szCs w:val="22"/>
          <w:highlight w:val="none"/>
        </w:rPr>
        <w:t>.4仲裁或诉讼</w:t>
      </w:r>
    </w:p>
    <w:p w14:paraId="57D3520F">
      <w:pPr>
        <w:spacing w:line="440" w:lineRule="exact"/>
        <w:ind w:firstLine="420"/>
        <w:outlineLvl w:val="9"/>
        <w:rPr>
          <w:rFonts w:ascii="宋体" w:hAnsi="宋体"/>
          <w:color w:val="auto"/>
          <w:sz w:val="22"/>
          <w:szCs w:val="22"/>
          <w:highlight w:val="none"/>
        </w:rPr>
      </w:pPr>
      <w:r>
        <w:rPr>
          <w:rFonts w:hint="eastAsia" w:ascii="宋体" w:hAnsi="宋体"/>
          <w:color w:val="auto"/>
          <w:sz w:val="22"/>
          <w:szCs w:val="22"/>
          <w:highlight w:val="none"/>
        </w:rPr>
        <w:t>因合同及合同有关事项发生的争议，按下列第</w:t>
      </w:r>
      <w:r>
        <w:rPr>
          <w:rFonts w:hint="eastAsia" w:ascii="宋体" w:hAnsi="宋体"/>
          <w:color w:val="auto"/>
          <w:sz w:val="22"/>
          <w:szCs w:val="22"/>
          <w:highlight w:val="none"/>
          <w:u w:val="single"/>
        </w:rPr>
        <w:t>（2）</w:t>
      </w:r>
      <w:r>
        <w:rPr>
          <w:rFonts w:hint="eastAsia" w:ascii="宋体" w:hAnsi="宋体"/>
          <w:color w:val="auto"/>
          <w:sz w:val="22"/>
          <w:szCs w:val="22"/>
          <w:highlight w:val="none"/>
        </w:rPr>
        <w:t>种方式解决：</w:t>
      </w:r>
    </w:p>
    <w:p w14:paraId="7D80037E">
      <w:pPr>
        <w:spacing w:line="440" w:lineRule="exact"/>
        <w:ind w:firstLine="420"/>
        <w:jc w:val="left"/>
        <w:outlineLvl w:val="9"/>
        <w:rPr>
          <w:rFonts w:ascii="宋体" w:hAnsi="宋体"/>
          <w:color w:val="auto"/>
          <w:sz w:val="22"/>
          <w:szCs w:val="22"/>
          <w:highlight w:val="none"/>
        </w:rPr>
      </w:pPr>
      <w:r>
        <w:rPr>
          <w:rFonts w:hint="eastAsia" w:ascii="宋体" w:hAnsi="宋体"/>
          <w:color w:val="auto"/>
          <w:sz w:val="22"/>
          <w:szCs w:val="22"/>
          <w:highlight w:val="none"/>
        </w:rPr>
        <w:t>（1）向</w:t>
      </w:r>
      <w:r>
        <w:rPr>
          <w:rFonts w:hint="eastAsia" w:ascii="宋体" w:hAnsi="宋体"/>
          <w:color w:val="auto"/>
          <w:sz w:val="22"/>
          <w:szCs w:val="22"/>
          <w:highlight w:val="none"/>
          <w:u w:val="single"/>
        </w:rPr>
        <w:t>温州</w:t>
      </w:r>
      <w:r>
        <w:rPr>
          <w:rFonts w:hint="eastAsia" w:ascii="宋体" w:hAnsi="宋体"/>
          <w:color w:val="auto"/>
          <w:sz w:val="22"/>
          <w:szCs w:val="22"/>
          <w:highlight w:val="none"/>
        </w:rPr>
        <w:t>仲裁委员会申请仲裁；</w:t>
      </w:r>
    </w:p>
    <w:p w14:paraId="2AAC5BC7">
      <w:pPr>
        <w:pStyle w:val="17"/>
        <w:snapToGrid w:val="0"/>
        <w:spacing w:line="440" w:lineRule="exact"/>
        <w:ind w:left="437" w:leftChars="208" w:firstLine="0" w:firstLineChars="0"/>
        <w:outlineLvl w:val="9"/>
        <w:rPr>
          <w:rFonts w:ascii="宋体" w:hAnsi="宋体" w:cs="宋体"/>
          <w:color w:val="auto"/>
          <w:sz w:val="22"/>
          <w:szCs w:val="22"/>
          <w:highlight w:val="none"/>
          <w:u w:val="single"/>
        </w:rPr>
      </w:pPr>
      <w:r>
        <w:rPr>
          <w:rFonts w:hint="eastAsia" w:ascii="宋体" w:hAnsi="宋体"/>
          <w:color w:val="auto"/>
          <w:sz w:val="22"/>
          <w:szCs w:val="22"/>
          <w:highlight w:val="none"/>
        </w:rPr>
        <w:t>（2）向</w:t>
      </w:r>
      <w:r>
        <w:rPr>
          <w:rFonts w:hint="eastAsia" w:ascii="宋体" w:hAnsi="宋体"/>
          <w:color w:val="auto"/>
          <w:sz w:val="22"/>
          <w:szCs w:val="22"/>
          <w:highlight w:val="none"/>
          <w:u w:val="single"/>
        </w:rPr>
        <w:t>温州市</w:t>
      </w:r>
      <w:r>
        <w:rPr>
          <w:rFonts w:hint="eastAsia" w:ascii="宋体" w:hAnsi="宋体"/>
          <w:color w:val="auto"/>
          <w:sz w:val="22"/>
          <w:szCs w:val="22"/>
          <w:highlight w:val="none"/>
        </w:rPr>
        <w:t>人民法院起诉。</w:t>
      </w:r>
    </w:p>
    <w:p w14:paraId="489680F2">
      <w:pPr>
        <w:spacing w:line="440" w:lineRule="exact"/>
        <w:jc w:val="center"/>
        <w:rPr>
          <w:rFonts w:hint="eastAsia" w:ascii="宋体" w:hAnsi="宋体"/>
          <w:color w:val="auto"/>
          <w:sz w:val="22"/>
          <w:szCs w:val="22"/>
          <w:highlight w:val="none"/>
          <w:u w:val="single"/>
        </w:rPr>
      </w:pPr>
    </w:p>
    <w:p w14:paraId="2304135F">
      <w:pPr>
        <w:spacing w:line="440" w:lineRule="exact"/>
        <w:jc w:val="center"/>
        <w:rPr>
          <w:rFonts w:hint="eastAsia" w:ascii="宋体" w:hAnsi="宋体"/>
          <w:color w:val="auto"/>
          <w:sz w:val="22"/>
          <w:szCs w:val="22"/>
          <w:highlight w:val="none"/>
          <w:u w:val="single"/>
        </w:rPr>
      </w:pPr>
    </w:p>
    <w:p w14:paraId="7C36FCF3">
      <w:pPr>
        <w:spacing w:line="440" w:lineRule="exact"/>
        <w:jc w:val="center"/>
        <w:rPr>
          <w:rFonts w:hint="eastAsia" w:ascii="宋体" w:hAnsi="宋体"/>
          <w:color w:val="auto"/>
          <w:sz w:val="22"/>
          <w:szCs w:val="22"/>
          <w:highlight w:val="none"/>
          <w:u w:val="single"/>
        </w:rPr>
      </w:pPr>
    </w:p>
    <w:p w14:paraId="2B08D902">
      <w:pPr>
        <w:spacing w:line="440" w:lineRule="exact"/>
        <w:jc w:val="center"/>
        <w:rPr>
          <w:rFonts w:hint="eastAsia" w:ascii="宋体" w:hAnsi="宋体"/>
          <w:color w:val="auto"/>
          <w:sz w:val="22"/>
          <w:szCs w:val="22"/>
          <w:highlight w:val="none"/>
          <w:u w:val="single"/>
        </w:rPr>
      </w:pPr>
    </w:p>
    <w:p w14:paraId="01881DEF">
      <w:pPr>
        <w:pStyle w:val="5"/>
        <w:spacing w:line="480" w:lineRule="exact"/>
        <w:jc w:val="center"/>
        <w:rPr>
          <w:color w:val="auto"/>
          <w:sz w:val="30"/>
          <w:szCs w:val="30"/>
          <w:highlight w:val="none"/>
        </w:rPr>
      </w:pPr>
      <w:r>
        <w:rPr>
          <w:color w:val="auto"/>
          <w:sz w:val="28"/>
          <w:szCs w:val="28"/>
          <w:highlight w:val="none"/>
        </w:rPr>
        <w:br w:type="page"/>
      </w:r>
      <w:bookmarkStart w:id="51" w:name="_Toc617"/>
      <w:bookmarkStart w:id="52" w:name="_Toc3004"/>
      <w:r>
        <w:rPr>
          <w:rFonts w:hint="eastAsia"/>
          <w:color w:val="auto"/>
          <w:sz w:val="28"/>
          <w:szCs w:val="28"/>
          <w:highlight w:val="none"/>
        </w:rPr>
        <w:t>（四）</w:t>
      </w:r>
      <w:r>
        <w:rPr>
          <w:color w:val="auto"/>
          <w:sz w:val="28"/>
          <w:szCs w:val="28"/>
          <w:highlight w:val="none"/>
        </w:rPr>
        <w:t>工程质量保修书</w:t>
      </w:r>
      <w:bookmarkEnd w:id="51"/>
      <w:bookmarkEnd w:id="52"/>
    </w:p>
    <w:p w14:paraId="5C899351">
      <w:pPr>
        <w:spacing w:line="440" w:lineRule="exact"/>
        <w:rPr>
          <w:rFonts w:ascii="宋体" w:hAnsi="宋体"/>
          <w:color w:val="auto"/>
          <w:sz w:val="22"/>
          <w:szCs w:val="22"/>
          <w:highlight w:val="none"/>
        </w:rPr>
      </w:pPr>
      <w:r>
        <w:rPr>
          <w:rFonts w:ascii="宋体" w:hAnsi="宋体"/>
          <w:color w:val="auto"/>
          <w:sz w:val="22"/>
          <w:szCs w:val="22"/>
          <w:highlight w:val="none"/>
        </w:rPr>
        <w:t>发包人（全称）：</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lang w:eastAsia="zh-CN"/>
        </w:rPr>
        <w:t>温州市综合行政执法局</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w:t>
      </w:r>
    </w:p>
    <w:p w14:paraId="0212687B">
      <w:pPr>
        <w:spacing w:line="440" w:lineRule="exact"/>
        <w:rPr>
          <w:rFonts w:hint="eastAsia" w:ascii="宋体" w:hAnsi="宋体"/>
          <w:color w:val="auto"/>
          <w:sz w:val="22"/>
          <w:szCs w:val="22"/>
          <w:highlight w:val="none"/>
        </w:rPr>
      </w:pPr>
      <w:r>
        <w:rPr>
          <w:rFonts w:ascii="宋体" w:hAnsi="宋体"/>
          <w:color w:val="auto"/>
          <w:sz w:val="22"/>
          <w:szCs w:val="22"/>
          <w:highlight w:val="none"/>
        </w:rPr>
        <w:t>承包人（全称）：</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w:t>
      </w:r>
    </w:p>
    <w:p w14:paraId="6BCAA0BF">
      <w:pPr>
        <w:spacing w:line="440" w:lineRule="exact"/>
        <w:ind w:left="548" w:leftChars="261"/>
        <w:rPr>
          <w:rFonts w:hint="eastAsia" w:ascii="宋体" w:hAnsi="宋体"/>
          <w:color w:val="auto"/>
          <w:sz w:val="22"/>
          <w:szCs w:val="22"/>
          <w:highlight w:val="none"/>
          <w:u w:val="single"/>
        </w:rPr>
      </w:pPr>
      <w:r>
        <w:rPr>
          <w:rFonts w:ascii="宋体" w:hAnsi="宋体"/>
          <w:color w:val="auto"/>
          <w:sz w:val="22"/>
          <w:szCs w:val="22"/>
          <w:highlight w:val="none"/>
        </w:rPr>
        <w:t>发包人和承包人根据《中华人民共和国建筑法》和《建设工程质量管理条例》，经协商一致就</w:t>
      </w:r>
      <w:r>
        <w:rPr>
          <w:rFonts w:ascii="宋体" w:hAnsi="宋体"/>
          <w:color w:val="auto"/>
          <w:sz w:val="22"/>
          <w:szCs w:val="22"/>
          <w:highlight w:val="none"/>
          <w:u w:val="single"/>
        </w:rPr>
        <w:t xml:space="preserve">                </w:t>
      </w:r>
      <w:r>
        <w:rPr>
          <w:rFonts w:hint="eastAsia" w:ascii="宋体" w:hAnsi="宋体" w:cs="宋体"/>
          <w:color w:val="auto"/>
          <w:sz w:val="22"/>
          <w:szCs w:val="22"/>
          <w:highlight w:val="none"/>
          <w:u w:val="single"/>
          <w:lang w:eastAsia="zh-CN"/>
        </w:rPr>
        <w:t>温州市综合行政执法局2*630kVA配电室增容改造工程</w:t>
      </w:r>
      <w:r>
        <w:rPr>
          <w:rFonts w:hint="eastAsia" w:ascii="宋体" w:hAnsi="宋体"/>
          <w:color w:val="auto"/>
          <w:sz w:val="22"/>
          <w:szCs w:val="22"/>
          <w:highlight w:val="none"/>
        </w:rPr>
        <w:t>项目</w:t>
      </w:r>
      <w:r>
        <w:rPr>
          <w:rFonts w:ascii="宋体" w:hAnsi="宋体"/>
          <w:color w:val="auto"/>
          <w:sz w:val="22"/>
          <w:szCs w:val="22"/>
          <w:highlight w:val="none"/>
        </w:rPr>
        <w:t>签订工程质量保修书。</w:t>
      </w:r>
    </w:p>
    <w:p w14:paraId="79AB87FD">
      <w:pPr>
        <w:spacing w:line="440" w:lineRule="exact"/>
        <w:rPr>
          <w:rFonts w:ascii="宋体" w:hAnsi="宋体"/>
          <w:color w:val="auto"/>
          <w:sz w:val="22"/>
          <w:szCs w:val="22"/>
          <w:highlight w:val="none"/>
        </w:rPr>
      </w:pPr>
      <w:r>
        <w:rPr>
          <w:rFonts w:ascii="宋体" w:hAnsi="宋体"/>
          <w:b/>
          <w:bCs/>
          <w:color w:val="auto"/>
          <w:sz w:val="22"/>
          <w:szCs w:val="22"/>
          <w:highlight w:val="none"/>
        </w:rPr>
        <w:t>一、</w:t>
      </w:r>
      <w:r>
        <w:rPr>
          <w:rFonts w:hint="eastAsia" w:ascii="宋体" w:hAnsi="宋体"/>
          <w:b/>
          <w:bCs/>
          <w:color w:val="auto"/>
          <w:sz w:val="22"/>
          <w:szCs w:val="22"/>
          <w:highlight w:val="none"/>
        </w:rPr>
        <w:t xml:space="preserve"> </w:t>
      </w:r>
      <w:r>
        <w:rPr>
          <w:rFonts w:ascii="宋体" w:hAnsi="宋体"/>
          <w:b/>
          <w:bCs/>
          <w:color w:val="auto"/>
          <w:sz w:val="22"/>
          <w:szCs w:val="22"/>
          <w:highlight w:val="none"/>
        </w:rPr>
        <w:t>工程质量保修范围和内容</w:t>
      </w:r>
    </w:p>
    <w:p w14:paraId="6E14D240">
      <w:pPr>
        <w:spacing w:line="440" w:lineRule="exact"/>
        <w:ind w:firstLine="550" w:firstLineChars="250"/>
        <w:rPr>
          <w:rFonts w:ascii="宋体" w:hAnsi="宋体"/>
          <w:color w:val="auto"/>
          <w:sz w:val="22"/>
          <w:szCs w:val="22"/>
          <w:highlight w:val="none"/>
        </w:rPr>
      </w:pPr>
      <w:r>
        <w:rPr>
          <w:rFonts w:ascii="宋体" w:hAnsi="宋体"/>
          <w:color w:val="auto"/>
          <w:sz w:val="22"/>
          <w:szCs w:val="22"/>
          <w:highlight w:val="none"/>
        </w:rPr>
        <w:t>承包人在质量保修期内，按照有关法律规定和合同约定，承担工程质量保修责任。</w:t>
      </w:r>
    </w:p>
    <w:p w14:paraId="4D22BB2A">
      <w:pPr>
        <w:spacing w:line="440" w:lineRule="exact"/>
        <w:ind w:left="548" w:leftChars="261"/>
        <w:rPr>
          <w:rFonts w:ascii="宋体" w:hAnsi="宋体"/>
          <w:color w:val="auto"/>
          <w:sz w:val="22"/>
          <w:szCs w:val="22"/>
          <w:highlight w:val="none"/>
        </w:rPr>
      </w:pPr>
      <w:r>
        <w:rPr>
          <w:rFonts w:ascii="宋体" w:hAnsi="宋体"/>
          <w:color w:val="auto"/>
          <w:sz w:val="22"/>
          <w:szCs w:val="22"/>
          <w:highlight w:val="none"/>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E65E321">
      <w:pPr>
        <w:spacing w:line="440" w:lineRule="exact"/>
        <w:rPr>
          <w:rFonts w:ascii="宋体" w:hAnsi="宋体"/>
          <w:color w:val="auto"/>
          <w:sz w:val="22"/>
          <w:szCs w:val="22"/>
          <w:highlight w:val="none"/>
          <w:u w:val="single"/>
        </w:rPr>
      </w:pPr>
      <w:r>
        <w:rPr>
          <w:rFonts w:ascii="宋体" w:hAnsi="宋体"/>
          <w:color w:val="auto"/>
          <w:sz w:val="22"/>
          <w:szCs w:val="22"/>
          <w:highlight w:val="none"/>
        </w:rPr>
        <w:t>　</w:t>
      </w:r>
      <w:r>
        <w:rPr>
          <w:rFonts w:hint="eastAsia" w:ascii="宋体" w:hAnsi="宋体"/>
          <w:color w:val="auto"/>
          <w:sz w:val="22"/>
          <w:szCs w:val="22"/>
          <w:highlight w:val="none"/>
        </w:rPr>
        <w:t xml:space="preserve">    </w:t>
      </w:r>
      <w:r>
        <w:rPr>
          <w:rFonts w:hint="eastAsia" w:ascii="宋体" w:hAnsi="宋体" w:cs="宋体"/>
          <w:color w:val="auto"/>
          <w:sz w:val="22"/>
          <w:szCs w:val="22"/>
          <w:highlight w:val="none"/>
          <w:u w:val="single"/>
          <w:lang w:eastAsia="zh-CN"/>
        </w:rPr>
        <w:t>温州市综合行政执法局2*630kVA配电室增容改造工程</w:t>
      </w:r>
      <w:r>
        <w:rPr>
          <w:rFonts w:hint="eastAsia" w:ascii="宋体" w:hAnsi="宋体"/>
          <w:color w:val="auto"/>
          <w:sz w:val="22"/>
          <w:szCs w:val="22"/>
          <w:highlight w:val="none"/>
          <w:u w:val="single"/>
        </w:rPr>
        <w:t>全部内容</w:t>
      </w:r>
    </w:p>
    <w:p w14:paraId="7CA1B2C7">
      <w:pPr>
        <w:spacing w:line="440" w:lineRule="exact"/>
        <w:rPr>
          <w:rFonts w:ascii="宋体" w:hAnsi="宋体"/>
          <w:b/>
          <w:bCs/>
          <w:color w:val="auto"/>
          <w:sz w:val="22"/>
          <w:szCs w:val="22"/>
          <w:highlight w:val="none"/>
        </w:rPr>
      </w:pPr>
      <w:r>
        <w:rPr>
          <w:rFonts w:ascii="宋体" w:hAnsi="宋体"/>
          <w:b/>
          <w:bCs/>
          <w:color w:val="auto"/>
          <w:sz w:val="22"/>
          <w:szCs w:val="22"/>
          <w:highlight w:val="none"/>
        </w:rPr>
        <w:t>二、</w:t>
      </w:r>
      <w:r>
        <w:rPr>
          <w:rFonts w:hint="eastAsia" w:ascii="宋体" w:hAnsi="宋体"/>
          <w:b/>
          <w:bCs/>
          <w:color w:val="auto"/>
          <w:sz w:val="22"/>
          <w:szCs w:val="22"/>
          <w:highlight w:val="none"/>
        </w:rPr>
        <w:t xml:space="preserve"> </w:t>
      </w:r>
      <w:r>
        <w:rPr>
          <w:rFonts w:ascii="宋体" w:hAnsi="宋体"/>
          <w:b/>
          <w:bCs/>
          <w:color w:val="auto"/>
          <w:sz w:val="22"/>
          <w:szCs w:val="22"/>
          <w:highlight w:val="none"/>
        </w:rPr>
        <w:t>质量保修期</w:t>
      </w:r>
    </w:p>
    <w:p w14:paraId="7C588AF7">
      <w:pPr>
        <w:spacing w:line="440" w:lineRule="exact"/>
        <w:ind w:firstLine="550" w:firstLineChars="250"/>
        <w:rPr>
          <w:rFonts w:ascii="宋体" w:hAnsi="宋体"/>
          <w:color w:val="auto"/>
          <w:sz w:val="22"/>
          <w:szCs w:val="22"/>
          <w:highlight w:val="none"/>
        </w:rPr>
      </w:pPr>
      <w:r>
        <w:rPr>
          <w:rFonts w:ascii="宋体" w:hAnsi="宋体"/>
          <w:color w:val="auto"/>
          <w:sz w:val="22"/>
          <w:szCs w:val="22"/>
          <w:highlight w:val="none"/>
        </w:rPr>
        <w:t>根据《建设工程质量管理条例》及有关规定，工程的质量保修期如下：</w:t>
      </w:r>
    </w:p>
    <w:p w14:paraId="3ED2A4FE">
      <w:pPr>
        <w:spacing w:line="440" w:lineRule="exact"/>
        <w:ind w:firstLine="220" w:firstLineChars="100"/>
        <w:rPr>
          <w:rFonts w:hint="eastAsia" w:ascii="宋体" w:hAnsi="宋体"/>
          <w:color w:val="auto"/>
          <w:sz w:val="22"/>
          <w:szCs w:val="22"/>
          <w:highlight w:val="none"/>
        </w:rPr>
      </w:pPr>
      <w:r>
        <w:rPr>
          <w:rFonts w:hint="eastAsia" w:ascii="宋体" w:hAnsi="宋体"/>
          <w:color w:val="auto"/>
          <w:sz w:val="22"/>
          <w:szCs w:val="22"/>
          <w:highlight w:val="none"/>
        </w:rPr>
        <w:t>1. 地基基础工程和主体结构工程为设计文件规定的工程合理使用年限；</w:t>
      </w:r>
    </w:p>
    <w:p w14:paraId="438CC34D">
      <w:pPr>
        <w:spacing w:line="44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 xml:space="preserve">2. </w:t>
      </w:r>
      <w:r>
        <w:rPr>
          <w:rFonts w:ascii="宋体" w:hAnsi="宋体"/>
          <w:color w:val="auto"/>
          <w:sz w:val="22"/>
          <w:szCs w:val="22"/>
          <w:highlight w:val="none"/>
        </w:rPr>
        <w:t>屋面防水工程、有防水要求的卫生间、房间和外墙面的防渗</w:t>
      </w:r>
      <w:r>
        <w:rPr>
          <w:rFonts w:hint="eastAsia" w:ascii="宋体" w:hAnsi="宋体"/>
          <w:color w:val="auto"/>
          <w:sz w:val="22"/>
          <w:szCs w:val="22"/>
          <w:highlight w:val="none"/>
        </w:rPr>
        <w:t>为</w:t>
      </w:r>
      <w:r>
        <w:rPr>
          <w:rFonts w:hint="eastAsia" w:ascii="宋体" w:hAnsi="宋体"/>
          <w:color w:val="auto"/>
          <w:sz w:val="22"/>
          <w:szCs w:val="22"/>
          <w:highlight w:val="none"/>
          <w:u w:val="single"/>
        </w:rPr>
        <w:t xml:space="preserve">  伍  </w:t>
      </w:r>
      <w:r>
        <w:rPr>
          <w:rFonts w:ascii="宋体" w:hAnsi="宋体"/>
          <w:color w:val="auto"/>
          <w:sz w:val="22"/>
          <w:szCs w:val="22"/>
          <w:highlight w:val="none"/>
        </w:rPr>
        <w:t>年；</w:t>
      </w:r>
    </w:p>
    <w:p w14:paraId="756C8E40">
      <w:pPr>
        <w:spacing w:line="44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 xml:space="preserve">3. </w:t>
      </w:r>
      <w:r>
        <w:rPr>
          <w:rFonts w:ascii="宋体" w:hAnsi="宋体"/>
          <w:color w:val="auto"/>
          <w:sz w:val="22"/>
          <w:szCs w:val="22"/>
          <w:highlight w:val="none"/>
        </w:rPr>
        <w:t>装修工程为</w:t>
      </w:r>
      <w:r>
        <w:rPr>
          <w:rFonts w:hint="eastAsia" w:ascii="宋体" w:hAnsi="宋体"/>
          <w:color w:val="auto"/>
          <w:sz w:val="22"/>
          <w:szCs w:val="22"/>
          <w:highlight w:val="none"/>
          <w:u w:val="single"/>
        </w:rPr>
        <w:t xml:space="preserve"> 贰</w:t>
      </w:r>
      <w:r>
        <w:rPr>
          <w:rFonts w:ascii="宋体" w:hAnsi="宋体"/>
          <w:color w:val="auto"/>
          <w:sz w:val="22"/>
          <w:szCs w:val="22"/>
          <w:highlight w:val="none"/>
          <w:u w:val="single"/>
        </w:rPr>
        <w:t xml:space="preserve">  </w:t>
      </w:r>
      <w:r>
        <w:rPr>
          <w:rFonts w:ascii="宋体" w:hAnsi="宋体"/>
          <w:color w:val="auto"/>
          <w:sz w:val="22"/>
          <w:szCs w:val="22"/>
          <w:highlight w:val="none"/>
        </w:rPr>
        <w:t>年；</w:t>
      </w:r>
    </w:p>
    <w:p w14:paraId="0AB03F1C">
      <w:pPr>
        <w:spacing w:line="44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 xml:space="preserve">4. </w:t>
      </w:r>
      <w:r>
        <w:rPr>
          <w:rFonts w:ascii="宋体" w:hAnsi="宋体"/>
          <w:color w:val="auto"/>
          <w:sz w:val="22"/>
          <w:szCs w:val="22"/>
          <w:highlight w:val="none"/>
        </w:rPr>
        <w:t>电气管线、给排水管道、设备安装工程为</w:t>
      </w:r>
      <w:r>
        <w:rPr>
          <w:rFonts w:hint="eastAsia" w:ascii="宋体" w:hAnsi="宋体"/>
          <w:color w:val="auto"/>
          <w:sz w:val="22"/>
          <w:szCs w:val="22"/>
          <w:highlight w:val="none"/>
          <w:u w:val="single"/>
        </w:rPr>
        <w:t xml:space="preserve"> 贰</w:t>
      </w:r>
      <w:r>
        <w:rPr>
          <w:rFonts w:ascii="宋体" w:hAnsi="宋体"/>
          <w:color w:val="auto"/>
          <w:sz w:val="22"/>
          <w:szCs w:val="22"/>
          <w:highlight w:val="none"/>
          <w:u w:val="single"/>
        </w:rPr>
        <w:t xml:space="preserve">  </w:t>
      </w:r>
      <w:r>
        <w:rPr>
          <w:rFonts w:ascii="宋体" w:hAnsi="宋体"/>
          <w:color w:val="auto"/>
          <w:sz w:val="22"/>
          <w:szCs w:val="22"/>
          <w:highlight w:val="none"/>
        </w:rPr>
        <w:t>年</w:t>
      </w:r>
      <w:r>
        <w:rPr>
          <w:rFonts w:hint="eastAsia" w:ascii="宋体" w:hAnsi="宋体"/>
          <w:color w:val="auto"/>
          <w:sz w:val="22"/>
          <w:szCs w:val="22"/>
          <w:highlight w:val="none"/>
          <w:lang w:eastAsia="zh-CN"/>
        </w:rPr>
        <w:t>，本项目</w:t>
      </w:r>
      <w:r>
        <w:rPr>
          <w:rFonts w:hint="eastAsia" w:ascii="宋体" w:hAnsi="宋体"/>
          <w:color w:val="auto"/>
          <w:sz w:val="22"/>
          <w:szCs w:val="22"/>
          <w:highlight w:val="none"/>
          <w:lang w:val="en-US" w:eastAsia="zh-CN"/>
        </w:rPr>
        <w:t>设备</w:t>
      </w:r>
      <w:r>
        <w:rPr>
          <w:rFonts w:hint="eastAsia" w:ascii="宋体" w:hAnsi="宋体"/>
          <w:color w:val="auto"/>
          <w:sz w:val="22"/>
          <w:szCs w:val="22"/>
          <w:highlight w:val="none"/>
          <w:lang w:eastAsia="zh-CN"/>
        </w:rPr>
        <w:t>产品应提供自货物验收合格并交付使用后</w:t>
      </w:r>
      <w:r>
        <w:rPr>
          <w:rFonts w:hint="eastAsia" w:ascii="宋体" w:hAnsi="宋体"/>
          <w:color w:val="auto"/>
          <w:sz w:val="22"/>
          <w:szCs w:val="22"/>
          <w:highlight w:val="none"/>
          <w:u w:val="single"/>
          <w:lang w:eastAsia="zh-CN"/>
        </w:rPr>
        <w:t xml:space="preserve"> </w:t>
      </w:r>
      <w:r>
        <w:rPr>
          <w:rFonts w:hint="eastAsia" w:ascii="宋体" w:hAnsi="宋体"/>
          <w:color w:val="auto"/>
          <w:sz w:val="22"/>
          <w:szCs w:val="22"/>
          <w:highlight w:val="none"/>
          <w:u w:val="single"/>
          <w:lang w:val="en-US" w:eastAsia="zh-CN"/>
        </w:rPr>
        <w:t>三</w:t>
      </w:r>
      <w:r>
        <w:rPr>
          <w:rFonts w:hint="eastAsia" w:ascii="宋体" w:hAnsi="宋体"/>
          <w:color w:val="auto"/>
          <w:sz w:val="22"/>
          <w:szCs w:val="22"/>
          <w:highlight w:val="none"/>
          <w:u w:val="single"/>
          <w:lang w:eastAsia="zh-CN"/>
        </w:rPr>
        <w:t>年</w:t>
      </w:r>
      <w:r>
        <w:rPr>
          <w:rFonts w:hint="eastAsia" w:ascii="宋体" w:hAnsi="宋体"/>
          <w:color w:val="auto"/>
          <w:sz w:val="22"/>
          <w:szCs w:val="22"/>
          <w:highlight w:val="none"/>
          <w:u w:val="single"/>
          <w:lang w:eastAsia="zh-CN"/>
        </w:rPr>
        <w:t xml:space="preserve"> </w:t>
      </w:r>
      <w:r>
        <w:rPr>
          <w:rFonts w:hint="eastAsia" w:ascii="宋体" w:hAnsi="宋体"/>
          <w:color w:val="auto"/>
          <w:sz w:val="22"/>
          <w:szCs w:val="22"/>
          <w:highlight w:val="none"/>
          <w:lang w:eastAsia="zh-CN"/>
        </w:rPr>
        <w:t>的现场免费质保期</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须提供</w:t>
      </w:r>
      <w:r>
        <w:rPr>
          <w:rFonts w:hint="eastAsia" w:ascii="宋体" w:hAnsi="宋体" w:cs="宋体"/>
          <w:bCs/>
          <w:color w:val="auto"/>
          <w:sz w:val="22"/>
          <w:szCs w:val="22"/>
          <w:highlight w:val="none"/>
          <w:lang w:val="en-US" w:eastAsia="zh-CN"/>
        </w:rPr>
        <w:t>设备质保承诺函</w:t>
      </w:r>
      <w:r>
        <w:rPr>
          <w:rFonts w:hint="eastAsia" w:ascii="宋体" w:hAnsi="宋体"/>
          <w:color w:val="auto"/>
          <w:sz w:val="22"/>
          <w:szCs w:val="22"/>
          <w:highlight w:val="none"/>
          <w:lang w:eastAsia="zh-CN"/>
        </w:rPr>
        <w:t>）</w:t>
      </w:r>
      <w:r>
        <w:rPr>
          <w:rFonts w:hint="eastAsia" w:ascii="宋体" w:hAnsi="宋体"/>
          <w:color w:val="auto"/>
          <w:sz w:val="22"/>
          <w:szCs w:val="22"/>
          <w:highlight w:val="none"/>
          <w:lang w:eastAsia="zh-CN"/>
        </w:rPr>
        <w:t>，如厂商本身承诺的产品质保期高于此要求的则按照厂商承诺执行。在质量保证期内，乙方对由于产品设计、工艺、材料、配套件的缺陷而造成的任何产品质量问题或故障负责</w:t>
      </w:r>
      <w:r>
        <w:rPr>
          <w:rFonts w:ascii="宋体" w:hAnsi="宋体"/>
          <w:color w:val="auto"/>
          <w:sz w:val="22"/>
          <w:szCs w:val="22"/>
          <w:highlight w:val="none"/>
        </w:rPr>
        <w:t>；</w:t>
      </w:r>
    </w:p>
    <w:p w14:paraId="5D85C3F4">
      <w:pPr>
        <w:spacing w:line="44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 xml:space="preserve">5. </w:t>
      </w:r>
      <w:r>
        <w:rPr>
          <w:rFonts w:ascii="宋体" w:hAnsi="宋体"/>
          <w:color w:val="auto"/>
          <w:sz w:val="22"/>
          <w:szCs w:val="22"/>
          <w:highlight w:val="none"/>
        </w:rPr>
        <w:t>供热与供冷系统为</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贰</w:t>
      </w:r>
      <w:r>
        <w:rPr>
          <w:rFonts w:ascii="宋体" w:hAnsi="宋体"/>
          <w:color w:val="auto"/>
          <w:sz w:val="22"/>
          <w:szCs w:val="22"/>
          <w:highlight w:val="none"/>
          <w:u w:val="single"/>
        </w:rPr>
        <w:t xml:space="preserve"> </w:t>
      </w:r>
      <w:r>
        <w:rPr>
          <w:rFonts w:ascii="宋体" w:hAnsi="宋体"/>
          <w:color w:val="auto"/>
          <w:sz w:val="22"/>
          <w:szCs w:val="22"/>
          <w:highlight w:val="none"/>
        </w:rPr>
        <w:t>个采暖期、供冷期；</w:t>
      </w:r>
    </w:p>
    <w:p w14:paraId="4C032769">
      <w:pPr>
        <w:spacing w:line="440" w:lineRule="exact"/>
        <w:ind w:firstLine="220" w:firstLineChars="100"/>
        <w:rPr>
          <w:rFonts w:hint="eastAsia" w:ascii="宋体" w:hAnsi="宋体"/>
          <w:color w:val="auto"/>
          <w:sz w:val="22"/>
          <w:szCs w:val="22"/>
          <w:highlight w:val="none"/>
        </w:rPr>
      </w:pPr>
      <w:r>
        <w:rPr>
          <w:rFonts w:hint="eastAsia" w:ascii="宋体" w:hAnsi="宋体"/>
          <w:color w:val="auto"/>
          <w:sz w:val="22"/>
          <w:szCs w:val="22"/>
          <w:highlight w:val="none"/>
        </w:rPr>
        <w:t xml:space="preserve">6. </w:t>
      </w:r>
      <w:r>
        <w:rPr>
          <w:rFonts w:ascii="宋体" w:hAnsi="宋体"/>
          <w:color w:val="auto"/>
          <w:sz w:val="22"/>
          <w:szCs w:val="22"/>
          <w:highlight w:val="none"/>
        </w:rPr>
        <w:t>住宅小区内的给排水设施、道路等配套工程为</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贰</w:t>
      </w:r>
      <w:r>
        <w:rPr>
          <w:rFonts w:ascii="宋体" w:hAnsi="宋体"/>
          <w:color w:val="auto"/>
          <w:sz w:val="22"/>
          <w:szCs w:val="22"/>
          <w:highlight w:val="none"/>
          <w:u w:val="single"/>
        </w:rPr>
        <w:t xml:space="preserve">  </w:t>
      </w:r>
      <w:r>
        <w:rPr>
          <w:rFonts w:ascii="宋体" w:hAnsi="宋体"/>
          <w:color w:val="auto"/>
          <w:sz w:val="22"/>
          <w:szCs w:val="22"/>
          <w:highlight w:val="none"/>
        </w:rPr>
        <w:t>年</w:t>
      </w:r>
    </w:p>
    <w:p w14:paraId="60CD75C8">
      <w:pPr>
        <w:spacing w:line="440" w:lineRule="exact"/>
        <w:ind w:firstLine="220" w:firstLineChars="100"/>
        <w:rPr>
          <w:rFonts w:ascii="宋体" w:hAnsi="宋体"/>
          <w:color w:val="auto"/>
          <w:sz w:val="22"/>
          <w:szCs w:val="22"/>
          <w:highlight w:val="none"/>
        </w:rPr>
      </w:pPr>
      <w:r>
        <w:rPr>
          <w:rFonts w:ascii="宋体" w:hAnsi="宋体"/>
          <w:color w:val="auto"/>
          <w:sz w:val="22"/>
          <w:szCs w:val="22"/>
          <w:highlight w:val="none"/>
        </w:rPr>
        <w:t>7</w:t>
      </w:r>
      <w:r>
        <w:rPr>
          <w:rFonts w:hint="eastAsia" w:ascii="宋体" w:hAnsi="宋体"/>
          <w:color w:val="auto"/>
          <w:sz w:val="22"/>
          <w:szCs w:val="22"/>
          <w:highlight w:val="none"/>
        </w:rPr>
        <w:t xml:space="preserve">. </w:t>
      </w:r>
      <w:r>
        <w:rPr>
          <w:rFonts w:ascii="宋体" w:hAnsi="宋体"/>
          <w:color w:val="auto"/>
          <w:sz w:val="22"/>
          <w:szCs w:val="22"/>
          <w:highlight w:val="none"/>
        </w:rPr>
        <w:t>其他项目保修期限约定如下：</w:t>
      </w:r>
    </w:p>
    <w:p w14:paraId="034806E6">
      <w:pPr>
        <w:spacing w:line="440" w:lineRule="exact"/>
        <w:rPr>
          <w:rFonts w:hint="eastAsia" w:ascii="宋体" w:hAnsi="宋体"/>
          <w:color w:val="auto"/>
          <w:sz w:val="22"/>
          <w:szCs w:val="22"/>
          <w:highlight w:val="none"/>
        </w:rPr>
      </w:pP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u w:val="single"/>
        </w:rPr>
        <w:t xml:space="preserve">按《建筑工程质量管理条例》和《房屋建筑工程质量保修办法》执行 </w:t>
      </w:r>
    </w:p>
    <w:p w14:paraId="222DEE82">
      <w:pPr>
        <w:spacing w:line="440" w:lineRule="exact"/>
        <w:rPr>
          <w:rFonts w:hint="eastAsia" w:ascii="宋体" w:hAnsi="宋体"/>
          <w:color w:val="auto"/>
          <w:sz w:val="22"/>
          <w:szCs w:val="22"/>
          <w:highlight w:val="none"/>
        </w:rPr>
      </w:pPr>
      <w:r>
        <w:rPr>
          <w:rFonts w:ascii="宋体" w:hAnsi="宋体"/>
          <w:color w:val="auto"/>
          <w:sz w:val="22"/>
          <w:szCs w:val="22"/>
          <w:highlight w:val="none"/>
        </w:rPr>
        <w:t>　　质量保修期自工程竣工验收合格之日起计算。</w:t>
      </w:r>
    </w:p>
    <w:p w14:paraId="445631A8">
      <w:pPr>
        <w:spacing w:line="440" w:lineRule="exact"/>
        <w:rPr>
          <w:rFonts w:ascii="宋体" w:hAnsi="宋体"/>
          <w:b/>
          <w:bCs/>
          <w:color w:val="auto"/>
          <w:sz w:val="22"/>
          <w:szCs w:val="22"/>
          <w:highlight w:val="none"/>
        </w:rPr>
      </w:pPr>
      <w:r>
        <w:rPr>
          <w:rFonts w:ascii="宋体" w:hAnsi="宋体"/>
          <w:b/>
          <w:bCs/>
          <w:color w:val="auto"/>
          <w:sz w:val="22"/>
          <w:szCs w:val="22"/>
          <w:highlight w:val="none"/>
        </w:rPr>
        <w:t>三、</w:t>
      </w:r>
      <w:r>
        <w:rPr>
          <w:rFonts w:hint="eastAsia" w:ascii="宋体" w:hAnsi="宋体"/>
          <w:b/>
          <w:bCs/>
          <w:color w:val="auto"/>
          <w:sz w:val="22"/>
          <w:szCs w:val="22"/>
          <w:highlight w:val="none"/>
        </w:rPr>
        <w:t xml:space="preserve"> </w:t>
      </w:r>
      <w:r>
        <w:rPr>
          <w:rFonts w:ascii="宋体" w:hAnsi="宋体"/>
          <w:b/>
          <w:bCs/>
          <w:color w:val="auto"/>
          <w:sz w:val="22"/>
          <w:szCs w:val="22"/>
          <w:highlight w:val="none"/>
        </w:rPr>
        <w:t>缺陷责任期</w:t>
      </w:r>
    </w:p>
    <w:p w14:paraId="2E74B0E3">
      <w:pPr>
        <w:spacing w:line="440" w:lineRule="exact"/>
        <w:ind w:left="548" w:leftChars="261"/>
        <w:rPr>
          <w:rFonts w:ascii="宋体" w:hAnsi="宋体"/>
          <w:color w:val="auto"/>
          <w:sz w:val="22"/>
          <w:szCs w:val="22"/>
          <w:highlight w:val="none"/>
        </w:rPr>
      </w:pPr>
      <w:r>
        <w:rPr>
          <w:rFonts w:ascii="宋体" w:hAnsi="宋体"/>
          <w:color w:val="auto"/>
          <w:sz w:val="22"/>
          <w:szCs w:val="22"/>
          <w:highlight w:val="none"/>
        </w:rPr>
        <w:t>工程缺陷责任期为</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24</w:t>
      </w:r>
      <w:r>
        <w:rPr>
          <w:rFonts w:ascii="宋体" w:hAnsi="宋体"/>
          <w:color w:val="auto"/>
          <w:sz w:val="22"/>
          <w:szCs w:val="22"/>
          <w:highlight w:val="none"/>
          <w:u w:val="single"/>
        </w:rPr>
        <w:t xml:space="preserve"> </w:t>
      </w:r>
      <w:r>
        <w:rPr>
          <w:rFonts w:ascii="宋体" w:hAnsi="宋体"/>
          <w:color w:val="auto"/>
          <w:sz w:val="22"/>
          <w:szCs w:val="22"/>
          <w:highlight w:val="none"/>
        </w:rPr>
        <w:t>个月，缺陷责任期自工程竣工验收合格之日起计算。单位工程先于全部工程进行验收，单位工程缺陷责任期自单位工程验收合格之日起算。</w:t>
      </w:r>
    </w:p>
    <w:p w14:paraId="449D88A4">
      <w:pPr>
        <w:spacing w:line="440" w:lineRule="exact"/>
        <w:ind w:firstLine="550" w:firstLineChars="250"/>
        <w:rPr>
          <w:rFonts w:ascii="宋体" w:hAnsi="宋体"/>
          <w:color w:val="auto"/>
          <w:sz w:val="22"/>
          <w:szCs w:val="22"/>
          <w:highlight w:val="none"/>
        </w:rPr>
      </w:pPr>
      <w:r>
        <w:rPr>
          <w:rFonts w:ascii="宋体" w:hAnsi="宋体"/>
          <w:color w:val="auto"/>
          <w:sz w:val="22"/>
          <w:szCs w:val="22"/>
          <w:highlight w:val="none"/>
        </w:rPr>
        <w:t>缺陷责任期终止后，发包人应退还剩余的质量保证金。</w:t>
      </w:r>
    </w:p>
    <w:p w14:paraId="53A1B141">
      <w:pPr>
        <w:spacing w:line="440" w:lineRule="exact"/>
        <w:rPr>
          <w:rFonts w:ascii="宋体" w:hAnsi="宋体"/>
          <w:b/>
          <w:bCs/>
          <w:color w:val="auto"/>
          <w:sz w:val="22"/>
          <w:szCs w:val="22"/>
          <w:highlight w:val="none"/>
        </w:rPr>
      </w:pPr>
      <w:r>
        <w:rPr>
          <w:rFonts w:ascii="宋体" w:hAnsi="宋体"/>
          <w:b/>
          <w:bCs/>
          <w:color w:val="auto"/>
          <w:sz w:val="22"/>
          <w:szCs w:val="22"/>
          <w:highlight w:val="none"/>
        </w:rPr>
        <w:t>四、</w:t>
      </w:r>
      <w:r>
        <w:rPr>
          <w:rFonts w:hint="eastAsia" w:ascii="宋体" w:hAnsi="宋体"/>
          <w:b/>
          <w:bCs/>
          <w:color w:val="auto"/>
          <w:sz w:val="22"/>
          <w:szCs w:val="22"/>
          <w:highlight w:val="none"/>
        </w:rPr>
        <w:t xml:space="preserve"> </w:t>
      </w:r>
      <w:r>
        <w:rPr>
          <w:rFonts w:ascii="宋体" w:hAnsi="宋体"/>
          <w:b/>
          <w:bCs/>
          <w:color w:val="auto"/>
          <w:sz w:val="22"/>
          <w:szCs w:val="22"/>
          <w:highlight w:val="none"/>
        </w:rPr>
        <w:t>质量保修责任</w:t>
      </w:r>
    </w:p>
    <w:p w14:paraId="32FA507F">
      <w:pPr>
        <w:spacing w:line="440" w:lineRule="exact"/>
        <w:ind w:left="548" w:leftChars="104" w:hanging="330" w:hangingChars="150"/>
        <w:rPr>
          <w:rFonts w:ascii="宋体" w:hAnsi="宋体"/>
          <w:color w:val="auto"/>
          <w:sz w:val="22"/>
          <w:szCs w:val="22"/>
          <w:highlight w:val="none"/>
        </w:rPr>
      </w:pPr>
      <w:r>
        <w:rPr>
          <w:rFonts w:hint="eastAsia" w:ascii="宋体" w:hAnsi="宋体"/>
          <w:color w:val="auto"/>
          <w:sz w:val="22"/>
          <w:szCs w:val="22"/>
          <w:highlight w:val="none"/>
        </w:rPr>
        <w:t xml:space="preserve">1. </w:t>
      </w:r>
      <w:r>
        <w:rPr>
          <w:rFonts w:ascii="宋体" w:hAnsi="宋体"/>
          <w:color w:val="auto"/>
          <w:sz w:val="22"/>
          <w:szCs w:val="22"/>
          <w:highlight w:val="none"/>
        </w:rPr>
        <w:t>属于保修范围、内容的项目，承包人应当在接到保修通知之日起7天内派人保修。承包人不在约定期限内派人保修的，发包人可以委托他人修理。</w:t>
      </w:r>
    </w:p>
    <w:p w14:paraId="6B1B9C8E">
      <w:pPr>
        <w:spacing w:line="44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 xml:space="preserve">2. </w:t>
      </w:r>
      <w:r>
        <w:rPr>
          <w:rFonts w:ascii="宋体" w:hAnsi="宋体"/>
          <w:color w:val="auto"/>
          <w:sz w:val="22"/>
          <w:szCs w:val="22"/>
          <w:highlight w:val="none"/>
        </w:rPr>
        <w:t>发生紧急事故需抢修的，承包人在接到事故通知后，应当立即到达事故现场抢修。</w:t>
      </w:r>
    </w:p>
    <w:p w14:paraId="50412948">
      <w:pPr>
        <w:spacing w:line="440" w:lineRule="exact"/>
        <w:ind w:left="548" w:leftChars="104" w:hanging="330" w:hangingChars="150"/>
        <w:rPr>
          <w:rFonts w:ascii="宋体" w:hAnsi="宋体"/>
          <w:color w:val="auto"/>
          <w:sz w:val="22"/>
          <w:szCs w:val="22"/>
          <w:highlight w:val="none"/>
        </w:rPr>
      </w:pPr>
      <w:r>
        <w:rPr>
          <w:rFonts w:hint="eastAsia" w:ascii="宋体" w:hAnsi="宋体"/>
          <w:color w:val="auto"/>
          <w:sz w:val="22"/>
          <w:szCs w:val="22"/>
          <w:highlight w:val="none"/>
        </w:rPr>
        <w:t xml:space="preserve">3. </w:t>
      </w:r>
      <w:r>
        <w:rPr>
          <w:rFonts w:ascii="宋体" w:hAnsi="宋体"/>
          <w:color w:val="auto"/>
          <w:sz w:val="22"/>
          <w:szCs w:val="2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09B075E">
      <w:pPr>
        <w:spacing w:line="440" w:lineRule="exact"/>
        <w:ind w:firstLine="220" w:firstLineChars="100"/>
        <w:rPr>
          <w:rFonts w:ascii="宋体" w:hAnsi="宋体"/>
          <w:color w:val="auto"/>
          <w:sz w:val="22"/>
          <w:szCs w:val="22"/>
          <w:highlight w:val="none"/>
        </w:rPr>
      </w:pPr>
      <w:r>
        <w:rPr>
          <w:rFonts w:hint="eastAsia" w:ascii="宋体" w:hAnsi="宋体"/>
          <w:color w:val="auto"/>
          <w:sz w:val="22"/>
          <w:szCs w:val="22"/>
          <w:highlight w:val="none"/>
        </w:rPr>
        <w:t xml:space="preserve">4. </w:t>
      </w:r>
      <w:r>
        <w:rPr>
          <w:rFonts w:ascii="宋体" w:hAnsi="宋体"/>
          <w:color w:val="auto"/>
          <w:sz w:val="22"/>
          <w:szCs w:val="22"/>
          <w:highlight w:val="none"/>
        </w:rPr>
        <w:t>质量保修完成后，由发包人组织验收。</w:t>
      </w:r>
    </w:p>
    <w:p w14:paraId="2EA1398F">
      <w:pPr>
        <w:spacing w:line="440" w:lineRule="exact"/>
        <w:rPr>
          <w:rFonts w:ascii="宋体" w:hAnsi="宋体"/>
          <w:color w:val="auto"/>
          <w:sz w:val="22"/>
          <w:szCs w:val="22"/>
          <w:highlight w:val="none"/>
        </w:rPr>
      </w:pPr>
      <w:r>
        <w:rPr>
          <w:rFonts w:ascii="宋体" w:hAnsi="宋体"/>
          <w:b/>
          <w:bCs/>
          <w:color w:val="auto"/>
          <w:sz w:val="22"/>
          <w:szCs w:val="22"/>
          <w:highlight w:val="none"/>
        </w:rPr>
        <w:t>五、</w:t>
      </w:r>
      <w:r>
        <w:rPr>
          <w:rFonts w:hint="eastAsia" w:ascii="宋体" w:hAnsi="宋体"/>
          <w:b/>
          <w:bCs/>
          <w:color w:val="auto"/>
          <w:sz w:val="22"/>
          <w:szCs w:val="22"/>
          <w:highlight w:val="none"/>
        </w:rPr>
        <w:t xml:space="preserve"> </w:t>
      </w:r>
      <w:r>
        <w:rPr>
          <w:rFonts w:ascii="宋体" w:hAnsi="宋体"/>
          <w:b/>
          <w:bCs/>
          <w:color w:val="auto"/>
          <w:sz w:val="22"/>
          <w:szCs w:val="22"/>
          <w:highlight w:val="none"/>
        </w:rPr>
        <w:t>保修费用</w:t>
      </w:r>
    </w:p>
    <w:p w14:paraId="03FB8817">
      <w:pPr>
        <w:spacing w:line="440" w:lineRule="exact"/>
        <w:ind w:firstLine="550" w:firstLineChars="250"/>
        <w:rPr>
          <w:rFonts w:ascii="宋体" w:hAnsi="宋体"/>
          <w:color w:val="auto"/>
          <w:sz w:val="22"/>
          <w:szCs w:val="22"/>
          <w:highlight w:val="none"/>
        </w:rPr>
      </w:pPr>
      <w:r>
        <w:rPr>
          <w:rFonts w:ascii="宋体" w:hAnsi="宋体"/>
          <w:color w:val="auto"/>
          <w:sz w:val="22"/>
          <w:szCs w:val="22"/>
          <w:highlight w:val="none"/>
        </w:rPr>
        <w:t>保修费用由造成质量缺陷的责任方承担。</w:t>
      </w:r>
    </w:p>
    <w:p w14:paraId="32E38C0D">
      <w:pPr>
        <w:spacing w:line="440" w:lineRule="exact"/>
        <w:jc w:val="left"/>
        <w:rPr>
          <w:rFonts w:hint="eastAsia" w:ascii="宋体" w:hAnsi="宋体"/>
          <w:color w:val="auto"/>
          <w:sz w:val="22"/>
          <w:szCs w:val="22"/>
          <w:highlight w:val="none"/>
        </w:rPr>
      </w:pPr>
      <w:r>
        <w:rPr>
          <w:rFonts w:ascii="宋体" w:hAnsi="宋体"/>
          <w:b/>
          <w:bCs/>
          <w:color w:val="auto"/>
          <w:sz w:val="22"/>
          <w:szCs w:val="22"/>
          <w:highlight w:val="none"/>
        </w:rPr>
        <w:t>六、双方约定的其他工程质量保修事项</w:t>
      </w:r>
      <w:r>
        <w:rPr>
          <w:rFonts w:ascii="宋体" w:hAnsi="宋体"/>
          <w:b/>
          <w:bCs/>
          <w:color w:val="auto"/>
          <w:sz w:val="22"/>
          <w:szCs w:val="22"/>
          <w:highlight w:val="none"/>
          <w:u w:val="single"/>
        </w:rPr>
        <w:t xml:space="preserve">：          </w:t>
      </w:r>
      <w:r>
        <w:rPr>
          <w:rFonts w:hint="eastAsia" w:ascii="宋体" w:hAnsi="宋体"/>
          <w:b/>
          <w:bCs/>
          <w:color w:val="auto"/>
          <w:sz w:val="22"/>
          <w:szCs w:val="22"/>
          <w:highlight w:val="none"/>
          <w:u w:val="single"/>
        </w:rPr>
        <w:t xml:space="preserve">    </w:t>
      </w:r>
      <w:r>
        <w:rPr>
          <w:rFonts w:ascii="宋体" w:hAnsi="宋体"/>
          <w:b/>
          <w:bCs/>
          <w:color w:val="auto"/>
          <w:sz w:val="22"/>
          <w:szCs w:val="22"/>
          <w:highlight w:val="none"/>
          <w:u w:val="single"/>
        </w:rPr>
        <w:t xml:space="preserve">    </w:t>
      </w:r>
      <w:r>
        <w:rPr>
          <w:rFonts w:hint="eastAsia" w:ascii="宋体" w:hAnsi="宋体"/>
          <w:b/>
          <w:bCs/>
          <w:color w:val="auto"/>
          <w:sz w:val="22"/>
          <w:szCs w:val="22"/>
          <w:highlight w:val="none"/>
        </w:rPr>
        <w:t>。</w:t>
      </w:r>
    </w:p>
    <w:p w14:paraId="1AF4240B">
      <w:pPr>
        <w:spacing w:line="440" w:lineRule="exact"/>
        <w:ind w:left="525" w:leftChars="250"/>
        <w:rPr>
          <w:rFonts w:ascii="宋体" w:hAnsi="宋体"/>
          <w:color w:val="auto"/>
          <w:sz w:val="22"/>
          <w:szCs w:val="22"/>
          <w:highlight w:val="none"/>
        </w:rPr>
      </w:pPr>
      <w:r>
        <w:rPr>
          <w:rFonts w:ascii="宋体" w:hAnsi="宋体"/>
          <w:color w:val="auto"/>
          <w:sz w:val="22"/>
          <w:szCs w:val="22"/>
          <w:highlight w:val="none"/>
        </w:rPr>
        <w:t>工程质量保修书由发包人、承包人在工程竣工验收前共同签署，作为施工合同附件，其有效期限至保修期满。</w:t>
      </w:r>
    </w:p>
    <w:p w14:paraId="2CCE37D7">
      <w:pPr>
        <w:spacing w:line="440" w:lineRule="exact"/>
        <w:ind w:firstLine="420"/>
        <w:rPr>
          <w:rFonts w:ascii="宋体" w:hAnsi="宋体"/>
          <w:color w:val="auto"/>
          <w:sz w:val="22"/>
          <w:szCs w:val="22"/>
          <w:highlight w:val="none"/>
        </w:rPr>
      </w:pPr>
    </w:p>
    <w:p w14:paraId="49AE8F2A">
      <w:pPr>
        <w:spacing w:line="440" w:lineRule="exact"/>
        <w:rPr>
          <w:rFonts w:ascii="宋体" w:hAnsi="宋体"/>
          <w:color w:val="auto"/>
          <w:sz w:val="22"/>
          <w:szCs w:val="22"/>
          <w:highlight w:val="none"/>
        </w:rPr>
      </w:pPr>
      <w:r>
        <w:rPr>
          <w:rFonts w:ascii="宋体" w:hAnsi="宋体"/>
          <w:color w:val="auto"/>
          <w:sz w:val="22"/>
          <w:szCs w:val="22"/>
          <w:highlight w:val="none"/>
        </w:rPr>
        <w:t>发包人(公章)：</w:t>
      </w:r>
      <w:r>
        <w:rPr>
          <w:rFonts w:ascii="宋体" w:hAnsi="宋体"/>
          <w:color w:val="auto"/>
          <w:sz w:val="22"/>
          <w:szCs w:val="22"/>
          <w:highlight w:val="none"/>
          <w:u w:val="single"/>
        </w:rPr>
        <w:t xml:space="preserve">  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r>
        <w:rPr>
          <w:rFonts w:ascii="宋体" w:hAnsi="宋体"/>
          <w:color w:val="auto"/>
          <w:sz w:val="22"/>
          <w:szCs w:val="22"/>
          <w:highlight w:val="none"/>
        </w:rPr>
        <w:t>承包人(公章)：</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p>
    <w:p w14:paraId="0410A04C">
      <w:pPr>
        <w:spacing w:line="440" w:lineRule="exact"/>
        <w:rPr>
          <w:rFonts w:hint="eastAsia" w:ascii="宋体" w:hAnsi="宋体"/>
          <w:color w:val="auto"/>
          <w:sz w:val="22"/>
          <w:szCs w:val="22"/>
          <w:highlight w:val="none"/>
        </w:rPr>
      </w:pPr>
      <w:r>
        <w:rPr>
          <w:rFonts w:ascii="宋体" w:hAnsi="宋体"/>
          <w:color w:val="auto"/>
          <w:sz w:val="22"/>
          <w:szCs w:val="22"/>
          <w:highlight w:val="none"/>
        </w:rPr>
        <w:t>地  址：</w:t>
      </w:r>
      <w:r>
        <w:rPr>
          <w:rFonts w:ascii="宋体" w:hAnsi="宋体"/>
          <w:color w:val="auto"/>
          <w:sz w:val="22"/>
          <w:szCs w:val="22"/>
          <w:highlight w:val="none"/>
          <w:u w:val="single"/>
        </w:rPr>
        <w:t xml:space="preserve">     </w:t>
      </w:r>
      <w:r>
        <w:rPr>
          <w:rFonts w:hint="eastAsia" w:ascii="宋体" w:hAnsi="宋体"/>
          <w:color w:val="auto"/>
          <w:sz w:val="22"/>
          <w:szCs w:val="22"/>
          <w:highlight w:val="none"/>
        </w:rPr>
        <w:t xml:space="preserve">                    </w:t>
      </w:r>
      <w:r>
        <w:rPr>
          <w:rFonts w:ascii="宋体" w:hAnsi="宋体"/>
          <w:color w:val="auto"/>
          <w:sz w:val="22"/>
          <w:szCs w:val="22"/>
          <w:highlight w:val="none"/>
        </w:rPr>
        <w:t>地  址：</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p>
    <w:p w14:paraId="4E4737A0">
      <w:pPr>
        <w:spacing w:line="440" w:lineRule="exact"/>
        <w:rPr>
          <w:rFonts w:ascii="宋体" w:hAnsi="宋体"/>
          <w:color w:val="auto"/>
          <w:sz w:val="22"/>
          <w:szCs w:val="22"/>
          <w:highlight w:val="none"/>
        </w:rPr>
      </w:pPr>
      <w:r>
        <w:rPr>
          <w:rFonts w:ascii="宋体" w:hAnsi="宋体"/>
          <w:color w:val="auto"/>
          <w:sz w:val="22"/>
          <w:szCs w:val="22"/>
          <w:highlight w:val="none"/>
        </w:rPr>
        <w:t>法定代表人(签字)：</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r>
        <w:rPr>
          <w:rFonts w:ascii="宋体" w:hAnsi="宋体"/>
          <w:color w:val="auto"/>
          <w:sz w:val="22"/>
          <w:szCs w:val="22"/>
          <w:highlight w:val="none"/>
        </w:rPr>
        <w:t>法定代表人(签字)：</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p>
    <w:p w14:paraId="54C1965A">
      <w:pPr>
        <w:spacing w:line="440" w:lineRule="exact"/>
        <w:rPr>
          <w:rFonts w:ascii="宋体" w:hAnsi="宋体"/>
          <w:color w:val="auto"/>
          <w:sz w:val="22"/>
          <w:szCs w:val="22"/>
          <w:highlight w:val="none"/>
        </w:rPr>
      </w:pPr>
      <w:r>
        <w:rPr>
          <w:rFonts w:ascii="宋体" w:hAnsi="宋体"/>
          <w:color w:val="auto"/>
          <w:sz w:val="22"/>
          <w:szCs w:val="22"/>
          <w:highlight w:val="none"/>
        </w:rPr>
        <w:t>委托代理人(签字)：</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r>
        <w:rPr>
          <w:rFonts w:ascii="宋体" w:hAnsi="宋体"/>
          <w:color w:val="auto"/>
          <w:sz w:val="22"/>
          <w:szCs w:val="22"/>
          <w:highlight w:val="none"/>
        </w:rPr>
        <w:t>委托代理人(签字)：</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p>
    <w:p w14:paraId="7E087232">
      <w:pPr>
        <w:spacing w:line="440" w:lineRule="exact"/>
        <w:rPr>
          <w:rFonts w:ascii="宋体" w:hAnsi="宋体"/>
          <w:color w:val="auto"/>
          <w:sz w:val="22"/>
          <w:szCs w:val="22"/>
          <w:highlight w:val="none"/>
        </w:rPr>
      </w:pPr>
      <w:r>
        <w:rPr>
          <w:rFonts w:ascii="宋体" w:hAnsi="宋体"/>
          <w:color w:val="auto"/>
          <w:sz w:val="22"/>
          <w:szCs w:val="22"/>
          <w:highlight w:val="none"/>
        </w:rPr>
        <w:t>电  话：</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r>
        <w:rPr>
          <w:rFonts w:ascii="宋体" w:hAnsi="宋体"/>
          <w:color w:val="auto"/>
          <w:sz w:val="22"/>
          <w:szCs w:val="22"/>
          <w:highlight w:val="none"/>
        </w:rPr>
        <w:t>电  话：</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p>
    <w:p w14:paraId="587187A4">
      <w:pPr>
        <w:spacing w:line="440" w:lineRule="exact"/>
        <w:rPr>
          <w:rFonts w:ascii="宋体" w:hAnsi="宋体"/>
          <w:color w:val="auto"/>
          <w:sz w:val="22"/>
          <w:szCs w:val="22"/>
          <w:highlight w:val="none"/>
        </w:rPr>
      </w:pPr>
      <w:r>
        <w:rPr>
          <w:rFonts w:ascii="宋体" w:hAnsi="宋体"/>
          <w:color w:val="auto"/>
          <w:sz w:val="22"/>
          <w:szCs w:val="22"/>
          <w:highlight w:val="none"/>
        </w:rPr>
        <w:t>传  真：</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r>
        <w:rPr>
          <w:rFonts w:ascii="宋体" w:hAnsi="宋体"/>
          <w:color w:val="auto"/>
          <w:sz w:val="22"/>
          <w:szCs w:val="22"/>
          <w:highlight w:val="none"/>
        </w:rPr>
        <w:t>传  真：</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p>
    <w:p w14:paraId="71C074A7">
      <w:pPr>
        <w:spacing w:line="440" w:lineRule="exact"/>
        <w:rPr>
          <w:rFonts w:ascii="宋体" w:hAnsi="宋体"/>
          <w:color w:val="auto"/>
          <w:sz w:val="22"/>
          <w:szCs w:val="22"/>
          <w:highlight w:val="none"/>
        </w:rPr>
      </w:pPr>
      <w:r>
        <w:rPr>
          <w:rFonts w:ascii="宋体" w:hAnsi="宋体"/>
          <w:color w:val="auto"/>
          <w:sz w:val="22"/>
          <w:szCs w:val="22"/>
          <w:highlight w:val="none"/>
        </w:rPr>
        <w:t>开户银行：</w:t>
      </w:r>
      <w:r>
        <w:rPr>
          <w:rFonts w:ascii="宋体" w:hAnsi="宋体"/>
          <w:color w:val="auto"/>
          <w:sz w:val="22"/>
          <w:szCs w:val="22"/>
          <w:highlight w:val="none"/>
          <w:u w:val="singl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r>
        <w:rPr>
          <w:rFonts w:ascii="宋体" w:hAnsi="宋体"/>
          <w:color w:val="auto"/>
          <w:sz w:val="22"/>
          <w:szCs w:val="22"/>
          <w:highlight w:val="none"/>
        </w:rPr>
        <w:t>开户银行：</w:t>
      </w:r>
      <w:r>
        <w:rPr>
          <w:rFonts w:ascii="宋体" w:hAnsi="宋体"/>
          <w:color w:val="auto"/>
          <w:sz w:val="22"/>
          <w:szCs w:val="22"/>
          <w:highlight w:val="none"/>
          <w:u w:val="single"/>
        </w:rPr>
        <w:t xml:space="preserve">   </w:t>
      </w:r>
    </w:p>
    <w:p w14:paraId="33EB3655">
      <w:pPr>
        <w:spacing w:line="440" w:lineRule="exact"/>
        <w:rPr>
          <w:rFonts w:ascii="宋体" w:hAnsi="宋体"/>
          <w:color w:val="auto"/>
          <w:sz w:val="22"/>
          <w:szCs w:val="22"/>
          <w:highlight w:val="none"/>
        </w:rPr>
      </w:pPr>
      <w:r>
        <w:rPr>
          <w:rFonts w:ascii="宋体" w:hAnsi="宋体"/>
          <w:color w:val="auto"/>
          <w:sz w:val="22"/>
          <w:szCs w:val="22"/>
          <w:highlight w:val="none"/>
        </w:rPr>
        <w:t>账  号：</w:t>
      </w:r>
      <w:r>
        <w:rPr>
          <w:rFonts w:ascii="宋体" w:hAnsi="宋体"/>
          <w:color w:val="auto"/>
          <w:sz w:val="22"/>
          <w:szCs w:val="22"/>
          <w:highlight w:val="none"/>
          <w:u w:val="single"/>
        </w:rPr>
        <w:t xml:space="preserve">       </w:t>
      </w:r>
      <w:r>
        <w:rPr>
          <w:rFonts w:hint="eastAsia" w:ascii="宋体" w:hAnsi="宋体"/>
          <w:color w:val="auto"/>
          <w:sz w:val="22"/>
          <w:szCs w:val="22"/>
          <w:highlight w:val="none"/>
        </w:rPr>
        <w:t xml:space="preserve">                    </w:t>
      </w:r>
      <w:r>
        <w:rPr>
          <w:rFonts w:ascii="宋体" w:hAnsi="宋体"/>
          <w:color w:val="auto"/>
          <w:sz w:val="22"/>
          <w:szCs w:val="22"/>
          <w:highlight w:val="none"/>
        </w:rPr>
        <w:t>账</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号：</w:t>
      </w:r>
      <w:r>
        <w:rPr>
          <w:rFonts w:ascii="宋体" w:hAnsi="宋体"/>
          <w:color w:val="auto"/>
          <w:sz w:val="22"/>
          <w:szCs w:val="22"/>
          <w:highlight w:val="none"/>
          <w:u w:val="single"/>
        </w:rPr>
        <w:t></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w:t>
      </w:r>
    </w:p>
    <w:p w14:paraId="26D4B342">
      <w:pPr>
        <w:spacing w:line="440" w:lineRule="exact"/>
        <w:rPr>
          <w:rFonts w:ascii="宋体" w:hAnsi="宋体"/>
          <w:color w:val="auto"/>
          <w:sz w:val="22"/>
          <w:szCs w:val="22"/>
          <w:highlight w:val="none"/>
        </w:rPr>
      </w:pPr>
      <w:r>
        <w:rPr>
          <w:rFonts w:ascii="宋体" w:hAnsi="宋体"/>
          <w:color w:val="auto"/>
          <w:sz w:val="22"/>
          <w:szCs w:val="22"/>
          <w:highlight w:val="none"/>
        </w:rPr>
        <w:t>邮政编码：</w:t>
      </w:r>
      <w:r>
        <w:rPr>
          <w:rFonts w:ascii="宋体" w:hAnsi="宋体"/>
          <w:color w:val="auto"/>
          <w:sz w:val="22"/>
          <w:szCs w:val="22"/>
          <w:highlight w:val="none"/>
          <w:u w:val="single"/>
        </w:rPr>
        <w:t xml:space="preserve"> 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w:t>
      </w:r>
      <w:r>
        <w:rPr>
          <w:rFonts w:ascii="宋体" w:hAnsi="宋体"/>
          <w:color w:val="auto"/>
          <w:sz w:val="22"/>
          <w:szCs w:val="22"/>
          <w:highlight w:val="none"/>
        </w:rPr>
        <w:t>邮政编码：</w:t>
      </w:r>
      <w:r>
        <w:rPr>
          <w:rFonts w:ascii="宋体" w:hAnsi="宋体"/>
          <w:color w:val="auto"/>
          <w:sz w:val="22"/>
          <w:szCs w:val="22"/>
          <w:highlight w:val="none"/>
          <w:u w:val="single"/>
        </w:rPr>
        <w:t xml:space="preserve">   </w:t>
      </w:r>
    </w:p>
    <w:p w14:paraId="1C96AD5C">
      <w:pPr>
        <w:spacing w:line="360" w:lineRule="auto"/>
        <w:ind w:left="178" w:leftChars="85" w:right="277" w:rightChars="132"/>
        <w:jc w:val="center"/>
        <w:rPr>
          <w:rFonts w:hint="eastAsia" w:ascii="宋体" w:hAnsi="宋体"/>
          <w:b/>
          <w:bCs/>
          <w:color w:val="auto"/>
          <w:sz w:val="32"/>
          <w:szCs w:val="32"/>
          <w:highlight w:val="none"/>
        </w:rPr>
      </w:pPr>
    </w:p>
    <w:p w14:paraId="2487E8E5">
      <w:pPr>
        <w:spacing w:line="360" w:lineRule="auto"/>
        <w:ind w:left="178" w:leftChars="85" w:right="277" w:rightChars="132"/>
        <w:jc w:val="center"/>
        <w:rPr>
          <w:rFonts w:hint="eastAsia" w:ascii="宋体" w:hAnsi="宋体"/>
          <w:b/>
          <w:bCs/>
          <w:color w:val="auto"/>
          <w:sz w:val="32"/>
          <w:szCs w:val="32"/>
          <w:highlight w:val="none"/>
        </w:rPr>
      </w:pPr>
    </w:p>
    <w:p w14:paraId="0CC55394">
      <w:pPr>
        <w:spacing w:line="360" w:lineRule="auto"/>
        <w:ind w:left="178" w:leftChars="85" w:right="277" w:rightChars="132"/>
        <w:jc w:val="center"/>
        <w:rPr>
          <w:rFonts w:hint="eastAsia" w:ascii="宋体" w:hAnsi="宋体"/>
          <w:b/>
          <w:bCs/>
          <w:color w:val="auto"/>
          <w:sz w:val="32"/>
          <w:szCs w:val="32"/>
          <w:highlight w:val="none"/>
        </w:rPr>
      </w:pPr>
    </w:p>
    <w:p w14:paraId="5A7B9E82">
      <w:pPr>
        <w:spacing w:line="360" w:lineRule="auto"/>
        <w:ind w:left="178" w:leftChars="85" w:right="277" w:rightChars="132"/>
        <w:jc w:val="center"/>
        <w:rPr>
          <w:rFonts w:hint="eastAsia" w:ascii="宋体" w:hAnsi="宋体"/>
          <w:b/>
          <w:bCs/>
          <w:color w:val="auto"/>
          <w:sz w:val="32"/>
          <w:szCs w:val="32"/>
          <w:highlight w:val="none"/>
        </w:rPr>
      </w:pPr>
    </w:p>
    <w:p w14:paraId="64BEF22A">
      <w:pPr>
        <w:spacing w:line="360" w:lineRule="auto"/>
        <w:ind w:left="178" w:leftChars="85" w:right="277" w:rightChars="132"/>
        <w:jc w:val="center"/>
        <w:rPr>
          <w:rFonts w:hint="eastAsia" w:ascii="宋体" w:hAnsi="宋体"/>
          <w:b/>
          <w:bCs/>
          <w:color w:val="auto"/>
          <w:sz w:val="32"/>
          <w:szCs w:val="32"/>
          <w:highlight w:val="none"/>
        </w:rPr>
      </w:pPr>
    </w:p>
    <w:p w14:paraId="43CDAAE1">
      <w:pPr>
        <w:spacing w:line="360" w:lineRule="auto"/>
        <w:ind w:left="178" w:leftChars="85" w:right="277" w:rightChars="132"/>
        <w:jc w:val="center"/>
        <w:rPr>
          <w:rFonts w:hint="eastAsia" w:ascii="宋体" w:hAnsi="宋体"/>
          <w:b/>
          <w:bCs/>
          <w:color w:val="auto"/>
          <w:sz w:val="32"/>
          <w:szCs w:val="32"/>
          <w:highlight w:val="none"/>
        </w:rPr>
      </w:pPr>
    </w:p>
    <w:p w14:paraId="186B0D16">
      <w:pPr>
        <w:spacing w:line="360" w:lineRule="auto"/>
        <w:ind w:left="178" w:leftChars="85" w:right="277" w:rightChars="132"/>
        <w:jc w:val="center"/>
        <w:rPr>
          <w:rFonts w:hint="eastAsia" w:ascii="宋体" w:hAnsi="宋体"/>
          <w:b/>
          <w:bCs/>
          <w:color w:val="auto"/>
          <w:sz w:val="32"/>
          <w:szCs w:val="32"/>
          <w:highlight w:val="none"/>
        </w:rPr>
      </w:pPr>
    </w:p>
    <w:p w14:paraId="4034EB69">
      <w:pPr>
        <w:spacing w:line="360" w:lineRule="auto"/>
        <w:ind w:left="178" w:leftChars="85" w:right="277" w:rightChars="132"/>
        <w:jc w:val="center"/>
        <w:rPr>
          <w:rFonts w:hint="eastAsia" w:ascii="宋体" w:hAnsi="宋体"/>
          <w:b/>
          <w:bCs/>
          <w:color w:val="auto"/>
          <w:sz w:val="32"/>
          <w:szCs w:val="32"/>
          <w:highlight w:val="none"/>
        </w:rPr>
      </w:pPr>
    </w:p>
    <w:p w14:paraId="7E01B1EC">
      <w:pPr>
        <w:pStyle w:val="4"/>
        <w:spacing w:line="560" w:lineRule="exact"/>
        <w:jc w:val="center"/>
        <w:rPr>
          <w:rFonts w:hint="eastAsia" w:ascii="黑体" w:eastAsia="黑体"/>
          <w:color w:val="auto"/>
          <w:sz w:val="32"/>
          <w:szCs w:val="32"/>
          <w:highlight w:val="none"/>
        </w:rPr>
      </w:pPr>
      <w:bookmarkStart w:id="53" w:name="_Toc27279"/>
      <w:bookmarkStart w:id="54" w:name="_Toc220"/>
      <w:r>
        <w:rPr>
          <w:rFonts w:hint="eastAsia" w:ascii="黑体" w:eastAsia="黑体"/>
          <w:color w:val="auto"/>
          <w:sz w:val="32"/>
          <w:szCs w:val="32"/>
          <w:highlight w:val="none"/>
        </w:rPr>
        <w:t>第四部分  附 件</w:t>
      </w:r>
      <w:bookmarkEnd w:id="53"/>
      <w:bookmarkEnd w:id="54"/>
    </w:p>
    <w:p w14:paraId="1B41464B">
      <w:pPr>
        <w:pStyle w:val="5"/>
        <w:spacing w:line="440" w:lineRule="exact"/>
        <w:rPr>
          <w:rFonts w:hint="eastAsia" w:ascii="黑体" w:hAnsi="宋体"/>
          <w:color w:val="auto"/>
          <w:sz w:val="24"/>
          <w:szCs w:val="24"/>
          <w:highlight w:val="none"/>
        </w:rPr>
      </w:pPr>
      <w:bookmarkStart w:id="55" w:name="_Toc10014"/>
      <w:bookmarkStart w:id="56" w:name="_Toc10620"/>
      <w:r>
        <w:rPr>
          <w:rFonts w:hint="eastAsia" w:ascii="黑体" w:hAnsi="宋体"/>
          <w:color w:val="auto"/>
          <w:sz w:val="24"/>
          <w:szCs w:val="24"/>
          <w:highlight w:val="none"/>
        </w:rPr>
        <w:t>附件1 磋商响应函</w:t>
      </w:r>
      <w:bookmarkEnd w:id="55"/>
      <w:bookmarkEnd w:id="56"/>
    </w:p>
    <w:p w14:paraId="4F91F8B5">
      <w:pPr>
        <w:spacing w:line="400" w:lineRule="exact"/>
        <w:jc w:val="center"/>
        <w:rPr>
          <w:rFonts w:hint="eastAsia" w:ascii="宋体" w:hAnsi="宋体"/>
          <w:b/>
          <w:bCs/>
          <w:color w:val="auto"/>
          <w:spacing w:val="30"/>
          <w:sz w:val="24"/>
          <w:highlight w:val="none"/>
        </w:rPr>
      </w:pPr>
      <w:r>
        <w:rPr>
          <w:rFonts w:hint="eastAsia" w:ascii="宋体" w:hAnsi="宋体"/>
          <w:b/>
          <w:bCs/>
          <w:color w:val="auto"/>
          <w:spacing w:val="30"/>
          <w:sz w:val="24"/>
          <w:highlight w:val="none"/>
        </w:rPr>
        <w:t>磋商响应函</w:t>
      </w:r>
    </w:p>
    <w:p w14:paraId="4C6F26C5">
      <w:pPr>
        <w:spacing w:line="400" w:lineRule="exact"/>
        <w:rPr>
          <w:rFonts w:hint="eastAsia" w:ascii="宋体" w:hAnsi="宋体"/>
          <w:b/>
          <w:bCs/>
          <w:color w:val="auto"/>
          <w:sz w:val="22"/>
          <w:szCs w:val="22"/>
          <w:highlight w:val="none"/>
        </w:rPr>
      </w:pPr>
      <w:r>
        <w:rPr>
          <w:rFonts w:hint="eastAsia" w:ascii="宋体" w:hAnsi="宋体" w:cs="宋体"/>
          <w:b/>
          <w:bCs/>
          <w:color w:val="auto"/>
          <w:sz w:val="22"/>
          <w:szCs w:val="22"/>
          <w:highlight w:val="none"/>
          <w:u w:val="single"/>
          <w:lang w:eastAsia="zh-CN"/>
        </w:rPr>
        <w:t>温州市综合行政执法局</w:t>
      </w:r>
      <w:r>
        <w:rPr>
          <w:rFonts w:hint="eastAsia" w:ascii="宋体" w:hAnsi="宋体"/>
          <w:b/>
          <w:bCs/>
          <w:color w:val="auto"/>
          <w:sz w:val="22"/>
          <w:szCs w:val="22"/>
          <w:highlight w:val="none"/>
        </w:rPr>
        <w:t>：</w:t>
      </w:r>
    </w:p>
    <w:p w14:paraId="1E29060E">
      <w:pPr>
        <w:spacing w:line="400" w:lineRule="exact"/>
        <w:ind w:firstLine="624" w:firstLineChars="284"/>
        <w:rPr>
          <w:rFonts w:hint="eastAsia" w:ascii="宋体" w:hAnsi="宋体"/>
          <w:color w:val="auto"/>
          <w:spacing w:val="-28"/>
          <w:sz w:val="22"/>
          <w:szCs w:val="22"/>
          <w:highlight w:val="none"/>
        </w:rPr>
      </w:pPr>
      <w:r>
        <w:rPr>
          <w:rFonts w:hint="eastAsia" w:ascii="宋体" w:hAnsi="宋体"/>
          <w:color w:val="auto"/>
          <w:sz w:val="22"/>
          <w:szCs w:val="22"/>
          <w:highlight w:val="none"/>
        </w:rPr>
        <w:t>根据贵方为</w:t>
      </w:r>
      <w:r>
        <w:rPr>
          <w:rFonts w:hint="eastAsia" w:ascii="宋体" w:hAnsi="宋体"/>
          <w:color w:val="auto"/>
          <w:sz w:val="22"/>
          <w:szCs w:val="22"/>
          <w:highlight w:val="none"/>
          <w:u w:val="single"/>
        </w:rPr>
        <w:t xml:space="preserve">            （项目名称、编号）</w:t>
      </w:r>
      <w:r>
        <w:rPr>
          <w:rFonts w:hint="eastAsia" w:ascii="宋体" w:hAnsi="宋体"/>
          <w:color w:val="auto"/>
          <w:sz w:val="22"/>
          <w:szCs w:val="22"/>
          <w:highlight w:val="none"/>
        </w:rPr>
        <w:t>招标项目的磋商邀请，</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u w:val="single"/>
        </w:rPr>
        <w:t xml:space="preserve">   （磋商供应商全称）</w:t>
      </w:r>
      <w:r>
        <w:rPr>
          <w:rFonts w:hint="eastAsia" w:ascii="宋体" w:hAnsi="宋体"/>
          <w:color w:val="auto"/>
          <w:sz w:val="22"/>
          <w:szCs w:val="22"/>
          <w:highlight w:val="none"/>
        </w:rPr>
        <w:t>正式授权</w:t>
      </w:r>
      <w:r>
        <w:rPr>
          <w:rFonts w:hint="eastAsia" w:ascii="宋体" w:hAnsi="宋体"/>
          <w:color w:val="auto"/>
          <w:sz w:val="22"/>
          <w:szCs w:val="22"/>
          <w:highlight w:val="none"/>
          <w:u w:val="single"/>
        </w:rPr>
        <w:t xml:space="preserve">             （姓名、职务）</w:t>
      </w:r>
      <w:r>
        <w:rPr>
          <w:rFonts w:hint="eastAsia" w:ascii="宋体" w:hAnsi="宋体"/>
          <w:color w:val="auto"/>
          <w:sz w:val="22"/>
          <w:szCs w:val="22"/>
          <w:highlight w:val="none"/>
        </w:rPr>
        <w:t>为全权代表，代表本公司参加贵方组织的此次招标的有关活动，并提交按“磋商供应商须知”要求编制的响应文件</w:t>
      </w:r>
    </w:p>
    <w:p w14:paraId="3D4F874F">
      <w:pPr>
        <w:spacing w:line="400" w:lineRule="exact"/>
        <w:rPr>
          <w:rFonts w:hint="eastAsia" w:ascii="宋体" w:hAnsi="宋体"/>
          <w:b/>
          <w:bCs/>
          <w:color w:val="auto"/>
          <w:sz w:val="22"/>
          <w:szCs w:val="22"/>
          <w:highlight w:val="none"/>
        </w:rPr>
      </w:pPr>
      <w:r>
        <w:rPr>
          <w:rFonts w:hint="eastAsia" w:ascii="宋体" w:hAnsi="宋体"/>
          <w:b/>
          <w:bCs/>
          <w:color w:val="auto"/>
          <w:sz w:val="22"/>
          <w:szCs w:val="22"/>
          <w:highlight w:val="none"/>
        </w:rPr>
        <w:t>据此函全权代表宣布同意如下：</w:t>
      </w:r>
    </w:p>
    <w:p w14:paraId="0B420757">
      <w:pPr>
        <w:spacing w:line="400" w:lineRule="exact"/>
        <w:ind w:left="634" w:leftChars="150" w:hanging="319" w:hangingChars="145"/>
        <w:rPr>
          <w:rFonts w:hint="eastAsia" w:ascii="宋体" w:hAnsi="宋体"/>
          <w:color w:val="auto"/>
          <w:sz w:val="22"/>
          <w:szCs w:val="22"/>
          <w:highlight w:val="none"/>
        </w:rPr>
      </w:pPr>
      <w:r>
        <w:rPr>
          <w:rFonts w:ascii="宋体" w:hAnsi="宋体"/>
          <w:color w:val="auto"/>
          <w:sz w:val="22"/>
          <w:szCs w:val="22"/>
          <w:highlight w:val="none"/>
        </w:rPr>
        <w:t>1</w:t>
      </w:r>
      <w:r>
        <w:rPr>
          <w:rFonts w:hint="eastAsia" w:ascii="宋体" w:hAnsi="宋体"/>
          <w:color w:val="auto"/>
          <w:sz w:val="22"/>
          <w:szCs w:val="22"/>
          <w:highlight w:val="none"/>
        </w:rPr>
        <w:t>．我方遵守磋商文件的有关规定和收费标准，忠实地履行按磋商文件规定买卖双方签订的合同责任和义务。</w:t>
      </w:r>
    </w:p>
    <w:p w14:paraId="7C382F92">
      <w:pPr>
        <w:spacing w:line="400" w:lineRule="exact"/>
        <w:ind w:left="634" w:leftChars="150" w:hanging="319" w:hangingChars="145"/>
        <w:rPr>
          <w:rFonts w:hint="eastAsia"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．我方已详细审查全部磋商文件，包括招标补充文件（如果有的话），并进行了现场勘察。我们完全理解并同意放弃对这方面有不明及误解的权利。</w:t>
      </w:r>
    </w:p>
    <w:p w14:paraId="0CCE17B9">
      <w:pPr>
        <w:spacing w:line="400" w:lineRule="exact"/>
        <w:ind w:left="634" w:leftChars="150" w:hanging="319" w:hangingChars="145"/>
        <w:rPr>
          <w:rFonts w:hint="eastAsia"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．我方同意提供按照贵方要求的与其磋商有关的一切数据或资料。</w:t>
      </w:r>
    </w:p>
    <w:p w14:paraId="262564A9">
      <w:pPr>
        <w:spacing w:line="400" w:lineRule="exact"/>
        <w:ind w:left="634" w:leftChars="150" w:hanging="319" w:hangingChars="145"/>
        <w:rPr>
          <w:rFonts w:hint="eastAsia" w:ascii="宋体" w:hAnsi="宋体"/>
          <w:color w:val="auto"/>
          <w:sz w:val="22"/>
          <w:szCs w:val="22"/>
          <w:highlight w:val="none"/>
        </w:rPr>
      </w:pPr>
      <w:r>
        <w:rPr>
          <w:rFonts w:ascii="宋体" w:hAnsi="宋体"/>
          <w:color w:val="auto"/>
          <w:sz w:val="22"/>
          <w:szCs w:val="22"/>
          <w:highlight w:val="none"/>
        </w:rPr>
        <w:t>4</w:t>
      </w:r>
      <w:r>
        <w:rPr>
          <w:rFonts w:hint="eastAsia" w:ascii="宋体" w:hAnsi="宋体"/>
          <w:color w:val="auto"/>
          <w:sz w:val="22"/>
          <w:szCs w:val="22"/>
          <w:highlight w:val="none"/>
        </w:rPr>
        <w:t>．按磋商文件规定，根据本公司综合实力和本工程的实际情况，愿意以专业承包方式承担本工程的施工任务，由</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姓名）担任本工程的项目负责人，磋商响应工期：</w:t>
      </w:r>
      <w:r>
        <w:rPr>
          <w:rFonts w:hint="eastAsia" w:ascii="宋体" w:hAnsi="宋体"/>
          <w:color w:val="auto"/>
          <w:sz w:val="22"/>
          <w:szCs w:val="22"/>
          <w:highlight w:val="none"/>
          <w:u w:val="single"/>
        </w:rPr>
        <w:t xml:space="preserve"> </w:t>
      </w:r>
      <w:r>
        <w:rPr>
          <w:rFonts w:ascii="宋体" w:hAnsi="宋体"/>
          <w:color w:val="auto"/>
          <w:sz w:val="22"/>
          <w:szCs w:val="22"/>
          <w:highlight w:val="none"/>
          <w:u w:val="single"/>
        </w:rPr>
        <w:t xml:space="preserve">    </w:t>
      </w:r>
      <w:r>
        <w:rPr>
          <w:rFonts w:hint="eastAsia" w:ascii="宋体" w:hAnsi="宋体"/>
          <w:color w:val="auto"/>
          <w:sz w:val="22"/>
          <w:szCs w:val="22"/>
          <w:highlight w:val="none"/>
        </w:rPr>
        <w:t>日历天，如能成交，我公司保证履行标书的承诺（包括质量、文明施工），及时签订并认真履行合同。</w:t>
      </w:r>
    </w:p>
    <w:p w14:paraId="3C16947A">
      <w:pPr>
        <w:spacing w:line="400" w:lineRule="exact"/>
        <w:ind w:left="665" w:leftChars="165" w:hanging="319" w:hangingChars="145"/>
        <w:rPr>
          <w:rFonts w:hint="eastAsia" w:ascii="宋体" w:hAnsi="宋体"/>
          <w:color w:val="auto"/>
          <w:sz w:val="22"/>
          <w:szCs w:val="22"/>
          <w:highlight w:val="none"/>
        </w:rPr>
      </w:pPr>
      <w:r>
        <w:rPr>
          <w:rFonts w:ascii="宋体" w:hAnsi="宋体"/>
          <w:color w:val="auto"/>
          <w:sz w:val="22"/>
          <w:szCs w:val="22"/>
          <w:highlight w:val="none"/>
        </w:rPr>
        <w:t>5</w:t>
      </w:r>
      <w:r>
        <w:rPr>
          <w:rFonts w:hint="eastAsia" w:ascii="宋体" w:hAnsi="宋体"/>
          <w:color w:val="auto"/>
          <w:sz w:val="22"/>
          <w:szCs w:val="22"/>
          <w:highlight w:val="none"/>
        </w:rPr>
        <w:t>．本磋商有效期为自开标日起</w:t>
      </w:r>
      <w:r>
        <w:rPr>
          <w:rFonts w:hint="eastAsia" w:ascii="宋体" w:hAnsi="宋体"/>
          <w:color w:val="auto"/>
          <w:sz w:val="22"/>
          <w:szCs w:val="22"/>
          <w:highlight w:val="none"/>
          <w:u w:val="single"/>
        </w:rPr>
        <w:t xml:space="preserve">  60  </w:t>
      </w:r>
      <w:r>
        <w:rPr>
          <w:rFonts w:hint="eastAsia" w:ascii="宋体" w:hAnsi="宋体"/>
          <w:color w:val="auto"/>
          <w:sz w:val="22"/>
          <w:szCs w:val="22"/>
          <w:highlight w:val="none"/>
        </w:rPr>
        <w:t>日历</w:t>
      </w:r>
      <w:r>
        <w:rPr>
          <w:rFonts w:hint="eastAsia" w:ascii="宋体" w:hAnsi="宋体"/>
          <w:color w:val="auto"/>
          <w:sz w:val="22"/>
          <w:szCs w:val="22"/>
          <w:highlight w:val="none"/>
          <w:lang w:eastAsia="zh-CN"/>
        </w:rPr>
        <w:t>天</w:t>
      </w:r>
      <w:r>
        <w:rPr>
          <w:rFonts w:hint="eastAsia" w:ascii="宋体" w:hAnsi="宋体"/>
          <w:color w:val="auto"/>
          <w:sz w:val="22"/>
          <w:szCs w:val="22"/>
          <w:highlight w:val="none"/>
        </w:rPr>
        <w:t>，如成交，有效期将延至合同结束为止。</w:t>
      </w:r>
    </w:p>
    <w:p w14:paraId="22B41037">
      <w:pPr>
        <w:spacing w:line="400" w:lineRule="exact"/>
        <w:ind w:left="665" w:leftChars="165" w:hanging="319" w:hangingChars="145"/>
        <w:rPr>
          <w:rFonts w:hint="eastAsia" w:ascii="宋体" w:hAnsi="宋体"/>
          <w:color w:val="auto"/>
          <w:sz w:val="22"/>
          <w:szCs w:val="22"/>
          <w:highlight w:val="none"/>
        </w:rPr>
      </w:pPr>
      <w:r>
        <w:rPr>
          <w:rFonts w:ascii="宋体" w:hAnsi="宋体"/>
          <w:color w:val="auto"/>
          <w:sz w:val="22"/>
          <w:szCs w:val="22"/>
          <w:highlight w:val="none"/>
        </w:rPr>
        <w:t>6</w:t>
      </w:r>
      <w:r>
        <w:rPr>
          <w:rFonts w:hint="eastAsia" w:ascii="宋体" w:hAnsi="宋体"/>
          <w:color w:val="auto"/>
          <w:sz w:val="22"/>
          <w:szCs w:val="22"/>
          <w:highlight w:val="none"/>
        </w:rPr>
        <w:t>．如果在规定的开标时间后，我方在磋商有效期内撤回磋商，自愿接受贵方处罚。</w:t>
      </w:r>
    </w:p>
    <w:p w14:paraId="2CADE5CE">
      <w:pPr>
        <w:spacing w:line="400" w:lineRule="exact"/>
        <w:ind w:left="115" w:leftChars="55" w:firstLine="220" w:firstLineChars="100"/>
        <w:rPr>
          <w:rFonts w:hint="eastAsia" w:ascii="宋体" w:hAnsi="宋体"/>
          <w:color w:val="auto"/>
          <w:sz w:val="22"/>
          <w:szCs w:val="22"/>
          <w:highlight w:val="none"/>
        </w:rPr>
      </w:pPr>
      <w:r>
        <w:rPr>
          <w:rFonts w:ascii="宋体" w:hAnsi="宋体"/>
          <w:color w:val="auto"/>
          <w:sz w:val="22"/>
          <w:szCs w:val="22"/>
          <w:highlight w:val="none"/>
        </w:rPr>
        <w:t>7</w:t>
      </w:r>
      <w:r>
        <w:rPr>
          <w:rFonts w:hint="eastAsia" w:ascii="宋体" w:hAnsi="宋体"/>
          <w:color w:val="auto"/>
          <w:sz w:val="22"/>
          <w:szCs w:val="22"/>
          <w:highlight w:val="none"/>
        </w:rPr>
        <w:t>．与本磋商有关的一切正式往来信函请寄：</w:t>
      </w:r>
    </w:p>
    <w:p w14:paraId="2D60E580">
      <w:pPr>
        <w:spacing w:line="400" w:lineRule="exact"/>
        <w:ind w:firstLine="435"/>
        <w:rPr>
          <w:rFonts w:hint="eastAsia" w:ascii="宋体" w:hAnsi="宋体"/>
          <w:color w:val="auto"/>
          <w:sz w:val="22"/>
          <w:szCs w:val="22"/>
          <w:highlight w:val="none"/>
        </w:rPr>
      </w:pPr>
      <w:r>
        <w:rPr>
          <w:rFonts w:hint="eastAsia" w:ascii="宋体" w:hAnsi="宋体"/>
          <w:color w:val="auto"/>
          <w:sz w:val="22"/>
          <w:szCs w:val="22"/>
          <w:highlight w:val="none"/>
        </w:rPr>
        <w:t xml:space="preserve">   地址</w:t>
      </w:r>
      <w:r>
        <w:rPr>
          <w:rFonts w:hint="eastAsia" w:ascii="宋体" w:hAnsi="宋体"/>
          <w:color w:val="auto"/>
          <w:sz w:val="22"/>
          <w:szCs w:val="22"/>
          <w:highlight w:val="none"/>
          <w:u w:val="single"/>
        </w:rPr>
        <w:t xml:space="preserve">                           </w:t>
      </w:r>
    </w:p>
    <w:p w14:paraId="0DF8B1A6">
      <w:pPr>
        <w:spacing w:line="400" w:lineRule="exact"/>
        <w:ind w:firstLine="435"/>
        <w:rPr>
          <w:rFonts w:hint="eastAsia" w:ascii="宋体" w:hAnsi="宋体"/>
          <w:color w:val="auto"/>
          <w:sz w:val="22"/>
          <w:szCs w:val="22"/>
          <w:highlight w:val="none"/>
        </w:rPr>
      </w:pPr>
      <w:r>
        <w:rPr>
          <w:rFonts w:hint="eastAsia" w:ascii="宋体" w:hAnsi="宋体"/>
          <w:color w:val="auto"/>
          <w:sz w:val="22"/>
          <w:szCs w:val="22"/>
          <w:highlight w:val="none"/>
        </w:rPr>
        <w:t xml:space="preserve">   电话</w:t>
      </w:r>
      <w:r>
        <w:rPr>
          <w:rFonts w:hint="eastAsia" w:ascii="宋体" w:hAnsi="宋体"/>
          <w:color w:val="auto"/>
          <w:sz w:val="22"/>
          <w:szCs w:val="22"/>
          <w:highlight w:val="none"/>
          <w:u w:val="single"/>
        </w:rPr>
        <w:t xml:space="preserve">                           </w:t>
      </w:r>
    </w:p>
    <w:p w14:paraId="265724E5">
      <w:pPr>
        <w:spacing w:line="400" w:lineRule="exact"/>
        <w:ind w:firstLine="435"/>
        <w:rPr>
          <w:rFonts w:hint="eastAsia" w:ascii="宋体" w:hAnsi="宋体"/>
          <w:color w:val="auto"/>
          <w:sz w:val="22"/>
          <w:szCs w:val="22"/>
          <w:highlight w:val="none"/>
          <w:u w:val="single"/>
        </w:rPr>
      </w:pPr>
      <w:r>
        <w:rPr>
          <w:rFonts w:hint="eastAsia" w:ascii="宋体" w:hAnsi="宋体"/>
          <w:color w:val="auto"/>
          <w:sz w:val="22"/>
          <w:szCs w:val="22"/>
          <w:highlight w:val="none"/>
        </w:rPr>
        <w:t xml:space="preserve">   传真</w:t>
      </w:r>
      <w:r>
        <w:rPr>
          <w:rFonts w:hint="eastAsia" w:ascii="宋体" w:hAnsi="宋体"/>
          <w:color w:val="auto"/>
          <w:sz w:val="22"/>
          <w:szCs w:val="22"/>
          <w:highlight w:val="none"/>
          <w:u w:val="single"/>
        </w:rPr>
        <w:t xml:space="preserve">                           </w:t>
      </w:r>
    </w:p>
    <w:p w14:paraId="4BBA0618">
      <w:pPr>
        <w:spacing w:line="400" w:lineRule="exact"/>
        <w:ind w:left="105" w:leftChars="50" w:firstLine="675" w:firstLineChars="307"/>
        <w:rPr>
          <w:rFonts w:hint="eastAsia" w:ascii="宋体" w:hAnsi="宋体"/>
          <w:color w:val="auto"/>
          <w:sz w:val="22"/>
          <w:szCs w:val="22"/>
          <w:highlight w:val="none"/>
          <w:u w:val="single"/>
        </w:rPr>
      </w:pPr>
      <w:r>
        <w:rPr>
          <w:rFonts w:hint="eastAsia" w:ascii="宋体" w:hAnsi="宋体"/>
          <w:color w:val="auto"/>
          <w:sz w:val="22"/>
          <w:szCs w:val="22"/>
          <w:highlight w:val="none"/>
        </w:rPr>
        <w:t>电子邮件</w:t>
      </w:r>
      <w:r>
        <w:rPr>
          <w:rFonts w:hint="eastAsia" w:ascii="宋体" w:hAnsi="宋体"/>
          <w:color w:val="auto"/>
          <w:sz w:val="22"/>
          <w:szCs w:val="22"/>
          <w:highlight w:val="none"/>
          <w:u w:val="single"/>
        </w:rPr>
        <w:t xml:space="preserve">                       </w:t>
      </w:r>
    </w:p>
    <w:p w14:paraId="12DDA46D">
      <w:pPr>
        <w:spacing w:line="400" w:lineRule="exact"/>
        <w:ind w:firstLine="435"/>
        <w:rPr>
          <w:rFonts w:hint="eastAsia" w:ascii="宋体" w:hAnsi="宋体"/>
          <w:color w:val="auto"/>
          <w:sz w:val="22"/>
          <w:szCs w:val="22"/>
          <w:highlight w:val="none"/>
        </w:rPr>
      </w:pPr>
    </w:p>
    <w:p w14:paraId="39B0BFBB">
      <w:pPr>
        <w:spacing w:line="440" w:lineRule="exact"/>
        <w:ind w:firstLine="435"/>
        <w:rPr>
          <w:rFonts w:hint="eastAsia"/>
          <w:color w:val="auto"/>
          <w:szCs w:val="22"/>
          <w:highlight w:val="none"/>
        </w:rPr>
      </w:pPr>
      <w:r>
        <w:rPr>
          <w:rFonts w:hint="eastAsia" w:ascii="宋体" w:hAnsi="宋体"/>
          <w:color w:val="auto"/>
          <w:sz w:val="22"/>
          <w:szCs w:val="22"/>
          <w:highlight w:val="none"/>
        </w:rPr>
        <w:t xml:space="preserve">                                  </w:t>
      </w:r>
      <w:r>
        <w:rPr>
          <w:rFonts w:hint="eastAsia"/>
          <w:color w:val="auto"/>
          <w:szCs w:val="22"/>
          <w:highlight w:val="none"/>
        </w:rPr>
        <w:t>磋商供应商名称</w:t>
      </w:r>
      <w:r>
        <w:rPr>
          <w:rFonts w:hint="eastAsia"/>
          <w:color w:val="auto"/>
          <w:szCs w:val="22"/>
          <w:highlight w:val="none"/>
          <w:u w:val="single"/>
        </w:rPr>
        <w:t xml:space="preserve">                           </w:t>
      </w:r>
    </w:p>
    <w:p w14:paraId="56A7737F">
      <w:pPr>
        <w:spacing w:line="440" w:lineRule="exact"/>
        <w:ind w:firstLine="435"/>
        <w:rPr>
          <w:rFonts w:hint="eastAsia"/>
          <w:color w:val="auto"/>
          <w:szCs w:val="22"/>
          <w:highlight w:val="none"/>
        </w:rPr>
      </w:pPr>
      <w:r>
        <w:rPr>
          <w:rFonts w:hint="eastAsia"/>
          <w:color w:val="auto"/>
          <w:szCs w:val="22"/>
          <w:highlight w:val="none"/>
        </w:rPr>
        <w:t xml:space="preserve">                                   公章（</w:t>
      </w:r>
      <w:r>
        <w:rPr>
          <w:rFonts w:hint="eastAsia" w:ascii="宋体" w:hAnsi="宋体" w:cs="宋体"/>
          <w:color w:val="auto"/>
          <w:szCs w:val="22"/>
          <w:highlight w:val="none"/>
          <w:u w:val="single"/>
        </w:rPr>
        <w:t>电子签名/公章</w:t>
      </w:r>
      <w:r>
        <w:rPr>
          <w:rFonts w:hint="eastAsia"/>
          <w:color w:val="auto"/>
          <w:szCs w:val="22"/>
          <w:highlight w:val="none"/>
        </w:rPr>
        <w:t>）</w:t>
      </w:r>
      <w:r>
        <w:rPr>
          <w:rFonts w:hint="eastAsia"/>
          <w:color w:val="auto"/>
          <w:szCs w:val="22"/>
          <w:highlight w:val="none"/>
          <w:u w:val="single"/>
        </w:rPr>
        <w:t xml:space="preserve">                    </w:t>
      </w:r>
    </w:p>
    <w:p w14:paraId="7B1F81BC">
      <w:pPr>
        <w:spacing w:line="440" w:lineRule="exact"/>
        <w:ind w:firstLine="420" w:firstLineChars="200"/>
        <w:rPr>
          <w:rFonts w:hint="eastAsia"/>
          <w:color w:val="auto"/>
          <w:szCs w:val="22"/>
          <w:highlight w:val="none"/>
          <w:u w:val="single"/>
        </w:rPr>
      </w:pPr>
      <w:r>
        <w:rPr>
          <w:rFonts w:hint="eastAsia"/>
          <w:color w:val="auto"/>
          <w:szCs w:val="22"/>
          <w:highlight w:val="none"/>
        </w:rPr>
        <w:t xml:space="preserve">                                   日期</w:t>
      </w:r>
      <w:r>
        <w:rPr>
          <w:rFonts w:hint="eastAsia"/>
          <w:color w:val="auto"/>
          <w:szCs w:val="22"/>
          <w:highlight w:val="none"/>
          <w:u w:val="single"/>
        </w:rPr>
        <w:t xml:space="preserve">                                     </w:t>
      </w:r>
    </w:p>
    <w:p w14:paraId="484B69F9">
      <w:pPr>
        <w:spacing w:line="400" w:lineRule="exact"/>
        <w:ind w:firstLine="435"/>
        <w:rPr>
          <w:rFonts w:hint="eastAsia" w:ascii="新宋体" w:hAnsi="新宋体" w:eastAsia="新宋体"/>
          <w:color w:val="auto"/>
          <w:sz w:val="22"/>
          <w:szCs w:val="22"/>
          <w:highlight w:val="none"/>
          <w:u w:val="single"/>
        </w:rPr>
        <w:sectPr>
          <w:footerReference r:id="rId3" w:type="default"/>
          <w:footerReference r:id="rId4" w:type="even"/>
          <w:type w:val="continuous"/>
          <w:pgSz w:w="11906" w:h="16838"/>
          <w:pgMar w:top="1134" w:right="1134" w:bottom="1134" w:left="1134" w:header="851" w:footer="992" w:gutter="0"/>
          <w:pgNumType w:start="0"/>
          <w:cols w:space="720" w:num="1"/>
          <w:titlePg/>
          <w:docGrid w:linePitch="312" w:charSpace="0"/>
        </w:sectPr>
      </w:pPr>
    </w:p>
    <w:p w14:paraId="2B38C3F8">
      <w:pPr>
        <w:pStyle w:val="5"/>
        <w:spacing w:line="440" w:lineRule="exact"/>
        <w:rPr>
          <w:rFonts w:hint="eastAsia" w:ascii="黑体" w:hAnsi="宋体"/>
          <w:color w:val="auto"/>
          <w:sz w:val="24"/>
          <w:szCs w:val="24"/>
          <w:highlight w:val="none"/>
        </w:rPr>
      </w:pPr>
      <w:bookmarkStart w:id="57" w:name="_Toc7375"/>
      <w:bookmarkStart w:id="58" w:name="_Toc2075"/>
      <w:r>
        <w:rPr>
          <w:rFonts w:hint="eastAsia" w:ascii="黑体" w:hAnsi="宋体"/>
          <w:color w:val="auto"/>
          <w:sz w:val="24"/>
          <w:szCs w:val="24"/>
          <w:highlight w:val="none"/>
        </w:rPr>
        <w:t>附件2 工程量报价表</w:t>
      </w:r>
      <w:bookmarkEnd w:id="57"/>
      <w:bookmarkEnd w:id="58"/>
    </w:p>
    <w:p w14:paraId="5A4A47AC">
      <w:pPr>
        <w:spacing w:line="400" w:lineRule="exact"/>
        <w:jc w:val="center"/>
        <w:rPr>
          <w:rFonts w:hint="eastAsia" w:ascii="新宋体" w:hAnsi="新宋体" w:eastAsia="新宋体"/>
          <w:color w:val="auto"/>
          <w:sz w:val="22"/>
          <w:szCs w:val="22"/>
          <w:highlight w:val="none"/>
          <w:u w:val="single"/>
        </w:rPr>
      </w:pPr>
    </w:p>
    <w:p w14:paraId="1DE122D3">
      <w:pPr>
        <w:spacing w:line="400" w:lineRule="exact"/>
        <w:jc w:val="center"/>
        <w:rPr>
          <w:rFonts w:hint="eastAsia" w:ascii="新宋体" w:hAnsi="新宋体" w:eastAsia="新宋体"/>
          <w:color w:val="auto"/>
          <w:sz w:val="22"/>
          <w:szCs w:val="22"/>
          <w:highlight w:val="none"/>
          <w:u w:val="single"/>
        </w:rPr>
      </w:pPr>
    </w:p>
    <w:p w14:paraId="19B9C002">
      <w:pPr>
        <w:spacing w:line="680" w:lineRule="exact"/>
        <w:jc w:val="center"/>
        <w:rPr>
          <w:rFonts w:hint="eastAsia" w:ascii="宋体" w:hAnsi="宋体"/>
          <w:b/>
          <w:bCs/>
          <w:color w:val="auto"/>
          <w:sz w:val="36"/>
          <w:szCs w:val="36"/>
          <w:highlight w:val="none"/>
        </w:rPr>
      </w:pPr>
      <w:r>
        <w:rPr>
          <w:rFonts w:hint="eastAsia" w:ascii="新宋体" w:hAnsi="新宋体" w:eastAsia="新宋体" w:cs="宋体"/>
          <w:b/>
          <w:color w:val="auto"/>
          <w:sz w:val="44"/>
          <w:szCs w:val="44"/>
          <w:highlight w:val="none"/>
          <w:lang w:eastAsia="zh-CN"/>
        </w:rPr>
        <w:t>温州市综合行政执法局2*630kVA配电室增容改造工程</w:t>
      </w:r>
      <w:r>
        <w:rPr>
          <w:rFonts w:hint="eastAsia" w:ascii="宋体" w:hAnsi="宋体"/>
          <w:b/>
          <w:bCs/>
          <w:color w:val="auto"/>
          <w:sz w:val="44"/>
          <w:szCs w:val="44"/>
          <w:highlight w:val="none"/>
        </w:rPr>
        <w:t>项目工程量清单报价</w:t>
      </w:r>
      <w:r>
        <w:rPr>
          <w:rFonts w:hint="eastAsia" w:ascii="新宋体" w:hAnsi="新宋体" w:eastAsia="新宋体" w:cs="宋体"/>
          <w:b/>
          <w:color w:val="auto"/>
          <w:sz w:val="44"/>
          <w:szCs w:val="44"/>
          <w:highlight w:val="none"/>
        </w:rPr>
        <w:t>表</w:t>
      </w:r>
    </w:p>
    <w:p w14:paraId="3E1DAB4E">
      <w:pPr>
        <w:spacing w:line="400" w:lineRule="exact"/>
        <w:jc w:val="center"/>
        <w:rPr>
          <w:rFonts w:hint="eastAsia" w:ascii="宋体" w:hAnsi="宋体"/>
          <w:b/>
          <w:color w:val="auto"/>
          <w:sz w:val="22"/>
          <w:szCs w:val="22"/>
          <w:highlight w:val="none"/>
        </w:rPr>
      </w:pPr>
    </w:p>
    <w:p w14:paraId="6EE1F7FD">
      <w:pPr>
        <w:spacing w:line="400" w:lineRule="exact"/>
        <w:jc w:val="center"/>
        <w:rPr>
          <w:rFonts w:hint="eastAsia" w:ascii="宋体" w:hAnsi="宋体"/>
          <w:color w:val="auto"/>
          <w:sz w:val="22"/>
          <w:szCs w:val="22"/>
          <w:highlight w:val="none"/>
        </w:rPr>
      </w:pPr>
    </w:p>
    <w:p w14:paraId="60F7FAFD">
      <w:pPr>
        <w:spacing w:line="400" w:lineRule="exact"/>
        <w:jc w:val="center"/>
        <w:rPr>
          <w:rFonts w:hint="eastAsia" w:ascii="宋体" w:hAnsi="宋体"/>
          <w:color w:val="auto"/>
          <w:sz w:val="22"/>
          <w:szCs w:val="22"/>
          <w:highlight w:val="none"/>
        </w:rPr>
      </w:pPr>
    </w:p>
    <w:p w14:paraId="1223E485">
      <w:pPr>
        <w:spacing w:line="400" w:lineRule="exact"/>
        <w:rPr>
          <w:rFonts w:hint="eastAsia" w:ascii="宋体" w:hAnsi="宋体"/>
          <w:color w:val="auto"/>
          <w:sz w:val="22"/>
          <w:szCs w:val="22"/>
          <w:highlight w:val="none"/>
        </w:rPr>
      </w:pPr>
    </w:p>
    <w:p w14:paraId="4ECB9900">
      <w:pPr>
        <w:spacing w:line="400" w:lineRule="exact"/>
        <w:jc w:val="center"/>
        <w:rPr>
          <w:rFonts w:hint="eastAsia" w:ascii="宋体" w:hAnsi="宋体"/>
          <w:color w:val="auto"/>
          <w:sz w:val="22"/>
          <w:szCs w:val="22"/>
          <w:highlight w:val="none"/>
        </w:rPr>
      </w:pPr>
    </w:p>
    <w:p w14:paraId="3EB7C99F">
      <w:pPr>
        <w:spacing w:line="400" w:lineRule="exact"/>
        <w:rPr>
          <w:rFonts w:hint="eastAsia" w:ascii="宋体" w:hAnsi="宋体"/>
          <w:color w:val="auto"/>
          <w:sz w:val="22"/>
          <w:szCs w:val="22"/>
          <w:highlight w:val="none"/>
        </w:rPr>
      </w:pPr>
    </w:p>
    <w:p w14:paraId="0E33F598">
      <w:pPr>
        <w:spacing w:line="400" w:lineRule="exact"/>
        <w:ind w:firstLine="1078" w:firstLineChars="490"/>
        <w:rPr>
          <w:rFonts w:hint="eastAsia" w:ascii="宋体" w:hAnsi="宋体"/>
          <w:color w:val="auto"/>
          <w:sz w:val="22"/>
          <w:szCs w:val="22"/>
          <w:highlight w:val="none"/>
        </w:rPr>
      </w:pPr>
      <w:r>
        <w:rPr>
          <w:rFonts w:hint="eastAsia" w:ascii="宋体" w:hAnsi="宋体"/>
          <w:color w:val="auto"/>
          <w:sz w:val="22"/>
          <w:szCs w:val="22"/>
          <w:highlight w:val="none"/>
        </w:rPr>
        <w:t>投  标  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（单位盖章）</w:t>
      </w:r>
    </w:p>
    <w:p w14:paraId="72CF8285">
      <w:pPr>
        <w:spacing w:line="400" w:lineRule="exact"/>
        <w:ind w:firstLine="1078" w:firstLineChars="490"/>
        <w:rPr>
          <w:rFonts w:hint="eastAsia" w:ascii="宋体" w:hAnsi="宋体"/>
          <w:color w:val="auto"/>
          <w:sz w:val="22"/>
          <w:szCs w:val="22"/>
          <w:highlight w:val="none"/>
        </w:rPr>
      </w:pPr>
    </w:p>
    <w:p w14:paraId="6EEFA656">
      <w:pPr>
        <w:spacing w:line="400" w:lineRule="exact"/>
        <w:ind w:firstLine="1078" w:firstLineChars="490"/>
        <w:rPr>
          <w:rFonts w:hint="eastAsia" w:ascii="宋体" w:hAnsi="宋体"/>
          <w:color w:val="auto"/>
          <w:sz w:val="22"/>
          <w:szCs w:val="22"/>
          <w:highlight w:val="none"/>
        </w:rPr>
      </w:pPr>
      <w:r>
        <w:rPr>
          <w:rFonts w:hint="eastAsia" w:ascii="宋体" w:hAnsi="宋体"/>
          <w:color w:val="auto"/>
          <w:sz w:val="22"/>
          <w:szCs w:val="22"/>
          <w:highlight w:val="none"/>
        </w:rPr>
        <w:t>法定代表人或授权委托人：</w:t>
      </w:r>
      <w:r>
        <w:rPr>
          <w:rFonts w:hint="eastAsia" w:ascii="宋体" w:hAnsi="宋体"/>
          <w:color w:val="auto"/>
          <w:sz w:val="22"/>
          <w:szCs w:val="22"/>
          <w:highlight w:val="none"/>
          <w:u w:val="single"/>
        </w:rPr>
        <w:t xml:space="preserve">                     </w:t>
      </w:r>
      <w:r>
        <w:rPr>
          <w:rFonts w:hint="eastAsia" w:ascii="宋体" w:hAnsi="宋体"/>
          <w:color w:val="auto"/>
          <w:sz w:val="22"/>
          <w:szCs w:val="22"/>
          <w:highlight w:val="none"/>
        </w:rPr>
        <w:t>（签字或盖章）</w:t>
      </w:r>
    </w:p>
    <w:p w14:paraId="011AE9AD">
      <w:pPr>
        <w:spacing w:line="400" w:lineRule="exact"/>
        <w:ind w:firstLine="1078" w:firstLineChars="490"/>
        <w:rPr>
          <w:rFonts w:hint="eastAsia" w:ascii="宋体" w:hAnsi="宋体"/>
          <w:color w:val="auto"/>
          <w:sz w:val="22"/>
          <w:szCs w:val="22"/>
          <w:highlight w:val="none"/>
        </w:rPr>
      </w:pPr>
    </w:p>
    <w:p w14:paraId="24FCE838">
      <w:pPr>
        <w:spacing w:line="400" w:lineRule="exact"/>
        <w:ind w:firstLine="1078" w:firstLineChars="490"/>
        <w:rPr>
          <w:rFonts w:hint="eastAsia" w:ascii="宋体" w:hAnsi="宋体"/>
          <w:color w:val="auto"/>
          <w:sz w:val="22"/>
          <w:szCs w:val="22"/>
          <w:highlight w:val="none"/>
          <w:u w:val="single"/>
        </w:rPr>
      </w:pPr>
    </w:p>
    <w:p w14:paraId="137A2904">
      <w:pPr>
        <w:spacing w:line="400" w:lineRule="exact"/>
        <w:ind w:firstLine="1078" w:firstLineChars="490"/>
        <w:rPr>
          <w:rFonts w:hint="eastAsia" w:ascii="宋体" w:hAnsi="宋体"/>
          <w:b/>
          <w:bCs/>
          <w:color w:val="auto"/>
          <w:sz w:val="22"/>
          <w:szCs w:val="22"/>
          <w:highlight w:val="none"/>
        </w:rPr>
      </w:pPr>
      <w:r>
        <w:rPr>
          <w:rFonts w:hint="eastAsia" w:ascii="宋体" w:hAnsi="宋体"/>
          <w:color w:val="auto"/>
          <w:sz w:val="22"/>
          <w:szCs w:val="22"/>
          <w:highlight w:val="none"/>
        </w:rPr>
        <w:t>编制时间：</w:t>
      </w:r>
      <w:r>
        <w:rPr>
          <w:rFonts w:hint="eastAsia" w:ascii="宋体" w:hAnsi="宋体"/>
          <w:color w:val="auto"/>
          <w:sz w:val="22"/>
          <w:szCs w:val="22"/>
          <w:highlight w:val="none"/>
          <w:u w:val="single"/>
        </w:rPr>
        <w:t xml:space="preserve">                                   </w:t>
      </w:r>
    </w:p>
    <w:p w14:paraId="7538E873">
      <w:pPr>
        <w:spacing w:line="400" w:lineRule="exact"/>
        <w:rPr>
          <w:rFonts w:hint="eastAsia" w:ascii="宋体" w:hAnsi="宋体"/>
          <w:color w:val="auto"/>
          <w:sz w:val="22"/>
          <w:szCs w:val="22"/>
          <w:highlight w:val="none"/>
        </w:rPr>
      </w:pPr>
    </w:p>
    <w:p w14:paraId="7A2673DE">
      <w:pPr>
        <w:spacing w:line="400" w:lineRule="exact"/>
        <w:rPr>
          <w:rFonts w:hint="eastAsia" w:ascii="宋体" w:hAnsi="宋体"/>
          <w:color w:val="auto"/>
          <w:sz w:val="22"/>
          <w:szCs w:val="22"/>
          <w:highlight w:val="none"/>
        </w:rPr>
      </w:pPr>
    </w:p>
    <w:p w14:paraId="182F66AF">
      <w:pPr>
        <w:spacing w:line="400" w:lineRule="exact"/>
        <w:rPr>
          <w:rFonts w:hint="eastAsia" w:ascii="宋体" w:hAnsi="宋体"/>
          <w:color w:val="auto"/>
          <w:sz w:val="22"/>
          <w:szCs w:val="22"/>
          <w:highlight w:val="none"/>
        </w:rPr>
      </w:pPr>
    </w:p>
    <w:p w14:paraId="482C0D43">
      <w:pPr>
        <w:spacing w:line="400" w:lineRule="exact"/>
        <w:rPr>
          <w:rFonts w:hint="eastAsia" w:ascii="宋体" w:hAnsi="宋体"/>
          <w:color w:val="auto"/>
          <w:sz w:val="22"/>
          <w:szCs w:val="22"/>
          <w:highlight w:val="none"/>
        </w:rPr>
      </w:pPr>
    </w:p>
    <w:p w14:paraId="643D3465">
      <w:pPr>
        <w:spacing w:line="400" w:lineRule="exact"/>
        <w:rPr>
          <w:rFonts w:hint="eastAsia" w:ascii="宋体" w:hAnsi="宋体"/>
          <w:color w:val="auto"/>
          <w:sz w:val="22"/>
          <w:szCs w:val="22"/>
          <w:highlight w:val="none"/>
        </w:rPr>
      </w:pPr>
    </w:p>
    <w:p w14:paraId="5FC11943">
      <w:pPr>
        <w:spacing w:line="400" w:lineRule="exact"/>
        <w:rPr>
          <w:rFonts w:hint="eastAsia" w:ascii="宋体" w:hAnsi="宋体"/>
          <w:color w:val="auto"/>
          <w:sz w:val="22"/>
          <w:szCs w:val="22"/>
          <w:highlight w:val="none"/>
        </w:rPr>
      </w:pPr>
    </w:p>
    <w:p w14:paraId="34F787B5">
      <w:pPr>
        <w:spacing w:line="400" w:lineRule="exact"/>
        <w:rPr>
          <w:rFonts w:hint="eastAsia" w:ascii="宋体" w:hAnsi="宋体"/>
          <w:color w:val="auto"/>
          <w:sz w:val="22"/>
          <w:szCs w:val="22"/>
          <w:highlight w:val="none"/>
        </w:rPr>
      </w:pPr>
    </w:p>
    <w:p w14:paraId="039A883E">
      <w:pPr>
        <w:spacing w:line="400" w:lineRule="exact"/>
        <w:rPr>
          <w:rFonts w:hint="eastAsia" w:ascii="新宋体" w:hAnsi="新宋体" w:eastAsia="新宋体"/>
          <w:color w:val="auto"/>
          <w:sz w:val="22"/>
          <w:szCs w:val="22"/>
          <w:highlight w:val="none"/>
        </w:rPr>
      </w:pPr>
    </w:p>
    <w:p w14:paraId="53067148">
      <w:pPr>
        <w:spacing w:line="400" w:lineRule="exact"/>
        <w:rPr>
          <w:rFonts w:hint="eastAsia" w:ascii="新宋体" w:hAnsi="新宋体" w:eastAsia="新宋体"/>
          <w:color w:val="auto"/>
          <w:sz w:val="22"/>
          <w:szCs w:val="22"/>
          <w:highlight w:val="none"/>
        </w:rPr>
      </w:pPr>
    </w:p>
    <w:p w14:paraId="2A01BE62">
      <w:pPr>
        <w:spacing w:line="400" w:lineRule="exact"/>
        <w:rPr>
          <w:rFonts w:hint="eastAsia" w:ascii="新宋体" w:hAnsi="新宋体" w:eastAsia="新宋体"/>
          <w:color w:val="auto"/>
          <w:sz w:val="22"/>
          <w:szCs w:val="22"/>
          <w:highlight w:val="none"/>
        </w:rPr>
        <w:sectPr>
          <w:pgSz w:w="11906" w:h="16838"/>
          <w:pgMar w:top="1134" w:right="1134" w:bottom="1134" w:left="1134" w:header="851" w:footer="992" w:gutter="0"/>
          <w:cols w:space="720" w:num="1"/>
          <w:docGrid w:linePitch="312" w:charSpace="0"/>
        </w:sectPr>
      </w:pPr>
    </w:p>
    <w:p w14:paraId="597902B1">
      <w:pPr>
        <w:pStyle w:val="5"/>
        <w:spacing w:line="440" w:lineRule="exact"/>
        <w:rPr>
          <w:rFonts w:hint="eastAsia" w:ascii="黑体" w:hAnsi="宋体"/>
          <w:color w:val="auto"/>
          <w:sz w:val="24"/>
          <w:szCs w:val="24"/>
          <w:highlight w:val="none"/>
        </w:rPr>
      </w:pPr>
      <w:bookmarkStart w:id="59" w:name="_Toc287018660"/>
      <w:bookmarkStart w:id="60" w:name="_Toc287019109"/>
      <w:bookmarkStart w:id="61" w:name="_Toc287018834"/>
      <w:bookmarkStart w:id="62" w:name="_Toc19"/>
      <w:bookmarkStart w:id="63" w:name="_Toc11186"/>
      <w:r>
        <w:rPr>
          <w:rFonts w:hint="eastAsia" w:ascii="黑体" w:hAnsi="宋体"/>
          <w:color w:val="auto"/>
          <w:sz w:val="24"/>
          <w:szCs w:val="24"/>
          <w:highlight w:val="none"/>
        </w:rPr>
        <w:t>附件3</w:t>
      </w:r>
      <w:bookmarkEnd w:id="59"/>
      <w:bookmarkEnd w:id="60"/>
      <w:bookmarkEnd w:id="61"/>
      <w:r>
        <w:rPr>
          <w:rFonts w:hint="eastAsia" w:ascii="黑体" w:hAnsi="宋体"/>
          <w:color w:val="auto"/>
          <w:sz w:val="24"/>
          <w:szCs w:val="24"/>
          <w:highlight w:val="none"/>
        </w:rPr>
        <w:t xml:space="preserve"> 编制说明</w:t>
      </w:r>
      <w:bookmarkEnd w:id="62"/>
      <w:bookmarkEnd w:id="63"/>
    </w:p>
    <w:p w14:paraId="7C388C56">
      <w:pPr>
        <w:spacing w:line="400" w:lineRule="exact"/>
        <w:jc w:val="center"/>
        <w:rPr>
          <w:rFonts w:hint="eastAsia" w:ascii="宋体" w:hAnsi="宋体"/>
          <w:b/>
          <w:bCs/>
          <w:color w:val="auto"/>
          <w:sz w:val="32"/>
          <w:szCs w:val="32"/>
          <w:highlight w:val="none"/>
        </w:rPr>
      </w:pPr>
      <w:r>
        <w:rPr>
          <w:rFonts w:hint="eastAsia" w:ascii="宋体" w:hAnsi="宋体"/>
          <w:b/>
          <w:bCs/>
          <w:color w:val="auto"/>
          <w:sz w:val="32"/>
          <w:szCs w:val="32"/>
          <w:highlight w:val="none"/>
        </w:rPr>
        <w:t>编 制 说 明</w:t>
      </w:r>
    </w:p>
    <w:p w14:paraId="24F9923E">
      <w:pPr>
        <w:spacing w:line="400" w:lineRule="exact"/>
        <w:rPr>
          <w:rFonts w:hint="eastAsia" w:ascii="宋体" w:hAnsi="宋体"/>
          <w:color w:val="auto"/>
          <w:sz w:val="22"/>
          <w:szCs w:val="22"/>
          <w:highlight w:val="none"/>
        </w:rPr>
      </w:pPr>
    </w:p>
    <w:p w14:paraId="2988F643">
      <w:pPr>
        <w:spacing w:line="600" w:lineRule="exact"/>
        <w:rPr>
          <w:rFonts w:hint="eastAsia" w:ascii="宋体" w:hAnsi="宋体"/>
          <w:b/>
          <w:bCs/>
          <w:color w:val="auto"/>
          <w:sz w:val="36"/>
          <w:szCs w:val="36"/>
          <w:highlight w:val="none"/>
        </w:rPr>
      </w:pPr>
      <w:r>
        <w:rPr>
          <w:rFonts w:hint="eastAsia" w:ascii="宋体" w:hAnsi="宋体"/>
          <w:color w:val="auto"/>
          <w:sz w:val="22"/>
          <w:szCs w:val="22"/>
          <w:highlight w:val="none"/>
        </w:rPr>
        <w:t xml:space="preserve">工程名称：                                                  </w:t>
      </w:r>
      <w:r>
        <w:rPr>
          <w:rFonts w:hint="eastAsia" w:ascii="宋体" w:hAnsi="宋体"/>
          <w:b/>
          <w:bCs/>
          <w:color w:val="auto"/>
          <w:sz w:val="36"/>
          <w:szCs w:val="36"/>
          <w:highlight w:val="none"/>
        </w:rPr>
        <w:t xml:space="preserve">     </w:t>
      </w:r>
      <w:r>
        <w:rPr>
          <w:rFonts w:hint="eastAsia" w:ascii="宋体" w:hAnsi="宋体"/>
          <w:color w:val="auto"/>
          <w:sz w:val="22"/>
          <w:szCs w:val="22"/>
          <w:highlight w:val="none"/>
        </w:rPr>
        <w:t>第   页  共  页</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8"/>
      </w:tblGrid>
      <w:tr w14:paraId="1F5F9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89" w:hRule="atLeast"/>
        </w:trPr>
        <w:tc>
          <w:tcPr>
            <w:tcW w:w="9648" w:type="dxa"/>
          </w:tcPr>
          <w:p w14:paraId="2A0CA694">
            <w:pPr>
              <w:spacing w:line="400" w:lineRule="exact"/>
              <w:rPr>
                <w:rFonts w:hint="eastAsia" w:ascii="宋体" w:hAnsi="宋体"/>
                <w:color w:val="auto"/>
                <w:sz w:val="22"/>
                <w:szCs w:val="22"/>
                <w:highlight w:val="none"/>
              </w:rPr>
            </w:pPr>
          </w:p>
        </w:tc>
      </w:tr>
    </w:tbl>
    <w:p w14:paraId="3985DDB9">
      <w:pPr>
        <w:spacing w:line="400" w:lineRule="exact"/>
        <w:rPr>
          <w:rFonts w:hint="eastAsia" w:ascii="宋体" w:hAnsi="宋体"/>
          <w:color w:val="auto"/>
          <w:sz w:val="22"/>
          <w:szCs w:val="22"/>
          <w:highlight w:val="none"/>
        </w:rPr>
      </w:pPr>
    </w:p>
    <w:p w14:paraId="782D0895">
      <w:pPr>
        <w:spacing w:line="400" w:lineRule="exact"/>
        <w:rPr>
          <w:rFonts w:hint="eastAsia" w:ascii="宋体" w:hAnsi="宋体"/>
          <w:color w:val="auto"/>
          <w:sz w:val="22"/>
          <w:szCs w:val="22"/>
          <w:highlight w:val="none"/>
        </w:rPr>
      </w:pPr>
    </w:p>
    <w:p w14:paraId="1A72C77A">
      <w:pPr>
        <w:pStyle w:val="5"/>
        <w:spacing w:line="440" w:lineRule="exact"/>
        <w:rPr>
          <w:rFonts w:hint="eastAsia" w:ascii="黑体" w:hAnsi="宋体"/>
          <w:color w:val="auto"/>
          <w:sz w:val="24"/>
          <w:szCs w:val="24"/>
          <w:highlight w:val="none"/>
        </w:rPr>
      </w:pPr>
      <w:bookmarkStart w:id="64" w:name="_Toc27278"/>
      <w:bookmarkStart w:id="65" w:name="_Toc29476"/>
      <w:r>
        <w:rPr>
          <w:rFonts w:hint="eastAsia" w:ascii="黑体" w:hAnsi="宋体"/>
          <w:color w:val="auto"/>
          <w:sz w:val="24"/>
          <w:szCs w:val="24"/>
          <w:highlight w:val="none"/>
        </w:rPr>
        <w:t>附件4 磋商总价</w:t>
      </w:r>
      <w:bookmarkEnd w:id="64"/>
      <w:bookmarkEnd w:id="65"/>
    </w:p>
    <w:p w14:paraId="3F07CA53">
      <w:pPr>
        <w:spacing w:line="400" w:lineRule="exact"/>
        <w:jc w:val="center"/>
        <w:rPr>
          <w:rFonts w:hint="eastAsia" w:ascii="新宋体" w:hAnsi="新宋体" w:eastAsia="新宋体"/>
          <w:b/>
          <w:bCs/>
          <w:color w:val="auto"/>
          <w:sz w:val="32"/>
          <w:szCs w:val="32"/>
          <w:highlight w:val="none"/>
        </w:rPr>
      </w:pPr>
    </w:p>
    <w:p w14:paraId="7EFBE141">
      <w:pPr>
        <w:spacing w:line="400" w:lineRule="exact"/>
        <w:jc w:val="center"/>
        <w:rPr>
          <w:rFonts w:hint="eastAsia" w:ascii="新宋体" w:hAnsi="新宋体" w:eastAsia="新宋体"/>
          <w:b/>
          <w:bCs/>
          <w:color w:val="auto"/>
          <w:sz w:val="32"/>
          <w:szCs w:val="32"/>
          <w:highlight w:val="none"/>
        </w:rPr>
      </w:pPr>
      <w:r>
        <w:rPr>
          <w:rFonts w:hint="eastAsia" w:ascii="新宋体" w:hAnsi="新宋体" w:eastAsia="新宋体"/>
          <w:b/>
          <w:bCs/>
          <w:color w:val="auto"/>
          <w:sz w:val="32"/>
          <w:szCs w:val="32"/>
          <w:highlight w:val="none"/>
        </w:rPr>
        <w:t>磋 商 总 价</w:t>
      </w:r>
    </w:p>
    <w:p w14:paraId="3FB48DC7">
      <w:pPr>
        <w:spacing w:line="400" w:lineRule="exact"/>
        <w:jc w:val="center"/>
        <w:rPr>
          <w:rFonts w:hint="eastAsia" w:ascii="新宋体" w:hAnsi="新宋体" w:eastAsia="新宋体"/>
          <w:color w:val="auto"/>
          <w:sz w:val="22"/>
          <w:szCs w:val="22"/>
          <w:highlight w:val="none"/>
        </w:rPr>
      </w:pPr>
    </w:p>
    <w:p w14:paraId="54193C8E">
      <w:pPr>
        <w:spacing w:line="400" w:lineRule="exact"/>
        <w:jc w:val="center"/>
        <w:rPr>
          <w:rFonts w:hint="eastAsia" w:ascii="新宋体" w:hAnsi="新宋体" w:eastAsia="新宋体"/>
          <w:color w:val="auto"/>
          <w:sz w:val="22"/>
          <w:szCs w:val="22"/>
          <w:highlight w:val="none"/>
        </w:rPr>
      </w:pPr>
    </w:p>
    <w:p w14:paraId="7A2E1249">
      <w:pPr>
        <w:spacing w:line="400" w:lineRule="exact"/>
        <w:ind w:firstLine="899" w:firstLineChars="409"/>
        <w:rPr>
          <w:rFonts w:hint="eastAsia"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建设单位：</w:t>
      </w:r>
      <w:r>
        <w:rPr>
          <w:rFonts w:hint="eastAsia" w:ascii="新宋体" w:hAnsi="新宋体" w:eastAsia="新宋体"/>
          <w:color w:val="auto"/>
          <w:sz w:val="22"/>
          <w:szCs w:val="22"/>
          <w:highlight w:val="none"/>
          <w:u w:val="single"/>
        </w:rPr>
        <w:t xml:space="preserve">                                                 </w:t>
      </w:r>
    </w:p>
    <w:p w14:paraId="255DC9C1">
      <w:pPr>
        <w:spacing w:line="400" w:lineRule="exact"/>
        <w:ind w:firstLine="899" w:firstLineChars="409"/>
        <w:rPr>
          <w:rFonts w:hint="eastAsia" w:ascii="新宋体" w:hAnsi="新宋体" w:eastAsia="新宋体"/>
          <w:color w:val="auto"/>
          <w:sz w:val="22"/>
          <w:szCs w:val="22"/>
          <w:highlight w:val="none"/>
        </w:rPr>
      </w:pPr>
    </w:p>
    <w:p w14:paraId="5E18DE96">
      <w:pPr>
        <w:spacing w:line="400" w:lineRule="exact"/>
        <w:ind w:firstLine="899" w:firstLineChars="409"/>
        <w:rPr>
          <w:rFonts w:hint="eastAsia"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工程名称：</w:t>
      </w:r>
      <w:r>
        <w:rPr>
          <w:rFonts w:hint="eastAsia" w:ascii="新宋体" w:hAnsi="新宋体" w:eastAsia="新宋体"/>
          <w:color w:val="auto"/>
          <w:sz w:val="22"/>
          <w:szCs w:val="22"/>
          <w:highlight w:val="none"/>
          <w:u w:val="single"/>
        </w:rPr>
        <w:t xml:space="preserve">                                                  </w:t>
      </w:r>
    </w:p>
    <w:p w14:paraId="163D4C51">
      <w:pPr>
        <w:spacing w:line="400" w:lineRule="exact"/>
        <w:ind w:firstLine="899" w:firstLineChars="409"/>
        <w:rPr>
          <w:rFonts w:hint="eastAsia" w:ascii="新宋体" w:hAnsi="新宋体" w:eastAsia="新宋体"/>
          <w:color w:val="auto"/>
          <w:sz w:val="22"/>
          <w:szCs w:val="22"/>
          <w:highlight w:val="none"/>
        </w:rPr>
      </w:pPr>
    </w:p>
    <w:p w14:paraId="330482CC">
      <w:pPr>
        <w:spacing w:line="400" w:lineRule="exact"/>
        <w:ind w:firstLine="899" w:firstLineChars="409"/>
        <w:rPr>
          <w:rFonts w:hint="eastAsia"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磋商总价（小写）：</w:t>
      </w:r>
      <w:r>
        <w:rPr>
          <w:rFonts w:hint="eastAsia" w:ascii="新宋体" w:hAnsi="新宋体" w:eastAsia="新宋体"/>
          <w:color w:val="auto"/>
          <w:sz w:val="22"/>
          <w:szCs w:val="22"/>
          <w:highlight w:val="none"/>
          <w:u w:val="single"/>
        </w:rPr>
        <w:t xml:space="preserve">                                           </w:t>
      </w:r>
    </w:p>
    <w:p w14:paraId="5E48B928">
      <w:pPr>
        <w:spacing w:line="400" w:lineRule="exact"/>
        <w:ind w:firstLine="899" w:firstLineChars="409"/>
        <w:rPr>
          <w:rFonts w:hint="eastAsia" w:ascii="新宋体" w:hAnsi="新宋体" w:eastAsia="新宋体"/>
          <w:color w:val="auto"/>
          <w:sz w:val="22"/>
          <w:szCs w:val="22"/>
          <w:highlight w:val="none"/>
        </w:rPr>
      </w:pPr>
    </w:p>
    <w:p w14:paraId="6AFAA9E4">
      <w:pPr>
        <w:spacing w:line="400" w:lineRule="exact"/>
        <w:ind w:firstLine="899" w:firstLineChars="409"/>
        <w:rPr>
          <w:rFonts w:hint="eastAsia" w:ascii="新宋体" w:hAnsi="新宋体" w:eastAsia="新宋体"/>
          <w:color w:val="auto"/>
          <w:sz w:val="22"/>
          <w:szCs w:val="22"/>
          <w:highlight w:val="none"/>
          <w:u w:val="single"/>
        </w:rPr>
      </w:pPr>
      <w:r>
        <w:rPr>
          <w:rFonts w:hint="eastAsia" w:ascii="新宋体" w:hAnsi="新宋体" w:eastAsia="新宋体"/>
          <w:color w:val="auto"/>
          <w:sz w:val="22"/>
          <w:szCs w:val="22"/>
          <w:highlight w:val="none"/>
        </w:rPr>
        <w:t xml:space="preserve">        （大写）：</w:t>
      </w:r>
      <w:r>
        <w:rPr>
          <w:rFonts w:hint="eastAsia" w:ascii="新宋体" w:hAnsi="新宋体" w:eastAsia="新宋体"/>
          <w:color w:val="auto"/>
          <w:sz w:val="22"/>
          <w:szCs w:val="22"/>
          <w:highlight w:val="none"/>
          <w:u w:val="single"/>
        </w:rPr>
        <w:t xml:space="preserve">                                           </w:t>
      </w:r>
    </w:p>
    <w:p w14:paraId="76F831AA">
      <w:pPr>
        <w:spacing w:line="400" w:lineRule="exact"/>
        <w:ind w:firstLine="899" w:firstLineChars="409"/>
        <w:rPr>
          <w:rFonts w:hint="eastAsia" w:ascii="新宋体" w:hAnsi="新宋体" w:eastAsia="新宋体"/>
          <w:color w:val="auto"/>
          <w:sz w:val="22"/>
          <w:szCs w:val="22"/>
          <w:highlight w:val="none"/>
        </w:rPr>
      </w:pPr>
    </w:p>
    <w:p w14:paraId="139B6C5B">
      <w:pPr>
        <w:spacing w:line="400" w:lineRule="exact"/>
        <w:ind w:firstLine="899" w:firstLineChars="409"/>
        <w:rPr>
          <w:rFonts w:hint="eastAsia" w:ascii="新宋体" w:hAnsi="新宋体" w:eastAsia="新宋体"/>
          <w:color w:val="auto"/>
          <w:sz w:val="22"/>
          <w:szCs w:val="22"/>
          <w:highlight w:val="none"/>
        </w:rPr>
      </w:pPr>
    </w:p>
    <w:p w14:paraId="6B18BBB6">
      <w:pPr>
        <w:spacing w:line="400" w:lineRule="exact"/>
        <w:ind w:firstLine="899" w:firstLineChars="409"/>
        <w:rPr>
          <w:rFonts w:hint="eastAsia" w:ascii="新宋体" w:hAnsi="新宋体" w:eastAsia="新宋体"/>
          <w:color w:val="auto"/>
          <w:sz w:val="22"/>
          <w:szCs w:val="22"/>
          <w:highlight w:val="none"/>
        </w:rPr>
      </w:pPr>
    </w:p>
    <w:p w14:paraId="5584D52D">
      <w:pPr>
        <w:spacing w:line="400" w:lineRule="exact"/>
        <w:ind w:firstLine="899" w:firstLineChars="409"/>
        <w:rPr>
          <w:rFonts w:hint="eastAsia" w:ascii="新宋体" w:hAnsi="新宋体" w:eastAsia="新宋体"/>
          <w:color w:val="auto"/>
          <w:sz w:val="22"/>
          <w:szCs w:val="22"/>
          <w:highlight w:val="none"/>
        </w:rPr>
      </w:pPr>
    </w:p>
    <w:p w14:paraId="25210FA6">
      <w:pPr>
        <w:spacing w:line="400" w:lineRule="exact"/>
        <w:ind w:firstLine="899" w:firstLineChars="409"/>
        <w:rPr>
          <w:rFonts w:hint="eastAsia" w:ascii="新宋体" w:hAnsi="新宋体" w:eastAsia="新宋体"/>
          <w:color w:val="auto"/>
          <w:sz w:val="22"/>
          <w:szCs w:val="22"/>
          <w:highlight w:val="none"/>
        </w:rPr>
      </w:pPr>
    </w:p>
    <w:p w14:paraId="1D3728CA">
      <w:pPr>
        <w:spacing w:line="400" w:lineRule="exact"/>
        <w:ind w:firstLine="899" w:firstLineChars="409"/>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磋商供应商：</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（单位盖章）</w:t>
      </w:r>
    </w:p>
    <w:p w14:paraId="53F2BC74">
      <w:pPr>
        <w:spacing w:line="400" w:lineRule="exact"/>
        <w:ind w:firstLine="899" w:firstLineChars="409"/>
        <w:rPr>
          <w:rFonts w:hint="eastAsia" w:ascii="新宋体" w:hAnsi="新宋体" w:eastAsia="新宋体"/>
          <w:color w:val="auto"/>
          <w:sz w:val="22"/>
          <w:szCs w:val="22"/>
          <w:highlight w:val="none"/>
        </w:rPr>
      </w:pPr>
    </w:p>
    <w:p w14:paraId="6931DA51">
      <w:pPr>
        <w:spacing w:line="400" w:lineRule="exact"/>
        <w:ind w:firstLine="899" w:firstLineChars="409"/>
        <w:rPr>
          <w:rFonts w:hint="eastAsia" w:ascii="新宋体" w:hAnsi="新宋体" w:eastAsia="新宋体"/>
          <w:color w:val="auto"/>
          <w:sz w:val="22"/>
          <w:szCs w:val="22"/>
          <w:highlight w:val="none"/>
        </w:rPr>
      </w:pPr>
      <w:r>
        <w:rPr>
          <w:rFonts w:hint="eastAsia" w:ascii="新宋体" w:hAnsi="新宋体" w:eastAsia="新宋体"/>
          <w:color w:val="auto"/>
          <w:sz w:val="22"/>
          <w:szCs w:val="22"/>
          <w:highlight w:val="none"/>
        </w:rPr>
        <w:t>法定代表人：</w:t>
      </w:r>
      <w:r>
        <w:rPr>
          <w:rFonts w:hint="eastAsia" w:ascii="新宋体" w:hAnsi="新宋体" w:eastAsia="新宋体"/>
          <w:color w:val="auto"/>
          <w:sz w:val="22"/>
          <w:szCs w:val="22"/>
          <w:highlight w:val="none"/>
          <w:u w:val="single"/>
        </w:rPr>
        <w:t xml:space="preserve">                          </w:t>
      </w:r>
      <w:r>
        <w:rPr>
          <w:rFonts w:hint="eastAsia" w:ascii="新宋体" w:hAnsi="新宋体" w:eastAsia="新宋体"/>
          <w:color w:val="auto"/>
          <w:sz w:val="22"/>
          <w:szCs w:val="22"/>
          <w:highlight w:val="none"/>
        </w:rPr>
        <w:t>（签字或盖章）</w:t>
      </w:r>
    </w:p>
    <w:p w14:paraId="6F50BE49">
      <w:pPr>
        <w:spacing w:line="400" w:lineRule="exact"/>
        <w:ind w:firstLine="899" w:firstLineChars="409"/>
        <w:rPr>
          <w:rFonts w:hint="eastAsia" w:ascii="新宋体" w:hAnsi="新宋体" w:eastAsia="新宋体"/>
          <w:color w:val="auto"/>
          <w:sz w:val="22"/>
          <w:szCs w:val="22"/>
          <w:highlight w:val="none"/>
        </w:rPr>
      </w:pPr>
    </w:p>
    <w:p w14:paraId="3F8D7B1C">
      <w:pPr>
        <w:spacing w:line="400" w:lineRule="exact"/>
        <w:ind w:firstLine="899" w:firstLineChars="409"/>
        <w:rPr>
          <w:rFonts w:hint="eastAsia" w:ascii="新宋体" w:hAnsi="新宋体" w:eastAsia="新宋体"/>
          <w:b/>
          <w:bCs/>
          <w:color w:val="auto"/>
          <w:sz w:val="22"/>
          <w:szCs w:val="22"/>
          <w:highlight w:val="none"/>
        </w:rPr>
      </w:pPr>
      <w:r>
        <w:rPr>
          <w:rFonts w:hint="eastAsia" w:ascii="新宋体" w:hAnsi="新宋体" w:eastAsia="新宋体"/>
          <w:color w:val="auto"/>
          <w:sz w:val="22"/>
          <w:szCs w:val="22"/>
          <w:highlight w:val="none"/>
        </w:rPr>
        <w:t>编制时间：</w:t>
      </w:r>
      <w:r>
        <w:rPr>
          <w:rFonts w:hint="eastAsia" w:ascii="新宋体" w:hAnsi="新宋体" w:eastAsia="新宋体"/>
          <w:color w:val="auto"/>
          <w:sz w:val="22"/>
          <w:szCs w:val="22"/>
          <w:highlight w:val="none"/>
          <w:u w:val="single"/>
        </w:rPr>
        <w:t xml:space="preserve">                                   </w:t>
      </w:r>
    </w:p>
    <w:p w14:paraId="28E3BA89">
      <w:pPr>
        <w:spacing w:line="400" w:lineRule="exact"/>
        <w:ind w:firstLine="899" w:firstLineChars="409"/>
        <w:rPr>
          <w:rFonts w:hint="eastAsia" w:ascii="新宋体" w:hAnsi="新宋体" w:eastAsia="新宋体"/>
          <w:color w:val="auto"/>
          <w:sz w:val="22"/>
          <w:szCs w:val="22"/>
          <w:highlight w:val="none"/>
        </w:rPr>
      </w:pPr>
    </w:p>
    <w:p w14:paraId="42F37598">
      <w:pPr>
        <w:spacing w:line="400" w:lineRule="exact"/>
        <w:rPr>
          <w:rFonts w:hint="eastAsia" w:ascii="新宋体" w:hAnsi="新宋体" w:eastAsia="新宋体"/>
          <w:color w:val="auto"/>
          <w:sz w:val="22"/>
          <w:szCs w:val="22"/>
          <w:highlight w:val="none"/>
        </w:rPr>
      </w:pPr>
    </w:p>
    <w:p w14:paraId="59B40771">
      <w:pPr>
        <w:spacing w:line="400" w:lineRule="exact"/>
        <w:rPr>
          <w:rFonts w:hint="eastAsia" w:ascii="新宋体" w:hAnsi="新宋体" w:eastAsia="新宋体"/>
          <w:color w:val="auto"/>
          <w:sz w:val="22"/>
          <w:szCs w:val="22"/>
          <w:highlight w:val="none"/>
        </w:rPr>
      </w:pPr>
    </w:p>
    <w:p w14:paraId="613A7E11">
      <w:pPr>
        <w:spacing w:line="400" w:lineRule="exact"/>
        <w:rPr>
          <w:rFonts w:hint="eastAsia" w:ascii="新宋体" w:hAnsi="新宋体" w:eastAsia="新宋体"/>
          <w:color w:val="auto"/>
          <w:sz w:val="22"/>
          <w:szCs w:val="22"/>
          <w:highlight w:val="none"/>
        </w:rPr>
      </w:pPr>
    </w:p>
    <w:p w14:paraId="02900E6C">
      <w:pPr>
        <w:spacing w:line="400" w:lineRule="exact"/>
        <w:rPr>
          <w:rFonts w:hint="eastAsia" w:ascii="新宋体" w:hAnsi="新宋体" w:eastAsia="新宋体"/>
          <w:color w:val="auto"/>
          <w:sz w:val="22"/>
          <w:szCs w:val="22"/>
          <w:highlight w:val="none"/>
        </w:rPr>
      </w:pPr>
    </w:p>
    <w:p w14:paraId="4E503E50">
      <w:pPr>
        <w:spacing w:line="400" w:lineRule="exact"/>
        <w:rPr>
          <w:rFonts w:hint="eastAsia" w:ascii="新宋体" w:hAnsi="新宋体" w:eastAsia="新宋体"/>
          <w:color w:val="auto"/>
          <w:sz w:val="22"/>
          <w:szCs w:val="22"/>
          <w:highlight w:val="none"/>
        </w:rPr>
      </w:pPr>
    </w:p>
    <w:p w14:paraId="39946856">
      <w:pPr>
        <w:spacing w:line="400" w:lineRule="exact"/>
        <w:rPr>
          <w:rFonts w:hint="eastAsia" w:ascii="新宋体" w:hAnsi="新宋体" w:eastAsia="新宋体"/>
          <w:color w:val="auto"/>
          <w:sz w:val="22"/>
          <w:szCs w:val="22"/>
          <w:highlight w:val="none"/>
        </w:rPr>
      </w:pPr>
    </w:p>
    <w:p w14:paraId="2A708D2F">
      <w:pPr>
        <w:spacing w:line="400" w:lineRule="exact"/>
        <w:rPr>
          <w:rFonts w:hint="eastAsia" w:ascii="新宋体" w:hAnsi="新宋体" w:eastAsia="新宋体"/>
          <w:color w:val="auto"/>
          <w:sz w:val="22"/>
          <w:szCs w:val="22"/>
          <w:highlight w:val="none"/>
        </w:rPr>
      </w:pPr>
    </w:p>
    <w:p w14:paraId="05D9D8D1">
      <w:pPr>
        <w:spacing w:line="400" w:lineRule="exact"/>
        <w:rPr>
          <w:rFonts w:hint="eastAsia" w:ascii="新宋体" w:hAnsi="新宋体" w:eastAsia="新宋体"/>
          <w:color w:val="auto"/>
          <w:sz w:val="22"/>
          <w:szCs w:val="22"/>
          <w:highlight w:val="none"/>
        </w:rPr>
      </w:pPr>
    </w:p>
    <w:p w14:paraId="3EDBA290">
      <w:pPr>
        <w:spacing w:line="400" w:lineRule="exact"/>
        <w:rPr>
          <w:rFonts w:hint="eastAsia" w:ascii="新宋体" w:hAnsi="新宋体" w:eastAsia="新宋体"/>
          <w:color w:val="auto"/>
          <w:sz w:val="22"/>
          <w:szCs w:val="22"/>
          <w:highlight w:val="none"/>
        </w:rPr>
      </w:pPr>
    </w:p>
    <w:p w14:paraId="4D6B6818">
      <w:pPr>
        <w:spacing w:line="400" w:lineRule="exact"/>
        <w:rPr>
          <w:rFonts w:hint="eastAsia" w:ascii="新宋体" w:hAnsi="新宋体" w:eastAsia="新宋体"/>
          <w:color w:val="auto"/>
          <w:sz w:val="22"/>
          <w:szCs w:val="22"/>
          <w:highlight w:val="none"/>
        </w:rPr>
      </w:pPr>
    </w:p>
    <w:p w14:paraId="1CCBC831">
      <w:pPr>
        <w:spacing w:line="400" w:lineRule="exact"/>
        <w:rPr>
          <w:rFonts w:hint="eastAsia" w:ascii="新宋体" w:hAnsi="新宋体" w:eastAsia="新宋体"/>
          <w:color w:val="auto"/>
          <w:sz w:val="22"/>
          <w:szCs w:val="22"/>
          <w:highlight w:val="none"/>
        </w:rPr>
      </w:pPr>
    </w:p>
    <w:p w14:paraId="621D90FD">
      <w:pPr>
        <w:pStyle w:val="5"/>
        <w:spacing w:line="440" w:lineRule="exact"/>
        <w:rPr>
          <w:rFonts w:hint="eastAsia" w:ascii="黑体" w:hAnsi="宋体"/>
          <w:color w:val="auto"/>
          <w:sz w:val="24"/>
          <w:szCs w:val="24"/>
          <w:highlight w:val="none"/>
        </w:rPr>
      </w:pPr>
      <w:bookmarkStart w:id="66" w:name="_Toc287018836"/>
      <w:bookmarkStart w:id="67" w:name="_Toc287019111"/>
      <w:bookmarkStart w:id="68" w:name="_Toc287018662"/>
      <w:bookmarkStart w:id="69" w:name="_Toc29802"/>
      <w:bookmarkStart w:id="70" w:name="_Toc2662"/>
      <w:r>
        <w:rPr>
          <w:rFonts w:hint="eastAsia" w:ascii="黑体" w:hAnsi="宋体"/>
          <w:color w:val="auto"/>
          <w:sz w:val="24"/>
          <w:szCs w:val="24"/>
          <w:highlight w:val="none"/>
        </w:rPr>
        <w:t>附件5</w:t>
      </w:r>
      <w:bookmarkEnd w:id="66"/>
      <w:bookmarkEnd w:id="67"/>
      <w:bookmarkEnd w:id="68"/>
      <w:r>
        <w:rPr>
          <w:rFonts w:hint="eastAsia" w:ascii="黑体" w:hAnsi="宋体"/>
          <w:color w:val="auto"/>
          <w:sz w:val="24"/>
          <w:szCs w:val="24"/>
          <w:highlight w:val="none"/>
        </w:rPr>
        <w:t xml:space="preserve"> 工程项目磋商报价汇总表</w:t>
      </w:r>
      <w:bookmarkEnd w:id="69"/>
      <w:bookmarkEnd w:id="70"/>
    </w:p>
    <w:p w14:paraId="1C864564">
      <w:pPr>
        <w:spacing w:line="600" w:lineRule="exact"/>
        <w:jc w:val="center"/>
        <w:rPr>
          <w:rFonts w:hint="eastAsia"/>
          <w:b/>
          <w:color w:val="auto"/>
          <w:sz w:val="36"/>
          <w:szCs w:val="36"/>
          <w:highlight w:val="none"/>
        </w:rPr>
      </w:pPr>
      <w:r>
        <w:rPr>
          <w:rFonts w:hint="eastAsia"/>
          <w:b/>
          <w:color w:val="auto"/>
          <w:sz w:val="36"/>
          <w:szCs w:val="36"/>
          <w:highlight w:val="none"/>
        </w:rPr>
        <w:t>工程项目磋商报价汇总表</w:t>
      </w:r>
    </w:p>
    <w:p w14:paraId="6C894A10">
      <w:pPr>
        <w:spacing w:line="600" w:lineRule="exact"/>
        <w:rPr>
          <w:rFonts w:hint="eastAsia"/>
          <w:b/>
          <w:color w:val="auto"/>
          <w:sz w:val="22"/>
          <w:szCs w:val="22"/>
          <w:highlight w:val="none"/>
        </w:rPr>
      </w:pPr>
      <w:r>
        <w:rPr>
          <w:rFonts w:hint="eastAsia"/>
          <w:color w:val="auto"/>
          <w:sz w:val="22"/>
          <w:szCs w:val="22"/>
          <w:highlight w:val="none"/>
        </w:rPr>
        <w:t>工程名称：                                                          第    页 共    页</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5760"/>
        <w:gridCol w:w="2700"/>
      </w:tblGrid>
      <w:tr w14:paraId="1A844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368" w:type="dxa"/>
            <w:vAlign w:val="center"/>
          </w:tcPr>
          <w:p w14:paraId="086A2A79">
            <w:pPr>
              <w:jc w:val="center"/>
              <w:rPr>
                <w:rFonts w:hint="eastAsia" w:ascii="宋体" w:hAnsi="宋体"/>
                <w:b/>
                <w:color w:val="auto"/>
                <w:sz w:val="24"/>
                <w:highlight w:val="none"/>
              </w:rPr>
            </w:pPr>
            <w:r>
              <w:rPr>
                <w:rFonts w:hint="eastAsia" w:ascii="宋体" w:hAnsi="宋体"/>
                <w:b/>
                <w:color w:val="auto"/>
                <w:sz w:val="24"/>
                <w:highlight w:val="none"/>
              </w:rPr>
              <w:t>序号</w:t>
            </w:r>
          </w:p>
        </w:tc>
        <w:tc>
          <w:tcPr>
            <w:tcW w:w="5760" w:type="dxa"/>
            <w:vAlign w:val="center"/>
          </w:tcPr>
          <w:p w14:paraId="7968E5F5">
            <w:pPr>
              <w:jc w:val="center"/>
              <w:rPr>
                <w:rFonts w:hint="eastAsia" w:ascii="宋体" w:hAnsi="宋体"/>
                <w:b/>
                <w:color w:val="auto"/>
                <w:sz w:val="24"/>
                <w:highlight w:val="none"/>
              </w:rPr>
            </w:pPr>
            <w:r>
              <w:rPr>
                <w:rFonts w:hint="eastAsia" w:ascii="宋体" w:hAnsi="宋体"/>
                <w:b/>
                <w:color w:val="auto"/>
                <w:sz w:val="24"/>
                <w:highlight w:val="none"/>
              </w:rPr>
              <w:t>单位工程名称</w:t>
            </w:r>
          </w:p>
        </w:tc>
        <w:tc>
          <w:tcPr>
            <w:tcW w:w="2700" w:type="dxa"/>
            <w:vAlign w:val="center"/>
          </w:tcPr>
          <w:p w14:paraId="23DC964F">
            <w:pPr>
              <w:jc w:val="center"/>
              <w:rPr>
                <w:rFonts w:hint="eastAsia" w:ascii="宋体" w:hAnsi="宋体"/>
                <w:b/>
                <w:color w:val="auto"/>
                <w:sz w:val="24"/>
                <w:highlight w:val="none"/>
              </w:rPr>
            </w:pPr>
            <w:r>
              <w:rPr>
                <w:rFonts w:hint="eastAsia" w:ascii="宋体" w:hAnsi="宋体"/>
                <w:b/>
                <w:color w:val="auto"/>
                <w:sz w:val="24"/>
                <w:highlight w:val="none"/>
              </w:rPr>
              <w:t>金额（元）</w:t>
            </w:r>
          </w:p>
        </w:tc>
      </w:tr>
      <w:tr w14:paraId="46EF2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368" w:type="dxa"/>
            <w:vAlign w:val="center"/>
          </w:tcPr>
          <w:p w14:paraId="4DA56840">
            <w:pPr>
              <w:jc w:val="center"/>
              <w:rPr>
                <w:rFonts w:hint="eastAsia" w:ascii="宋体" w:hAnsi="宋体"/>
                <w:color w:val="auto"/>
                <w:sz w:val="22"/>
                <w:szCs w:val="22"/>
                <w:highlight w:val="none"/>
              </w:rPr>
            </w:pPr>
            <w:r>
              <w:rPr>
                <w:rFonts w:hint="eastAsia" w:ascii="宋体" w:hAnsi="宋体"/>
                <w:color w:val="auto"/>
                <w:sz w:val="22"/>
                <w:szCs w:val="22"/>
                <w:highlight w:val="none"/>
              </w:rPr>
              <w:t>1</w:t>
            </w:r>
          </w:p>
        </w:tc>
        <w:tc>
          <w:tcPr>
            <w:tcW w:w="5760" w:type="dxa"/>
            <w:vAlign w:val="center"/>
          </w:tcPr>
          <w:p w14:paraId="46E7F031">
            <w:pPr>
              <w:rPr>
                <w:rFonts w:hint="eastAsia" w:ascii="宋体" w:hAnsi="宋体"/>
                <w:color w:val="auto"/>
                <w:sz w:val="22"/>
                <w:szCs w:val="22"/>
                <w:highlight w:val="none"/>
              </w:rPr>
            </w:pPr>
            <w:r>
              <w:rPr>
                <w:rFonts w:hint="eastAsia" w:ascii="宋体" w:hAnsi="宋体"/>
                <w:color w:val="auto"/>
                <w:sz w:val="22"/>
                <w:szCs w:val="22"/>
                <w:highlight w:val="none"/>
              </w:rPr>
              <w:t>单位工程</w:t>
            </w:r>
          </w:p>
        </w:tc>
        <w:tc>
          <w:tcPr>
            <w:tcW w:w="2700" w:type="dxa"/>
          </w:tcPr>
          <w:p w14:paraId="5E8CDF52">
            <w:pPr>
              <w:rPr>
                <w:rFonts w:hint="eastAsia" w:ascii="宋体" w:hAnsi="宋体"/>
                <w:color w:val="auto"/>
                <w:highlight w:val="none"/>
              </w:rPr>
            </w:pPr>
          </w:p>
        </w:tc>
      </w:tr>
      <w:tr w14:paraId="16928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368" w:type="dxa"/>
            <w:vAlign w:val="center"/>
          </w:tcPr>
          <w:p w14:paraId="43D7A82B">
            <w:pPr>
              <w:jc w:val="center"/>
              <w:rPr>
                <w:rFonts w:hint="eastAsia" w:ascii="宋体" w:hAnsi="宋体"/>
                <w:color w:val="auto"/>
                <w:sz w:val="22"/>
                <w:szCs w:val="22"/>
                <w:highlight w:val="none"/>
              </w:rPr>
            </w:pPr>
            <w:r>
              <w:rPr>
                <w:rFonts w:hint="eastAsia" w:ascii="宋体" w:hAnsi="宋体"/>
                <w:color w:val="auto"/>
                <w:sz w:val="22"/>
                <w:szCs w:val="22"/>
                <w:highlight w:val="none"/>
              </w:rPr>
              <w:t>1.1</w:t>
            </w:r>
          </w:p>
        </w:tc>
        <w:tc>
          <w:tcPr>
            <w:tcW w:w="5760" w:type="dxa"/>
            <w:vAlign w:val="center"/>
          </w:tcPr>
          <w:p w14:paraId="4BB402D9">
            <w:pPr>
              <w:rPr>
                <w:rFonts w:hint="eastAsia" w:ascii="宋体" w:hAnsi="宋体"/>
                <w:color w:val="auto"/>
                <w:sz w:val="22"/>
                <w:szCs w:val="22"/>
                <w:highlight w:val="none"/>
              </w:rPr>
            </w:pPr>
            <w:r>
              <w:rPr>
                <w:rFonts w:hint="eastAsia" w:ascii="宋体" w:hAnsi="宋体"/>
                <w:color w:val="auto"/>
                <w:sz w:val="22"/>
                <w:szCs w:val="22"/>
                <w:highlight w:val="none"/>
              </w:rPr>
              <w:t>专业工程</w:t>
            </w:r>
          </w:p>
        </w:tc>
        <w:tc>
          <w:tcPr>
            <w:tcW w:w="2700" w:type="dxa"/>
          </w:tcPr>
          <w:p w14:paraId="02766B7B">
            <w:pPr>
              <w:rPr>
                <w:rFonts w:hint="eastAsia" w:ascii="宋体" w:hAnsi="宋体"/>
                <w:color w:val="auto"/>
                <w:highlight w:val="none"/>
              </w:rPr>
            </w:pPr>
          </w:p>
        </w:tc>
      </w:tr>
      <w:tr w14:paraId="60B15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1368" w:type="dxa"/>
            <w:vAlign w:val="center"/>
          </w:tcPr>
          <w:p w14:paraId="31D1126D">
            <w:pPr>
              <w:jc w:val="center"/>
              <w:rPr>
                <w:rFonts w:hint="eastAsia" w:ascii="宋体" w:hAnsi="宋体"/>
                <w:color w:val="auto"/>
                <w:sz w:val="22"/>
                <w:szCs w:val="22"/>
                <w:highlight w:val="none"/>
              </w:rPr>
            </w:pPr>
            <w:r>
              <w:rPr>
                <w:rFonts w:hint="eastAsia" w:ascii="宋体" w:hAnsi="宋体"/>
                <w:color w:val="auto"/>
                <w:sz w:val="22"/>
                <w:szCs w:val="22"/>
                <w:highlight w:val="none"/>
              </w:rPr>
              <w:t>1.2</w:t>
            </w:r>
          </w:p>
        </w:tc>
        <w:tc>
          <w:tcPr>
            <w:tcW w:w="5760" w:type="dxa"/>
            <w:vAlign w:val="center"/>
          </w:tcPr>
          <w:p w14:paraId="13ED0669">
            <w:pPr>
              <w:rPr>
                <w:rFonts w:hint="eastAsia" w:ascii="宋体" w:hAnsi="宋体"/>
                <w:color w:val="auto"/>
                <w:sz w:val="22"/>
                <w:szCs w:val="22"/>
                <w:highlight w:val="none"/>
              </w:rPr>
            </w:pPr>
            <w:r>
              <w:rPr>
                <w:rFonts w:hint="eastAsia" w:ascii="宋体" w:hAnsi="宋体"/>
                <w:color w:val="auto"/>
                <w:sz w:val="22"/>
                <w:szCs w:val="22"/>
                <w:highlight w:val="none"/>
              </w:rPr>
              <w:t>专业工程</w:t>
            </w:r>
          </w:p>
        </w:tc>
        <w:tc>
          <w:tcPr>
            <w:tcW w:w="2700" w:type="dxa"/>
          </w:tcPr>
          <w:p w14:paraId="4E23A61A">
            <w:pPr>
              <w:rPr>
                <w:rFonts w:hint="eastAsia" w:ascii="宋体" w:hAnsi="宋体"/>
                <w:color w:val="auto"/>
                <w:highlight w:val="none"/>
              </w:rPr>
            </w:pPr>
          </w:p>
        </w:tc>
      </w:tr>
      <w:tr w14:paraId="3AE3AC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trPr>
        <w:tc>
          <w:tcPr>
            <w:tcW w:w="1368" w:type="dxa"/>
            <w:vAlign w:val="center"/>
          </w:tcPr>
          <w:p w14:paraId="449BCDCF">
            <w:pPr>
              <w:jc w:val="center"/>
              <w:rPr>
                <w:rFonts w:hint="eastAsia" w:ascii="宋体" w:hAnsi="宋体"/>
                <w:color w:val="auto"/>
                <w:sz w:val="22"/>
                <w:szCs w:val="22"/>
                <w:highlight w:val="none"/>
              </w:rPr>
            </w:pPr>
            <w:r>
              <w:rPr>
                <w:rFonts w:ascii="宋体" w:hAnsi="宋体"/>
                <w:color w:val="auto"/>
                <w:sz w:val="22"/>
                <w:szCs w:val="22"/>
                <w:highlight w:val="none"/>
              </w:rPr>
              <w:t>……</w:t>
            </w:r>
            <w:r>
              <w:rPr>
                <w:rFonts w:hint="eastAsia" w:ascii="宋体" w:hAnsi="宋体"/>
                <w:color w:val="auto"/>
                <w:sz w:val="22"/>
                <w:szCs w:val="22"/>
                <w:highlight w:val="none"/>
              </w:rPr>
              <w:t>.</w:t>
            </w:r>
          </w:p>
        </w:tc>
        <w:tc>
          <w:tcPr>
            <w:tcW w:w="5760" w:type="dxa"/>
            <w:vAlign w:val="center"/>
          </w:tcPr>
          <w:p w14:paraId="0E02E3FF">
            <w:pPr>
              <w:rPr>
                <w:rFonts w:hint="eastAsia" w:ascii="宋体" w:hAnsi="宋体"/>
                <w:color w:val="auto"/>
                <w:sz w:val="22"/>
                <w:szCs w:val="22"/>
                <w:highlight w:val="none"/>
              </w:rPr>
            </w:pPr>
          </w:p>
        </w:tc>
        <w:tc>
          <w:tcPr>
            <w:tcW w:w="2700" w:type="dxa"/>
          </w:tcPr>
          <w:p w14:paraId="7DEB2CDA">
            <w:pPr>
              <w:rPr>
                <w:rFonts w:hint="eastAsia" w:ascii="宋体" w:hAnsi="宋体"/>
                <w:color w:val="auto"/>
                <w:highlight w:val="none"/>
              </w:rPr>
            </w:pPr>
          </w:p>
        </w:tc>
      </w:tr>
      <w:tr w14:paraId="686EA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368" w:type="dxa"/>
            <w:vAlign w:val="center"/>
          </w:tcPr>
          <w:p w14:paraId="7835D6A4">
            <w:pPr>
              <w:jc w:val="center"/>
              <w:rPr>
                <w:rFonts w:hint="eastAsia" w:ascii="宋体" w:hAnsi="宋体"/>
                <w:color w:val="auto"/>
                <w:sz w:val="22"/>
                <w:szCs w:val="22"/>
                <w:highlight w:val="none"/>
              </w:rPr>
            </w:pPr>
            <w:r>
              <w:rPr>
                <w:rFonts w:hint="eastAsia" w:ascii="宋体" w:hAnsi="宋体"/>
                <w:color w:val="auto"/>
                <w:sz w:val="22"/>
                <w:szCs w:val="22"/>
                <w:highlight w:val="none"/>
              </w:rPr>
              <w:t>2</w:t>
            </w:r>
          </w:p>
        </w:tc>
        <w:tc>
          <w:tcPr>
            <w:tcW w:w="5760" w:type="dxa"/>
            <w:vAlign w:val="center"/>
          </w:tcPr>
          <w:p w14:paraId="600BD636">
            <w:pPr>
              <w:rPr>
                <w:rFonts w:hint="eastAsia" w:ascii="宋体" w:hAnsi="宋体"/>
                <w:color w:val="auto"/>
                <w:sz w:val="22"/>
                <w:szCs w:val="22"/>
                <w:highlight w:val="none"/>
              </w:rPr>
            </w:pPr>
            <w:r>
              <w:rPr>
                <w:rFonts w:hint="eastAsia" w:ascii="宋体" w:hAnsi="宋体"/>
                <w:color w:val="auto"/>
                <w:sz w:val="22"/>
                <w:szCs w:val="22"/>
                <w:highlight w:val="none"/>
              </w:rPr>
              <w:t>单位工程</w:t>
            </w:r>
          </w:p>
        </w:tc>
        <w:tc>
          <w:tcPr>
            <w:tcW w:w="2700" w:type="dxa"/>
          </w:tcPr>
          <w:p w14:paraId="0A4BDDEA">
            <w:pPr>
              <w:rPr>
                <w:rFonts w:hint="eastAsia" w:ascii="宋体" w:hAnsi="宋体"/>
                <w:color w:val="auto"/>
                <w:highlight w:val="none"/>
              </w:rPr>
            </w:pPr>
          </w:p>
        </w:tc>
      </w:tr>
      <w:tr w14:paraId="22F6A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1368" w:type="dxa"/>
            <w:vAlign w:val="center"/>
          </w:tcPr>
          <w:p w14:paraId="05858373">
            <w:pPr>
              <w:jc w:val="center"/>
              <w:rPr>
                <w:rFonts w:hint="eastAsia" w:ascii="宋体" w:hAnsi="宋体"/>
                <w:color w:val="auto"/>
                <w:sz w:val="22"/>
                <w:szCs w:val="22"/>
                <w:highlight w:val="none"/>
              </w:rPr>
            </w:pPr>
            <w:r>
              <w:rPr>
                <w:rFonts w:hint="eastAsia" w:ascii="宋体" w:hAnsi="宋体"/>
                <w:color w:val="auto"/>
                <w:sz w:val="22"/>
                <w:szCs w:val="22"/>
                <w:highlight w:val="none"/>
              </w:rPr>
              <w:t>2.1</w:t>
            </w:r>
          </w:p>
        </w:tc>
        <w:tc>
          <w:tcPr>
            <w:tcW w:w="5760" w:type="dxa"/>
            <w:vAlign w:val="center"/>
          </w:tcPr>
          <w:p w14:paraId="674BCCC2">
            <w:pPr>
              <w:rPr>
                <w:rFonts w:hint="eastAsia" w:ascii="宋体" w:hAnsi="宋体"/>
                <w:color w:val="auto"/>
                <w:sz w:val="22"/>
                <w:szCs w:val="22"/>
                <w:highlight w:val="none"/>
              </w:rPr>
            </w:pPr>
            <w:r>
              <w:rPr>
                <w:rFonts w:hint="eastAsia" w:ascii="宋体" w:hAnsi="宋体"/>
                <w:color w:val="auto"/>
                <w:sz w:val="22"/>
                <w:szCs w:val="22"/>
                <w:highlight w:val="none"/>
              </w:rPr>
              <w:t>专业工程</w:t>
            </w:r>
          </w:p>
        </w:tc>
        <w:tc>
          <w:tcPr>
            <w:tcW w:w="2700" w:type="dxa"/>
          </w:tcPr>
          <w:p w14:paraId="4B012735">
            <w:pPr>
              <w:rPr>
                <w:rFonts w:hint="eastAsia" w:ascii="宋体" w:hAnsi="宋体"/>
                <w:color w:val="auto"/>
                <w:highlight w:val="none"/>
              </w:rPr>
            </w:pPr>
          </w:p>
        </w:tc>
      </w:tr>
      <w:tr w14:paraId="3E5A4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1368" w:type="dxa"/>
            <w:vAlign w:val="center"/>
          </w:tcPr>
          <w:p w14:paraId="345D9250">
            <w:pPr>
              <w:jc w:val="center"/>
              <w:rPr>
                <w:rFonts w:hint="eastAsia" w:ascii="宋体" w:hAnsi="宋体"/>
                <w:color w:val="auto"/>
                <w:sz w:val="22"/>
                <w:szCs w:val="22"/>
                <w:highlight w:val="none"/>
              </w:rPr>
            </w:pPr>
            <w:r>
              <w:rPr>
                <w:rFonts w:hint="eastAsia" w:ascii="宋体" w:hAnsi="宋体"/>
                <w:color w:val="auto"/>
                <w:sz w:val="22"/>
                <w:szCs w:val="22"/>
                <w:highlight w:val="none"/>
              </w:rPr>
              <w:t>2.2</w:t>
            </w:r>
          </w:p>
        </w:tc>
        <w:tc>
          <w:tcPr>
            <w:tcW w:w="5760" w:type="dxa"/>
            <w:vAlign w:val="center"/>
          </w:tcPr>
          <w:p w14:paraId="27E73432">
            <w:pPr>
              <w:rPr>
                <w:rFonts w:hint="eastAsia" w:ascii="宋体" w:hAnsi="宋体"/>
                <w:color w:val="auto"/>
                <w:sz w:val="22"/>
                <w:szCs w:val="22"/>
                <w:highlight w:val="none"/>
              </w:rPr>
            </w:pPr>
            <w:r>
              <w:rPr>
                <w:rFonts w:hint="eastAsia" w:ascii="宋体" w:hAnsi="宋体"/>
                <w:color w:val="auto"/>
                <w:sz w:val="22"/>
                <w:szCs w:val="22"/>
                <w:highlight w:val="none"/>
              </w:rPr>
              <w:t>专业工程</w:t>
            </w:r>
          </w:p>
        </w:tc>
        <w:tc>
          <w:tcPr>
            <w:tcW w:w="2700" w:type="dxa"/>
          </w:tcPr>
          <w:p w14:paraId="18354FEB">
            <w:pPr>
              <w:rPr>
                <w:rFonts w:hint="eastAsia" w:ascii="宋体" w:hAnsi="宋体"/>
                <w:color w:val="auto"/>
                <w:highlight w:val="none"/>
              </w:rPr>
            </w:pPr>
          </w:p>
        </w:tc>
      </w:tr>
      <w:tr w14:paraId="478B0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1368" w:type="dxa"/>
            <w:vAlign w:val="center"/>
          </w:tcPr>
          <w:p w14:paraId="3FA89CC7">
            <w:pPr>
              <w:jc w:val="center"/>
              <w:rPr>
                <w:rFonts w:hint="eastAsia" w:ascii="宋体" w:hAnsi="宋体"/>
                <w:color w:val="auto"/>
                <w:sz w:val="22"/>
                <w:szCs w:val="22"/>
                <w:highlight w:val="none"/>
              </w:rPr>
            </w:pPr>
            <w:r>
              <w:rPr>
                <w:rFonts w:ascii="宋体" w:hAnsi="宋体"/>
                <w:color w:val="auto"/>
                <w:sz w:val="22"/>
                <w:szCs w:val="22"/>
                <w:highlight w:val="none"/>
              </w:rPr>
              <w:t>……</w:t>
            </w:r>
          </w:p>
        </w:tc>
        <w:tc>
          <w:tcPr>
            <w:tcW w:w="5760" w:type="dxa"/>
            <w:vAlign w:val="center"/>
          </w:tcPr>
          <w:p w14:paraId="0AA355AC">
            <w:pPr>
              <w:rPr>
                <w:rFonts w:hint="eastAsia" w:ascii="宋体" w:hAnsi="宋体"/>
                <w:color w:val="auto"/>
                <w:sz w:val="22"/>
                <w:szCs w:val="22"/>
                <w:highlight w:val="none"/>
              </w:rPr>
            </w:pPr>
          </w:p>
        </w:tc>
        <w:tc>
          <w:tcPr>
            <w:tcW w:w="2700" w:type="dxa"/>
          </w:tcPr>
          <w:p w14:paraId="484F8F3F">
            <w:pPr>
              <w:rPr>
                <w:rFonts w:hint="eastAsia" w:ascii="宋体" w:hAnsi="宋体"/>
                <w:color w:val="auto"/>
                <w:highlight w:val="none"/>
              </w:rPr>
            </w:pPr>
          </w:p>
        </w:tc>
      </w:tr>
      <w:tr w14:paraId="72FB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trPr>
        <w:tc>
          <w:tcPr>
            <w:tcW w:w="1368" w:type="dxa"/>
            <w:vAlign w:val="center"/>
          </w:tcPr>
          <w:p w14:paraId="129694AB">
            <w:pPr>
              <w:jc w:val="center"/>
              <w:rPr>
                <w:rFonts w:hint="eastAsia" w:ascii="宋体" w:hAnsi="宋体"/>
                <w:color w:val="auto"/>
                <w:sz w:val="22"/>
                <w:szCs w:val="22"/>
                <w:highlight w:val="none"/>
              </w:rPr>
            </w:pPr>
          </w:p>
        </w:tc>
        <w:tc>
          <w:tcPr>
            <w:tcW w:w="5760" w:type="dxa"/>
            <w:vAlign w:val="center"/>
          </w:tcPr>
          <w:p w14:paraId="6EA234BA">
            <w:pPr>
              <w:rPr>
                <w:rFonts w:hint="eastAsia" w:ascii="宋体" w:hAnsi="宋体"/>
                <w:color w:val="auto"/>
                <w:sz w:val="22"/>
                <w:szCs w:val="22"/>
                <w:highlight w:val="none"/>
              </w:rPr>
            </w:pPr>
          </w:p>
        </w:tc>
        <w:tc>
          <w:tcPr>
            <w:tcW w:w="2700" w:type="dxa"/>
          </w:tcPr>
          <w:p w14:paraId="3A968488">
            <w:pPr>
              <w:rPr>
                <w:rFonts w:hint="eastAsia" w:ascii="宋体" w:hAnsi="宋体"/>
                <w:color w:val="auto"/>
                <w:highlight w:val="none"/>
              </w:rPr>
            </w:pPr>
          </w:p>
        </w:tc>
      </w:tr>
      <w:tr w14:paraId="5EBE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1368" w:type="dxa"/>
            <w:vAlign w:val="center"/>
          </w:tcPr>
          <w:p w14:paraId="675E56A5">
            <w:pPr>
              <w:jc w:val="center"/>
              <w:rPr>
                <w:rFonts w:hint="eastAsia" w:ascii="宋体" w:hAnsi="宋体"/>
                <w:color w:val="auto"/>
                <w:sz w:val="22"/>
                <w:szCs w:val="22"/>
                <w:highlight w:val="none"/>
              </w:rPr>
            </w:pPr>
          </w:p>
        </w:tc>
        <w:tc>
          <w:tcPr>
            <w:tcW w:w="5760" w:type="dxa"/>
            <w:vAlign w:val="center"/>
          </w:tcPr>
          <w:p w14:paraId="5E7E421D">
            <w:pPr>
              <w:rPr>
                <w:rFonts w:hint="eastAsia" w:ascii="宋体" w:hAnsi="宋体"/>
                <w:color w:val="auto"/>
                <w:sz w:val="22"/>
                <w:szCs w:val="22"/>
                <w:highlight w:val="none"/>
              </w:rPr>
            </w:pPr>
          </w:p>
        </w:tc>
        <w:tc>
          <w:tcPr>
            <w:tcW w:w="2700" w:type="dxa"/>
          </w:tcPr>
          <w:p w14:paraId="28420B90">
            <w:pPr>
              <w:rPr>
                <w:rFonts w:hint="eastAsia" w:ascii="宋体" w:hAnsi="宋体"/>
                <w:color w:val="auto"/>
                <w:highlight w:val="none"/>
              </w:rPr>
            </w:pPr>
          </w:p>
        </w:tc>
      </w:tr>
      <w:tr w14:paraId="60C9C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1368" w:type="dxa"/>
            <w:vAlign w:val="center"/>
          </w:tcPr>
          <w:p w14:paraId="1A958505">
            <w:pPr>
              <w:rPr>
                <w:rFonts w:hint="eastAsia" w:ascii="宋体" w:hAnsi="宋体"/>
                <w:color w:val="auto"/>
                <w:sz w:val="22"/>
                <w:szCs w:val="22"/>
                <w:highlight w:val="none"/>
              </w:rPr>
            </w:pPr>
          </w:p>
        </w:tc>
        <w:tc>
          <w:tcPr>
            <w:tcW w:w="5760" w:type="dxa"/>
            <w:vAlign w:val="center"/>
          </w:tcPr>
          <w:p w14:paraId="334CABD9">
            <w:pPr>
              <w:rPr>
                <w:rFonts w:hint="eastAsia" w:ascii="宋体" w:hAnsi="宋体"/>
                <w:color w:val="auto"/>
                <w:sz w:val="22"/>
                <w:szCs w:val="22"/>
                <w:highlight w:val="none"/>
              </w:rPr>
            </w:pPr>
          </w:p>
        </w:tc>
        <w:tc>
          <w:tcPr>
            <w:tcW w:w="2700" w:type="dxa"/>
          </w:tcPr>
          <w:p w14:paraId="7F6CD75C">
            <w:pPr>
              <w:rPr>
                <w:rFonts w:hint="eastAsia" w:ascii="宋体" w:hAnsi="宋体"/>
                <w:color w:val="auto"/>
                <w:highlight w:val="none"/>
              </w:rPr>
            </w:pPr>
          </w:p>
        </w:tc>
      </w:tr>
      <w:tr w14:paraId="62F3F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7128" w:type="dxa"/>
            <w:gridSpan w:val="2"/>
            <w:vAlign w:val="center"/>
          </w:tcPr>
          <w:p w14:paraId="3CD00B3D">
            <w:pPr>
              <w:jc w:val="center"/>
              <w:rPr>
                <w:rFonts w:hint="eastAsia" w:ascii="宋体" w:hAnsi="宋体"/>
                <w:color w:val="auto"/>
                <w:sz w:val="22"/>
                <w:szCs w:val="22"/>
                <w:highlight w:val="none"/>
              </w:rPr>
            </w:pPr>
            <w:r>
              <w:rPr>
                <w:rFonts w:hint="eastAsia" w:ascii="宋体" w:hAnsi="宋体"/>
                <w:color w:val="auto"/>
                <w:sz w:val="22"/>
                <w:szCs w:val="22"/>
                <w:highlight w:val="none"/>
              </w:rPr>
              <w:t>合   计</w:t>
            </w:r>
          </w:p>
        </w:tc>
        <w:tc>
          <w:tcPr>
            <w:tcW w:w="2700" w:type="dxa"/>
          </w:tcPr>
          <w:p w14:paraId="1332C6C2">
            <w:pPr>
              <w:rPr>
                <w:rFonts w:hint="eastAsia" w:ascii="宋体" w:hAnsi="宋体"/>
                <w:color w:val="auto"/>
                <w:highlight w:val="none"/>
              </w:rPr>
            </w:pPr>
          </w:p>
        </w:tc>
      </w:tr>
    </w:tbl>
    <w:p w14:paraId="7D0779A0">
      <w:pPr>
        <w:spacing w:line="400" w:lineRule="exact"/>
        <w:rPr>
          <w:rFonts w:hint="eastAsia" w:ascii="新宋体" w:hAnsi="新宋体" w:eastAsia="新宋体"/>
          <w:color w:val="auto"/>
          <w:sz w:val="22"/>
          <w:szCs w:val="22"/>
          <w:highlight w:val="none"/>
        </w:rPr>
      </w:pPr>
    </w:p>
    <w:p w14:paraId="190F5492">
      <w:pPr>
        <w:pStyle w:val="5"/>
        <w:spacing w:line="440" w:lineRule="exact"/>
        <w:rPr>
          <w:rFonts w:hint="eastAsia" w:ascii="黑体" w:hAnsi="宋体"/>
          <w:color w:val="auto"/>
          <w:sz w:val="24"/>
          <w:szCs w:val="24"/>
          <w:highlight w:val="none"/>
        </w:rPr>
      </w:pPr>
      <w:bookmarkStart w:id="71" w:name="_Toc18871"/>
      <w:bookmarkStart w:id="72" w:name="_Toc3574"/>
      <w:bookmarkStart w:id="73" w:name="_Toc287018837"/>
      <w:bookmarkStart w:id="74" w:name="_Toc3840268"/>
      <w:bookmarkStart w:id="75" w:name="_Toc287018663"/>
      <w:bookmarkStart w:id="76" w:name="_Toc287019112"/>
      <w:r>
        <w:rPr>
          <w:rFonts w:hint="eastAsia" w:ascii="黑体" w:hAnsi="宋体"/>
          <w:color w:val="auto"/>
          <w:sz w:val="24"/>
          <w:szCs w:val="24"/>
          <w:highlight w:val="none"/>
        </w:rPr>
        <w:t>附件6 单位（专业）工程招标控制价（磋商报价）费用表</w:t>
      </w:r>
      <w:bookmarkEnd w:id="71"/>
      <w:bookmarkEnd w:id="72"/>
    </w:p>
    <w:p w14:paraId="3BBCD954">
      <w:pPr>
        <w:spacing w:line="600" w:lineRule="exact"/>
        <w:jc w:val="center"/>
        <w:rPr>
          <w:b/>
          <w:color w:val="auto"/>
          <w:sz w:val="36"/>
          <w:szCs w:val="36"/>
          <w:highlight w:val="none"/>
        </w:rPr>
      </w:pPr>
      <w:r>
        <w:rPr>
          <w:rFonts w:hint="eastAsia"/>
          <w:b/>
          <w:color w:val="auto"/>
          <w:sz w:val="36"/>
          <w:szCs w:val="36"/>
          <w:highlight w:val="none"/>
        </w:rPr>
        <w:t>单位（专业）工程招标控制价（磋商报价）费用表</w:t>
      </w:r>
    </w:p>
    <w:p w14:paraId="64032EFD">
      <w:pPr>
        <w:spacing w:line="600" w:lineRule="exact"/>
        <w:rPr>
          <w:rFonts w:hint="eastAsia"/>
          <w:b/>
          <w:color w:val="auto"/>
          <w:sz w:val="36"/>
          <w:szCs w:val="36"/>
          <w:highlight w:val="none"/>
        </w:rPr>
      </w:pPr>
      <w:r>
        <w:rPr>
          <w:rFonts w:hint="eastAsia"/>
          <w:color w:val="auto"/>
          <w:sz w:val="22"/>
          <w:szCs w:val="22"/>
          <w:highlight w:val="none"/>
        </w:rPr>
        <w:t>工程名称：                                                          第    页 共    页</w:t>
      </w:r>
    </w:p>
    <w:tbl>
      <w:tblPr>
        <w:tblStyle w:val="38"/>
        <w:tblW w:w="0" w:type="auto"/>
        <w:tblInd w:w="-318" w:type="dxa"/>
        <w:tblLayout w:type="fixed"/>
        <w:tblCellMar>
          <w:top w:w="15" w:type="dxa"/>
          <w:left w:w="15" w:type="dxa"/>
          <w:bottom w:w="15" w:type="dxa"/>
          <w:right w:w="15" w:type="dxa"/>
        </w:tblCellMar>
      </w:tblPr>
      <w:tblGrid>
        <w:gridCol w:w="773"/>
        <w:gridCol w:w="655"/>
        <w:gridCol w:w="2118"/>
        <w:gridCol w:w="4151"/>
        <w:gridCol w:w="1470"/>
        <w:gridCol w:w="1306"/>
      </w:tblGrid>
      <w:tr w14:paraId="11B502CD">
        <w:tblPrEx>
          <w:tblCellMar>
            <w:top w:w="15" w:type="dxa"/>
            <w:left w:w="15" w:type="dxa"/>
            <w:bottom w:w="15" w:type="dxa"/>
            <w:right w:w="15" w:type="dxa"/>
          </w:tblCellMar>
        </w:tblPrEx>
        <w:trPr>
          <w:trHeight w:val="464" w:hRule="atLeast"/>
        </w:trPr>
        <w:tc>
          <w:tcPr>
            <w:tcW w:w="773" w:type="dxa"/>
            <w:tcBorders>
              <w:top w:val="single" w:color="000000" w:sz="4" w:space="0"/>
              <w:left w:val="single" w:color="000000" w:sz="4" w:space="0"/>
            </w:tcBorders>
            <w:shd w:val="clear" w:color="auto" w:fill="FFFFFF"/>
            <w:vAlign w:val="center"/>
          </w:tcPr>
          <w:p w14:paraId="76089DD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2773" w:type="dxa"/>
            <w:gridSpan w:val="2"/>
            <w:tcBorders>
              <w:top w:val="single" w:color="000000" w:sz="4" w:space="0"/>
              <w:left w:val="single" w:color="000000" w:sz="4" w:space="0"/>
            </w:tcBorders>
            <w:shd w:val="clear" w:color="auto" w:fill="FFFFFF"/>
            <w:vAlign w:val="center"/>
          </w:tcPr>
          <w:p w14:paraId="61FD0E6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费用名称</w:t>
            </w:r>
          </w:p>
        </w:tc>
        <w:tc>
          <w:tcPr>
            <w:tcW w:w="4151" w:type="dxa"/>
            <w:tcBorders>
              <w:top w:val="single" w:color="000000" w:sz="4" w:space="0"/>
              <w:left w:val="single" w:color="000000" w:sz="4" w:space="0"/>
            </w:tcBorders>
            <w:shd w:val="clear" w:color="auto" w:fill="FFFFFF"/>
            <w:vAlign w:val="center"/>
          </w:tcPr>
          <w:p w14:paraId="79591AE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计算公式</w:t>
            </w:r>
          </w:p>
        </w:tc>
        <w:tc>
          <w:tcPr>
            <w:tcW w:w="1470" w:type="dxa"/>
            <w:tcBorders>
              <w:top w:val="single" w:color="000000" w:sz="4" w:space="0"/>
              <w:left w:val="single" w:color="000000" w:sz="4" w:space="0"/>
            </w:tcBorders>
            <w:shd w:val="clear" w:color="auto" w:fill="FFFFFF"/>
            <w:vAlign w:val="center"/>
          </w:tcPr>
          <w:p w14:paraId="4EDC0AE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金额(元)</w:t>
            </w:r>
          </w:p>
        </w:tc>
        <w:tc>
          <w:tcPr>
            <w:tcW w:w="1306" w:type="dxa"/>
            <w:tcBorders>
              <w:top w:val="single" w:color="000000" w:sz="4" w:space="0"/>
              <w:left w:val="single" w:color="000000" w:sz="4" w:space="0"/>
              <w:right w:val="single" w:color="000000" w:sz="4" w:space="0"/>
            </w:tcBorders>
            <w:shd w:val="clear" w:color="auto" w:fill="FFFFFF"/>
            <w:vAlign w:val="center"/>
          </w:tcPr>
          <w:p w14:paraId="6664554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备注</w:t>
            </w:r>
          </w:p>
        </w:tc>
      </w:tr>
      <w:tr w14:paraId="5BA252AE">
        <w:tblPrEx>
          <w:tblCellMar>
            <w:top w:w="15" w:type="dxa"/>
            <w:left w:w="15" w:type="dxa"/>
            <w:bottom w:w="15" w:type="dxa"/>
            <w:right w:w="15" w:type="dxa"/>
          </w:tblCellMar>
        </w:tblPrEx>
        <w:trPr>
          <w:trHeight w:val="448" w:hRule="atLeast"/>
        </w:trPr>
        <w:tc>
          <w:tcPr>
            <w:tcW w:w="773" w:type="dxa"/>
            <w:tcBorders>
              <w:top w:val="single" w:color="000000" w:sz="4" w:space="0"/>
              <w:left w:val="single" w:color="000000" w:sz="4" w:space="0"/>
            </w:tcBorders>
            <w:shd w:val="clear" w:color="auto" w:fill="FFFFFF"/>
            <w:vAlign w:val="center"/>
          </w:tcPr>
          <w:p w14:paraId="0E97566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2773" w:type="dxa"/>
            <w:gridSpan w:val="2"/>
            <w:tcBorders>
              <w:top w:val="single" w:color="000000" w:sz="4" w:space="0"/>
              <w:left w:val="single" w:color="000000" w:sz="4" w:space="0"/>
            </w:tcBorders>
            <w:shd w:val="clear" w:color="auto" w:fill="FFFFFF"/>
            <w:vAlign w:val="center"/>
          </w:tcPr>
          <w:p w14:paraId="7D76BF5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分部分项工程费</w:t>
            </w:r>
          </w:p>
        </w:tc>
        <w:tc>
          <w:tcPr>
            <w:tcW w:w="4151" w:type="dxa"/>
            <w:tcBorders>
              <w:top w:val="single" w:color="000000" w:sz="4" w:space="0"/>
              <w:left w:val="single" w:color="000000" w:sz="4" w:space="0"/>
            </w:tcBorders>
            <w:shd w:val="clear" w:color="auto" w:fill="FFFFFF"/>
            <w:vAlign w:val="center"/>
          </w:tcPr>
          <w:p w14:paraId="17AF7E9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∑(分部分项工程量×综合单价）</w:t>
            </w:r>
          </w:p>
        </w:tc>
        <w:tc>
          <w:tcPr>
            <w:tcW w:w="1470" w:type="dxa"/>
            <w:tcBorders>
              <w:top w:val="single" w:color="000000" w:sz="4" w:space="0"/>
              <w:left w:val="single" w:color="000000" w:sz="4" w:space="0"/>
            </w:tcBorders>
            <w:shd w:val="clear" w:color="auto" w:fill="FFFFFF"/>
            <w:vAlign w:val="center"/>
          </w:tcPr>
          <w:p w14:paraId="69D70C81">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4E8E96A0">
            <w:pPr>
              <w:widowControl/>
              <w:jc w:val="left"/>
              <w:textAlignment w:val="center"/>
              <w:rPr>
                <w:rFonts w:hint="eastAsia" w:ascii="宋体" w:hAnsi="宋体" w:cs="宋体"/>
                <w:color w:val="auto"/>
                <w:sz w:val="18"/>
                <w:szCs w:val="18"/>
                <w:highlight w:val="none"/>
              </w:rPr>
            </w:pPr>
          </w:p>
        </w:tc>
      </w:tr>
      <w:tr w14:paraId="5A779DE9">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tcBorders>
            <w:shd w:val="clear" w:color="auto" w:fill="FFFFFF"/>
            <w:vAlign w:val="center"/>
          </w:tcPr>
          <w:p w14:paraId="72BD2130">
            <w:pPr>
              <w:jc w:val="center"/>
              <w:rPr>
                <w:rFonts w:hint="eastAsia" w:ascii="宋体" w:hAnsi="宋体" w:cs="宋体"/>
                <w:color w:val="auto"/>
                <w:sz w:val="18"/>
                <w:szCs w:val="18"/>
                <w:highlight w:val="none"/>
              </w:rPr>
            </w:pPr>
          </w:p>
        </w:tc>
        <w:tc>
          <w:tcPr>
            <w:tcW w:w="655" w:type="dxa"/>
            <w:tcBorders>
              <w:top w:val="single" w:color="000000" w:sz="4" w:space="0"/>
              <w:left w:val="single" w:color="000000" w:sz="4" w:space="0"/>
            </w:tcBorders>
            <w:shd w:val="clear" w:color="auto" w:fill="FFFFFF"/>
            <w:vAlign w:val="center"/>
          </w:tcPr>
          <w:p w14:paraId="045AEB32">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其中</w:t>
            </w:r>
          </w:p>
        </w:tc>
        <w:tc>
          <w:tcPr>
            <w:tcW w:w="2118" w:type="dxa"/>
            <w:tcBorders>
              <w:top w:val="single" w:color="000000" w:sz="4" w:space="0"/>
              <w:left w:val="single" w:color="000000" w:sz="4" w:space="0"/>
            </w:tcBorders>
            <w:shd w:val="clear" w:color="auto" w:fill="FFFFFF"/>
            <w:vAlign w:val="center"/>
          </w:tcPr>
          <w:p w14:paraId="0F7056F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 人工费+机械费</w:t>
            </w:r>
          </w:p>
        </w:tc>
        <w:tc>
          <w:tcPr>
            <w:tcW w:w="4151" w:type="dxa"/>
            <w:tcBorders>
              <w:top w:val="single" w:color="000000" w:sz="4" w:space="0"/>
              <w:left w:val="single" w:color="000000" w:sz="4" w:space="0"/>
            </w:tcBorders>
            <w:shd w:val="clear" w:color="auto" w:fill="FFFFFF"/>
            <w:vAlign w:val="center"/>
          </w:tcPr>
          <w:p w14:paraId="0F1BDBF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∑分部分项（定额人工费+定额机械费）</w:t>
            </w:r>
          </w:p>
        </w:tc>
        <w:tc>
          <w:tcPr>
            <w:tcW w:w="1470" w:type="dxa"/>
            <w:tcBorders>
              <w:top w:val="single" w:color="000000" w:sz="4" w:space="0"/>
              <w:left w:val="single" w:color="000000" w:sz="4" w:space="0"/>
            </w:tcBorders>
            <w:shd w:val="clear" w:color="auto" w:fill="FFFFFF"/>
            <w:vAlign w:val="center"/>
          </w:tcPr>
          <w:p w14:paraId="27FA86B6">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17816E38">
            <w:pPr>
              <w:jc w:val="left"/>
              <w:rPr>
                <w:rFonts w:hint="eastAsia" w:ascii="宋体" w:hAnsi="宋体" w:cs="宋体"/>
                <w:color w:val="auto"/>
                <w:sz w:val="18"/>
                <w:szCs w:val="18"/>
                <w:highlight w:val="none"/>
              </w:rPr>
            </w:pPr>
          </w:p>
        </w:tc>
      </w:tr>
      <w:tr w14:paraId="659AFB26">
        <w:tblPrEx>
          <w:tblCellMar>
            <w:top w:w="15" w:type="dxa"/>
            <w:left w:w="15" w:type="dxa"/>
            <w:bottom w:w="15" w:type="dxa"/>
            <w:right w:w="15" w:type="dxa"/>
          </w:tblCellMar>
        </w:tblPrEx>
        <w:trPr>
          <w:trHeight w:val="403" w:hRule="atLeast"/>
        </w:trPr>
        <w:tc>
          <w:tcPr>
            <w:tcW w:w="773" w:type="dxa"/>
            <w:tcBorders>
              <w:top w:val="single" w:color="000000" w:sz="4" w:space="0"/>
              <w:left w:val="single" w:color="000000" w:sz="4" w:space="0"/>
            </w:tcBorders>
            <w:shd w:val="clear" w:color="auto" w:fill="FFFFFF"/>
            <w:vAlign w:val="center"/>
          </w:tcPr>
          <w:p w14:paraId="1444CDC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2773" w:type="dxa"/>
            <w:gridSpan w:val="2"/>
            <w:tcBorders>
              <w:top w:val="single" w:color="000000" w:sz="4" w:space="0"/>
              <w:left w:val="single" w:color="000000" w:sz="4" w:space="0"/>
            </w:tcBorders>
            <w:shd w:val="clear" w:color="auto" w:fill="FFFFFF"/>
            <w:vAlign w:val="center"/>
          </w:tcPr>
          <w:p w14:paraId="03BBA4E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措施项目费</w:t>
            </w:r>
          </w:p>
        </w:tc>
        <w:tc>
          <w:tcPr>
            <w:tcW w:w="4151" w:type="dxa"/>
            <w:tcBorders>
              <w:top w:val="single" w:color="000000" w:sz="4" w:space="0"/>
              <w:left w:val="single" w:color="000000" w:sz="4" w:space="0"/>
            </w:tcBorders>
            <w:shd w:val="clear" w:color="auto" w:fill="FFFFFF"/>
            <w:vAlign w:val="center"/>
          </w:tcPr>
          <w:p w14:paraId="1BC692A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（2.1+2.2）</w:t>
            </w:r>
          </w:p>
        </w:tc>
        <w:tc>
          <w:tcPr>
            <w:tcW w:w="1470" w:type="dxa"/>
            <w:tcBorders>
              <w:top w:val="single" w:color="000000" w:sz="4" w:space="0"/>
              <w:left w:val="single" w:color="000000" w:sz="4" w:space="0"/>
            </w:tcBorders>
            <w:shd w:val="clear" w:color="auto" w:fill="FFFFFF"/>
            <w:vAlign w:val="center"/>
          </w:tcPr>
          <w:p w14:paraId="63E3B9C0">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31666E1E">
            <w:pPr>
              <w:jc w:val="left"/>
              <w:rPr>
                <w:rFonts w:hint="eastAsia" w:ascii="宋体" w:hAnsi="宋体" w:cs="宋体"/>
                <w:color w:val="auto"/>
                <w:sz w:val="18"/>
                <w:szCs w:val="18"/>
                <w:highlight w:val="none"/>
              </w:rPr>
            </w:pPr>
          </w:p>
        </w:tc>
      </w:tr>
      <w:tr w14:paraId="406EE925">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tcBorders>
            <w:shd w:val="clear" w:color="auto" w:fill="FFFFFF"/>
            <w:vAlign w:val="center"/>
          </w:tcPr>
          <w:p w14:paraId="3A341FF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w:t>
            </w:r>
          </w:p>
        </w:tc>
        <w:tc>
          <w:tcPr>
            <w:tcW w:w="2773" w:type="dxa"/>
            <w:gridSpan w:val="2"/>
            <w:tcBorders>
              <w:top w:val="single" w:color="000000" w:sz="4" w:space="0"/>
              <w:left w:val="single" w:color="000000" w:sz="4" w:space="0"/>
            </w:tcBorders>
            <w:shd w:val="clear" w:color="auto" w:fill="FFFFFF"/>
            <w:vAlign w:val="center"/>
          </w:tcPr>
          <w:p w14:paraId="5EB3E42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施工技术措施项目费</w:t>
            </w:r>
          </w:p>
        </w:tc>
        <w:tc>
          <w:tcPr>
            <w:tcW w:w="4151" w:type="dxa"/>
            <w:tcBorders>
              <w:top w:val="single" w:color="000000" w:sz="4" w:space="0"/>
              <w:left w:val="single" w:color="000000" w:sz="4" w:space="0"/>
            </w:tcBorders>
            <w:shd w:val="clear" w:color="auto" w:fill="FFFFFF"/>
            <w:vAlign w:val="center"/>
          </w:tcPr>
          <w:p w14:paraId="0F14CCA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∑(技措项目工程量×综合单价）</w:t>
            </w:r>
          </w:p>
        </w:tc>
        <w:tc>
          <w:tcPr>
            <w:tcW w:w="1470" w:type="dxa"/>
            <w:tcBorders>
              <w:top w:val="single" w:color="000000" w:sz="4" w:space="0"/>
              <w:left w:val="single" w:color="000000" w:sz="4" w:space="0"/>
            </w:tcBorders>
            <w:shd w:val="clear" w:color="auto" w:fill="FFFFFF"/>
            <w:vAlign w:val="center"/>
          </w:tcPr>
          <w:p w14:paraId="181AAB27">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23EF81C7">
            <w:pPr>
              <w:widowControl/>
              <w:jc w:val="left"/>
              <w:textAlignment w:val="center"/>
              <w:rPr>
                <w:rFonts w:hint="eastAsia" w:ascii="宋体" w:hAnsi="宋体" w:cs="宋体"/>
                <w:color w:val="auto"/>
                <w:sz w:val="18"/>
                <w:szCs w:val="18"/>
                <w:highlight w:val="none"/>
              </w:rPr>
            </w:pPr>
          </w:p>
        </w:tc>
      </w:tr>
      <w:tr w14:paraId="254267A4">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tcBorders>
            <w:shd w:val="clear" w:color="auto" w:fill="FFFFFF"/>
            <w:vAlign w:val="center"/>
          </w:tcPr>
          <w:p w14:paraId="35FF0DCF">
            <w:pPr>
              <w:jc w:val="center"/>
              <w:rPr>
                <w:rFonts w:hint="eastAsia" w:ascii="宋体" w:hAnsi="宋体" w:cs="宋体"/>
                <w:color w:val="auto"/>
                <w:sz w:val="18"/>
                <w:szCs w:val="18"/>
                <w:highlight w:val="none"/>
              </w:rPr>
            </w:pPr>
          </w:p>
        </w:tc>
        <w:tc>
          <w:tcPr>
            <w:tcW w:w="655" w:type="dxa"/>
            <w:tcBorders>
              <w:top w:val="single" w:color="000000" w:sz="4" w:space="0"/>
              <w:left w:val="single" w:color="000000" w:sz="4" w:space="0"/>
            </w:tcBorders>
            <w:shd w:val="clear" w:color="auto" w:fill="FFFFFF"/>
            <w:vAlign w:val="center"/>
          </w:tcPr>
          <w:p w14:paraId="2FC04E6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其中</w:t>
            </w:r>
          </w:p>
        </w:tc>
        <w:tc>
          <w:tcPr>
            <w:tcW w:w="2118" w:type="dxa"/>
            <w:tcBorders>
              <w:top w:val="single" w:color="000000" w:sz="4" w:space="0"/>
              <w:left w:val="single" w:color="000000" w:sz="4" w:space="0"/>
            </w:tcBorders>
            <w:shd w:val="clear" w:color="auto" w:fill="FFFFFF"/>
            <w:vAlign w:val="center"/>
          </w:tcPr>
          <w:p w14:paraId="63643FEC">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2.1.1 人工费+机械费</w:t>
            </w:r>
          </w:p>
        </w:tc>
        <w:tc>
          <w:tcPr>
            <w:tcW w:w="4151" w:type="dxa"/>
            <w:tcBorders>
              <w:top w:val="single" w:color="000000" w:sz="4" w:space="0"/>
              <w:left w:val="single" w:color="000000" w:sz="4" w:space="0"/>
            </w:tcBorders>
            <w:shd w:val="clear" w:color="auto" w:fill="FFFFFF"/>
            <w:vAlign w:val="center"/>
          </w:tcPr>
          <w:p w14:paraId="15F9A6D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∑技措项目（定额人工费+定额机械费）</w:t>
            </w:r>
          </w:p>
        </w:tc>
        <w:tc>
          <w:tcPr>
            <w:tcW w:w="1470" w:type="dxa"/>
            <w:tcBorders>
              <w:top w:val="single" w:color="000000" w:sz="4" w:space="0"/>
              <w:left w:val="single" w:color="000000" w:sz="4" w:space="0"/>
            </w:tcBorders>
            <w:shd w:val="clear" w:color="auto" w:fill="FFFFFF"/>
            <w:vAlign w:val="center"/>
          </w:tcPr>
          <w:p w14:paraId="1DF0A4F2">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434577D8">
            <w:pPr>
              <w:jc w:val="left"/>
              <w:rPr>
                <w:rFonts w:hint="eastAsia" w:ascii="宋体" w:hAnsi="宋体" w:cs="宋体"/>
                <w:color w:val="auto"/>
                <w:sz w:val="18"/>
                <w:szCs w:val="18"/>
                <w:highlight w:val="none"/>
              </w:rPr>
            </w:pPr>
          </w:p>
        </w:tc>
      </w:tr>
      <w:tr w14:paraId="7E53CA75">
        <w:tblPrEx>
          <w:tblCellMar>
            <w:top w:w="15" w:type="dxa"/>
            <w:left w:w="15" w:type="dxa"/>
            <w:bottom w:w="15" w:type="dxa"/>
            <w:right w:w="15" w:type="dxa"/>
          </w:tblCellMar>
        </w:tblPrEx>
        <w:trPr>
          <w:trHeight w:val="462" w:hRule="atLeast"/>
        </w:trPr>
        <w:tc>
          <w:tcPr>
            <w:tcW w:w="773" w:type="dxa"/>
            <w:tcBorders>
              <w:top w:val="single" w:color="000000" w:sz="4" w:space="0"/>
              <w:left w:val="single" w:color="000000" w:sz="4" w:space="0"/>
            </w:tcBorders>
            <w:shd w:val="clear" w:color="auto" w:fill="FFFFFF"/>
            <w:vAlign w:val="center"/>
          </w:tcPr>
          <w:p w14:paraId="4FA5194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2.2</w:t>
            </w:r>
          </w:p>
        </w:tc>
        <w:tc>
          <w:tcPr>
            <w:tcW w:w="2773" w:type="dxa"/>
            <w:gridSpan w:val="2"/>
            <w:tcBorders>
              <w:top w:val="single" w:color="000000" w:sz="4" w:space="0"/>
              <w:left w:val="single" w:color="000000" w:sz="4" w:space="0"/>
            </w:tcBorders>
            <w:shd w:val="clear" w:color="auto" w:fill="FFFFFF"/>
            <w:vAlign w:val="center"/>
          </w:tcPr>
          <w:p w14:paraId="5564918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施工组织措施项目费</w:t>
            </w:r>
          </w:p>
        </w:tc>
        <w:tc>
          <w:tcPr>
            <w:tcW w:w="4151" w:type="dxa"/>
            <w:tcBorders>
              <w:top w:val="single" w:color="000000" w:sz="4" w:space="0"/>
              <w:left w:val="single" w:color="000000" w:sz="4" w:space="0"/>
            </w:tcBorders>
            <w:shd w:val="clear" w:color="auto" w:fill="FFFFFF"/>
            <w:vAlign w:val="center"/>
          </w:tcPr>
          <w:p w14:paraId="7AE6681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(1.1+2.1.1)×费率</w:t>
            </w:r>
          </w:p>
        </w:tc>
        <w:tc>
          <w:tcPr>
            <w:tcW w:w="1470" w:type="dxa"/>
            <w:tcBorders>
              <w:top w:val="single" w:color="000000" w:sz="4" w:space="0"/>
              <w:left w:val="single" w:color="000000" w:sz="4" w:space="0"/>
            </w:tcBorders>
            <w:shd w:val="clear" w:color="auto" w:fill="FFFFFF"/>
            <w:vAlign w:val="center"/>
          </w:tcPr>
          <w:p w14:paraId="29908261">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5467C3BC">
            <w:pPr>
              <w:widowControl/>
              <w:jc w:val="left"/>
              <w:textAlignment w:val="center"/>
              <w:rPr>
                <w:rFonts w:hint="eastAsia" w:ascii="宋体" w:hAnsi="宋体" w:cs="宋体"/>
                <w:color w:val="auto"/>
                <w:sz w:val="18"/>
                <w:szCs w:val="18"/>
                <w:highlight w:val="none"/>
              </w:rPr>
            </w:pPr>
          </w:p>
        </w:tc>
      </w:tr>
      <w:tr w14:paraId="54403FFD">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tcBorders>
            <w:shd w:val="clear" w:color="auto" w:fill="FFFFFF"/>
            <w:vAlign w:val="center"/>
          </w:tcPr>
          <w:p w14:paraId="50F0AC35">
            <w:pPr>
              <w:jc w:val="center"/>
              <w:rPr>
                <w:rFonts w:hint="eastAsia" w:ascii="宋体" w:hAnsi="宋体" w:cs="宋体"/>
                <w:color w:val="auto"/>
                <w:sz w:val="18"/>
                <w:szCs w:val="18"/>
                <w:highlight w:val="none"/>
              </w:rPr>
            </w:pPr>
          </w:p>
        </w:tc>
        <w:tc>
          <w:tcPr>
            <w:tcW w:w="655" w:type="dxa"/>
            <w:tcBorders>
              <w:top w:val="single" w:color="000000" w:sz="4" w:space="0"/>
              <w:left w:val="single" w:color="000000" w:sz="4" w:space="0"/>
            </w:tcBorders>
            <w:shd w:val="clear" w:color="auto" w:fill="FFFFFF"/>
            <w:vAlign w:val="center"/>
          </w:tcPr>
          <w:p w14:paraId="6C342AE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其中</w:t>
            </w:r>
          </w:p>
        </w:tc>
        <w:tc>
          <w:tcPr>
            <w:tcW w:w="2118" w:type="dxa"/>
            <w:tcBorders>
              <w:top w:val="single" w:color="000000" w:sz="4" w:space="0"/>
              <w:left w:val="single" w:color="000000" w:sz="4" w:space="0"/>
            </w:tcBorders>
            <w:shd w:val="clear" w:color="auto" w:fill="FFFFFF"/>
            <w:vAlign w:val="center"/>
          </w:tcPr>
          <w:p w14:paraId="073557B2">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安全文明施工基本费</w:t>
            </w:r>
          </w:p>
        </w:tc>
        <w:tc>
          <w:tcPr>
            <w:tcW w:w="4151" w:type="dxa"/>
            <w:tcBorders>
              <w:top w:val="single" w:color="000000" w:sz="4" w:space="0"/>
              <w:left w:val="single" w:color="000000" w:sz="4" w:space="0"/>
            </w:tcBorders>
            <w:shd w:val="clear" w:color="auto" w:fill="FFFFFF"/>
            <w:vAlign w:val="center"/>
          </w:tcPr>
          <w:p w14:paraId="37243A3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(1.1+2.1.1)×费率</w:t>
            </w:r>
          </w:p>
        </w:tc>
        <w:tc>
          <w:tcPr>
            <w:tcW w:w="1470" w:type="dxa"/>
            <w:tcBorders>
              <w:top w:val="single" w:color="000000" w:sz="4" w:space="0"/>
              <w:left w:val="single" w:color="000000" w:sz="4" w:space="0"/>
            </w:tcBorders>
            <w:shd w:val="clear" w:color="auto" w:fill="FFFFFF"/>
            <w:vAlign w:val="center"/>
          </w:tcPr>
          <w:p w14:paraId="6613CB7F">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7B5F836A">
            <w:pPr>
              <w:widowControl/>
              <w:jc w:val="left"/>
              <w:textAlignment w:val="center"/>
              <w:rPr>
                <w:rFonts w:hint="eastAsia" w:ascii="宋体" w:hAnsi="宋体" w:cs="宋体"/>
                <w:color w:val="auto"/>
                <w:sz w:val="18"/>
                <w:szCs w:val="18"/>
                <w:highlight w:val="none"/>
              </w:rPr>
            </w:pPr>
          </w:p>
        </w:tc>
      </w:tr>
      <w:tr w14:paraId="18979C7A">
        <w:tblPrEx>
          <w:tblCellMar>
            <w:top w:w="15" w:type="dxa"/>
            <w:left w:w="15" w:type="dxa"/>
            <w:bottom w:w="15" w:type="dxa"/>
            <w:right w:w="15" w:type="dxa"/>
          </w:tblCellMar>
        </w:tblPrEx>
        <w:trPr>
          <w:trHeight w:val="418" w:hRule="atLeast"/>
        </w:trPr>
        <w:tc>
          <w:tcPr>
            <w:tcW w:w="773" w:type="dxa"/>
            <w:tcBorders>
              <w:top w:val="single" w:color="000000" w:sz="4" w:space="0"/>
              <w:left w:val="single" w:color="000000" w:sz="4" w:space="0"/>
            </w:tcBorders>
            <w:shd w:val="clear" w:color="auto" w:fill="FFFFFF"/>
            <w:vAlign w:val="center"/>
          </w:tcPr>
          <w:p w14:paraId="3008E2C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2773" w:type="dxa"/>
            <w:gridSpan w:val="2"/>
            <w:tcBorders>
              <w:top w:val="single" w:color="000000" w:sz="4" w:space="0"/>
              <w:left w:val="single" w:color="000000" w:sz="4" w:space="0"/>
            </w:tcBorders>
            <w:shd w:val="clear" w:color="auto" w:fill="FFFFFF"/>
            <w:vAlign w:val="center"/>
          </w:tcPr>
          <w:p w14:paraId="7B19243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其他项目费</w:t>
            </w:r>
          </w:p>
        </w:tc>
        <w:tc>
          <w:tcPr>
            <w:tcW w:w="4151" w:type="dxa"/>
            <w:tcBorders>
              <w:top w:val="single" w:color="000000" w:sz="4" w:space="0"/>
              <w:left w:val="single" w:color="000000" w:sz="4" w:space="0"/>
            </w:tcBorders>
            <w:shd w:val="clear" w:color="auto" w:fill="FFFFFF"/>
            <w:vAlign w:val="center"/>
          </w:tcPr>
          <w:p w14:paraId="6EA4790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（3.1+3.2+3.3+3.4）</w:t>
            </w:r>
          </w:p>
        </w:tc>
        <w:tc>
          <w:tcPr>
            <w:tcW w:w="1470" w:type="dxa"/>
            <w:tcBorders>
              <w:top w:val="single" w:color="000000" w:sz="4" w:space="0"/>
              <w:left w:val="single" w:color="000000" w:sz="4" w:space="0"/>
            </w:tcBorders>
            <w:shd w:val="clear" w:color="auto" w:fill="FFFFFF"/>
            <w:vAlign w:val="center"/>
          </w:tcPr>
          <w:p w14:paraId="1573EDBE">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0EB4DE28">
            <w:pPr>
              <w:jc w:val="left"/>
              <w:rPr>
                <w:rFonts w:hint="eastAsia" w:ascii="宋体" w:hAnsi="宋体" w:cs="宋体"/>
                <w:color w:val="auto"/>
                <w:sz w:val="18"/>
                <w:szCs w:val="18"/>
                <w:highlight w:val="none"/>
              </w:rPr>
            </w:pPr>
          </w:p>
        </w:tc>
      </w:tr>
      <w:tr w14:paraId="1108882A">
        <w:tblPrEx>
          <w:tblCellMar>
            <w:top w:w="15" w:type="dxa"/>
            <w:left w:w="15" w:type="dxa"/>
            <w:bottom w:w="15" w:type="dxa"/>
            <w:right w:w="15" w:type="dxa"/>
          </w:tblCellMar>
        </w:tblPrEx>
        <w:trPr>
          <w:trHeight w:val="432" w:hRule="atLeast"/>
        </w:trPr>
        <w:tc>
          <w:tcPr>
            <w:tcW w:w="773" w:type="dxa"/>
            <w:tcBorders>
              <w:top w:val="single" w:color="000000" w:sz="4" w:space="0"/>
              <w:left w:val="single" w:color="000000" w:sz="4" w:space="0"/>
            </w:tcBorders>
            <w:shd w:val="clear" w:color="auto" w:fill="FFFFFF"/>
            <w:vAlign w:val="center"/>
          </w:tcPr>
          <w:p w14:paraId="35405E4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3.1</w:t>
            </w:r>
          </w:p>
        </w:tc>
        <w:tc>
          <w:tcPr>
            <w:tcW w:w="2773" w:type="dxa"/>
            <w:gridSpan w:val="2"/>
            <w:tcBorders>
              <w:top w:val="single" w:color="000000" w:sz="4" w:space="0"/>
              <w:left w:val="single" w:color="000000" w:sz="4" w:space="0"/>
            </w:tcBorders>
            <w:shd w:val="clear" w:color="auto" w:fill="FFFFFF"/>
            <w:vAlign w:val="center"/>
          </w:tcPr>
          <w:p w14:paraId="0572C5C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暂列金额</w:t>
            </w:r>
          </w:p>
        </w:tc>
        <w:tc>
          <w:tcPr>
            <w:tcW w:w="4151" w:type="dxa"/>
            <w:tcBorders>
              <w:top w:val="single" w:color="000000" w:sz="4" w:space="0"/>
              <w:left w:val="single" w:color="000000" w:sz="4" w:space="0"/>
            </w:tcBorders>
            <w:shd w:val="clear" w:color="auto" w:fill="FFFFFF"/>
            <w:vAlign w:val="center"/>
          </w:tcPr>
          <w:p w14:paraId="15E3AFE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3.1.1+3.1.2+3.1.3</w:t>
            </w:r>
          </w:p>
        </w:tc>
        <w:tc>
          <w:tcPr>
            <w:tcW w:w="1470" w:type="dxa"/>
            <w:tcBorders>
              <w:top w:val="single" w:color="000000" w:sz="4" w:space="0"/>
              <w:left w:val="single" w:color="000000" w:sz="4" w:space="0"/>
            </w:tcBorders>
            <w:shd w:val="clear" w:color="auto" w:fill="FFFFFF"/>
            <w:vAlign w:val="center"/>
          </w:tcPr>
          <w:p w14:paraId="79867DDA">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3ADD6530">
            <w:pPr>
              <w:widowControl/>
              <w:jc w:val="left"/>
              <w:textAlignment w:val="center"/>
              <w:rPr>
                <w:rFonts w:hint="eastAsia" w:ascii="宋体" w:hAnsi="宋体" w:cs="宋体"/>
                <w:color w:val="auto"/>
                <w:sz w:val="18"/>
                <w:szCs w:val="18"/>
                <w:highlight w:val="none"/>
              </w:rPr>
            </w:pPr>
          </w:p>
        </w:tc>
      </w:tr>
      <w:tr w14:paraId="720A9D8C">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tcBorders>
            <w:shd w:val="clear" w:color="auto" w:fill="FFFFFF"/>
            <w:vAlign w:val="center"/>
          </w:tcPr>
          <w:p w14:paraId="0583B5E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3.1.1</w:t>
            </w:r>
          </w:p>
        </w:tc>
        <w:tc>
          <w:tcPr>
            <w:tcW w:w="655" w:type="dxa"/>
            <w:vMerge w:val="restart"/>
            <w:tcBorders>
              <w:top w:val="single" w:color="000000" w:sz="4" w:space="0"/>
              <w:left w:val="single" w:color="000000" w:sz="4" w:space="0"/>
            </w:tcBorders>
            <w:shd w:val="clear" w:color="auto" w:fill="FFFFFF"/>
            <w:vAlign w:val="center"/>
          </w:tcPr>
          <w:p w14:paraId="108F8370">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其中</w:t>
            </w:r>
          </w:p>
        </w:tc>
        <w:tc>
          <w:tcPr>
            <w:tcW w:w="2118" w:type="dxa"/>
            <w:tcBorders>
              <w:top w:val="single" w:color="000000" w:sz="4" w:space="0"/>
              <w:left w:val="single" w:color="000000" w:sz="4" w:space="0"/>
            </w:tcBorders>
            <w:shd w:val="clear" w:color="auto" w:fill="FFFFFF"/>
            <w:vAlign w:val="center"/>
          </w:tcPr>
          <w:p w14:paraId="5FCF35A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标化工地增加费</w:t>
            </w:r>
          </w:p>
        </w:tc>
        <w:tc>
          <w:tcPr>
            <w:tcW w:w="4151" w:type="dxa"/>
            <w:tcBorders>
              <w:top w:val="single" w:color="000000" w:sz="4" w:space="0"/>
              <w:left w:val="single" w:color="000000" w:sz="4" w:space="0"/>
            </w:tcBorders>
            <w:shd w:val="clear" w:color="auto" w:fill="FFFFFF"/>
            <w:vAlign w:val="center"/>
          </w:tcPr>
          <w:p w14:paraId="4BD4788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按招标文件规定额度列计</w:t>
            </w:r>
          </w:p>
        </w:tc>
        <w:tc>
          <w:tcPr>
            <w:tcW w:w="1470" w:type="dxa"/>
            <w:tcBorders>
              <w:top w:val="single" w:color="000000" w:sz="4" w:space="0"/>
              <w:left w:val="single" w:color="000000" w:sz="4" w:space="0"/>
            </w:tcBorders>
            <w:shd w:val="clear" w:color="auto" w:fill="FFFFFF"/>
            <w:vAlign w:val="center"/>
          </w:tcPr>
          <w:p w14:paraId="06F3FD04">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06E3DDB9">
            <w:pPr>
              <w:widowControl/>
              <w:jc w:val="left"/>
              <w:textAlignment w:val="center"/>
              <w:rPr>
                <w:rFonts w:hint="eastAsia" w:ascii="宋体" w:hAnsi="宋体" w:cs="宋体"/>
                <w:color w:val="auto"/>
                <w:sz w:val="18"/>
                <w:szCs w:val="18"/>
                <w:highlight w:val="none"/>
              </w:rPr>
            </w:pPr>
          </w:p>
        </w:tc>
      </w:tr>
      <w:tr w14:paraId="700AF7F0">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right w:val="single" w:color="000000" w:sz="4" w:space="0"/>
            </w:tcBorders>
            <w:shd w:val="clear" w:color="auto" w:fill="FFFFFF"/>
            <w:vAlign w:val="center"/>
          </w:tcPr>
          <w:p w14:paraId="5B445FF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3.1.2</w:t>
            </w:r>
          </w:p>
        </w:tc>
        <w:tc>
          <w:tcPr>
            <w:tcW w:w="655" w:type="dxa"/>
            <w:vMerge w:val="continue"/>
            <w:tcBorders>
              <w:top w:val="single" w:color="000000" w:sz="4" w:space="0"/>
              <w:left w:val="single" w:color="000000" w:sz="4" w:space="0"/>
            </w:tcBorders>
            <w:shd w:val="clear" w:color="auto" w:fill="FFFFFF"/>
            <w:vAlign w:val="center"/>
          </w:tcPr>
          <w:p w14:paraId="0E2443C4">
            <w:pPr>
              <w:jc w:val="left"/>
              <w:rPr>
                <w:rFonts w:hint="eastAsia" w:ascii="宋体" w:hAnsi="宋体" w:cs="宋体"/>
                <w:color w:val="auto"/>
                <w:sz w:val="18"/>
                <w:szCs w:val="18"/>
                <w:highlight w:val="none"/>
              </w:rPr>
            </w:pPr>
          </w:p>
        </w:tc>
        <w:tc>
          <w:tcPr>
            <w:tcW w:w="2118" w:type="dxa"/>
            <w:tcBorders>
              <w:top w:val="single" w:color="000000" w:sz="4" w:space="0"/>
              <w:left w:val="single" w:color="000000" w:sz="4" w:space="0"/>
            </w:tcBorders>
            <w:shd w:val="clear" w:color="auto" w:fill="FFFFFF"/>
            <w:vAlign w:val="center"/>
          </w:tcPr>
          <w:p w14:paraId="0348347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优质工程增加费</w:t>
            </w:r>
          </w:p>
        </w:tc>
        <w:tc>
          <w:tcPr>
            <w:tcW w:w="4151" w:type="dxa"/>
            <w:tcBorders>
              <w:top w:val="single" w:color="000000" w:sz="4" w:space="0"/>
              <w:left w:val="single" w:color="000000" w:sz="4" w:space="0"/>
            </w:tcBorders>
            <w:shd w:val="clear" w:color="auto" w:fill="FFFFFF"/>
            <w:vAlign w:val="center"/>
          </w:tcPr>
          <w:p w14:paraId="1EA67E6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按招标文件规定额度列计</w:t>
            </w:r>
          </w:p>
        </w:tc>
        <w:tc>
          <w:tcPr>
            <w:tcW w:w="1470" w:type="dxa"/>
            <w:tcBorders>
              <w:top w:val="single" w:color="000000" w:sz="4" w:space="0"/>
              <w:left w:val="single" w:color="000000" w:sz="4" w:space="0"/>
            </w:tcBorders>
            <w:shd w:val="clear" w:color="auto" w:fill="FFFFFF"/>
            <w:vAlign w:val="center"/>
          </w:tcPr>
          <w:p w14:paraId="7509395B">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57FC4D6F">
            <w:pPr>
              <w:widowControl/>
              <w:jc w:val="left"/>
              <w:textAlignment w:val="center"/>
              <w:rPr>
                <w:rFonts w:hint="eastAsia" w:ascii="宋体" w:hAnsi="宋体" w:cs="宋体"/>
                <w:color w:val="auto"/>
                <w:sz w:val="18"/>
                <w:szCs w:val="18"/>
                <w:highlight w:val="none"/>
              </w:rPr>
            </w:pPr>
          </w:p>
        </w:tc>
      </w:tr>
      <w:tr w14:paraId="35BEA1CF">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right w:val="single" w:color="000000" w:sz="4" w:space="0"/>
            </w:tcBorders>
            <w:shd w:val="clear" w:color="auto" w:fill="FFFFFF"/>
            <w:vAlign w:val="center"/>
          </w:tcPr>
          <w:p w14:paraId="462808E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3.1.3</w:t>
            </w:r>
          </w:p>
        </w:tc>
        <w:tc>
          <w:tcPr>
            <w:tcW w:w="655" w:type="dxa"/>
            <w:vMerge w:val="continue"/>
            <w:tcBorders>
              <w:top w:val="single" w:color="000000" w:sz="4" w:space="0"/>
              <w:left w:val="single" w:color="000000" w:sz="4" w:space="0"/>
            </w:tcBorders>
            <w:shd w:val="clear" w:color="auto" w:fill="FFFFFF"/>
            <w:vAlign w:val="center"/>
          </w:tcPr>
          <w:p w14:paraId="2203BF14">
            <w:pPr>
              <w:jc w:val="left"/>
              <w:rPr>
                <w:rFonts w:hint="eastAsia" w:ascii="宋体" w:hAnsi="宋体" w:cs="宋体"/>
                <w:color w:val="auto"/>
                <w:sz w:val="18"/>
                <w:szCs w:val="18"/>
                <w:highlight w:val="none"/>
              </w:rPr>
            </w:pPr>
          </w:p>
        </w:tc>
        <w:tc>
          <w:tcPr>
            <w:tcW w:w="2118" w:type="dxa"/>
            <w:tcBorders>
              <w:top w:val="single" w:color="000000" w:sz="4" w:space="0"/>
              <w:left w:val="single" w:color="000000" w:sz="4" w:space="0"/>
            </w:tcBorders>
            <w:shd w:val="clear" w:color="auto" w:fill="FFFFFF"/>
            <w:vAlign w:val="center"/>
          </w:tcPr>
          <w:p w14:paraId="4AA0644D">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其他暂列金额</w:t>
            </w:r>
          </w:p>
        </w:tc>
        <w:tc>
          <w:tcPr>
            <w:tcW w:w="4151" w:type="dxa"/>
            <w:tcBorders>
              <w:top w:val="single" w:color="000000" w:sz="4" w:space="0"/>
              <w:left w:val="single" w:color="000000" w:sz="4" w:space="0"/>
            </w:tcBorders>
            <w:shd w:val="clear" w:color="auto" w:fill="FFFFFF"/>
            <w:vAlign w:val="center"/>
          </w:tcPr>
          <w:p w14:paraId="52334D8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按招标文件规定额度列计</w:t>
            </w:r>
          </w:p>
        </w:tc>
        <w:tc>
          <w:tcPr>
            <w:tcW w:w="1470" w:type="dxa"/>
            <w:tcBorders>
              <w:top w:val="single" w:color="000000" w:sz="4" w:space="0"/>
              <w:left w:val="single" w:color="000000" w:sz="4" w:space="0"/>
            </w:tcBorders>
            <w:shd w:val="clear" w:color="auto" w:fill="FFFFFF"/>
            <w:vAlign w:val="center"/>
          </w:tcPr>
          <w:p w14:paraId="15E98766">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5591149B">
            <w:pPr>
              <w:widowControl/>
              <w:jc w:val="left"/>
              <w:textAlignment w:val="center"/>
              <w:rPr>
                <w:rFonts w:hint="eastAsia" w:ascii="宋体" w:hAnsi="宋体" w:cs="宋体"/>
                <w:color w:val="auto"/>
                <w:sz w:val="18"/>
                <w:szCs w:val="18"/>
                <w:highlight w:val="none"/>
              </w:rPr>
            </w:pPr>
          </w:p>
        </w:tc>
      </w:tr>
      <w:tr w14:paraId="794EFD6C">
        <w:tblPrEx>
          <w:tblCellMar>
            <w:top w:w="15" w:type="dxa"/>
            <w:left w:w="15" w:type="dxa"/>
            <w:bottom w:w="15" w:type="dxa"/>
            <w:right w:w="15" w:type="dxa"/>
          </w:tblCellMar>
        </w:tblPrEx>
        <w:trPr>
          <w:trHeight w:val="357" w:hRule="atLeast"/>
        </w:trPr>
        <w:tc>
          <w:tcPr>
            <w:tcW w:w="773" w:type="dxa"/>
            <w:tcBorders>
              <w:top w:val="single" w:color="000000" w:sz="4" w:space="0"/>
              <w:left w:val="single" w:color="000000" w:sz="4" w:space="0"/>
            </w:tcBorders>
            <w:shd w:val="clear" w:color="auto" w:fill="FFFFFF"/>
            <w:vAlign w:val="center"/>
          </w:tcPr>
          <w:p w14:paraId="3081A1F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3.2</w:t>
            </w:r>
          </w:p>
        </w:tc>
        <w:tc>
          <w:tcPr>
            <w:tcW w:w="2773" w:type="dxa"/>
            <w:gridSpan w:val="2"/>
            <w:tcBorders>
              <w:top w:val="single" w:color="000000" w:sz="4" w:space="0"/>
              <w:left w:val="single" w:color="000000" w:sz="4" w:space="0"/>
            </w:tcBorders>
            <w:shd w:val="clear" w:color="auto" w:fill="FFFFFF"/>
            <w:vAlign w:val="center"/>
          </w:tcPr>
          <w:p w14:paraId="71DD9538">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暂估价</w:t>
            </w:r>
          </w:p>
        </w:tc>
        <w:tc>
          <w:tcPr>
            <w:tcW w:w="4151" w:type="dxa"/>
            <w:tcBorders>
              <w:top w:val="single" w:color="000000" w:sz="4" w:space="0"/>
              <w:left w:val="single" w:color="000000" w:sz="4" w:space="0"/>
            </w:tcBorders>
            <w:shd w:val="clear" w:color="auto" w:fill="FFFFFF"/>
            <w:vAlign w:val="center"/>
          </w:tcPr>
          <w:p w14:paraId="4AC81EC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3.2.1+3.2.2+3.2.3</w:t>
            </w:r>
          </w:p>
        </w:tc>
        <w:tc>
          <w:tcPr>
            <w:tcW w:w="1470" w:type="dxa"/>
            <w:tcBorders>
              <w:top w:val="single" w:color="000000" w:sz="4" w:space="0"/>
              <w:left w:val="single" w:color="000000" w:sz="4" w:space="0"/>
            </w:tcBorders>
            <w:shd w:val="clear" w:color="auto" w:fill="FFFFFF"/>
            <w:vAlign w:val="center"/>
          </w:tcPr>
          <w:p w14:paraId="41F72CC5">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008E1667">
            <w:pPr>
              <w:widowControl/>
              <w:jc w:val="left"/>
              <w:textAlignment w:val="center"/>
              <w:rPr>
                <w:rFonts w:hint="eastAsia" w:ascii="宋体" w:hAnsi="宋体" w:cs="宋体"/>
                <w:color w:val="auto"/>
                <w:sz w:val="18"/>
                <w:szCs w:val="18"/>
                <w:highlight w:val="none"/>
              </w:rPr>
            </w:pPr>
          </w:p>
        </w:tc>
      </w:tr>
      <w:tr w14:paraId="747FB0DD">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tcBorders>
            <w:shd w:val="clear" w:color="auto" w:fill="FFFFFF"/>
            <w:vAlign w:val="center"/>
          </w:tcPr>
          <w:p w14:paraId="7E66406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3.2.1</w:t>
            </w:r>
          </w:p>
        </w:tc>
        <w:tc>
          <w:tcPr>
            <w:tcW w:w="655" w:type="dxa"/>
            <w:vMerge w:val="restart"/>
            <w:tcBorders>
              <w:top w:val="single" w:color="000000" w:sz="4" w:space="0"/>
              <w:left w:val="single" w:color="000000" w:sz="4" w:space="0"/>
            </w:tcBorders>
            <w:shd w:val="clear" w:color="auto" w:fill="FFFFFF"/>
            <w:vAlign w:val="center"/>
          </w:tcPr>
          <w:p w14:paraId="38027E7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其中</w:t>
            </w:r>
          </w:p>
        </w:tc>
        <w:tc>
          <w:tcPr>
            <w:tcW w:w="2118" w:type="dxa"/>
            <w:tcBorders>
              <w:top w:val="single" w:color="000000" w:sz="4" w:space="0"/>
              <w:left w:val="single" w:color="000000" w:sz="4" w:space="0"/>
            </w:tcBorders>
            <w:shd w:val="clear" w:color="auto" w:fill="FFFFFF"/>
            <w:vAlign w:val="center"/>
          </w:tcPr>
          <w:p w14:paraId="5827224B">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材料（工程设备）暂估价</w:t>
            </w:r>
          </w:p>
        </w:tc>
        <w:tc>
          <w:tcPr>
            <w:tcW w:w="4151" w:type="dxa"/>
            <w:tcBorders>
              <w:top w:val="single" w:color="000000" w:sz="4" w:space="0"/>
              <w:left w:val="single" w:color="000000" w:sz="4" w:space="0"/>
            </w:tcBorders>
            <w:shd w:val="clear" w:color="auto" w:fill="FFFFFF"/>
            <w:vAlign w:val="center"/>
          </w:tcPr>
          <w:p w14:paraId="10EFA1B2">
            <w:pPr>
              <w:spacing w:line="600" w:lineRule="exact"/>
              <w:jc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按招标文件规定额度列计(或计入综合单价)</w:t>
            </w:r>
          </w:p>
        </w:tc>
        <w:tc>
          <w:tcPr>
            <w:tcW w:w="1470" w:type="dxa"/>
            <w:tcBorders>
              <w:top w:val="single" w:color="000000" w:sz="4" w:space="0"/>
              <w:left w:val="single" w:color="000000" w:sz="4" w:space="0"/>
            </w:tcBorders>
            <w:shd w:val="clear" w:color="auto" w:fill="FFFFFF"/>
            <w:vAlign w:val="center"/>
          </w:tcPr>
          <w:p w14:paraId="0E35B507">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1B3303DB">
            <w:pPr>
              <w:widowControl/>
              <w:jc w:val="left"/>
              <w:textAlignment w:val="center"/>
              <w:rPr>
                <w:rFonts w:hint="eastAsia" w:ascii="宋体" w:hAnsi="宋体" w:cs="宋体"/>
                <w:color w:val="auto"/>
                <w:sz w:val="18"/>
                <w:szCs w:val="18"/>
                <w:highlight w:val="none"/>
              </w:rPr>
            </w:pPr>
          </w:p>
        </w:tc>
      </w:tr>
      <w:tr w14:paraId="378EF527">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right w:val="single" w:color="000000" w:sz="4" w:space="0"/>
            </w:tcBorders>
            <w:shd w:val="clear" w:color="auto" w:fill="FFFFFF"/>
            <w:vAlign w:val="center"/>
          </w:tcPr>
          <w:p w14:paraId="3DBE43C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3.2.2</w:t>
            </w:r>
          </w:p>
        </w:tc>
        <w:tc>
          <w:tcPr>
            <w:tcW w:w="655" w:type="dxa"/>
            <w:vMerge w:val="continue"/>
            <w:tcBorders>
              <w:top w:val="single" w:color="000000" w:sz="4" w:space="0"/>
              <w:left w:val="single" w:color="000000" w:sz="4" w:space="0"/>
            </w:tcBorders>
            <w:shd w:val="clear" w:color="auto" w:fill="FFFFFF"/>
            <w:vAlign w:val="center"/>
          </w:tcPr>
          <w:p w14:paraId="799125B1">
            <w:pPr>
              <w:jc w:val="center"/>
              <w:rPr>
                <w:rFonts w:hint="eastAsia" w:ascii="宋体" w:hAnsi="宋体" w:cs="宋体"/>
                <w:color w:val="auto"/>
                <w:sz w:val="18"/>
                <w:szCs w:val="18"/>
                <w:highlight w:val="none"/>
              </w:rPr>
            </w:pPr>
          </w:p>
        </w:tc>
        <w:tc>
          <w:tcPr>
            <w:tcW w:w="2118" w:type="dxa"/>
            <w:tcBorders>
              <w:top w:val="single" w:color="000000" w:sz="4" w:space="0"/>
              <w:left w:val="single" w:color="000000" w:sz="4" w:space="0"/>
            </w:tcBorders>
            <w:shd w:val="clear" w:color="auto" w:fill="FFFFFF"/>
            <w:vAlign w:val="center"/>
          </w:tcPr>
          <w:p w14:paraId="0F4BB17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专业工程暂估价</w:t>
            </w:r>
          </w:p>
        </w:tc>
        <w:tc>
          <w:tcPr>
            <w:tcW w:w="4151" w:type="dxa"/>
            <w:tcBorders>
              <w:top w:val="single" w:color="000000" w:sz="4" w:space="0"/>
              <w:left w:val="single" w:color="000000" w:sz="4" w:space="0"/>
            </w:tcBorders>
            <w:shd w:val="clear" w:color="auto" w:fill="FFFFFF"/>
            <w:vAlign w:val="center"/>
          </w:tcPr>
          <w:p w14:paraId="5CBA456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按招标文件规定额度列计</w:t>
            </w:r>
          </w:p>
        </w:tc>
        <w:tc>
          <w:tcPr>
            <w:tcW w:w="1470" w:type="dxa"/>
            <w:tcBorders>
              <w:top w:val="single" w:color="000000" w:sz="4" w:space="0"/>
              <w:left w:val="single" w:color="000000" w:sz="4" w:space="0"/>
            </w:tcBorders>
            <w:shd w:val="clear" w:color="auto" w:fill="FFFFFF"/>
            <w:vAlign w:val="center"/>
          </w:tcPr>
          <w:p w14:paraId="22A3E3B9">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59E95292">
            <w:pPr>
              <w:widowControl/>
              <w:jc w:val="left"/>
              <w:textAlignment w:val="center"/>
              <w:rPr>
                <w:rFonts w:hint="eastAsia" w:ascii="宋体" w:hAnsi="宋体" w:cs="宋体"/>
                <w:color w:val="auto"/>
                <w:sz w:val="18"/>
                <w:szCs w:val="18"/>
                <w:highlight w:val="none"/>
              </w:rPr>
            </w:pPr>
          </w:p>
        </w:tc>
      </w:tr>
      <w:tr w14:paraId="2A6D69FF">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right w:val="single" w:color="000000" w:sz="4" w:space="0"/>
            </w:tcBorders>
            <w:shd w:val="clear" w:color="auto" w:fill="FFFFFF"/>
            <w:vAlign w:val="center"/>
          </w:tcPr>
          <w:p w14:paraId="10C8647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3.2.3</w:t>
            </w:r>
          </w:p>
        </w:tc>
        <w:tc>
          <w:tcPr>
            <w:tcW w:w="655" w:type="dxa"/>
            <w:vMerge w:val="continue"/>
            <w:tcBorders>
              <w:top w:val="single" w:color="000000" w:sz="4" w:space="0"/>
              <w:left w:val="single" w:color="000000" w:sz="4" w:space="0"/>
            </w:tcBorders>
            <w:shd w:val="clear" w:color="auto" w:fill="FFFFFF"/>
            <w:vAlign w:val="center"/>
          </w:tcPr>
          <w:p w14:paraId="5149B68D">
            <w:pPr>
              <w:jc w:val="center"/>
              <w:rPr>
                <w:rFonts w:hint="eastAsia" w:ascii="宋体" w:hAnsi="宋体" w:cs="宋体"/>
                <w:color w:val="auto"/>
                <w:sz w:val="18"/>
                <w:szCs w:val="18"/>
                <w:highlight w:val="none"/>
              </w:rPr>
            </w:pPr>
          </w:p>
        </w:tc>
        <w:tc>
          <w:tcPr>
            <w:tcW w:w="2118" w:type="dxa"/>
            <w:tcBorders>
              <w:top w:val="single" w:color="000000" w:sz="4" w:space="0"/>
              <w:left w:val="single" w:color="000000" w:sz="4" w:space="0"/>
            </w:tcBorders>
            <w:shd w:val="clear" w:color="auto" w:fill="FFFFFF"/>
            <w:vAlign w:val="center"/>
          </w:tcPr>
          <w:p w14:paraId="7F8FDCFF">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专项技术措施暂估价</w:t>
            </w:r>
          </w:p>
        </w:tc>
        <w:tc>
          <w:tcPr>
            <w:tcW w:w="4151" w:type="dxa"/>
            <w:tcBorders>
              <w:top w:val="single" w:color="000000" w:sz="4" w:space="0"/>
              <w:left w:val="single" w:color="000000" w:sz="4" w:space="0"/>
            </w:tcBorders>
            <w:shd w:val="clear" w:color="auto" w:fill="FFFFFF"/>
            <w:vAlign w:val="center"/>
          </w:tcPr>
          <w:p w14:paraId="2727856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按招标文件规定额度列计</w:t>
            </w:r>
          </w:p>
        </w:tc>
        <w:tc>
          <w:tcPr>
            <w:tcW w:w="1470" w:type="dxa"/>
            <w:tcBorders>
              <w:top w:val="single" w:color="000000" w:sz="4" w:space="0"/>
              <w:left w:val="single" w:color="000000" w:sz="4" w:space="0"/>
            </w:tcBorders>
            <w:shd w:val="clear" w:color="auto" w:fill="FFFFFF"/>
            <w:vAlign w:val="center"/>
          </w:tcPr>
          <w:p w14:paraId="0F538E2B">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14EF8BAC">
            <w:pPr>
              <w:widowControl/>
              <w:jc w:val="left"/>
              <w:textAlignment w:val="center"/>
              <w:rPr>
                <w:rFonts w:hint="eastAsia" w:ascii="宋体" w:hAnsi="宋体" w:cs="宋体"/>
                <w:color w:val="auto"/>
                <w:sz w:val="18"/>
                <w:szCs w:val="18"/>
                <w:highlight w:val="none"/>
              </w:rPr>
            </w:pPr>
          </w:p>
        </w:tc>
      </w:tr>
      <w:tr w14:paraId="439530A3">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tcBorders>
            <w:shd w:val="clear" w:color="auto" w:fill="FFFFFF"/>
            <w:vAlign w:val="center"/>
          </w:tcPr>
          <w:p w14:paraId="096059B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3.3</w:t>
            </w:r>
          </w:p>
        </w:tc>
        <w:tc>
          <w:tcPr>
            <w:tcW w:w="2773" w:type="dxa"/>
            <w:gridSpan w:val="2"/>
            <w:tcBorders>
              <w:top w:val="single" w:color="000000" w:sz="4" w:space="0"/>
              <w:left w:val="single" w:color="000000" w:sz="4" w:space="0"/>
            </w:tcBorders>
            <w:shd w:val="clear" w:color="auto" w:fill="FFFFFF"/>
            <w:vAlign w:val="center"/>
          </w:tcPr>
          <w:p w14:paraId="5964DE1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计日工</w:t>
            </w:r>
          </w:p>
        </w:tc>
        <w:tc>
          <w:tcPr>
            <w:tcW w:w="4151" w:type="dxa"/>
            <w:tcBorders>
              <w:top w:val="single" w:color="000000" w:sz="4" w:space="0"/>
              <w:left w:val="single" w:color="000000" w:sz="4" w:space="0"/>
            </w:tcBorders>
            <w:shd w:val="clear" w:color="auto" w:fill="FFFFFF"/>
            <w:vAlign w:val="center"/>
          </w:tcPr>
          <w:p w14:paraId="409496A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∑计日工(暂估数量×综合单价）</w:t>
            </w:r>
          </w:p>
        </w:tc>
        <w:tc>
          <w:tcPr>
            <w:tcW w:w="1470" w:type="dxa"/>
            <w:tcBorders>
              <w:top w:val="single" w:color="000000" w:sz="4" w:space="0"/>
              <w:left w:val="single" w:color="000000" w:sz="4" w:space="0"/>
            </w:tcBorders>
            <w:shd w:val="clear" w:color="auto" w:fill="FFFFFF"/>
            <w:vAlign w:val="center"/>
          </w:tcPr>
          <w:p w14:paraId="2176CA3A">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6E22683B">
            <w:pPr>
              <w:widowControl/>
              <w:jc w:val="left"/>
              <w:textAlignment w:val="center"/>
              <w:rPr>
                <w:rFonts w:hint="eastAsia" w:ascii="宋体" w:hAnsi="宋体" w:cs="宋体"/>
                <w:color w:val="auto"/>
                <w:sz w:val="18"/>
                <w:szCs w:val="18"/>
                <w:highlight w:val="none"/>
              </w:rPr>
            </w:pPr>
          </w:p>
        </w:tc>
      </w:tr>
      <w:tr w14:paraId="51700F53">
        <w:tblPrEx>
          <w:tblCellMar>
            <w:top w:w="15" w:type="dxa"/>
            <w:left w:w="15" w:type="dxa"/>
            <w:bottom w:w="15" w:type="dxa"/>
            <w:right w:w="15" w:type="dxa"/>
          </w:tblCellMar>
        </w:tblPrEx>
        <w:trPr>
          <w:trHeight w:val="403" w:hRule="atLeast"/>
        </w:trPr>
        <w:tc>
          <w:tcPr>
            <w:tcW w:w="773" w:type="dxa"/>
            <w:tcBorders>
              <w:top w:val="single" w:color="000000" w:sz="4" w:space="0"/>
              <w:left w:val="single" w:color="000000" w:sz="4" w:space="0"/>
            </w:tcBorders>
            <w:shd w:val="clear" w:color="auto" w:fill="FFFFFF"/>
            <w:vAlign w:val="center"/>
          </w:tcPr>
          <w:p w14:paraId="7CD77E1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3.4</w:t>
            </w:r>
          </w:p>
        </w:tc>
        <w:tc>
          <w:tcPr>
            <w:tcW w:w="2773" w:type="dxa"/>
            <w:gridSpan w:val="2"/>
            <w:tcBorders>
              <w:top w:val="single" w:color="000000" w:sz="4" w:space="0"/>
              <w:left w:val="single" w:color="000000" w:sz="4" w:space="0"/>
            </w:tcBorders>
            <w:shd w:val="clear" w:color="auto" w:fill="FFFFFF"/>
            <w:vAlign w:val="center"/>
          </w:tcPr>
          <w:p w14:paraId="3BBB8397">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施工总承包服务费</w:t>
            </w:r>
          </w:p>
        </w:tc>
        <w:tc>
          <w:tcPr>
            <w:tcW w:w="4151" w:type="dxa"/>
            <w:tcBorders>
              <w:top w:val="single" w:color="000000" w:sz="4" w:space="0"/>
              <w:left w:val="single" w:color="000000" w:sz="4" w:space="0"/>
            </w:tcBorders>
            <w:shd w:val="clear" w:color="auto" w:fill="FFFFFF"/>
            <w:vAlign w:val="center"/>
          </w:tcPr>
          <w:p w14:paraId="22C5B85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3.4.1+3.4.2</w:t>
            </w:r>
          </w:p>
        </w:tc>
        <w:tc>
          <w:tcPr>
            <w:tcW w:w="1470" w:type="dxa"/>
            <w:tcBorders>
              <w:top w:val="single" w:color="000000" w:sz="4" w:space="0"/>
              <w:left w:val="single" w:color="000000" w:sz="4" w:space="0"/>
            </w:tcBorders>
            <w:shd w:val="clear" w:color="auto" w:fill="FFFFFF"/>
            <w:vAlign w:val="center"/>
          </w:tcPr>
          <w:p w14:paraId="6FB46DAE">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5C08EED5">
            <w:pPr>
              <w:widowControl/>
              <w:jc w:val="left"/>
              <w:textAlignment w:val="center"/>
              <w:rPr>
                <w:rFonts w:hint="eastAsia" w:ascii="宋体" w:hAnsi="宋体" w:cs="宋体"/>
                <w:color w:val="auto"/>
                <w:sz w:val="18"/>
                <w:szCs w:val="18"/>
                <w:highlight w:val="none"/>
              </w:rPr>
            </w:pPr>
          </w:p>
        </w:tc>
      </w:tr>
      <w:tr w14:paraId="6E01762B">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tcBorders>
            <w:shd w:val="clear" w:color="auto" w:fill="FFFFFF"/>
            <w:vAlign w:val="center"/>
          </w:tcPr>
          <w:p w14:paraId="39BFCE7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3.4.1</w:t>
            </w:r>
          </w:p>
        </w:tc>
        <w:tc>
          <w:tcPr>
            <w:tcW w:w="655" w:type="dxa"/>
            <w:vMerge w:val="restart"/>
            <w:tcBorders>
              <w:top w:val="single" w:color="000000" w:sz="4" w:space="0"/>
              <w:left w:val="single" w:color="000000" w:sz="4" w:space="0"/>
            </w:tcBorders>
            <w:shd w:val="clear" w:color="auto" w:fill="FFFFFF"/>
            <w:vAlign w:val="center"/>
          </w:tcPr>
          <w:p w14:paraId="79B9D42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其中</w:t>
            </w:r>
          </w:p>
        </w:tc>
        <w:tc>
          <w:tcPr>
            <w:tcW w:w="2118" w:type="dxa"/>
            <w:tcBorders>
              <w:top w:val="single" w:color="000000" w:sz="4" w:space="0"/>
              <w:left w:val="single" w:color="000000" w:sz="4" w:space="0"/>
            </w:tcBorders>
            <w:shd w:val="clear" w:color="auto" w:fill="FFFFFF"/>
            <w:vAlign w:val="center"/>
          </w:tcPr>
          <w:p w14:paraId="7113E44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专业发包工程管理费</w:t>
            </w:r>
          </w:p>
        </w:tc>
        <w:tc>
          <w:tcPr>
            <w:tcW w:w="4151" w:type="dxa"/>
            <w:tcBorders>
              <w:top w:val="single" w:color="000000" w:sz="4" w:space="0"/>
              <w:left w:val="single" w:color="000000" w:sz="4" w:space="0"/>
            </w:tcBorders>
            <w:shd w:val="clear" w:color="auto" w:fill="FFFFFF"/>
            <w:vAlign w:val="center"/>
          </w:tcPr>
          <w:p w14:paraId="0BDBB2A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∑专业发包工程（暂估金额×费率）</w:t>
            </w:r>
          </w:p>
        </w:tc>
        <w:tc>
          <w:tcPr>
            <w:tcW w:w="1470" w:type="dxa"/>
            <w:tcBorders>
              <w:top w:val="single" w:color="000000" w:sz="4" w:space="0"/>
              <w:left w:val="single" w:color="000000" w:sz="4" w:space="0"/>
            </w:tcBorders>
            <w:shd w:val="clear" w:color="auto" w:fill="FFFFFF"/>
            <w:vAlign w:val="center"/>
          </w:tcPr>
          <w:p w14:paraId="01FBC69F">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5244464A">
            <w:pPr>
              <w:widowControl/>
              <w:jc w:val="left"/>
              <w:textAlignment w:val="center"/>
              <w:rPr>
                <w:rFonts w:hint="eastAsia" w:ascii="宋体" w:hAnsi="宋体" w:cs="宋体"/>
                <w:color w:val="auto"/>
                <w:sz w:val="18"/>
                <w:szCs w:val="18"/>
                <w:highlight w:val="none"/>
              </w:rPr>
            </w:pPr>
          </w:p>
        </w:tc>
      </w:tr>
      <w:tr w14:paraId="61FFCF42">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right w:val="single" w:color="000000" w:sz="4" w:space="0"/>
            </w:tcBorders>
            <w:shd w:val="clear" w:color="auto" w:fill="FFFFFF"/>
            <w:vAlign w:val="center"/>
          </w:tcPr>
          <w:p w14:paraId="44386EF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3.4.2</w:t>
            </w:r>
          </w:p>
        </w:tc>
        <w:tc>
          <w:tcPr>
            <w:tcW w:w="655" w:type="dxa"/>
            <w:vMerge w:val="continue"/>
            <w:tcBorders>
              <w:top w:val="single" w:color="000000" w:sz="4" w:space="0"/>
              <w:left w:val="single" w:color="000000" w:sz="4" w:space="0"/>
            </w:tcBorders>
            <w:shd w:val="clear" w:color="auto" w:fill="FFFFFF"/>
            <w:vAlign w:val="center"/>
          </w:tcPr>
          <w:p w14:paraId="548E8747">
            <w:pPr>
              <w:jc w:val="center"/>
              <w:rPr>
                <w:rFonts w:hint="eastAsia" w:ascii="宋体" w:hAnsi="宋体" w:cs="宋体"/>
                <w:color w:val="auto"/>
                <w:sz w:val="18"/>
                <w:szCs w:val="18"/>
                <w:highlight w:val="none"/>
              </w:rPr>
            </w:pPr>
          </w:p>
        </w:tc>
        <w:tc>
          <w:tcPr>
            <w:tcW w:w="2118" w:type="dxa"/>
            <w:tcBorders>
              <w:top w:val="single" w:color="000000" w:sz="4" w:space="0"/>
              <w:left w:val="single" w:color="000000" w:sz="4" w:space="0"/>
            </w:tcBorders>
            <w:shd w:val="clear" w:color="auto" w:fill="FFFFFF"/>
            <w:vAlign w:val="center"/>
          </w:tcPr>
          <w:p w14:paraId="45F3BC5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甲供材料设备管理费</w:t>
            </w:r>
          </w:p>
        </w:tc>
        <w:tc>
          <w:tcPr>
            <w:tcW w:w="4151" w:type="dxa"/>
            <w:tcBorders>
              <w:top w:val="single" w:color="000000" w:sz="4" w:space="0"/>
              <w:left w:val="single" w:color="000000" w:sz="4" w:space="0"/>
            </w:tcBorders>
            <w:shd w:val="clear" w:color="auto" w:fill="FFFFFF"/>
            <w:vAlign w:val="center"/>
          </w:tcPr>
          <w:p w14:paraId="15735BD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甲供材料暂估金额×费率+甲供设备暂估金额×费率</w:t>
            </w:r>
          </w:p>
        </w:tc>
        <w:tc>
          <w:tcPr>
            <w:tcW w:w="1470" w:type="dxa"/>
            <w:tcBorders>
              <w:top w:val="single" w:color="000000" w:sz="4" w:space="0"/>
              <w:left w:val="single" w:color="000000" w:sz="4" w:space="0"/>
            </w:tcBorders>
            <w:shd w:val="clear" w:color="auto" w:fill="FFFFFF"/>
            <w:vAlign w:val="center"/>
          </w:tcPr>
          <w:p w14:paraId="0A809A4C">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5DAC9ACA">
            <w:pPr>
              <w:widowControl/>
              <w:jc w:val="left"/>
              <w:textAlignment w:val="center"/>
              <w:rPr>
                <w:rFonts w:hint="eastAsia" w:ascii="宋体" w:hAnsi="宋体" w:cs="宋体"/>
                <w:color w:val="auto"/>
                <w:sz w:val="18"/>
                <w:szCs w:val="18"/>
                <w:highlight w:val="none"/>
              </w:rPr>
            </w:pPr>
          </w:p>
        </w:tc>
      </w:tr>
      <w:tr w14:paraId="710057BB">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tcBorders>
            <w:shd w:val="clear" w:color="auto" w:fill="FFFFFF"/>
            <w:vAlign w:val="center"/>
          </w:tcPr>
          <w:p w14:paraId="5AB35CF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2773" w:type="dxa"/>
            <w:gridSpan w:val="2"/>
            <w:tcBorders>
              <w:top w:val="single" w:color="000000" w:sz="4" w:space="0"/>
              <w:left w:val="single" w:color="000000" w:sz="4" w:space="0"/>
            </w:tcBorders>
            <w:shd w:val="clear" w:color="auto" w:fill="FFFFFF"/>
            <w:vAlign w:val="center"/>
          </w:tcPr>
          <w:p w14:paraId="3F2542B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规费</w:t>
            </w:r>
          </w:p>
        </w:tc>
        <w:tc>
          <w:tcPr>
            <w:tcW w:w="4151" w:type="dxa"/>
            <w:tcBorders>
              <w:top w:val="single" w:color="000000" w:sz="4" w:space="0"/>
              <w:left w:val="single" w:color="000000" w:sz="4" w:space="0"/>
            </w:tcBorders>
            <w:shd w:val="clear" w:color="auto" w:fill="FFFFFF"/>
            <w:vAlign w:val="center"/>
          </w:tcPr>
          <w:p w14:paraId="7C20E90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(1.1+2.1.1)×</w:t>
            </w:r>
            <w:r>
              <w:rPr>
                <w:rFonts w:ascii="宋体" w:hAnsi="宋体" w:cs="宋体"/>
                <w:color w:val="auto"/>
                <w:kern w:val="0"/>
                <w:sz w:val="18"/>
                <w:szCs w:val="18"/>
                <w:highlight w:val="none"/>
                <w:lang w:bidi="ar"/>
              </w:rPr>
              <w:t>27.92%</w:t>
            </w:r>
          </w:p>
        </w:tc>
        <w:tc>
          <w:tcPr>
            <w:tcW w:w="1470" w:type="dxa"/>
            <w:tcBorders>
              <w:top w:val="single" w:color="000000" w:sz="4" w:space="0"/>
              <w:left w:val="single" w:color="000000" w:sz="4" w:space="0"/>
            </w:tcBorders>
            <w:shd w:val="clear" w:color="auto" w:fill="FFFFFF"/>
            <w:vAlign w:val="center"/>
          </w:tcPr>
          <w:p w14:paraId="18B36395">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34BFC605">
            <w:pPr>
              <w:jc w:val="left"/>
              <w:rPr>
                <w:rFonts w:hint="eastAsia" w:ascii="宋体" w:hAnsi="宋体" w:cs="宋体"/>
                <w:color w:val="auto"/>
                <w:sz w:val="18"/>
                <w:szCs w:val="18"/>
                <w:highlight w:val="none"/>
              </w:rPr>
            </w:pPr>
          </w:p>
        </w:tc>
      </w:tr>
      <w:tr w14:paraId="596B2687">
        <w:tblPrEx>
          <w:tblCellMar>
            <w:top w:w="15" w:type="dxa"/>
            <w:left w:w="15" w:type="dxa"/>
            <w:bottom w:w="15" w:type="dxa"/>
            <w:right w:w="15" w:type="dxa"/>
          </w:tblCellMar>
        </w:tblPrEx>
        <w:trPr>
          <w:trHeight w:val="494" w:hRule="atLeast"/>
        </w:trPr>
        <w:tc>
          <w:tcPr>
            <w:tcW w:w="773" w:type="dxa"/>
            <w:tcBorders>
              <w:top w:val="single" w:color="000000" w:sz="4" w:space="0"/>
              <w:left w:val="single" w:color="000000" w:sz="4" w:space="0"/>
            </w:tcBorders>
            <w:shd w:val="clear" w:color="auto" w:fill="FFFFFF"/>
            <w:vAlign w:val="center"/>
          </w:tcPr>
          <w:p w14:paraId="4BE990F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2773" w:type="dxa"/>
            <w:gridSpan w:val="2"/>
            <w:tcBorders>
              <w:top w:val="single" w:color="000000" w:sz="4" w:space="0"/>
              <w:left w:val="single" w:color="000000" w:sz="4" w:space="0"/>
            </w:tcBorders>
            <w:shd w:val="clear" w:color="auto" w:fill="FFFFFF"/>
            <w:vAlign w:val="center"/>
          </w:tcPr>
          <w:p w14:paraId="100DAB0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税金</w:t>
            </w:r>
          </w:p>
        </w:tc>
        <w:tc>
          <w:tcPr>
            <w:tcW w:w="4151" w:type="dxa"/>
            <w:tcBorders>
              <w:top w:val="single" w:color="000000" w:sz="4" w:space="0"/>
              <w:left w:val="single" w:color="000000" w:sz="4" w:space="0"/>
            </w:tcBorders>
            <w:shd w:val="clear" w:color="auto" w:fill="FFFFFF"/>
            <w:vAlign w:val="center"/>
          </w:tcPr>
          <w:p w14:paraId="62DC40D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(1+2+3+4+计税不计费)×</w:t>
            </w:r>
            <w:r>
              <w:rPr>
                <w:rFonts w:ascii="宋体" w:hAnsi="宋体" w:cs="宋体"/>
                <w:color w:val="auto"/>
                <w:kern w:val="0"/>
                <w:sz w:val="18"/>
                <w:szCs w:val="18"/>
                <w:highlight w:val="none"/>
                <w:lang w:bidi="ar"/>
              </w:rPr>
              <w:t>9</w:t>
            </w:r>
            <w:r>
              <w:rPr>
                <w:rFonts w:hint="eastAsia" w:ascii="宋体" w:hAnsi="宋体" w:cs="宋体"/>
                <w:color w:val="auto"/>
                <w:kern w:val="0"/>
                <w:sz w:val="18"/>
                <w:szCs w:val="18"/>
                <w:highlight w:val="none"/>
                <w:lang w:bidi="ar"/>
              </w:rPr>
              <w:t>%</w:t>
            </w:r>
          </w:p>
        </w:tc>
        <w:tc>
          <w:tcPr>
            <w:tcW w:w="1470" w:type="dxa"/>
            <w:tcBorders>
              <w:top w:val="single" w:color="000000" w:sz="4" w:space="0"/>
              <w:left w:val="single" w:color="000000" w:sz="4" w:space="0"/>
            </w:tcBorders>
            <w:shd w:val="clear" w:color="auto" w:fill="FFFFFF"/>
            <w:vAlign w:val="center"/>
          </w:tcPr>
          <w:p w14:paraId="705CB9FA">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right w:val="single" w:color="000000" w:sz="4" w:space="0"/>
            </w:tcBorders>
            <w:shd w:val="clear" w:color="auto" w:fill="FFFFFF"/>
            <w:vAlign w:val="center"/>
          </w:tcPr>
          <w:p w14:paraId="473EB99C">
            <w:pPr>
              <w:jc w:val="left"/>
              <w:rPr>
                <w:rFonts w:hint="eastAsia" w:ascii="宋体" w:hAnsi="宋体" w:cs="宋体"/>
                <w:color w:val="auto"/>
                <w:sz w:val="18"/>
                <w:szCs w:val="18"/>
                <w:highlight w:val="none"/>
              </w:rPr>
            </w:pPr>
          </w:p>
        </w:tc>
      </w:tr>
      <w:tr w14:paraId="7BCC5B17">
        <w:tblPrEx>
          <w:tblCellMar>
            <w:top w:w="15" w:type="dxa"/>
            <w:left w:w="15" w:type="dxa"/>
            <w:bottom w:w="15" w:type="dxa"/>
            <w:right w:w="15" w:type="dxa"/>
          </w:tblCellMar>
        </w:tblPrEx>
        <w:trPr>
          <w:trHeight w:val="463" w:hRule="atLeast"/>
        </w:trPr>
        <w:tc>
          <w:tcPr>
            <w:tcW w:w="3546" w:type="dxa"/>
            <w:gridSpan w:val="3"/>
            <w:tcBorders>
              <w:top w:val="single" w:color="000000" w:sz="4" w:space="0"/>
              <w:left w:val="single" w:color="000000" w:sz="4" w:space="0"/>
              <w:bottom w:val="single" w:color="000000" w:sz="4" w:space="0"/>
            </w:tcBorders>
            <w:shd w:val="clear" w:color="auto" w:fill="FFFFFF"/>
            <w:vAlign w:val="center"/>
          </w:tcPr>
          <w:p w14:paraId="1DF5627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合计</w:t>
            </w:r>
          </w:p>
        </w:tc>
        <w:tc>
          <w:tcPr>
            <w:tcW w:w="4151" w:type="dxa"/>
            <w:tcBorders>
              <w:top w:val="single" w:color="000000" w:sz="4" w:space="0"/>
              <w:left w:val="single" w:color="000000" w:sz="4" w:space="0"/>
              <w:bottom w:val="single" w:color="000000" w:sz="4" w:space="0"/>
            </w:tcBorders>
            <w:shd w:val="clear" w:color="auto" w:fill="FFFFFF"/>
            <w:vAlign w:val="center"/>
          </w:tcPr>
          <w:p w14:paraId="0CD7158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1+2+3+4+5</w:t>
            </w:r>
          </w:p>
        </w:tc>
        <w:tc>
          <w:tcPr>
            <w:tcW w:w="1470" w:type="dxa"/>
            <w:tcBorders>
              <w:top w:val="single" w:color="000000" w:sz="4" w:space="0"/>
              <w:left w:val="single" w:color="000000" w:sz="4" w:space="0"/>
              <w:bottom w:val="single" w:color="000000" w:sz="4" w:space="0"/>
            </w:tcBorders>
            <w:shd w:val="clear" w:color="auto" w:fill="FFFFFF"/>
            <w:vAlign w:val="center"/>
          </w:tcPr>
          <w:p w14:paraId="507CB353">
            <w:pPr>
              <w:jc w:val="right"/>
              <w:rPr>
                <w:rFonts w:hint="eastAsia" w:ascii="宋体" w:hAnsi="宋体" w:cs="宋体"/>
                <w:color w:val="auto"/>
                <w:sz w:val="18"/>
                <w:szCs w:val="18"/>
                <w:highlight w:val="none"/>
              </w:rPr>
            </w:pPr>
          </w:p>
        </w:tc>
        <w:tc>
          <w:tcPr>
            <w:tcW w:w="130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53631">
            <w:pPr>
              <w:jc w:val="left"/>
              <w:rPr>
                <w:rFonts w:hint="eastAsia" w:ascii="宋体" w:hAnsi="宋体" w:cs="宋体"/>
                <w:color w:val="auto"/>
                <w:sz w:val="18"/>
                <w:szCs w:val="18"/>
                <w:highlight w:val="none"/>
              </w:rPr>
            </w:pPr>
          </w:p>
        </w:tc>
      </w:tr>
    </w:tbl>
    <w:p w14:paraId="5EE98B4A">
      <w:pPr>
        <w:pStyle w:val="5"/>
        <w:spacing w:line="440" w:lineRule="exact"/>
        <w:rPr>
          <w:rFonts w:hint="eastAsia" w:ascii="黑体" w:hAnsi="宋体"/>
          <w:color w:val="auto"/>
          <w:sz w:val="24"/>
          <w:szCs w:val="24"/>
          <w:highlight w:val="none"/>
        </w:rPr>
        <w:sectPr>
          <w:pgSz w:w="11906" w:h="16838"/>
          <w:pgMar w:top="1134" w:right="1134" w:bottom="1134" w:left="1134" w:header="851" w:footer="992" w:gutter="0"/>
          <w:cols w:space="720" w:num="1"/>
          <w:docGrid w:linePitch="312" w:charSpace="0"/>
        </w:sectPr>
      </w:pPr>
    </w:p>
    <w:p w14:paraId="634B3367">
      <w:pPr>
        <w:pStyle w:val="5"/>
        <w:spacing w:line="440" w:lineRule="exact"/>
        <w:rPr>
          <w:rFonts w:hint="eastAsia" w:ascii="黑体" w:hAnsi="宋体"/>
          <w:color w:val="auto"/>
          <w:sz w:val="24"/>
          <w:szCs w:val="24"/>
          <w:highlight w:val="none"/>
        </w:rPr>
      </w:pPr>
      <w:bookmarkStart w:id="77" w:name="_Toc15529"/>
      <w:bookmarkStart w:id="78" w:name="_Toc14630"/>
      <w:r>
        <w:rPr>
          <w:rFonts w:hint="eastAsia" w:ascii="黑体" w:hAnsi="宋体"/>
          <w:color w:val="auto"/>
          <w:sz w:val="24"/>
          <w:szCs w:val="24"/>
          <w:highlight w:val="none"/>
        </w:rPr>
        <w:t>附件7 分部分项工程清单与计价表</w:t>
      </w:r>
      <w:bookmarkEnd w:id="77"/>
      <w:bookmarkEnd w:id="78"/>
    </w:p>
    <w:p w14:paraId="62669467">
      <w:pPr>
        <w:spacing w:line="600" w:lineRule="exact"/>
        <w:jc w:val="center"/>
        <w:rPr>
          <w:rFonts w:hint="eastAsia"/>
          <w:b/>
          <w:color w:val="auto"/>
          <w:sz w:val="36"/>
          <w:szCs w:val="36"/>
          <w:highlight w:val="none"/>
        </w:rPr>
      </w:pPr>
      <w:r>
        <w:rPr>
          <w:rFonts w:hint="eastAsia"/>
          <w:b/>
          <w:color w:val="auto"/>
          <w:sz w:val="36"/>
          <w:szCs w:val="36"/>
          <w:highlight w:val="none"/>
        </w:rPr>
        <w:t>分部分项工程清单与计价表</w:t>
      </w:r>
    </w:p>
    <w:p w14:paraId="24DEE50D">
      <w:pPr>
        <w:spacing w:line="600" w:lineRule="exact"/>
        <w:rPr>
          <w:rFonts w:hint="eastAsia" w:ascii="黑体" w:hAnsi="宋体"/>
          <w:color w:val="auto"/>
          <w:sz w:val="24"/>
          <w:highlight w:val="none"/>
        </w:rPr>
      </w:pPr>
      <w:r>
        <w:rPr>
          <w:rFonts w:hint="eastAsia"/>
          <w:color w:val="auto"/>
          <w:sz w:val="22"/>
          <w:szCs w:val="22"/>
          <w:highlight w:val="none"/>
        </w:rPr>
        <w:t>工程名称：                                                                                                          第    页 共    页</w:t>
      </w:r>
    </w:p>
    <w:tbl>
      <w:tblPr>
        <w:tblStyle w:val="38"/>
        <w:tblW w:w="0" w:type="auto"/>
        <w:tblInd w:w="-587" w:type="dxa"/>
        <w:tblLayout w:type="fixed"/>
        <w:tblCellMar>
          <w:top w:w="15" w:type="dxa"/>
          <w:left w:w="15" w:type="dxa"/>
          <w:bottom w:w="15" w:type="dxa"/>
          <w:right w:w="15" w:type="dxa"/>
        </w:tblCellMar>
      </w:tblPr>
      <w:tblGrid>
        <w:gridCol w:w="758"/>
        <w:gridCol w:w="1500"/>
        <w:gridCol w:w="2423"/>
        <w:gridCol w:w="3105"/>
        <w:gridCol w:w="675"/>
        <w:gridCol w:w="1065"/>
        <w:gridCol w:w="1080"/>
        <w:gridCol w:w="1035"/>
        <w:gridCol w:w="1005"/>
        <w:gridCol w:w="1095"/>
        <w:gridCol w:w="1170"/>
        <w:gridCol w:w="1089"/>
      </w:tblGrid>
      <w:tr w14:paraId="43770303">
        <w:tblPrEx>
          <w:tblCellMar>
            <w:top w:w="15" w:type="dxa"/>
            <w:left w:w="15" w:type="dxa"/>
            <w:bottom w:w="15" w:type="dxa"/>
            <w:right w:w="15" w:type="dxa"/>
          </w:tblCellMar>
        </w:tblPrEx>
        <w:trPr>
          <w:trHeight w:val="450" w:hRule="atLeast"/>
        </w:trPr>
        <w:tc>
          <w:tcPr>
            <w:tcW w:w="758" w:type="dxa"/>
            <w:vMerge w:val="restart"/>
            <w:tcBorders>
              <w:top w:val="single" w:color="000000" w:sz="4" w:space="0"/>
              <w:left w:val="single" w:color="000000" w:sz="4" w:space="0"/>
            </w:tcBorders>
            <w:shd w:val="clear" w:color="auto" w:fill="FFFFFF"/>
            <w:vAlign w:val="center"/>
          </w:tcPr>
          <w:p w14:paraId="3BA9752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1500" w:type="dxa"/>
            <w:vMerge w:val="restart"/>
            <w:tcBorders>
              <w:top w:val="single" w:color="000000" w:sz="4" w:space="0"/>
              <w:left w:val="single" w:color="000000" w:sz="4" w:space="0"/>
            </w:tcBorders>
            <w:shd w:val="clear" w:color="auto" w:fill="FFFFFF"/>
            <w:vAlign w:val="center"/>
          </w:tcPr>
          <w:p w14:paraId="4118221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项目编码</w:t>
            </w:r>
          </w:p>
        </w:tc>
        <w:tc>
          <w:tcPr>
            <w:tcW w:w="2423" w:type="dxa"/>
            <w:vMerge w:val="restart"/>
            <w:tcBorders>
              <w:top w:val="single" w:color="000000" w:sz="4" w:space="0"/>
              <w:left w:val="single" w:color="000000" w:sz="4" w:space="0"/>
            </w:tcBorders>
            <w:shd w:val="clear" w:color="auto" w:fill="FFFFFF"/>
            <w:vAlign w:val="center"/>
          </w:tcPr>
          <w:p w14:paraId="0FCC975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项目名称</w:t>
            </w:r>
          </w:p>
        </w:tc>
        <w:tc>
          <w:tcPr>
            <w:tcW w:w="3105" w:type="dxa"/>
            <w:vMerge w:val="restart"/>
            <w:tcBorders>
              <w:top w:val="single" w:color="000000" w:sz="4" w:space="0"/>
              <w:left w:val="single" w:color="000000" w:sz="4" w:space="0"/>
            </w:tcBorders>
            <w:shd w:val="clear" w:color="auto" w:fill="FFFFFF"/>
            <w:vAlign w:val="center"/>
          </w:tcPr>
          <w:p w14:paraId="0B317F9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项目特征</w:t>
            </w:r>
          </w:p>
        </w:tc>
        <w:tc>
          <w:tcPr>
            <w:tcW w:w="675" w:type="dxa"/>
            <w:vMerge w:val="restart"/>
            <w:tcBorders>
              <w:top w:val="single" w:color="000000" w:sz="4" w:space="0"/>
              <w:left w:val="single" w:color="000000" w:sz="4" w:space="0"/>
            </w:tcBorders>
            <w:shd w:val="clear" w:color="auto" w:fill="FFFFFF"/>
            <w:vAlign w:val="center"/>
          </w:tcPr>
          <w:p w14:paraId="79D74C39">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计量</w:t>
            </w:r>
          </w:p>
          <w:p w14:paraId="1362AC0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单位</w:t>
            </w:r>
          </w:p>
        </w:tc>
        <w:tc>
          <w:tcPr>
            <w:tcW w:w="1065" w:type="dxa"/>
            <w:vMerge w:val="restart"/>
            <w:tcBorders>
              <w:top w:val="single" w:color="000000" w:sz="4" w:space="0"/>
              <w:left w:val="single" w:color="000000" w:sz="4" w:space="0"/>
            </w:tcBorders>
            <w:shd w:val="clear" w:color="auto" w:fill="FFFFFF"/>
            <w:vAlign w:val="center"/>
          </w:tcPr>
          <w:p w14:paraId="7D13836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工程量</w:t>
            </w:r>
          </w:p>
        </w:tc>
        <w:tc>
          <w:tcPr>
            <w:tcW w:w="5385" w:type="dxa"/>
            <w:gridSpan w:val="5"/>
            <w:tcBorders>
              <w:top w:val="single" w:color="000000" w:sz="4" w:space="0"/>
              <w:left w:val="single" w:color="000000" w:sz="4" w:space="0"/>
            </w:tcBorders>
            <w:shd w:val="clear" w:color="auto" w:fill="FFFFFF"/>
            <w:vAlign w:val="center"/>
          </w:tcPr>
          <w:p w14:paraId="69EBF7E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 额  (元)</w:t>
            </w:r>
          </w:p>
        </w:tc>
        <w:tc>
          <w:tcPr>
            <w:tcW w:w="1089" w:type="dxa"/>
            <w:vMerge w:val="restart"/>
            <w:tcBorders>
              <w:top w:val="single" w:color="000000" w:sz="4" w:space="0"/>
              <w:left w:val="single" w:color="000000" w:sz="4" w:space="0"/>
              <w:right w:val="single" w:color="000000" w:sz="4" w:space="0"/>
            </w:tcBorders>
            <w:shd w:val="clear" w:color="auto" w:fill="FFFFFF"/>
            <w:vAlign w:val="center"/>
          </w:tcPr>
          <w:p w14:paraId="16DDE53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备注</w:t>
            </w:r>
          </w:p>
        </w:tc>
      </w:tr>
      <w:tr w14:paraId="67A63BBE">
        <w:tblPrEx>
          <w:tblCellMar>
            <w:top w:w="15" w:type="dxa"/>
            <w:left w:w="15" w:type="dxa"/>
            <w:bottom w:w="15" w:type="dxa"/>
            <w:right w:w="15" w:type="dxa"/>
          </w:tblCellMar>
        </w:tblPrEx>
        <w:trPr>
          <w:trHeight w:val="360" w:hRule="atLeast"/>
        </w:trPr>
        <w:tc>
          <w:tcPr>
            <w:tcW w:w="758" w:type="dxa"/>
            <w:vMerge w:val="continue"/>
            <w:tcBorders>
              <w:top w:val="single" w:color="000000" w:sz="4" w:space="0"/>
              <w:left w:val="single" w:color="000000" w:sz="4" w:space="0"/>
            </w:tcBorders>
            <w:shd w:val="clear" w:color="auto" w:fill="FFFFFF"/>
            <w:vAlign w:val="center"/>
          </w:tcPr>
          <w:p w14:paraId="565EEC18">
            <w:pPr>
              <w:jc w:val="center"/>
              <w:rPr>
                <w:rFonts w:hint="eastAsia" w:ascii="宋体" w:hAnsi="宋体" w:cs="宋体"/>
                <w:color w:val="auto"/>
                <w:sz w:val="18"/>
                <w:szCs w:val="18"/>
                <w:highlight w:val="none"/>
              </w:rPr>
            </w:pPr>
          </w:p>
        </w:tc>
        <w:tc>
          <w:tcPr>
            <w:tcW w:w="1500" w:type="dxa"/>
            <w:vMerge w:val="continue"/>
            <w:tcBorders>
              <w:top w:val="single" w:color="000000" w:sz="4" w:space="0"/>
              <w:left w:val="single" w:color="000000" w:sz="4" w:space="0"/>
            </w:tcBorders>
            <w:shd w:val="clear" w:color="auto" w:fill="FFFFFF"/>
            <w:vAlign w:val="center"/>
          </w:tcPr>
          <w:p w14:paraId="4CE400F2">
            <w:pPr>
              <w:jc w:val="center"/>
              <w:rPr>
                <w:rFonts w:hint="eastAsia" w:ascii="宋体" w:hAnsi="宋体" w:cs="宋体"/>
                <w:color w:val="auto"/>
                <w:sz w:val="18"/>
                <w:szCs w:val="18"/>
                <w:highlight w:val="none"/>
              </w:rPr>
            </w:pPr>
          </w:p>
        </w:tc>
        <w:tc>
          <w:tcPr>
            <w:tcW w:w="2423" w:type="dxa"/>
            <w:vMerge w:val="continue"/>
            <w:tcBorders>
              <w:top w:val="single" w:color="000000" w:sz="4" w:space="0"/>
              <w:left w:val="single" w:color="000000" w:sz="4" w:space="0"/>
            </w:tcBorders>
            <w:shd w:val="clear" w:color="auto" w:fill="FFFFFF"/>
            <w:vAlign w:val="center"/>
          </w:tcPr>
          <w:p w14:paraId="5D728D2F">
            <w:pPr>
              <w:jc w:val="center"/>
              <w:rPr>
                <w:rFonts w:hint="eastAsia" w:ascii="宋体" w:hAnsi="宋体" w:cs="宋体"/>
                <w:color w:val="auto"/>
                <w:sz w:val="18"/>
                <w:szCs w:val="18"/>
                <w:highlight w:val="none"/>
              </w:rPr>
            </w:pPr>
          </w:p>
        </w:tc>
        <w:tc>
          <w:tcPr>
            <w:tcW w:w="3105" w:type="dxa"/>
            <w:vMerge w:val="continue"/>
            <w:tcBorders>
              <w:top w:val="single" w:color="000000" w:sz="4" w:space="0"/>
              <w:left w:val="single" w:color="000000" w:sz="4" w:space="0"/>
            </w:tcBorders>
            <w:shd w:val="clear" w:color="auto" w:fill="FFFFFF"/>
            <w:vAlign w:val="center"/>
          </w:tcPr>
          <w:p w14:paraId="566D7FE9">
            <w:pPr>
              <w:jc w:val="center"/>
              <w:rPr>
                <w:rFonts w:hint="eastAsia" w:ascii="宋体" w:hAnsi="宋体" w:cs="宋体"/>
                <w:color w:val="auto"/>
                <w:sz w:val="18"/>
                <w:szCs w:val="18"/>
                <w:highlight w:val="none"/>
              </w:rPr>
            </w:pPr>
          </w:p>
        </w:tc>
        <w:tc>
          <w:tcPr>
            <w:tcW w:w="675" w:type="dxa"/>
            <w:vMerge w:val="continue"/>
            <w:tcBorders>
              <w:top w:val="single" w:color="000000" w:sz="4" w:space="0"/>
              <w:left w:val="single" w:color="000000" w:sz="4" w:space="0"/>
            </w:tcBorders>
            <w:shd w:val="clear" w:color="auto" w:fill="FFFFFF"/>
            <w:vAlign w:val="center"/>
          </w:tcPr>
          <w:p w14:paraId="365021E7">
            <w:pPr>
              <w:jc w:val="center"/>
              <w:rPr>
                <w:rFonts w:hint="eastAsia" w:ascii="宋体" w:hAnsi="宋体" w:cs="宋体"/>
                <w:color w:val="auto"/>
                <w:sz w:val="18"/>
                <w:szCs w:val="18"/>
                <w:highlight w:val="none"/>
              </w:rPr>
            </w:pPr>
          </w:p>
        </w:tc>
        <w:tc>
          <w:tcPr>
            <w:tcW w:w="1065" w:type="dxa"/>
            <w:vMerge w:val="continue"/>
            <w:tcBorders>
              <w:top w:val="single" w:color="000000" w:sz="4" w:space="0"/>
              <w:left w:val="single" w:color="000000" w:sz="4" w:space="0"/>
            </w:tcBorders>
            <w:shd w:val="clear" w:color="auto" w:fill="FFFFFF"/>
            <w:vAlign w:val="center"/>
          </w:tcPr>
          <w:p w14:paraId="2D2DBDA0">
            <w:pPr>
              <w:jc w:val="center"/>
              <w:rPr>
                <w:rFonts w:hint="eastAsia" w:ascii="宋体" w:hAnsi="宋体" w:cs="宋体"/>
                <w:color w:val="auto"/>
                <w:sz w:val="18"/>
                <w:szCs w:val="18"/>
                <w:highlight w:val="none"/>
              </w:rPr>
            </w:pPr>
          </w:p>
        </w:tc>
        <w:tc>
          <w:tcPr>
            <w:tcW w:w="1080" w:type="dxa"/>
            <w:vMerge w:val="restart"/>
            <w:tcBorders>
              <w:top w:val="single" w:color="000000" w:sz="4" w:space="0"/>
              <w:left w:val="single" w:color="000000" w:sz="4" w:space="0"/>
            </w:tcBorders>
            <w:shd w:val="clear" w:color="auto" w:fill="FFFFFF"/>
            <w:vAlign w:val="center"/>
          </w:tcPr>
          <w:p w14:paraId="07B7AA9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综合单价</w:t>
            </w:r>
          </w:p>
        </w:tc>
        <w:tc>
          <w:tcPr>
            <w:tcW w:w="1035" w:type="dxa"/>
            <w:vMerge w:val="restart"/>
            <w:tcBorders>
              <w:top w:val="single" w:color="000000" w:sz="4" w:space="0"/>
              <w:left w:val="single" w:color="000000" w:sz="4" w:space="0"/>
            </w:tcBorders>
            <w:shd w:val="clear" w:color="auto" w:fill="FFFFFF"/>
            <w:vAlign w:val="center"/>
          </w:tcPr>
          <w:p w14:paraId="2FE3900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合价</w:t>
            </w:r>
          </w:p>
        </w:tc>
        <w:tc>
          <w:tcPr>
            <w:tcW w:w="3270" w:type="dxa"/>
            <w:gridSpan w:val="3"/>
            <w:tcBorders>
              <w:top w:val="single" w:color="000000" w:sz="4" w:space="0"/>
              <w:left w:val="single" w:color="000000" w:sz="4" w:space="0"/>
              <w:right w:val="single" w:color="000000" w:sz="4" w:space="0"/>
            </w:tcBorders>
            <w:shd w:val="clear" w:color="auto" w:fill="FFFFFF"/>
            <w:vAlign w:val="center"/>
          </w:tcPr>
          <w:p w14:paraId="5D9FDC2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其中</w:t>
            </w:r>
          </w:p>
        </w:tc>
        <w:tc>
          <w:tcPr>
            <w:tcW w:w="1089" w:type="dxa"/>
            <w:vMerge w:val="continue"/>
            <w:tcBorders>
              <w:top w:val="single" w:color="000000" w:sz="4" w:space="0"/>
              <w:left w:val="single" w:color="000000" w:sz="4" w:space="0"/>
              <w:right w:val="single" w:color="000000" w:sz="4" w:space="0"/>
            </w:tcBorders>
            <w:shd w:val="clear" w:color="auto" w:fill="FFFFFF"/>
            <w:vAlign w:val="center"/>
          </w:tcPr>
          <w:p w14:paraId="681AACF4">
            <w:pPr>
              <w:jc w:val="center"/>
              <w:rPr>
                <w:rFonts w:hint="eastAsia" w:ascii="宋体" w:hAnsi="宋体" w:cs="宋体"/>
                <w:color w:val="auto"/>
                <w:sz w:val="18"/>
                <w:szCs w:val="18"/>
                <w:highlight w:val="none"/>
              </w:rPr>
            </w:pPr>
          </w:p>
        </w:tc>
      </w:tr>
      <w:tr w14:paraId="79E04615">
        <w:tblPrEx>
          <w:tblCellMar>
            <w:top w:w="15" w:type="dxa"/>
            <w:left w:w="15" w:type="dxa"/>
            <w:bottom w:w="15" w:type="dxa"/>
            <w:right w:w="15" w:type="dxa"/>
          </w:tblCellMar>
        </w:tblPrEx>
        <w:trPr>
          <w:trHeight w:val="450" w:hRule="atLeast"/>
        </w:trPr>
        <w:tc>
          <w:tcPr>
            <w:tcW w:w="758" w:type="dxa"/>
            <w:vMerge w:val="continue"/>
            <w:tcBorders>
              <w:top w:val="single" w:color="000000" w:sz="4" w:space="0"/>
              <w:left w:val="single" w:color="000000" w:sz="4" w:space="0"/>
            </w:tcBorders>
            <w:shd w:val="clear" w:color="auto" w:fill="FFFFFF"/>
            <w:vAlign w:val="center"/>
          </w:tcPr>
          <w:p w14:paraId="4FB40D13">
            <w:pPr>
              <w:jc w:val="center"/>
              <w:rPr>
                <w:rFonts w:hint="eastAsia" w:ascii="宋体" w:hAnsi="宋体" w:cs="宋体"/>
                <w:color w:val="auto"/>
                <w:sz w:val="18"/>
                <w:szCs w:val="18"/>
                <w:highlight w:val="none"/>
              </w:rPr>
            </w:pPr>
          </w:p>
        </w:tc>
        <w:tc>
          <w:tcPr>
            <w:tcW w:w="1500" w:type="dxa"/>
            <w:vMerge w:val="continue"/>
            <w:tcBorders>
              <w:top w:val="single" w:color="000000" w:sz="4" w:space="0"/>
              <w:left w:val="single" w:color="000000" w:sz="4" w:space="0"/>
            </w:tcBorders>
            <w:shd w:val="clear" w:color="auto" w:fill="FFFFFF"/>
            <w:vAlign w:val="center"/>
          </w:tcPr>
          <w:p w14:paraId="229A4FAF">
            <w:pPr>
              <w:jc w:val="center"/>
              <w:rPr>
                <w:rFonts w:hint="eastAsia" w:ascii="宋体" w:hAnsi="宋体" w:cs="宋体"/>
                <w:color w:val="auto"/>
                <w:sz w:val="18"/>
                <w:szCs w:val="18"/>
                <w:highlight w:val="none"/>
              </w:rPr>
            </w:pPr>
          </w:p>
        </w:tc>
        <w:tc>
          <w:tcPr>
            <w:tcW w:w="2423" w:type="dxa"/>
            <w:vMerge w:val="continue"/>
            <w:tcBorders>
              <w:top w:val="single" w:color="000000" w:sz="4" w:space="0"/>
              <w:left w:val="single" w:color="000000" w:sz="4" w:space="0"/>
            </w:tcBorders>
            <w:shd w:val="clear" w:color="auto" w:fill="FFFFFF"/>
            <w:vAlign w:val="center"/>
          </w:tcPr>
          <w:p w14:paraId="40FD6789">
            <w:pPr>
              <w:jc w:val="center"/>
              <w:rPr>
                <w:rFonts w:hint="eastAsia" w:ascii="宋体" w:hAnsi="宋体" w:cs="宋体"/>
                <w:color w:val="auto"/>
                <w:sz w:val="18"/>
                <w:szCs w:val="18"/>
                <w:highlight w:val="none"/>
              </w:rPr>
            </w:pPr>
          </w:p>
        </w:tc>
        <w:tc>
          <w:tcPr>
            <w:tcW w:w="3105" w:type="dxa"/>
            <w:vMerge w:val="continue"/>
            <w:tcBorders>
              <w:top w:val="single" w:color="000000" w:sz="4" w:space="0"/>
              <w:left w:val="single" w:color="000000" w:sz="4" w:space="0"/>
            </w:tcBorders>
            <w:shd w:val="clear" w:color="auto" w:fill="FFFFFF"/>
            <w:vAlign w:val="center"/>
          </w:tcPr>
          <w:p w14:paraId="7CE28232">
            <w:pPr>
              <w:jc w:val="center"/>
              <w:rPr>
                <w:rFonts w:hint="eastAsia" w:ascii="宋体" w:hAnsi="宋体" w:cs="宋体"/>
                <w:color w:val="auto"/>
                <w:sz w:val="18"/>
                <w:szCs w:val="18"/>
                <w:highlight w:val="none"/>
              </w:rPr>
            </w:pPr>
          </w:p>
        </w:tc>
        <w:tc>
          <w:tcPr>
            <w:tcW w:w="675" w:type="dxa"/>
            <w:vMerge w:val="continue"/>
            <w:tcBorders>
              <w:top w:val="single" w:color="000000" w:sz="4" w:space="0"/>
              <w:left w:val="single" w:color="000000" w:sz="4" w:space="0"/>
            </w:tcBorders>
            <w:shd w:val="clear" w:color="auto" w:fill="FFFFFF"/>
            <w:vAlign w:val="center"/>
          </w:tcPr>
          <w:p w14:paraId="695232A5">
            <w:pPr>
              <w:jc w:val="center"/>
              <w:rPr>
                <w:rFonts w:hint="eastAsia" w:ascii="宋体" w:hAnsi="宋体" w:cs="宋体"/>
                <w:color w:val="auto"/>
                <w:sz w:val="18"/>
                <w:szCs w:val="18"/>
                <w:highlight w:val="none"/>
              </w:rPr>
            </w:pPr>
          </w:p>
        </w:tc>
        <w:tc>
          <w:tcPr>
            <w:tcW w:w="1065" w:type="dxa"/>
            <w:vMerge w:val="continue"/>
            <w:tcBorders>
              <w:top w:val="single" w:color="000000" w:sz="4" w:space="0"/>
              <w:left w:val="single" w:color="000000" w:sz="4" w:space="0"/>
            </w:tcBorders>
            <w:shd w:val="clear" w:color="auto" w:fill="FFFFFF"/>
            <w:vAlign w:val="center"/>
          </w:tcPr>
          <w:p w14:paraId="2A04E500">
            <w:pPr>
              <w:jc w:val="center"/>
              <w:rPr>
                <w:rFonts w:hint="eastAsia" w:ascii="宋体" w:hAnsi="宋体" w:cs="宋体"/>
                <w:color w:val="auto"/>
                <w:sz w:val="18"/>
                <w:szCs w:val="18"/>
                <w:highlight w:val="none"/>
              </w:rPr>
            </w:pPr>
          </w:p>
        </w:tc>
        <w:tc>
          <w:tcPr>
            <w:tcW w:w="1080" w:type="dxa"/>
            <w:vMerge w:val="continue"/>
            <w:tcBorders>
              <w:top w:val="single" w:color="000000" w:sz="4" w:space="0"/>
              <w:left w:val="single" w:color="000000" w:sz="4" w:space="0"/>
            </w:tcBorders>
            <w:shd w:val="clear" w:color="auto" w:fill="FFFFFF"/>
            <w:vAlign w:val="center"/>
          </w:tcPr>
          <w:p w14:paraId="56521312">
            <w:pPr>
              <w:jc w:val="center"/>
              <w:rPr>
                <w:rFonts w:hint="eastAsia" w:ascii="宋体" w:hAnsi="宋体" w:cs="宋体"/>
                <w:color w:val="auto"/>
                <w:sz w:val="18"/>
                <w:szCs w:val="18"/>
                <w:highlight w:val="none"/>
              </w:rPr>
            </w:pPr>
          </w:p>
        </w:tc>
        <w:tc>
          <w:tcPr>
            <w:tcW w:w="1035" w:type="dxa"/>
            <w:vMerge w:val="continue"/>
            <w:tcBorders>
              <w:top w:val="single" w:color="000000" w:sz="4" w:space="0"/>
              <w:left w:val="single" w:color="000000" w:sz="4" w:space="0"/>
            </w:tcBorders>
            <w:shd w:val="clear" w:color="auto" w:fill="FFFFFF"/>
            <w:vAlign w:val="center"/>
          </w:tcPr>
          <w:p w14:paraId="024BD0CD">
            <w:pPr>
              <w:jc w:val="center"/>
              <w:rPr>
                <w:rFonts w:hint="eastAsia" w:ascii="宋体" w:hAnsi="宋体" w:cs="宋体"/>
                <w:color w:val="auto"/>
                <w:sz w:val="18"/>
                <w:szCs w:val="18"/>
                <w:highlight w:val="none"/>
              </w:rPr>
            </w:pPr>
          </w:p>
        </w:tc>
        <w:tc>
          <w:tcPr>
            <w:tcW w:w="1005" w:type="dxa"/>
            <w:tcBorders>
              <w:top w:val="single" w:color="000000" w:sz="4" w:space="0"/>
              <w:left w:val="single" w:color="000000" w:sz="4" w:space="0"/>
            </w:tcBorders>
            <w:shd w:val="clear" w:color="auto" w:fill="FFFFFF"/>
            <w:vAlign w:val="center"/>
          </w:tcPr>
          <w:p w14:paraId="7942B8D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人工费</w:t>
            </w:r>
          </w:p>
        </w:tc>
        <w:tc>
          <w:tcPr>
            <w:tcW w:w="1095" w:type="dxa"/>
            <w:tcBorders>
              <w:top w:val="single" w:color="000000" w:sz="4" w:space="0"/>
              <w:left w:val="single" w:color="000000" w:sz="4" w:space="0"/>
            </w:tcBorders>
            <w:shd w:val="clear" w:color="auto" w:fill="FFFFFF"/>
            <w:vAlign w:val="center"/>
          </w:tcPr>
          <w:p w14:paraId="29273F6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机械费</w:t>
            </w:r>
          </w:p>
        </w:tc>
        <w:tc>
          <w:tcPr>
            <w:tcW w:w="1170" w:type="dxa"/>
            <w:tcBorders>
              <w:top w:val="single" w:color="000000" w:sz="4" w:space="0"/>
              <w:left w:val="single" w:color="000000" w:sz="4" w:space="0"/>
              <w:right w:val="single" w:color="000000" w:sz="4" w:space="0"/>
            </w:tcBorders>
            <w:shd w:val="clear" w:color="auto" w:fill="FFFFFF"/>
            <w:vAlign w:val="center"/>
          </w:tcPr>
          <w:p w14:paraId="689F309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暂估价</w:t>
            </w:r>
          </w:p>
        </w:tc>
        <w:tc>
          <w:tcPr>
            <w:tcW w:w="1089" w:type="dxa"/>
            <w:vMerge w:val="continue"/>
            <w:tcBorders>
              <w:top w:val="single" w:color="000000" w:sz="4" w:space="0"/>
              <w:left w:val="single" w:color="000000" w:sz="4" w:space="0"/>
              <w:right w:val="single" w:color="000000" w:sz="4" w:space="0"/>
            </w:tcBorders>
            <w:shd w:val="clear" w:color="auto" w:fill="FFFFFF"/>
            <w:vAlign w:val="center"/>
          </w:tcPr>
          <w:p w14:paraId="2CA20FD0">
            <w:pPr>
              <w:jc w:val="center"/>
              <w:rPr>
                <w:rFonts w:hint="eastAsia" w:ascii="宋体" w:hAnsi="宋体" w:cs="宋体"/>
                <w:color w:val="auto"/>
                <w:sz w:val="18"/>
                <w:szCs w:val="18"/>
                <w:highlight w:val="none"/>
              </w:rPr>
            </w:pPr>
          </w:p>
        </w:tc>
      </w:tr>
      <w:tr w14:paraId="692C8C74">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42F6BA2A">
            <w:pPr>
              <w:jc w:val="center"/>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5F9273DC">
            <w:pPr>
              <w:jc w:val="left"/>
              <w:rPr>
                <w:rFonts w:hint="eastAsia" w:ascii="宋体" w:hAnsi="宋体" w:cs="宋体"/>
                <w:color w:val="auto"/>
                <w:sz w:val="18"/>
                <w:szCs w:val="18"/>
                <w:highlight w:val="none"/>
              </w:rPr>
            </w:pPr>
          </w:p>
        </w:tc>
        <w:tc>
          <w:tcPr>
            <w:tcW w:w="2423" w:type="dxa"/>
            <w:tcBorders>
              <w:top w:val="single" w:color="000000" w:sz="4" w:space="0"/>
              <w:left w:val="single" w:color="000000" w:sz="4" w:space="0"/>
            </w:tcBorders>
            <w:shd w:val="clear" w:color="auto" w:fill="FFFFFF"/>
            <w:vAlign w:val="center"/>
          </w:tcPr>
          <w:p w14:paraId="6A43796B">
            <w:pPr>
              <w:jc w:val="left"/>
              <w:rPr>
                <w:rFonts w:hint="eastAsia" w:ascii="宋体" w:hAnsi="宋体" w:cs="宋体"/>
                <w:color w:val="auto"/>
                <w:sz w:val="18"/>
                <w:szCs w:val="18"/>
                <w:highlight w:val="none"/>
              </w:rPr>
            </w:pPr>
          </w:p>
        </w:tc>
        <w:tc>
          <w:tcPr>
            <w:tcW w:w="3105" w:type="dxa"/>
            <w:tcBorders>
              <w:top w:val="single" w:color="000000" w:sz="4" w:space="0"/>
              <w:left w:val="single" w:color="000000" w:sz="4" w:space="0"/>
            </w:tcBorders>
            <w:shd w:val="clear" w:color="auto" w:fill="FFFFFF"/>
            <w:vAlign w:val="center"/>
          </w:tcPr>
          <w:p w14:paraId="2222ED63">
            <w:pPr>
              <w:jc w:val="left"/>
              <w:rPr>
                <w:rFonts w:hint="eastAsia" w:ascii="宋体" w:hAnsi="宋体" w:cs="宋体"/>
                <w:color w:val="auto"/>
                <w:sz w:val="18"/>
                <w:szCs w:val="18"/>
                <w:highlight w:val="none"/>
              </w:rPr>
            </w:pPr>
          </w:p>
        </w:tc>
        <w:tc>
          <w:tcPr>
            <w:tcW w:w="675" w:type="dxa"/>
            <w:tcBorders>
              <w:top w:val="single" w:color="000000" w:sz="4" w:space="0"/>
              <w:left w:val="single" w:color="000000" w:sz="4" w:space="0"/>
            </w:tcBorders>
            <w:shd w:val="clear" w:color="auto" w:fill="FFFFFF"/>
            <w:vAlign w:val="center"/>
          </w:tcPr>
          <w:p w14:paraId="488D4E40">
            <w:pPr>
              <w:jc w:val="center"/>
              <w:rPr>
                <w:rFonts w:hint="eastAsia" w:ascii="宋体" w:hAnsi="宋体" w:cs="宋体"/>
                <w:color w:val="auto"/>
                <w:sz w:val="18"/>
                <w:szCs w:val="18"/>
                <w:highlight w:val="none"/>
              </w:rPr>
            </w:pPr>
          </w:p>
        </w:tc>
        <w:tc>
          <w:tcPr>
            <w:tcW w:w="1065" w:type="dxa"/>
            <w:tcBorders>
              <w:top w:val="single" w:color="000000" w:sz="4" w:space="0"/>
              <w:left w:val="single" w:color="000000" w:sz="4" w:space="0"/>
            </w:tcBorders>
            <w:shd w:val="clear" w:color="auto" w:fill="FFFFFF"/>
            <w:vAlign w:val="center"/>
          </w:tcPr>
          <w:p w14:paraId="0D7771D9">
            <w:pPr>
              <w:jc w:val="right"/>
              <w:rPr>
                <w:rFonts w:hint="eastAsia" w:ascii="宋体" w:hAnsi="宋体" w:cs="宋体"/>
                <w:color w:val="auto"/>
                <w:sz w:val="18"/>
                <w:szCs w:val="18"/>
                <w:highlight w:val="none"/>
              </w:rPr>
            </w:pPr>
          </w:p>
        </w:tc>
        <w:tc>
          <w:tcPr>
            <w:tcW w:w="1080" w:type="dxa"/>
            <w:tcBorders>
              <w:top w:val="single" w:color="000000" w:sz="4" w:space="0"/>
              <w:left w:val="single" w:color="000000" w:sz="4" w:space="0"/>
            </w:tcBorders>
            <w:shd w:val="clear" w:color="auto" w:fill="FFFFFF"/>
            <w:vAlign w:val="center"/>
          </w:tcPr>
          <w:p w14:paraId="799E5A74">
            <w:pPr>
              <w:jc w:val="right"/>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2BAA0E76">
            <w:pPr>
              <w:jc w:val="right"/>
              <w:rPr>
                <w:rFonts w:hint="eastAsia" w:ascii="宋体" w:hAnsi="宋体" w:cs="宋体"/>
                <w:color w:val="auto"/>
                <w:sz w:val="18"/>
                <w:szCs w:val="18"/>
                <w:highlight w:val="none"/>
              </w:rPr>
            </w:pPr>
          </w:p>
        </w:tc>
        <w:tc>
          <w:tcPr>
            <w:tcW w:w="1005" w:type="dxa"/>
            <w:tcBorders>
              <w:top w:val="single" w:color="000000" w:sz="4" w:space="0"/>
              <w:left w:val="single" w:color="000000" w:sz="4" w:space="0"/>
            </w:tcBorders>
            <w:shd w:val="clear" w:color="auto" w:fill="FFFFFF"/>
            <w:vAlign w:val="center"/>
          </w:tcPr>
          <w:p w14:paraId="2FE18BEC">
            <w:pPr>
              <w:jc w:val="right"/>
              <w:rPr>
                <w:rFonts w:hint="eastAsia" w:ascii="宋体" w:hAnsi="宋体" w:cs="宋体"/>
                <w:color w:val="auto"/>
                <w:sz w:val="18"/>
                <w:szCs w:val="18"/>
                <w:highlight w:val="none"/>
              </w:rPr>
            </w:pPr>
          </w:p>
        </w:tc>
        <w:tc>
          <w:tcPr>
            <w:tcW w:w="1095" w:type="dxa"/>
            <w:tcBorders>
              <w:top w:val="single" w:color="000000" w:sz="4" w:space="0"/>
              <w:left w:val="single" w:color="000000" w:sz="4" w:space="0"/>
            </w:tcBorders>
            <w:shd w:val="clear" w:color="auto" w:fill="FFFFFF"/>
            <w:vAlign w:val="center"/>
          </w:tcPr>
          <w:p w14:paraId="6610B556">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2F111977">
            <w:pPr>
              <w:jc w:val="right"/>
              <w:rPr>
                <w:rFonts w:hint="eastAsia" w:ascii="宋体" w:hAnsi="宋体" w:cs="宋体"/>
                <w:color w:val="auto"/>
                <w:sz w:val="18"/>
                <w:szCs w:val="18"/>
                <w:highlight w:val="none"/>
              </w:rPr>
            </w:pPr>
          </w:p>
        </w:tc>
        <w:tc>
          <w:tcPr>
            <w:tcW w:w="1089" w:type="dxa"/>
            <w:tcBorders>
              <w:top w:val="single" w:color="000000" w:sz="4" w:space="0"/>
              <w:left w:val="single" w:color="000000" w:sz="4" w:space="0"/>
              <w:right w:val="single" w:color="000000" w:sz="4" w:space="0"/>
            </w:tcBorders>
            <w:shd w:val="clear" w:color="auto" w:fill="FFFFFF"/>
            <w:vAlign w:val="center"/>
          </w:tcPr>
          <w:p w14:paraId="61D72557">
            <w:pPr>
              <w:jc w:val="left"/>
              <w:rPr>
                <w:rFonts w:hint="eastAsia" w:ascii="宋体" w:hAnsi="宋体" w:cs="宋体"/>
                <w:color w:val="auto"/>
                <w:sz w:val="18"/>
                <w:szCs w:val="18"/>
                <w:highlight w:val="none"/>
              </w:rPr>
            </w:pPr>
          </w:p>
        </w:tc>
      </w:tr>
      <w:tr w14:paraId="31E26076">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12F61708">
            <w:pPr>
              <w:jc w:val="center"/>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320FD082">
            <w:pPr>
              <w:jc w:val="left"/>
              <w:rPr>
                <w:rFonts w:hint="eastAsia" w:ascii="宋体" w:hAnsi="宋体" w:cs="宋体"/>
                <w:color w:val="auto"/>
                <w:sz w:val="18"/>
                <w:szCs w:val="18"/>
                <w:highlight w:val="none"/>
              </w:rPr>
            </w:pPr>
          </w:p>
        </w:tc>
        <w:tc>
          <w:tcPr>
            <w:tcW w:w="2423" w:type="dxa"/>
            <w:tcBorders>
              <w:top w:val="single" w:color="000000" w:sz="4" w:space="0"/>
              <w:left w:val="single" w:color="000000" w:sz="4" w:space="0"/>
            </w:tcBorders>
            <w:shd w:val="clear" w:color="auto" w:fill="FFFFFF"/>
            <w:vAlign w:val="center"/>
          </w:tcPr>
          <w:p w14:paraId="5394AB02">
            <w:pPr>
              <w:jc w:val="left"/>
              <w:rPr>
                <w:rFonts w:hint="eastAsia" w:ascii="宋体" w:hAnsi="宋体" w:cs="宋体"/>
                <w:color w:val="auto"/>
                <w:sz w:val="18"/>
                <w:szCs w:val="18"/>
                <w:highlight w:val="none"/>
              </w:rPr>
            </w:pPr>
          </w:p>
        </w:tc>
        <w:tc>
          <w:tcPr>
            <w:tcW w:w="3105" w:type="dxa"/>
            <w:tcBorders>
              <w:top w:val="single" w:color="000000" w:sz="4" w:space="0"/>
              <w:left w:val="single" w:color="000000" w:sz="4" w:space="0"/>
            </w:tcBorders>
            <w:shd w:val="clear" w:color="auto" w:fill="FFFFFF"/>
            <w:vAlign w:val="center"/>
          </w:tcPr>
          <w:p w14:paraId="7C730CE3">
            <w:pPr>
              <w:jc w:val="left"/>
              <w:rPr>
                <w:rFonts w:hint="eastAsia" w:ascii="宋体" w:hAnsi="宋体" w:cs="宋体"/>
                <w:color w:val="auto"/>
                <w:sz w:val="18"/>
                <w:szCs w:val="18"/>
                <w:highlight w:val="none"/>
              </w:rPr>
            </w:pPr>
          </w:p>
        </w:tc>
        <w:tc>
          <w:tcPr>
            <w:tcW w:w="675" w:type="dxa"/>
            <w:tcBorders>
              <w:top w:val="single" w:color="000000" w:sz="4" w:space="0"/>
              <w:left w:val="single" w:color="000000" w:sz="4" w:space="0"/>
            </w:tcBorders>
            <w:shd w:val="clear" w:color="auto" w:fill="FFFFFF"/>
            <w:vAlign w:val="center"/>
          </w:tcPr>
          <w:p w14:paraId="347C4720">
            <w:pPr>
              <w:jc w:val="center"/>
              <w:rPr>
                <w:rFonts w:hint="eastAsia" w:ascii="宋体" w:hAnsi="宋体" w:cs="宋体"/>
                <w:color w:val="auto"/>
                <w:sz w:val="18"/>
                <w:szCs w:val="18"/>
                <w:highlight w:val="none"/>
              </w:rPr>
            </w:pPr>
          </w:p>
        </w:tc>
        <w:tc>
          <w:tcPr>
            <w:tcW w:w="1065" w:type="dxa"/>
            <w:tcBorders>
              <w:top w:val="single" w:color="000000" w:sz="4" w:space="0"/>
              <w:left w:val="single" w:color="000000" w:sz="4" w:space="0"/>
            </w:tcBorders>
            <w:shd w:val="clear" w:color="auto" w:fill="FFFFFF"/>
            <w:vAlign w:val="center"/>
          </w:tcPr>
          <w:p w14:paraId="4A29D1B4">
            <w:pPr>
              <w:jc w:val="right"/>
              <w:rPr>
                <w:rFonts w:hint="eastAsia" w:ascii="宋体" w:hAnsi="宋体" w:cs="宋体"/>
                <w:color w:val="auto"/>
                <w:sz w:val="18"/>
                <w:szCs w:val="18"/>
                <w:highlight w:val="none"/>
              </w:rPr>
            </w:pPr>
          </w:p>
        </w:tc>
        <w:tc>
          <w:tcPr>
            <w:tcW w:w="1080" w:type="dxa"/>
            <w:tcBorders>
              <w:top w:val="single" w:color="000000" w:sz="4" w:space="0"/>
              <w:left w:val="single" w:color="000000" w:sz="4" w:space="0"/>
            </w:tcBorders>
            <w:shd w:val="clear" w:color="auto" w:fill="FFFFFF"/>
            <w:vAlign w:val="center"/>
          </w:tcPr>
          <w:p w14:paraId="44EBEE78">
            <w:pPr>
              <w:jc w:val="right"/>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735554D8">
            <w:pPr>
              <w:jc w:val="right"/>
              <w:rPr>
                <w:rFonts w:hint="eastAsia" w:ascii="宋体" w:hAnsi="宋体" w:cs="宋体"/>
                <w:color w:val="auto"/>
                <w:sz w:val="18"/>
                <w:szCs w:val="18"/>
                <w:highlight w:val="none"/>
              </w:rPr>
            </w:pPr>
          </w:p>
        </w:tc>
        <w:tc>
          <w:tcPr>
            <w:tcW w:w="1005" w:type="dxa"/>
            <w:tcBorders>
              <w:top w:val="single" w:color="000000" w:sz="4" w:space="0"/>
              <w:left w:val="single" w:color="000000" w:sz="4" w:space="0"/>
            </w:tcBorders>
            <w:shd w:val="clear" w:color="auto" w:fill="FFFFFF"/>
            <w:vAlign w:val="center"/>
          </w:tcPr>
          <w:p w14:paraId="6B46383B">
            <w:pPr>
              <w:jc w:val="right"/>
              <w:rPr>
                <w:rFonts w:hint="eastAsia" w:ascii="宋体" w:hAnsi="宋体" w:cs="宋体"/>
                <w:color w:val="auto"/>
                <w:sz w:val="18"/>
                <w:szCs w:val="18"/>
                <w:highlight w:val="none"/>
              </w:rPr>
            </w:pPr>
          </w:p>
        </w:tc>
        <w:tc>
          <w:tcPr>
            <w:tcW w:w="1095" w:type="dxa"/>
            <w:tcBorders>
              <w:top w:val="single" w:color="000000" w:sz="4" w:space="0"/>
              <w:left w:val="single" w:color="000000" w:sz="4" w:space="0"/>
            </w:tcBorders>
            <w:shd w:val="clear" w:color="auto" w:fill="FFFFFF"/>
            <w:vAlign w:val="center"/>
          </w:tcPr>
          <w:p w14:paraId="546DEC70">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6B8BBDE0">
            <w:pPr>
              <w:jc w:val="right"/>
              <w:rPr>
                <w:rFonts w:hint="eastAsia" w:ascii="宋体" w:hAnsi="宋体" w:cs="宋体"/>
                <w:color w:val="auto"/>
                <w:sz w:val="18"/>
                <w:szCs w:val="18"/>
                <w:highlight w:val="none"/>
              </w:rPr>
            </w:pPr>
          </w:p>
        </w:tc>
        <w:tc>
          <w:tcPr>
            <w:tcW w:w="1089" w:type="dxa"/>
            <w:tcBorders>
              <w:top w:val="single" w:color="000000" w:sz="4" w:space="0"/>
              <w:left w:val="single" w:color="000000" w:sz="4" w:space="0"/>
              <w:right w:val="single" w:color="000000" w:sz="4" w:space="0"/>
            </w:tcBorders>
            <w:shd w:val="clear" w:color="auto" w:fill="FFFFFF"/>
            <w:vAlign w:val="center"/>
          </w:tcPr>
          <w:p w14:paraId="76CBE7EC">
            <w:pPr>
              <w:jc w:val="left"/>
              <w:rPr>
                <w:rFonts w:hint="eastAsia" w:ascii="宋体" w:hAnsi="宋体" w:cs="宋体"/>
                <w:color w:val="auto"/>
                <w:sz w:val="18"/>
                <w:szCs w:val="18"/>
                <w:highlight w:val="none"/>
              </w:rPr>
            </w:pPr>
          </w:p>
        </w:tc>
      </w:tr>
      <w:tr w14:paraId="3E2717CF">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1E27A5AF">
            <w:pPr>
              <w:jc w:val="center"/>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338FC88A">
            <w:pPr>
              <w:jc w:val="left"/>
              <w:rPr>
                <w:rFonts w:hint="eastAsia" w:ascii="宋体" w:hAnsi="宋体" w:cs="宋体"/>
                <w:color w:val="auto"/>
                <w:sz w:val="18"/>
                <w:szCs w:val="18"/>
                <w:highlight w:val="none"/>
              </w:rPr>
            </w:pPr>
          </w:p>
        </w:tc>
        <w:tc>
          <w:tcPr>
            <w:tcW w:w="2423" w:type="dxa"/>
            <w:tcBorders>
              <w:top w:val="single" w:color="000000" w:sz="4" w:space="0"/>
              <w:left w:val="single" w:color="000000" w:sz="4" w:space="0"/>
            </w:tcBorders>
            <w:shd w:val="clear" w:color="auto" w:fill="FFFFFF"/>
            <w:vAlign w:val="center"/>
          </w:tcPr>
          <w:p w14:paraId="050AC1CE">
            <w:pPr>
              <w:jc w:val="left"/>
              <w:rPr>
                <w:rFonts w:hint="eastAsia" w:ascii="宋体" w:hAnsi="宋体" w:cs="宋体"/>
                <w:color w:val="auto"/>
                <w:sz w:val="18"/>
                <w:szCs w:val="18"/>
                <w:highlight w:val="none"/>
              </w:rPr>
            </w:pPr>
          </w:p>
        </w:tc>
        <w:tc>
          <w:tcPr>
            <w:tcW w:w="3105" w:type="dxa"/>
            <w:tcBorders>
              <w:top w:val="single" w:color="000000" w:sz="4" w:space="0"/>
              <w:left w:val="single" w:color="000000" w:sz="4" w:space="0"/>
            </w:tcBorders>
            <w:shd w:val="clear" w:color="auto" w:fill="FFFFFF"/>
            <w:vAlign w:val="center"/>
          </w:tcPr>
          <w:p w14:paraId="4B216F46">
            <w:pPr>
              <w:jc w:val="left"/>
              <w:rPr>
                <w:rFonts w:hint="eastAsia" w:ascii="宋体" w:hAnsi="宋体" w:cs="宋体"/>
                <w:color w:val="auto"/>
                <w:sz w:val="18"/>
                <w:szCs w:val="18"/>
                <w:highlight w:val="none"/>
              </w:rPr>
            </w:pPr>
          </w:p>
        </w:tc>
        <w:tc>
          <w:tcPr>
            <w:tcW w:w="675" w:type="dxa"/>
            <w:tcBorders>
              <w:top w:val="single" w:color="000000" w:sz="4" w:space="0"/>
              <w:left w:val="single" w:color="000000" w:sz="4" w:space="0"/>
            </w:tcBorders>
            <w:shd w:val="clear" w:color="auto" w:fill="FFFFFF"/>
            <w:vAlign w:val="center"/>
          </w:tcPr>
          <w:p w14:paraId="50B4BDA4">
            <w:pPr>
              <w:jc w:val="center"/>
              <w:rPr>
                <w:rFonts w:hint="eastAsia" w:ascii="宋体" w:hAnsi="宋体" w:cs="宋体"/>
                <w:color w:val="auto"/>
                <w:sz w:val="18"/>
                <w:szCs w:val="18"/>
                <w:highlight w:val="none"/>
              </w:rPr>
            </w:pPr>
          </w:p>
        </w:tc>
        <w:tc>
          <w:tcPr>
            <w:tcW w:w="1065" w:type="dxa"/>
            <w:tcBorders>
              <w:top w:val="single" w:color="000000" w:sz="4" w:space="0"/>
              <w:left w:val="single" w:color="000000" w:sz="4" w:space="0"/>
            </w:tcBorders>
            <w:shd w:val="clear" w:color="auto" w:fill="FFFFFF"/>
            <w:vAlign w:val="center"/>
          </w:tcPr>
          <w:p w14:paraId="449E8CD4">
            <w:pPr>
              <w:jc w:val="right"/>
              <w:rPr>
                <w:rFonts w:hint="eastAsia" w:ascii="宋体" w:hAnsi="宋体" w:cs="宋体"/>
                <w:color w:val="auto"/>
                <w:sz w:val="18"/>
                <w:szCs w:val="18"/>
                <w:highlight w:val="none"/>
              </w:rPr>
            </w:pPr>
          </w:p>
        </w:tc>
        <w:tc>
          <w:tcPr>
            <w:tcW w:w="1080" w:type="dxa"/>
            <w:tcBorders>
              <w:top w:val="single" w:color="000000" w:sz="4" w:space="0"/>
              <w:left w:val="single" w:color="000000" w:sz="4" w:space="0"/>
            </w:tcBorders>
            <w:shd w:val="clear" w:color="auto" w:fill="FFFFFF"/>
            <w:vAlign w:val="center"/>
          </w:tcPr>
          <w:p w14:paraId="78A5932A">
            <w:pPr>
              <w:jc w:val="right"/>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613F7FD1">
            <w:pPr>
              <w:jc w:val="right"/>
              <w:rPr>
                <w:rFonts w:hint="eastAsia" w:ascii="宋体" w:hAnsi="宋体" w:cs="宋体"/>
                <w:color w:val="auto"/>
                <w:sz w:val="18"/>
                <w:szCs w:val="18"/>
                <w:highlight w:val="none"/>
              </w:rPr>
            </w:pPr>
          </w:p>
        </w:tc>
        <w:tc>
          <w:tcPr>
            <w:tcW w:w="1005" w:type="dxa"/>
            <w:tcBorders>
              <w:top w:val="single" w:color="000000" w:sz="4" w:space="0"/>
              <w:left w:val="single" w:color="000000" w:sz="4" w:space="0"/>
            </w:tcBorders>
            <w:shd w:val="clear" w:color="auto" w:fill="FFFFFF"/>
            <w:vAlign w:val="center"/>
          </w:tcPr>
          <w:p w14:paraId="56F2153A">
            <w:pPr>
              <w:jc w:val="right"/>
              <w:rPr>
                <w:rFonts w:hint="eastAsia" w:ascii="宋体" w:hAnsi="宋体" w:cs="宋体"/>
                <w:color w:val="auto"/>
                <w:sz w:val="18"/>
                <w:szCs w:val="18"/>
                <w:highlight w:val="none"/>
              </w:rPr>
            </w:pPr>
          </w:p>
        </w:tc>
        <w:tc>
          <w:tcPr>
            <w:tcW w:w="1095" w:type="dxa"/>
            <w:tcBorders>
              <w:top w:val="single" w:color="000000" w:sz="4" w:space="0"/>
              <w:left w:val="single" w:color="000000" w:sz="4" w:space="0"/>
            </w:tcBorders>
            <w:shd w:val="clear" w:color="auto" w:fill="FFFFFF"/>
            <w:vAlign w:val="center"/>
          </w:tcPr>
          <w:p w14:paraId="0F8E05BB">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0DA28A2D">
            <w:pPr>
              <w:jc w:val="right"/>
              <w:rPr>
                <w:rFonts w:hint="eastAsia" w:ascii="宋体" w:hAnsi="宋体" w:cs="宋体"/>
                <w:color w:val="auto"/>
                <w:sz w:val="18"/>
                <w:szCs w:val="18"/>
                <w:highlight w:val="none"/>
              </w:rPr>
            </w:pPr>
          </w:p>
        </w:tc>
        <w:tc>
          <w:tcPr>
            <w:tcW w:w="1089" w:type="dxa"/>
            <w:tcBorders>
              <w:top w:val="single" w:color="000000" w:sz="4" w:space="0"/>
              <w:left w:val="single" w:color="000000" w:sz="4" w:space="0"/>
              <w:right w:val="single" w:color="000000" w:sz="4" w:space="0"/>
            </w:tcBorders>
            <w:shd w:val="clear" w:color="auto" w:fill="FFFFFF"/>
            <w:vAlign w:val="center"/>
          </w:tcPr>
          <w:p w14:paraId="69F9F566">
            <w:pPr>
              <w:jc w:val="left"/>
              <w:rPr>
                <w:rFonts w:hint="eastAsia" w:ascii="宋体" w:hAnsi="宋体" w:cs="宋体"/>
                <w:color w:val="auto"/>
                <w:sz w:val="18"/>
                <w:szCs w:val="18"/>
                <w:highlight w:val="none"/>
              </w:rPr>
            </w:pPr>
          </w:p>
        </w:tc>
      </w:tr>
      <w:tr w14:paraId="3C9071D1">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251033B5">
            <w:pPr>
              <w:jc w:val="center"/>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69410C39">
            <w:pPr>
              <w:jc w:val="left"/>
              <w:rPr>
                <w:rFonts w:hint="eastAsia" w:ascii="宋体" w:hAnsi="宋体" w:cs="宋体"/>
                <w:color w:val="auto"/>
                <w:sz w:val="18"/>
                <w:szCs w:val="18"/>
                <w:highlight w:val="none"/>
              </w:rPr>
            </w:pPr>
          </w:p>
        </w:tc>
        <w:tc>
          <w:tcPr>
            <w:tcW w:w="2423" w:type="dxa"/>
            <w:tcBorders>
              <w:top w:val="single" w:color="000000" w:sz="4" w:space="0"/>
              <w:left w:val="single" w:color="000000" w:sz="4" w:space="0"/>
            </w:tcBorders>
            <w:shd w:val="clear" w:color="auto" w:fill="FFFFFF"/>
            <w:vAlign w:val="center"/>
          </w:tcPr>
          <w:p w14:paraId="07271287">
            <w:pPr>
              <w:jc w:val="left"/>
              <w:rPr>
                <w:rFonts w:hint="eastAsia" w:ascii="宋体" w:hAnsi="宋体" w:cs="宋体"/>
                <w:color w:val="auto"/>
                <w:sz w:val="18"/>
                <w:szCs w:val="18"/>
                <w:highlight w:val="none"/>
              </w:rPr>
            </w:pPr>
          </w:p>
        </w:tc>
        <w:tc>
          <w:tcPr>
            <w:tcW w:w="3105" w:type="dxa"/>
            <w:tcBorders>
              <w:top w:val="single" w:color="000000" w:sz="4" w:space="0"/>
              <w:left w:val="single" w:color="000000" w:sz="4" w:space="0"/>
            </w:tcBorders>
            <w:shd w:val="clear" w:color="auto" w:fill="FFFFFF"/>
            <w:vAlign w:val="center"/>
          </w:tcPr>
          <w:p w14:paraId="3C1BA565">
            <w:pPr>
              <w:jc w:val="left"/>
              <w:rPr>
                <w:rFonts w:hint="eastAsia" w:ascii="宋体" w:hAnsi="宋体" w:cs="宋体"/>
                <w:color w:val="auto"/>
                <w:sz w:val="18"/>
                <w:szCs w:val="18"/>
                <w:highlight w:val="none"/>
              </w:rPr>
            </w:pPr>
          </w:p>
        </w:tc>
        <w:tc>
          <w:tcPr>
            <w:tcW w:w="675" w:type="dxa"/>
            <w:tcBorders>
              <w:top w:val="single" w:color="000000" w:sz="4" w:space="0"/>
              <w:left w:val="single" w:color="000000" w:sz="4" w:space="0"/>
            </w:tcBorders>
            <w:shd w:val="clear" w:color="auto" w:fill="FFFFFF"/>
            <w:vAlign w:val="center"/>
          </w:tcPr>
          <w:p w14:paraId="33DAC729">
            <w:pPr>
              <w:jc w:val="center"/>
              <w:rPr>
                <w:rFonts w:hint="eastAsia" w:ascii="宋体" w:hAnsi="宋体" w:cs="宋体"/>
                <w:color w:val="auto"/>
                <w:sz w:val="18"/>
                <w:szCs w:val="18"/>
                <w:highlight w:val="none"/>
              </w:rPr>
            </w:pPr>
          </w:p>
        </w:tc>
        <w:tc>
          <w:tcPr>
            <w:tcW w:w="1065" w:type="dxa"/>
            <w:tcBorders>
              <w:top w:val="single" w:color="000000" w:sz="4" w:space="0"/>
              <w:left w:val="single" w:color="000000" w:sz="4" w:space="0"/>
            </w:tcBorders>
            <w:shd w:val="clear" w:color="auto" w:fill="FFFFFF"/>
            <w:vAlign w:val="center"/>
          </w:tcPr>
          <w:p w14:paraId="6A30443A">
            <w:pPr>
              <w:jc w:val="right"/>
              <w:rPr>
                <w:rFonts w:hint="eastAsia" w:ascii="宋体" w:hAnsi="宋体" w:cs="宋体"/>
                <w:color w:val="auto"/>
                <w:sz w:val="18"/>
                <w:szCs w:val="18"/>
                <w:highlight w:val="none"/>
              </w:rPr>
            </w:pPr>
          </w:p>
        </w:tc>
        <w:tc>
          <w:tcPr>
            <w:tcW w:w="1080" w:type="dxa"/>
            <w:tcBorders>
              <w:top w:val="single" w:color="000000" w:sz="4" w:space="0"/>
              <w:left w:val="single" w:color="000000" w:sz="4" w:space="0"/>
            </w:tcBorders>
            <w:shd w:val="clear" w:color="auto" w:fill="FFFFFF"/>
            <w:vAlign w:val="center"/>
          </w:tcPr>
          <w:p w14:paraId="01A51453">
            <w:pPr>
              <w:jc w:val="right"/>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18C04E74">
            <w:pPr>
              <w:jc w:val="right"/>
              <w:rPr>
                <w:rFonts w:hint="eastAsia" w:ascii="宋体" w:hAnsi="宋体" w:cs="宋体"/>
                <w:color w:val="auto"/>
                <w:sz w:val="18"/>
                <w:szCs w:val="18"/>
                <w:highlight w:val="none"/>
              </w:rPr>
            </w:pPr>
          </w:p>
        </w:tc>
        <w:tc>
          <w:tcPr>
            <w:tcW w:w="1005" w:type="dxa"/>
            <w:tcBorders>
              <w:top w:val="single" w:color="000000" w:sz="4" w:space="0"/>
              <w:left w:val="single" w:color="000000" w:sz="4" w:space="0"/>
            </w:tcBorders>
            <w:shd w:val="clear" w:color="auto" w:fill="FFFFFF"/>
            <w:vAlign w:val="center"/>
          </w:tcPr>
          <w:p w14:paraId="044E1C97">
            <w:pPr>
              <w:jc w:val="right"/>
              <w:rPr>
                <w:rFonts w:hint="eastAsia" w:ascii="宋体" w:hAnsi="宋体" w:cs="宋体"/>
                <w:color w:val="auto"/>
                <w:sz w:val="18"/>
                <w:szCs w:val="18"/>
                <w:highlight w:val="none"/>
              </w:rPr>
            </w:pPr>
          </w:p>
        </w:tc>
        <w:tc>
          <w:tcPr>
            <w:tcW w:w="1095" w:type="dxa"/>
            <w:tcBorders>
              <w:top w:val="single" w:color="000000" w:sz="4" w:space="0"/>
              <w:left w:val="single" w:color="000000" w:sz="4" w:space="0"/>
            </w:tcBorders>
            <w:shd w:val="clear" w:color="auto" w:fill="FFFFFF"/>
            <w:vAlign w:val="center"/>
          </w:tcPr>
          <w:p w14:paraId="5144AABB">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152CD427">
            <w:pPr>
              <w:jc w:val="right"/>
              <w:rPr>
                <w:rFonts w:hint="eastAsia" w:ascii="宋体" w:hAnsi="宋体" w:cs="宋体"/>
                <w:color w:val="auto"/>
                <w:sz w:val="18"/>
                <w:szCs w:val="18"/>
                <w:highlight w:val="none"/>
              </w:rPr>
            </w:pPr>
          </w:p>
        </w:tc>
        <w:tc>
          <w:tcPr>
            <w:tcW w:w="1089" w:type="dxa"/>
            <w:tcBorders>
              <w:top w:val="single" w:color="000000" w:sz="4" w:space="0"/>
              <w:left w:val="single" w:color="000000" w:sz="4" w:space="0"/>
              <w:right w:val="single" w:color="000000" w:sz="4" w:space="0"/>
            </w:tcBorders>
            <w:shd w:val="clear" w:color="auto" w:fill="FFFFFF"/>
            <w:vAlign w:val="center"/>
          </w:tcPr>
          <w:p w14:paraId="5B9FEDCB">
            <w:pPr>
              <w:jc w:val="left"/>
              <w:rPr>
                <w:rFonts w:hint="eastAsia" w:ascii="宋体" w:hAnsi="宋体" w:cs="宋体"/>
                <w:color w:val="auto"/>
                <w:sz w:val="18"/>
                <w:szCs w:val="18"/>
                <w:highlight w:val="none"/>
              </w:rPr>
            </w:pPr>
          </w:p>
        </w:tc>
      </w:tr>
      <w:tr w14:paraId="625E32EE">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75F7683E">
            <w:pPr>
              <w:jc w:val="center"/>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1190E18C">
            <w:pPr>
              <w:jc w:val="left"/>
              <w:rPr>
                <w:rFonts w:hint="eastAsia" w:ascii="宋体" w:hAnsi="宋体" w:cs="宋体"/>
                <w:color w:val="auto"/>
                <w:sz w:val="18"/>
                <w:szCs w:val="18"/>
                <w:highlight w:val="none"/>
              </w:rPr>
            </w:pPr>
          </w:p>
        </w:tc>
        <w:tc>
          <w:tcPr>
            <w:tcW w:w="2423" w:type="dxa"/>
            <w:tcBorders>
              <w:top w:val="single" w:color="000000" w:sz="4" w:space="0"/>
              <w:left w:val="single" w:color="000000" w:sz="4" w:space="0"/>
            </w:tcBorders>
            <w:shd w:val="clear" w:color="auto" w:fill="FFFFFF"/>
            <w:vAlign w:val="center"/>
          </w:tcPr>
          <w:p w14:paraId="229B758C">
            <w:pPr>
              <w:jc w:val="left"/>
              <w:rPr>
                <w:rFonts w:hint="eastAsia" w:ascii="宋体" w:hAnsi="宋体" w:cs="宋体"/>
                <w:color w:val="auto"/>
                <w:sz w:val="18"/>
                <w:szCs w:val="18"/>
                <w:highlight w:val="none"/>
              </w:rPr>
            </w:pPr>
          </w:p>
        </w:tc>
        <w:tc>
          <w:tcPr>
            <w:tcW w:w="3105" w:type="dxa"/>
            <w:tcBorders>
              <w:top w:val="single" w:color="000000" w:sz="4" w:space="0"/>
              <w:left w:val="single" w:color="000000" w:sz="4" w:space="0"/>
            </w:tcBorders>
            <w:shd w:val="clear" w:color="auto" w:fill="FFFFFF"/>
            <w:vAlign w:val="center"/>
          </w:tcPr>
          <w:p w14:paraId="7477973E">
            <w:pPr>
              <w:jc w:val="left"/>
              <w:rPr>
                <w:rFonts w:hint="eastAsia" w:ascii="宋体" w:hAnsi="宋体" w:cs="宋体"/>
                <w:color w:val="auto"/>
                <w:sz w:val="18"/>
                <w:szCs w:val="18"/>
                <w:highlight w:val="none"/>
              </w:rPr>
            </w:pPr>
          </w:p>
        </w:tc>
        <w:tc>
          <w:tcPr>
            <w:tcW w:w="675" w:type="dxa"/>
            <w:tcBorders>
              <w:top w:val="single" w:color="000000" w:sz="4" w:space="0"/>
              <w:left w:val="single" w:color="000000" w:sz="4" w:space="0"/>
            </w:tcBorders>
            <w:shd w:val="clear" w:color="auto" w:fill="FFFFFF"/>
            <w:vAlign w:val="center"/>
          </w:tcPr>
          <w:p w14:paraId="21854157">
            <w:pPr>
              <w:jc w:val="center"/>
              <w:rPr>
                <w:rFonts w:hint="eastAsia" w:ascii="宋体" w:hAnsi="宋体" w:cs="宋体"/>
                <w:color w:val="auto"/>
                <w:sz w:val="18"/>
                <w:szCs w:val="18"/>
                <w:highlight w:val="none"/>
              </w:rPr>
            </w:pPr>
          </w:p>
        </w:tc>
        <w:tc>
          <w:tcPr>
            <w:tcW w:w="1065" w:type="dxa"/>
            <w:tcBorders>
              <w:top w:val="single" w:color="000000" w:sz="4" w:space="0"/>
              <w:left w:val="single" w:color="000000" w:sz="4" w:space="0"/>
            </w:tcBorders>
            <w:shd w:val="clear" w:color="auto" w:fill="FFFFFF"/>
            <w:vAlign w:val="center"/>
          </w:tcPr>
          <w:p w14:paraId="0C814BCB">
            <w:pPr>
              <w:jc w:val="right"/>
              <w:rPr>
                <w:rFonts w:hint="eastAsia" w:ascii="宋体" w:hAnsi="宋体" w:cs="宋体"/>
                <w:color w:val="auto"/>
                <w:sz w:val="18"/>
                <w:szCs w:val="18"/>
                <w:highlight w:val="none"/>
              </w:rPr>
            </w:pPr>
          </w:p>
        </w:tc>
        <w:tc>
          <w:tcPr>
            <w:tcW w:w="1080" w:type="dxa"/>
            <w:tcBorders>
              <w:top w:val="single" w:color="000000" w:sz="4" w:space="0"/>
              <w:left w:val="single" w:color="000000" w:sz="4" w:space="0"/>
            </w:tcBorders>
            <w:shd w:val="clear" w:color="auto" w:fill="FFFFFF"/>
            <w:vAlign w:val="center"/>
          </w:tcPr>
          <w:p w14:paraId="574683AC">
            <w:pPr>
              <w:jc w:val="right"/>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6C2F1F14">
            <w:pPr>
              <w:jc w:val="right"/>
              <w:rPr>
                <w:rFonts w:hint="eastAsia" w:ascii="宋体" w:hAnsi="宋体" w:cs="宋体"/>
                <w:color w:val="auto"/>
                <w:sz w:val="18"/>
                <w:szCs w:val="18"/>
                <w:highlight w:val="none"/>
              </w:rPr>
            </w:pPr>
          </w:p>
        </w:tc>
        <w:tc>
          <w:tcPr>
            <w:tcW w:w="1005" w:type="dxa"/>
            <w:tcBorders>
              <w:top w:val="single" w:color="000000" w:sz="4" w:space="0"/>
              <w:left w:val="single" w:color="000000" w:sz="4" w:space="0"/>
            </w:tcBorders>
            <w:shd w:val="clear" w:color="auto" w:fill="FFFFFF"/>
            <w:vAlign w:val="center"/>
          </w:tcPr>
          <w:p w14:paraId="40FDA6F1">
            <w:pPr>
              <w:jc w:val="right"/>
              <w:rPr>
                <w:rFonts w:hint="eastAsia" w:ascii="宋体" w:hAnsi="宋体" w:cs="宋体"/>
                <w:color w:val="auto"/>
                <w:sz w:val="18"/>
                <w:szCs w:val="18"/>
                <w:highlight w:val="none"/>
              </w:rPr>
            </w:pPr>
          </w:p>
        </w:tc>
        <w:tc>
          <w:tcPr>
            <w:tcW w:w="1095" w:type="dxa"/>
            <w:tcBorders>
              <w:top w:val="single" w:color="000000" w:sz="4" w:space="0"/>
              <w:left w:val="single" w:color="000000" w:sz="4" w:space="0"/>
            </w:tcBorders>
            <w:shd w:val="clear" w:color="auto" w:fill="FFFFFF"/>
            <w:vAlign w:val="center"/>
          </w:tcPr>
          <w:p w14:paraId="583F7750">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2D225CF6">
            <w:pPr>
              <w:jc w:val="right"/>
              <w:rPr>
                <w:rFonts w:hint="eastAsia" w:ascii="宋体" w:hAnsi="宋体" w:cs="宋体"/>
                <w:color w:val="auto"/>
                <w:sz w:val="18"/>
                <w:szCs w:val="18"/>
                <w:highlight w:val="none"/>
              </w:rPr>
            </w:pPr>
          </w:p>
        </w:tc>
        <w:tc>
          <w:tcPr>
            <w:tcW w:w="1089" w:type="dxa"/>
            <w:tcBorders>
              <w:top w:val="single" w:color="000000" w:sz="4" w:space="0"/>
              <w:left w:val="single" w:color="000000" w:sz="4" w:space="0"/>
              <w:right w:val="single" w:color="000000" w:sz="4" w:space="0"/>
            </w:tcBorders>
            <w:shd w:val="clear" w:color="auto" w:fill="FFFFFF"/>
            <w:vAlign w:val="center"/>
          </w:tcPr>
          <w:p w14:paraId="49A5AD4A">
            <w:pPr>
              <w:jc w:val="left"/>
              <w:rPr>
                <w:rFonts w:hint="eastAsia" w:ascii="宋体" w:hAnsi="宋体" w:cs="宋体"/>
                <w:color w:val="auto"/>
                <w:sz w:val="18"/>
                <w:szCs w:val="18"/>
                <w:highlight w:val="none"/>
              </w:rPr>
            </w:pPr>
          </w:p>
        </w:tc>
      </w:tr>
      <w:tr w14:paraId="4D5356D9">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15859110">
            <w:pPr>
              <w:jc w:val="center"/>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282DF79C">
            <w:pPr>
              <w:jc w:val="left"/>
              <w:rPr>
                <w:rFonts w:hint="eastAsia" w:ascii="宋体" w:hAnsi="宋体" w:cs="宋体"/>
                <w:color w:val="auto"/>
                <w:sz w:val="18"/>
                <w:szCs w:val="18"/>
                <w:highlight w:val="none"/>
              </w:rPr>
            </w:pPr>
          </w:p>
        </w:tc>
        <w:tc>
          <w:tcPr>
            <w:tcW w:w="2423" w:type="dxa"/>
            <w:tcBorders>
              <w:top w:val="single" w:color="000000" w:sz="4" w:space="0"/>
              <w:left w:val="single" w:color="000000" w:sz="4" w:space="0"/>
            </w:tcBorders>
            <w:shd w:val="clear" w:color="auto" w:fill="FFFFFF"/>
            <w:vAlign w:val="center"/>
          </w:tcPr>
          <w:p w14:paraId="71F73BF3">
            <w:pPr>
              <w:jc w:val="left"/>
              <w:rPr>
                <w:rFonts w:hint="eastAsia" w:ascii="宋体" w:hAnsi="宋体" w:cs="宋体"/>
                <w:color w:val="auto"/>
                <w:sz w:val="18"/>
                <w:szCs w:val="18"/>
                <w:highlight w:val="none"/>
              </w:rPr>
            </w:pPr>
          </w:p>
        </w:tc>
        <w:tc>
          <w:tcPr>
            <w:tcW w:w="3105" w:type="dxa"/>
            <w:tcBorders>
              <w:top w:val="single" w:color="000000" w:sz="4" w:space="0"/>
              <w:left w:val="single" w:color="000000" w:sz="4" w:space="0"/>
            </w:tcBorders>
            <w:shd w:val="clear" w:color="auto" w:fill="FFFFFF"/>
            <w:vAlign w:val="center"/>
          </w:tcPr>
          <w:p w14:paraId="5D8F30DD">
            <w:pPr>
              <w:jc w:val="left"/>
              <w:rPr>
                <w:rFonts w:hint="eastAsia" w:ascii="宋体" w:hAnsi="宋体" w:cs="宋体"/>
                <w:color w:val="auto"/>
                <w:sz w:val="18"/>
                <w:szCs w:val="18"/>
                <w:highlight w:val="none"/>
              </w:rPr>
            </w:pPr>
          </w:p>
        </w:tc>
        <w:tc>
          <w:tcPr>
            <w:tcW w:w="675" w:type="dxa"/>
            <w:tcBorders>
              <w:top w:val="single" w:color="000000" w:sz="4" w:space="0"/>
              <w:left w:val="single" w:color="000000" w:sz="4" w:space="0"/>
            </w:tcBorders>
            <w:shd w:val="clear" w:color="auto" w:fill="FFFFFF"/>
            <w:vAlign w:val="center"/>
          </w:tcPr>
          <w:p w14:paraId="0C70CCAD">
            <w:pPr>
              <w:jc w:val="center"/>
              <w:rPr>
                <w:rFonts w:hint="eastAsia" w:ascii="宋体" w:hAnsi="宋体" w:cs="宋体"/>
                <w:color w:val="auto"/>
                <w:sz w:val="18"/>
                <w:szCs w:val="18"/>
                <w:highlight w:val="none"/>
              </w:rPr>
            </w:pPr>
          </w:p>
        </w:tc>
        <w:tc>
          <w:tcPr>
            <w:tcW w:w="1065" w:type="dxa"/>
            <w:tcBorders>
              <w:top w:val="single" w:color="000000" w:sz="4" w:space="0"/>
              <w:left w:val="single" w:color="000000" w:sz="4" w:space="0"/>
            </w:tcBorders>
            <w:shd w:val="clear" w:color="auto" w:fill="FFFFFF"/>
            <w:vAlign w:val="center"/>
          </w:tcPr>
          <w:p w14:paraId="2C05D2AE">
            <w:pPr>
              <w:jc w:val="right"/>
              <w:rPr>
                <w:rFonts w:hint="eastAsia" w:ascii="宋体" w:hAnsi="宋体" w:cs="宋体"/>
                <w:color w:val="auto"/>
                <w:sz w:val="18"/>
                <w:szCs w:val="18"/>
                <w:highlight w:val="none"/>
              </w:rPr>
            </w:pPr>
          </w:p>
        </w:tc>
        <w:tc>
          <w:tcPr>
            <w:tcW w:w="1080" w:type="dxa"/>
            <w:tcBorders>
              <w:top w:val="single" w:color="000000" w:sz="4" w:space="0"/>
              <w:left w:val="single" w:color="000000" w:sz="4" w:space="0"/>
            </w:tcBorders>
            <w:shd w:val="clear" w:color="auto" w:fill="FFFFFF"/>
            <w:vAlign w:val="center"/>
          </w:tcPr>
          <w:p w14:paraId="3EB70A73">
            <w:pPr>
              <w:jc w:val="right"/>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2F4D3CF5">
            <w:pPr>
              <w:jc w:val="right"/>
              <w:rPr>
                <w:rFonts w:hint="eastAsia" w:ascii="宋体" w:hAnsi="宋体" w:cs="宋体"/>
                <w:color w:val="auto"/>
                <w:sz w:val="18"/>
                <w:szCs w:val="18"/>
                <w:highlight w:val="none"/>
              </w:rPr>
            </w:pPr>
          </w:p>
        </w:tc>
        <w:tc>
          <w:tcPr>
            <w:tcW w:w="1005" w:type="dxa"/>
            <w:tcBorders>
              <w:top w:val="single" w:color="000000" w:sz="4" w:space="0"/>
              <w:left w:val="single" w:color="000000" w:sz="4" w:space="0"/>
            </w:tcBorders>
            <w:shd w:val="clear" w:color="auto" w:fill="FFFFFF"/>
            <w:vAlign w:val="center"/>
          </w:tcPr>
          <w:p w14:paraId="0DBA25C2">
            <w:pPr>
              <w:jc w:val="right"/>
              <w:rPr>
                <w:rFonts w:hint="eastAsia" w:ascii="宋体" w:hAnsi="宋体" w:cs="宋体"/>
                <w:color w:val="auto"/>
                <w:sz w:val="18"/>
                <w:szCs w:val="18"/>
                <w:highlight w:val="none"/>
              </w:rPr>
            </w:pPr>
          </w:p>
        </w:tc>
        <w:tc>
          <w:tcPr>
            <w:tcW w:w="1095" w:type="dxa"/>
            <w:tcBorders>
              <w:top w:val="single" w:color="000000" w:sz="4" w:space="0"/>
              <w:left w:val="single" w:color="000000" w:sz="4" w:space="0"/>
            </w:tcBorders>
            <w:shd w:val="clear" w:color="auto" w:fill="FFFFFF"/>
            <w:vAlign w:val="center"/>
          </w:tcPr>
          <w:p w14:paraId="1C7532A5">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46A46E7B">
            <w:pPr>
              <w:jc w:val="right"/>
              <w:rPr>
                <w:rFonts w:hint="eastAsia" w:ascii="宋体" w:hAnsi="宋体" w:cs="宋体"/>
                <w:color w:val="auto"/>
                <w:sz w:val="18"/>
                <w:szCs w:val="18"/>
                <w:highlight w:val="none"/>
              </w:rPr>
            </w:pPr>
          </w:p>
        </w:tc>
        <w:tc>
          <w:tcPr>
            <w:tcW w:w="1089" w:type="dxa"/>
            <w:tcBorders>
              <w:top w:val="single" w:color="000000" w:sz="4" w:space="0"/>
              <w:left w:val="single" w:color="000000" w:sz="4" w:space="0"/>
              <w:right w:val="single" w:color="000000" w:sz="4" w:space="0"/>
            </w:tcBorders>
            <w:shd w:val="clear" w:color="auto" w:fill="FFFFFF"/>
            <w:vAlign w:val="center"/>
          </w:tcPr>
          <w:p w14:paraId="012D81FD">
            <w:pPr>
              <w:jc w:val="left"/>
              <w:rPr>
                <w:rFonts w:hint="eastAsia" w:ascii="宋体" w:hAnsi="宋体" w:cs="宋体"/>
                <w:color w:val="auto"/>
                <w:sz w:val="18"/>
                <w:szCs w:val="18"/>
                <w:highlight w:val="none"/>
              </w:rPr>
            </w:pPr>
          </w:p>
        </w:tc>
      </w:tr>
      <w:tr w14:paraId="66570E3D">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1794914A">
            <w:pPr>
              <w:jc w:val="center"/>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05C561A3">
            <w:pPr>
              <w:jc w:val="left"/>
              <w:rPr>
                <w:rFonts w:hint="eastAsia" w:ascii="宋体" w:hAnsi="宋体" w:cs="宋体"/>
                <w:color w:val="auto"/>
                <w:sz w:val="18"/>
                <w:szCs w:val="18"/>
                <w:highlight w:val="none"/>
              </w:rPr>
            </w:pPr>
          </w:p>
        </w:tc>
        <w:tc>
          <w:tcPr>
            <w:tcW w:w="2423" w:type="dxa"/>
            <w:tcBorders>
              <w:top w:val="single" w:color="000000" w:sz="4" w:space="0"/>
              <w:left w:val="single" w:color="000000" w:sz="4" w:space="0"/>
            </w:tcBorders>
            <w:shd w:val="clear" w:color="auto" w:fill="FFFFFF"/>
            <w:vAlign w:val="center"/>
          </w:tcPr>
          <w:p w14:paraId="1A0B80CE">
            <w:pPr>
              <w:jc w:val="left"/>
              <w:rPr>
                <w:rFonts w:hint="eastAsia" w:ascii="宋体" w:hAnsi="宋体" w:cs="宋体"/>
                <w:color w:val="auto"/>
                <w:sz w:val="18"/>
                <w:szCs w:val="18"/>
                <w:highlight w:val="none"/>
              </w:rPr>
            </w:pPr>
          </w:p>
        </w:tc>
        <w:tc>
          <w:tcPr>
            <w:tcW w:w="3105" w:type="dxa"/>
            <w:tcBorders>
              <w:top w:val="single" w:color="000000" w:sz="4" w:space="0"/>
              <w:left w:val="single" w:color="000000" w:sz="4" w:space="0"/>
            </w:tcBorders>
            <w:shd w:val="clear" w:color="auto" w:fill="FFFFFF"/>
            <w:vAlign w:val="center"/>
          </w:tcPr>
          <w:p w14:paraId="2D140E4B">
            <w:pPr>
              <w:jc w:val="left"/>
              <w:rPr>
                <w:rFonts w:hint="eastAsia" w:ascii="宋体" w:hAnsi="宋体" w:cs="宋体"/>
                <w:color w:val="auto"/>
                <w:sz w:val="18"/>
                <w:szCs w:val="18"/>
                <w:highlight w:val="none"/>
              </w:rPr>
            </w:pPr>
          </w:p>
        </w:tc>
        <w:tc>
          <w:tcPr>
            <w:tcW w:w="675" w:type="dxa"/>
            <w:tcBorders>
              <w:top w:val="single" w:color="000000" w:sz="4" w:space="0"/>
              <w:left w:val="single" w:color="000000" w:sz="4" w:space="0"/>
            </w:tcBorders>
            <w:shd w:val="clear" w:color="auto" w:fill="FFFFFF"/>
            <w:vAlign w:val="center"/>
          </w:tcPr>
          <w:p w14:paraId="68CFE790">
            <w:pPr>
              <w:jc w:val="center"/>
              <w:rPr>
                <w:rFonts w:hint="eastAsia" w:ascii="宋体" w:hAnsi="宋体" w:cs="宋体"/>
                <w:color w:val="auto"/>
                <w:sz w:val="18"/>
                <w:szCs w:val="18"/>
                <w:highlight w:val="none"/>
              </w:rPr>
            </w:pPr>
          </w:p>
        </w:tc>
        <w:tc>
          <w:tcPr>
            <w:tcW w:w="1065" w:type="dxa"/>
            <w:tcBorders>
              <w:top w:val="single" w:color="000000" w:sz="4" w:space="0"/>
              <w:left w:val="single" w:color="000000" w:sz="4" w:space="0"/>
            </w:tcBorders>
            <w:shd w:val="clear" w:color="auto" w:fill="FFFFFF"/>
            <w:vAlign w:val="center"/>
          </w:tcPr>
          <w:p w14:paraId="153AEB3F">
            <w:pPr>
              <w:jc w:val="right"/>
              <w:rPr>
                <w:rFonts w:hint="eastAsia" w:ascii="宋体" w:hAnsi="宋体" w:cs="宋体"/>
                <w:color w:val="auto"/>
                <w:sz w:val="18"/>
                <w:szCs w:val="18"/>
                <w:highlight w:val="none"/>
              </w:rPr>
            </w:pPr>
          </w:p>
        </w:tc>
        <w:tc>
          <w:tcPr>
            <w:tcW w:w="1080" w:type="dxa"/>
            <w:tcBorders>
              <w:top w:val="single" w:color="000000" w:sz="4" w:space="0"/>
              <w:left w:val="single" w:color="000000" w:sz="4" w:space="0"/>
            </w:tcBorders>
            <w:shd w:val="clear" w:color="auto" w:fill="FFFFFF"/>
            <w:vAlign w:val="center"/>
          </w:tcPr>
          <w:p w14:paraId="58150F02">
            <w:pPr>
              <w:jc w:val="right"/>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6BDBD66D">
            <w:pPr>
              <w:jc w:val="right"/>
              <w:rPr>
                <w:rFonts w:hint="eastAsia" w:ascii="宋体" w:hAnsi="宋体" w:cs="宋体"/>
                <w:color w:val="auto"/>
                <w:sz w:val="18"/>
                <w:szCs w:val="18"/>
                <w:highlight w:val="none"/>
              </w:rPr>
            </w:pPr>
          </w:p>
        </w:tc>
        <w:tc>
          <w:tcPr>
            <w:tcW w:w="1005" w:type="dxa"/>
            <w:tcBorders>
              <w:top w:val="single" w:color="000000" w:sz="4" w:space="0"/>
              <w:left w:val="single" w:color="000000" w:sz="4" w:space="0"/>
            </w:tcBorders>
            <w:shd w:val="clear" w:color="auto" w:fill="FFFFFF"/>
            <w:vAlign w:val="center"/>
          </w:tcPr>
          <w:p w14:paraId="67B8876D">
            <w:pPr>
              <w:jc w:val="right"/>
              <w:rPr>
                <w:rFonts w:hint="eastAsia" w:ascii="宋体" w:hAnsi="宋体" w:cs="宋体"/>
                <w:color w:val="auto"/>
                <w:sz w:val="18"/>
                <w:szCs w:val="18"/>
                <w:highlight w:val="none"/>
              </w:rPr>
            </w:pPr>
          </w:p>
        </w:tc>
        <w:tc>
          <w:tcPr>
            <w:tcW w:w="1095" w:type="dxa"/>
            <w:tcBorders>
              <w:top w:val="single" w:color="000000" w:sz="4" w:space="0"/>
              <w:left w:val="single" w:color="000000" w:sz="4" w:space="0"/>
            </w:tcBorders>
            <w:shd w:val="clear" w:color="auto" w:fill="FFFFFF"/>
            <w:vAlign w:val="center"/>
          </w:tcPr>
          <w:p w14:paraId="4D4A5421">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71FB036E">
            <w:pPr>
              <w:jc w:val="right"/>
              <w:rPr>
                <w:rFonts w:hint="eastAsia" w:ascii="宋体" w:hAnsi="宋体" w:cs="宋体"/>
                <w:color w:val="auto"/>
                <w:sz w:val="18"/>
                <w:szCs w:val="18"/>
                <w:highlight w:val="none"/>
              </w:rPr>
            </w:pPr>
          </w:p>
        </w:tc>
        <w:tc>
          <w:tcPr>
            <w:tcW w:w="1089" w:type="dxa"/>
            <w:tcBorders>
              <w:top w:val="single" w:color="000000" w:sz="4" w:space="0"/>
              <w:left w:val="single" w:color="000000" w:sz="4" w:space="0"/>
              <w:right w:val="single" w:color="000000" w:sz="4" w:space="0"/>
            </w:tcBorders>
            <w:shd w:val="clear" w:color="auto" w:fill="FFFFFF"/>
            <w:vAlign w:val="center"/>
          </w:tcPr>
          <w:p w14:paraId="03B3C90A">
            <w:pPr>
              <w:jc w:val="left"/>
              <w:rPr>
                <w:rFonts w:hint="eastAsia" w:ascii="宋体" w:hAnsi="宋体" w:cs="宋体"/>
                <w:color w:val="auto"/>
                <w:sz w:val="18"/>
                <w:szCs w:val="18"/>
                <w:highlight w:val="none"/>
              </w:rPr>
            </w:pPr>
          </w:p>
        </w:tc>
      </w:tr>
      <w:tr w14:paraId="5E76ECD2">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5A32A7FE">
            <w:pPr>
              <w:jc w:val="center"/>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65FFF521">
            <w:pPr>
              <w:jc w:val="left"/>
              <w:rPr>
                <w:rFonts w:hint="eastAsia" w:ascii="宋体" w:hAnsi="宋体" w:cs="宋体"/>
                <w:color w:val="auto"/>
                <w:sz w:val="18"/>
                <w:szCs w:val="18"/>
                <w:highlight w:val="none"/>
              </w:rPr>
            </w:pPr>
          </w:p>
        </w:tc>
        <w:tc>
          <w:tcPr>
            <w:tcW w:w="2423" w:type="dxa"/>
            <w:tcBorders>
              <w:top w:val="single" w:color="000000" w:sz="4" w:space="0"/>
              <w:left w:val="single" w:color="000000" w:sz="4" w:space="0"/>
            </w:tcBorders>
            <w:shd w:val="clear" w:color="auto" w:fill="FFFFFF"/>
            <w:vAlign w:val="center"/>
          </w:tcPr>
          <w:p w14:paraId="05D4FE82">
            <w:pPr>
              <w:jc w:val="left"/>
              <w:rPr>
                <w:rFonts w:hint="eastAsia" w:ascii="宋体" w:hAnsi="宋体" w:cs="宋体"/>
                <w:color w:val="auto"/>
                <w:sz w:val="18"/>
                <w:szCs w:val="18"/>
                <w:highlight w:val="none"/>
              </w:rPr>
            </w:pPr>
          </w:p>
        </w:tc>
        <w:tc>
          <w:tcPr>
            <w:tcW w:w="3105" w:type="dxa"/>
            <w:tcBorders>
              <w:top w:val="single" w:color="000000" w:sz="4" w:space="0"/>
              <w:left w:val="single" w:color="000000" w:sz="4" w:space="0"/>
            </w:tcBorders>
            <w:shd w:val="clear" w:color="auto" w:fill="FFFFFF"/>
            <w:vAlign w:val="center"/>
          </w:tcPr>
          <w:p w14:paraId="4EE0414D">
            <w:pPr>
              <w:jc w:val="left"/>
              <w:rPr>
                <w:rFonts w:hint="eastAsia" w:ascii="宋体" w:hAnsi="宋体" w:cs="宋体"/>
                <w:color w:val="auto"/>
                <w:sz w:val="18"/>
                <w:szCs w:val="18"/>
                <w:highlight w:val="none"/>
              </w:rPr>
            </w:pPr>
          </w:p>
        </w:tc>
        <w:tc>
          <w:tcPr>
            <w:tcW w:w="675" w:type="dxa"/>
            <w:tcBorders>
              <w:top w:val="single" w:color="000000" w:sz="4" w:space="0"/>
              <w:left w:val="single" w:color="000000" w:sz="4" w:space="0"/>
            </w:tcBorders>
            <w:shd w:val="clear" w:color="auto" w:fill="FFFFFF"/>
            <w:vAlign w:val="center"/>
          </w:tcPr>
          <w:p w14:paraId="77A74A60">
            <w:pPr>
              <w:jc w:val="center"/>
              <w:rPr>
                <w:rFonts w:hint="eastAsia" w:ascii="宋体" w:hAnsi="宋体" w:cs="宋体"/>
                <w:color w:val="auto"/>
                <w:sz w:val="18"/>
                <w:szCs w:val="18"/>
                <w:highlight w:val="none"/>
              </w:rPr>
            </w:pPr>
          </w:p>
        </w:tc>
        <w:tc>
          <w:tcPr>
            <w:tcW w:w="1065" w:type="dxa"/>
            <w:tcBorders>
              <w:top w:val="single" w:color="000000" w:sz="4" w:space="0"/>
              <w:left w:val="single" w:color="000000" w:sz="4" w:space="0"/>
            </w:tcBorders>
            <w:shd w:val="clear" w:color="auto" w:fill="FFFFFF"/>
            <w:vAlign w:val="center"/>
          </w:tcPr>
          <w:p w14:paraId="284AAF54">
            <w:pPr>
              <w:jc w:val="right"/>
              <w:rPr>
                <w:rFonts w:hint="eastAsia" w:ascii="宋体" w:hAnsi="宋体" w:cs="宋体"/>
                <w:color w:val="auto"/>
                <w:sz w:val="18"/>
                <w:szCs w:val="18"/>
                <w:highlight w:val="none"/>
              </w:rPr>
            </w:pPr>
          </w:p>
        </w:tc>
        <w:tc>
          <w:tcPr>
            <w:tcW w:w="1080" w:type="dxa"/>
            <w:tcBorders>
              <w:top w:val="single" w:color="000000" w:sz="4" w:space="0"/>
              <w:left w:val="single" w:color="000000" w:sz="4" w:space="0"/>
            </w:tcBorders>
            <w:shd w:val="clear" w:color="auto" w:fill="FFFFFF"/>
            <w:vAlign w:val="center"/>
          </w:tcPr>
          <w:p w14:paraId="2E8C51CB">
            <w:pPr>
              <w:jc w:val="right"/>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5459FD0B">
            <w:pPr>
              <w:jc w:val="right"/>
              <w:rPr>
                <w:rFonts w:hint="eastAsia" w:ascii="宋体" w:hAnsi="宋体" w:cs="宋体"/>
                <w:color w:val="auto"/>
                <w:sz w:val="18"/>
                <w:szCs w:val="18"/>
                <w:highlight w:val="none"/>
              </w:rPr>
            </w:pPr>
          </w:p>
        </w:tc>
        <w:tc>
          <w:tcPr>
            <w:tcW w:w="1005" w:type="dxa"/>
            <w:tcBorders>
              <w:top w:val="single" w:color="000000" w:sz="4" w:space="0"/>
              <w:left w:val="single" w:color="000000" w:sz="4" w:space="0"/>
            </w:tcBorders>
            <w:shd w:val="clear" w:color="auto" w:fill="FFFFFF"/>
            <w:vAlign w:val="center"/>
          </w:tcPr>
          <w:p w14:paraId="4065C76E">
            <w:pPr>
              <w:jc w:val="right"/>
              <w:rPr>
                <w:rFonts w:hint="eastAsia" w:ascii="宋体" w:hAnsi="宋体" w:cs="宋体"/>
                <w:color w:val="auto"/>
                <w:sz w:val="18"/>
                <w:szCs w:val="18"/>
                <w:highlight w:val="none"/>
              </w:rPr>
            </w:pPr>
          </w:p>
        </w:tc>
        <w:tc>
          <w:tcPr>
            <w:tcW w:w="1095" w:type="dxa"/>
            <w:tcBorders>
              <w:top w:val="single" w:color="000000" w:sz="4" w:space="0"/>
              <w:left w:val="single" w:color="000000" w:sz="4" w:space="0"/>
            </w:tcBorders>
            <w:shd w:val="clear" w:color="auto" w:fill="FFFFFF"/>
            <w:vAlign w:val="center"/>
          </w:tcPr>
          <w:p w14:paraId="4CFBF80E">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7D84B19C">
            <w:pPr>
              <w:jc w:val="right"/>
              <w:rPr>
                <w:rFonts w:hint="eastAsia" w:ascii="宋体" w:hAnsi="宋体" w:cs="宋体"/>
                <w:color w:val="auto"/>
                <w:sz w:val="18"/>
                <w:szCs w:val="18"/>
                <w:highlight w:val="none"/>
              </w:rPr>
            </w:pPr>
          </w:p>
        </w:tc>
        <w:tc>
          <w:tcPr>
            <w:tcW w:w="1089" w:type="dxa"/>
            <w:tcBorders>
              <w:top w:val="single" w:color="000000" w:sz="4" w:space="0"/>
              <w:left w:val="single" w:color="000000" w:sz="4" w:space="0"/>
              <w:right w:val="single" w:color="000000" w:sz="4" w:space="0"/>
            </w:tcBorders>
            <w:shd w:val="clear" w:color="auto" w:fill="FFFFFF"/>
            <w:vAlign w:val="center"/>
          </w:tcPr>
          <w:p w14:paraId="0C7566B8">
            <w:pPr>
              <w:jc w:val="left"/>
              <w:rPr>
                <w:rFonts w:hint="eastAsia" w:ascii="宋体" w:hAnsi="宋体" w:cs="宋体"/>
                <w:color w:val="auto"/>
                <w:sz w:val="18"/>
                <w:szCs w:val="18"/>
                <w:highlight w:val="none"/>
              </w:rPr>
            </w:pPr>
          </w:p>
        </w:tc>
      </w:tr>
      <w:tr w14:paraId="253B1233">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36D2130D">
            <w:pPr>
              <w:jc w:val="center"/>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6103EB0E">
            <w:pPr>
              <w:jc w:val="left"/>
              <w:rPr>
                <w:rFonts w:hint="eastAsia" w:ascii="宋体" w:hAnsi="宋体" w:cs="宋体"/>
                <w:color w:val="auto"/>
                <w:sz w:val="18"/>
                <w:szCs w:val="18"/>
                <w:highlight w:val="none"/>
              </w:rPr>
            </w:pPr>
          </w:p>
        </w:tc>
        <w:tc>
          <w:tcPr>
            <w:tcW w:w="2423" w:type="dxa"/>
            <w:tcBorders>
              <w:top w:val="single" w:color="000000" w:sz="4" w:space="0"/>
              <w:left w:val="single" w:color="000000" w:sz="4" w:space="0"/>
            </w:tcBorders>
            <w:shd w:val="clear" w:color="auto" w:fill="FFFFFF"/>
            <w:vAlign w:val="center"/>
          </w:tcPr>
          <w:p w14:paraId="66A5329F">
            <w:pPr>
              <w:jc w:val="left"/>
              <w:rPr>
                <w:rFonts w:hint="eastAsia" w:ascii="宋体" w:hAnsi="宋体" w:cs="宋体"/>
                <w:color w:val="auto"/>
                <w:sz w:val="18"/>
                <w:szCs w:val="18"/>
                <w:highlight w:val="none"/>
              </w:rPr>
            </w:pPr>
          </w:p>
        </w:tc>
        <w:tc>
          <w:tcPr>
            <w:tcW w:w="3105" w:type="dxa"/>
            <w:tcBorders>
              <w:top w:val="single" w:color="000000" w:sz="4" w:space="0"/>
              <w:left w:val="single" w:color="000000" w:sz="4" w:space="0"/>
            </w:tcBorders>
            <w:shd w:val="clear" w:color="auto" w:fill="FFFFFF"/>
            <w:vAlign w:val="center"/>
          </w:tcPr>
          <w:p w14:paraId="13F43CA7">
            <w:pPr>
              <w:jc w:val="left"/>
              <w:rPr>
                <w:rFonts w:hint="eastAsia" w:ascii="宋体" w:hAnsi="宋体" w:cs="宋体"/>
                <w:color w:val="auto"/>
                <w:sz w:val="18"/>
                <w:szCs w:val="18"/>
                <w:highlight w:val="none"/>
              </w:rPr>
            </w:pPr>
          </w:p>
        </w:tc>
        <w:tc>
          <w:tcPr>
            <w:tcW w:w="675" w:type="dxa"/>
            <w:tcBorders>
              <w:top w:val="single" w:color="000000" w:sz="4" w:space="0"/>
              <w:left w:val="single" w:color="000000" w:sz="4" w:space="0"/>
            </w:tcBorders>
            <w:shd w:val="clear" w:color="auto" w:fill="FFFFFF"/>
            <w:vAlign w:val="center"/>
          </w:tcPr>
          <w:p w14:paraId="0A1D0454">
            <w:pPr>
              <w:jc w:val="center"/>
              <w:rPr>
                <w:rFonts w:hint="eastAsia" w:ascii="宋体" w:hAnsi="宋体" w:cs="宋体"/>
                <w:color w:val="auto"/>
                <w:sz w:val="18"/>
                <w:szCs w:val="18"/>
                <w:highlight w:val="none"/>
              </w:rPr>
            </w:pPr>
          </w:p>
        </w:tc>
        <w:tc>
          <w:tcPr>
            <w:tcW w:w="1065" w:type="dxa"/>
            <w:tcBorders>
              <w:top w:val="single" w:color="000000" w:sz="4" w:space="0"/>
              <w:left w:val="single" w:color="000000" w:sz="4" w:space="0"/>
            </w:tcBorders>
            <w:shd w:val="clear" w:color="auto" w:fill="FFFFFF"/>
            <w:vAlign w:val="center"/>
          </w:tcPr>
          <w:p w14:paraId="044DC42C">
            <w:pPr>
              <w:jc w:val="right"/>
              <w:rPr>
                <w:rFonts w:hint="eastAsia" w:ascii="宋体" w:hAnsi="宋体" w:cs="宋体"/>
                <w:color w:val="auto"/>
                <w:sz w:val="18"/>
                <w:szCs w:val="18"/>
                <w:highlight w:val="none"/>
              </w:rPr>
            </w:pPr>
          </w:p>
        </w:tc>
        <w:tc>
          <w:tcPr>
            <w:tcW w:w="1080" w:type="dxa"/>
            <w:tcBorders>
              <w:top w:val="single" w:color="000000" w:sz="4" w:space="0"/>
              <w:left w:val="single" w:color="000000" w:sz="4" w:space="0"/>
            </w:tcBorders>
            <w:shd w:val="clear" w:color="auto" w:fill="FFFFFF"/>
            <w:vAlign w:val="center"/>
          </w:tcPr>
          <w:p w14:paraId="4AE0CA7D">
            <w:pPr>
              <w:jc w:val="right"/>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7FD76A05">
            <w:pPr>
              <w:jc w:val="right"/>
              <w:rPr>
                <w:rFonts w:hint="eastAsia" w:ascii="宋体" w:hAnsi="宋体" w:cs="宋体"/>
                <w:color w:val="auto"/>
                <w:sz w:val="18"/>
                <w:szCs w:val="18"/>
                <w:highlight w:val="none"/>
              </w:rPr>
            </w:pPr>
          </w:p>
        </w:tc>
        <w:tc>
          <w:tcPr>
            <w:tcW w:w="1005" w:type="dxa"/>
            <w:tcBorders>
              <w:top w:val="single" w:color="000000" w:sz="4" w:space="0"/>
              <w:left w:val="single" w:color="000000" w:sz="4" w:space="0"/>
            </w:tcBorders>
            <w:shd w:val="clear" w:color="auto" w:fill="FFFFFF"/>
            <w:vAlign w:val="center"/>
          </w:tcPr>
          <w:p w14:paraId="07665C9E">
            <w:pPr>
              <w:jc w:val="right"/>
              <w:rPr>
                <w:rFonts w:hint="eastAsia" w:ascii="宋体" w:hAnsi="宋体" w:cs="宋体"/>
                <w:color w:val="auto"/>
                <w:sz w:val="18"/>
                <w:szCs w:val="18"/>
                <w:highlight w:val="none"/>
              </w:rPr>
            </w:pPr>
          </w:p>
        </w:tc>
        <w:tc>
          <w:tcPr>
            <w:tcW w:w="1095" w:type="dxa"/>
            <w:tcBorders>
              <w:top w:val="single" w:color="000000" w:sz="4" w:space="0"/>
              <w:left w:val="single" w:color="000000" w:sz="4" w:space="0"/>
            </w:tcBorders>
            <w:shd w:val="clear" w:color="auto" w:fill="FFFFFF"/>
            <w:vAlign w:val="center"/>
          </w:tcPr>
          <w:p w14:paraId="57C35DC6">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1FD40BE1">
            <w:pPr>
              <w:jc w:val="right"/>
              <w:rPr>
                <w:rFonts w:hint="eastAsia" w:ascii="宋体" w:hAnsi="宋体" w:cs="宋体"/>
                <w:color w:val="auto"/>
                <w:sz w:val="18"/>
                <w:szCs w:val="18"/>
                <w:highlight w:val="none"/>
              </w:rPr>
            </w:pPr>
          </w:p>
        </w:tc>
        <w:tc>
          <w:tcPr>
            <w:tcW w:w="1089" w:type="dxa"/>
            <w:tcBorders>
              <w:top w:val="single" w:color="000000" w:sz="4" w:space="0"/>
              <w:left w:val="single" w:color="000000" w:sz="4" w:space="0"/>
              <w:right w:val="single" w:color="000000" w:sz="4" w:space="0"/>
            </w:tcBorders>
            <w:shd w:val="clear" w:color="auto" w:fill="FFFFFF"/>
            <w:vAlign w:val="center"/>
          </w:tcPr>
          <w:p w14:paraId="04E63791">
            <w:pPr>
              <w:jc w:val="left"/>
              <w:rPr>
                <w:rFonts w:hint="eastAsia" w:ascii="宋体" w:hAnsi="宋体" w:cs="宋体"/>
                <w:color w:val="auto"/>
                <w:sz w:val="18"/>
                <w:szCs w:val="18"/>
                <w:highlight w:val="none"/>
              </w:rPr>
            </w:pPr>
          </w:p>
        </w:tc>
      </w:tr>
      <w:tr w14:paraId="3B85810A">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19C95B3E">
            <w:pPr>
              <w:jc w:val="center"/>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13422094">
            <w:pPr>
              <w:jc w:val="left"/>
              <w:rPr>
                <w:rFonts w:hint="eastAsia" w:ascii="宋体" w:hAnsi="宋体" w:cs="宋体"/>
                <w:color w:val="auto"/>
                <w:sz w:val="18"/>
                <w:szCs w:val="18"/>
                <w:highlight w:val="none"/>
              </w:rPr>
            </w:pPr>
          </w:p>
        </w:tc>
        <w:tc>
          <w:tcPr>
            <w:tcW w:w="2423" w:type="dxa"/>
            <w:tcBorders>
              <w:top w:val="single" w:color="000000" w:sz="4" w:space="0"/>
              <w:left w:val="single" w:color="000000" w:sz="4" w:space="0"/>
            </w:tcBorders>
            <w:shd w:val="clear" w:color="auto" w:fill="FFFFFF"/>
            <w:vAlign w:val="center"/>
          </w:tcPr>
          <w:p w14:paraId="30463127">
            <w:pPr>
              <w:jc w:val="left"/>
              <w:rPr>
                <w:rFonts w:hint="eastAsia" w:ascii="宋体" w:hAnsi="宋体" w:cs="宋体"/>
                <w:color w:val="auto"/>
                <w:sz w:val="18"/>
                <w:szCs w:val="18"/>
                <w:highlight w:val="none"/>
              </w:rPr>
            </w:pPr>
          </w:p>
        </w:tc>
        <w:tc>
          <w:tcPr>
            <w:tcW w:w="3105" w:type="dxa"/>
            <w:tcBorders>
              <w:top w:val="single" w:color="000000" w:sz="4" w:space="0"/>
              <w:left w:val="single" w:color="000000" w:sz="4" w:space="0"/>
            </w:tcBorders>
            <w:shd w:val="clear" w:color="auto" w:fill="FFFFFF"/>
            <w:vAlign w:val="center"/>
          </w:tcPr>
          <w:p w14:paraId="3356EB6F">
            <w:pPr>
              <w:jc w:val="left"/>
              <w:rPr>
                <w:rFonts w:hint="eastAsia" w:ascii="宋体" w:hAnsi="宋体" w:cs="宋体"/>
                <w:color w:val="auto"/>
                <w:sz w:val="18"/>
                <w:szCs w:val="18"/>
                <w:highlight w:val="none"/>
              </w:rPr>
            </w:pPr>
          </w:p>
        </w:tc>
        <w:tc>
          <w:tcPr>
            <w:tcW w:w="675" w:type="dxa"/>
            <w:tcBorders>
              <w:top w:val="single" w:color="000000" w:sz="4" w:space="0"/>
              <w:left w:val="single" w:color="000000" w:sz="4" w:space="0"/>
            </w:tcBorders>
            <w:shd w:val="clear" w:color="auto" w:fill="FFFFFF"/>
            <w:vAlign w:val="center"/>
          </w:tcPr>
          <w:p w14:paraId="6DFDF624">
            <w:pPr>
              <w:jc w:val="center"/>
              <w:rPr>
                <w:rFonts w:hint="eastAsia" w:ascii="宋体" w:hAnsi="宋体" w:cs="宋体"/>
                <w:color w:val="auto"/>
                <w:sz w:val="18"/>
                <w:szCs w:val="18"/>
                <w:highlight w:val="none"/>
              </w:rPr>
            </w:pPr>
          </w:p>
        </w:tc>
        <w:tc>
          <w:tcPr>
            <w:tcW w:w="1065" w:type="dxa"/>
            <w:tcBorders>
              <w:top w:val="single" w:color="000000" w:sz="4" w:space="0"/>
              <w:left w:val="single" w:color="000000" w:sz="4" w:space="0"/>
            </w:tcBorders>
            <w:shd w:val="clear" w:color="auto" w:fill="FFFFFF"/>
            <w:vAlign w:val="center"/>
          </w:tcPr>
          <w:p w14:paraId="3177CFEA">
            <w:pPr>
              <w:jc w:val="right"/>
              <w:rPr>
                <w:rFonts w:hint="eastAsia" w:ascii="宋体" w:hAnsi="宋体" w:cs="宋体"/>
                <w:color w:val="auto"/>
                <w:sz w:val="18"/>
                <w:szCs w:val="18"/>
                <w:highlight w:val="none"/>
              </w:rPr>
            </w:pPr>
          </w:p>
        </w:tc>
        <w:tc>
          <w:tcPr>
            <w:tcW w:w="1080" w:type="dxa"/>
            <w:tcBorders>
              <w:top w:val="single" w:color="000000" w:sz="4" w:space="0"/>
              <w:left w:val="single" w:color="000000" w:sz="4" w:space="0"/>
            </w:tcBorders>
            <w:shd w:val="clear" w:color="auto" w:fill="FFFFFF"/>
            <w:vAlign w:val="center"/>
          </w:tcPr>
          <w:p w14:paraId="222147F0">
            <w:pPr>
              <w:jc w:val="right"/>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69BE85FC">
            <w:pPr>
              <w:jc w:val="right"/>
              <w:rPr>
                <w:rFonts w:hint="eastAsia" w:ascii="宋体" w:hAnsi="宋体" w:cs="宋体"/>
                <w:color w:val="auto"/>
                <w:sz w:val="18"/>
                <w:szCs w:val="18"/>
                <w:highlight w:val="none"/>
              </w:rPr>
            </w:pPr>
          </w:p>
        </w:tc>
        <w:tc>
          <w:tcPr>
            <w:tcW w:w="1005" w:type="dxa"/>
            <w:tcBorders>
              <w:top w:val="single" w:color="000000" w:sz="4" w:space="0"/>
              <w:left w:val="single" w:color="000000" w:sz="4" w:space="0"/>
            </w:tcBorders>
            <w:shd w:val="clear" w:color="auto" w:fill="FFFFFF"/>
            <w:vAlign w:val="center"/>
          </w:tcPr>
          <w:p w14:paraId="28DE6D3E">
            <w:pPr>
              <w:jc w:val="right"/>
              <w:rPr>
                <w:rFonts w:hint="eastAsia" w:ascii="宋体" w:hAnsi="宋体" w:cs="宋体"/>
                <w:color w:val="auto"/>
                <w:sz w:val="18"/>
                <w:szCs w:val="18"/>
                <w:highlight w:val="none"/>
              </w:rPr>
            </w:pPr>
          </w:p>
        </w:tc>
        <w:tc>
          <w:tcPr>
            <w:tcW w:w="1095" w:type="dxa"/>
            <w:tcBorders>
              <w:top w:val="single" w:color="000000" w:sz="4" w:space="0"/>
              <w:left w:val="single" w:color="000000" w:sz="4" w:space="0"/>
            </w:tcBorders>
            <w:shd w:val="clear" w:color="auto" w:fill="FFFFFF"/>
            <w:vAlign w:val="center"/>
          </w:tcPr>
          <w:p w14:paraId="1D3E11C3">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0581788C">
            <w:pPr>
              <w:jc w:val="right"/>
              <w:rPr>
                <w:rFonts w:hint="eastAsia" w:ascii="宋体" w:hAnsi="宋体" w:cs="宋体"/>
                <w:color w:val="auto"/>
                <w:sz w:val="18"/>
                <w:szCs w:val="18"/>
                <w:highlight w:val="none"/>
              </w:rPr>
            </w:pPr>
          </w:p>
        </w:tc>
        <w:tc>
          <w:tcPr>
            <w:tcW w:w="1089" w:type="dxa"/>
            <w:tcBorders>
              <w:top w:val="single" w:color="000000" w:sz="4" w:space="0"/>
              <w:left w:val="single" w:color="000000" w:sz="4" w:space="0"/>
              <w:right w:val="single" w:color="000000" w:sz="4" w:space="0"/>
            </w:tcBorders>
            <w:shd w:val="clear" w:color="auto" w:fill="FFFFFF"/>
            <w:vAlign w:val="center"/>
          </w:tcPr>
          <w:p w14:paraId="23A48A1A">
            <w:pPr>
              <w:jc w:val="left"/>
              <w:rPr>
                <w:rFonts w:hint="eastAsia" w:ascii="宋体" w:hAnsi="宋体" w:cs="宋体"/>
                <w:color w:val="auto"/>
                <w:sz w:val="18"/>
                <w:szCs w:val="18"/>
                <w:highlight w:val="none"/>
              </w:rPr>
            </w:pPr>
          </w:p>
        </w:tc>
      </w:tr>
      <w:tr w14:paraId="03201CAD">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bottom w:val="single" w:color="000000" w:sz="4" w:space="0"/>
            </w:tcBorders>
            <w:shd w:val="clear" w:color="auto" w:fill="FFFFFF"/>
            <w:vAlign w:val="center"/>
          </w:tcPr>
          <w:p w14:paraId="2D8BF3AA">
            <w:pPr>
              <w:jc w:val="center"/>
              <w:rPr>
                <w:rFonts w:hint="eastAsia" w:ascii="宋体" w:hAnsi="宋体" w:cs="宋体"/>
                <w:color w:val="auto"/>
                <w:sz w:val="18"/>
                <w:szCs w:val="18"/>
                <w:highlight w:val="none"/>
              </w:rPr>
            </w:pPr>
          </w:p>
        </w:tc>
        <w:tc>
          <w:tcPr>
            <w:tcW w:w="1500" w:type="dxa"/>
            <w:tcBorders>
              <w:top w:val="single" w:color="000000" w:sz="4" w:space="0"/>
              <w:left w:val="single" w:color="000000" w:sz="4" w:space="0"/>
              <w:bottom w:val="single" w:color="000000" w:sz="4" w:space="0"/>
            </w:tcBorders>
            <w:shd w:val="clear" w:color="auto" w:fill="FFFFFF"/>
            <w:vAlign w:val="center"/>
          </w:tcPr>
          <w:p w14:paraId="004FE7F6">
            <w:pPr>
              <w:jc w:val="left"/>
              <w:rPr>
                <w:rFonts w:hint="eastAsia" w:ascii="宋体" w:hAnsi="宋体" w:cs="宋体"/>
                <w:color w:val="auto"/>
                <w:sz w:val="18"/>
                <w:szCs w:val="18"/>
                <w:highlight w:val="none"/>
              </w:rPr>
            </w:pPr>
          </w:p>
        </w:tc>
        <w:tc>
          <w:tcPr>
            <w:tcW w:w="2423" w:type="dxa"/>
            <w:tcBorders>
              <w:top w:val="single" w:color="000000" w:sz="4" w:space="0"/>
              <w:left w:val="single" w:color="000000" w:sz="4" w:space="0"/>
              <w:bottom w:val="single" w:color="000000" w:sz="4" w:space="0"/>
            </w:tcBorders>
            <w:shd w:val="clear" w:color="auto" w:fill="FFFFFF"/>
            <w:vAlign w:val="center"/>
          </w:tcPr>
          <w:p w14:paraId="304D7764">
            <w:pPr>
              <w:jc w:val="left"/>
              <w:rPr>
                <w:rFonts w:hint="eastAsia" w:ascii="宋体" w:hAnsi="宋体" w:cs="宋体"/>
                <w:color w:val="auto"/>
                <w:sz w:val="18"/>
                <w:szCs w:val="18"/>
                <w:highlight w:val="none"/>
              </w:rPr>
            </w:pPr>
          </w:p>
        </w:tc>
        <w:tc>
          <w:tcPr>
            <w:tcW w:w="3105" w:type="dxa"/>
            <w:tcBorders>
              <w:top w:val="single" w:color="000000" w:sz="4" w:space="0"/>
              <w:left w:val="single" w:color="000000" w:sz="4" w:space="0"/>
              <w:bottom w:val="single" w:color="000000" w:sz="4" w:space="0"/>
            </w:tcBorders>
            <w:shd w:val="clear" w:color="auto" w:fill="FFFFFF"/>
            <w:vAlign w:val="center"/>
          </w:tcPr>
          <w:p w14:paraId="3847E09B">
            <w:pPr>
              <w:jc w:val="left"/>
              <w:rPr>
                <w:rFonts w:hint="eastAsia" w:ascii="宋体" w:hAnsi="宋体" w:cs="宋体"/>
                <w:color w:val="auto"/>
                <w:sz w:val="18"/>
                <w:szCs w:val="18"/>
                <w:highlight w:val="none"/>
              </w:rPr>
            </w:pPr>
          </w:p>
        </w:tc>
        <w:tc>
          <w:tcPr>
            <w:tcW w:w="675" w:type="dxa"/>
            <w:tcBorders>
              <w:top w:val="single" w:color="000000" w:sz="4" w:space="0"/>
              <w:left w:val="single" w:color="000000" w:sz="4" w:space="0"/>
              <w:bottom w:val="single" w:color="000000" w:sz="4" w:space="0"/>
            </w:tcBorders>
            <w:shd w:val="clear" w:color="auto" w:fill="FFFFFF"/>
            <w:vAlign w:val="center"/>
          </w:tcPr>
          <w:p w14:paraId="7761C9CD">
            <w:pPr>
              <w:jc w:val="center"/>
              <w:rPr>
                <w:rFonts w:hint="eastAsia" w:ascii="宋体" w:hAnsi="宋体" w:cs="宋体"/>
                <w:color w:val="auto"/>
                <w:sz w:val="18"/>
                <w:szCs w:val="18"/>
                <w:highlight w:val="none"/>
              </w:rPr>
            </w:pPr>
          </w:p>
        </w:tc>
        <w:tc>
          <w:tcPr>
            <w:tcW w:w="1065" w:type="dxa"/>
            <w:tcBorders>
              <w:top w:val="single" w:color="000000" w:sz="4" w:space="0"/>
              <w:left w:val="single" w:color="000000" w:sz="4" w:space="0"/>
              <w:bottom w:val="single" w:color="000000" w:sz="4" w:space="0"/>
            </w:tcBorders>
            <w:shd w:val="clear" w:color="auto" w:fill="FFFFFF"/>
            <w:vAlign w:val="center"/>
          </w:tcPr>
          <w:p w14:paraId="05DE85AC">
            <w:pPr>
              <w:jc w:val="right"/>
              <w:rPr>
                <w:rFonts w:hint="eastAsia" w:ascii="宋体" w:hAnsi="宋体" w:cs="宋体"/>
                <w:color w:val="auto"/>
                <w:sz w:val="18"/>
                <w:szCs w:val="18"/>
                <w:highlight w:val="none"/>
              </w:rPr>
            </w:pPr>
          </w:p>
        </w:tc>
        <w:tc>
          <w:tcPr>
            <w:tcW w:w="1080" w:type="dxa"/>
            <w:tcBorders>
              <w:top w:val="single" w:color="000000" w:sz="4" w:space="0"/>
              <w:left w:val="single" w:color="000000" w:sz="4" w:space="0"/>
              <w:bottom w:val="single" w:color="000000" w:sz="4" w:space="0"/>
            </w:tcBorders>
            <w:shd w:val="clear" w:color="auto" w:fill="FFFFFF"/>
            <w:vAlign w:val="center"/>
          </w:tcPr>
          <w:p w14:paraId="18AE5B67">
            <w:pPr>
              <w:jc w:val="right"/>
              <w:rPr>
                <w:rFonts w:hint="eastAsia" w:ascii="宋体" w:hAnsi="宋体" w:cs="宋体"/>
                <w:color w:val="auto"/>
                <w:sz w:val="18"/>
                <w:szCs w:val="18"/>
                <w:highlight w:val="none"/>
              </w:rPr>
            </w:pPr>
          </w:p>
        </w:tc>
        <w:tc>
          <w:tcPr>
            <w:tcW w:w="1035" w:type="dxa"/>
            <w:tcBorders>
              <w:top w:val="single" w:color="000000" w:sz="4" w:space="0"/>
              <w:left w:val="single" w:color="000000" w:sz="4" w:space="0"/>
              <w:bottom w:val="single" w:color="000000" w:sz="4" w:space="0"/>
            </w:tcBorders>
            <w:shd w:val="clear" w:color="auto" w:fill="FFFFFF"/>
            <w:vAlign w:val="center"/>
          </w:tcPr>
          <w:p w14:paraId="15FEC50C">
            <w:pPr>
              <w:jc w:val="right"/>
              <w:rPr>
                <w:rFonts w:hint="eastAsia" w:ascii="宋体" w:hAnsi="宋体" w:cs="宋体"/>
                <w:color w:val="auto"/>
                <w:sz w:val="18"/>
                <w:szCs w:val="18"/>
                <w:highlight w:val="none"/>
              </w:rPr>
            </w:pPr>
          </w:p>
        </w:tc>
        <w:tc>
          <w:tcPr>
            <w:tcW w:w="1005" w:type="dxa"/>
            <w:tcBorders>
              <w:top w:val="single" w:color="000000" w:sz="4" w:space="0"/>
              <w:left w:val="single" w:color="000000" w:sz="4" w:space="0"/>
              <w:bottom w:val="single" w:color="000000" w:sz="4" w:space="0"/>
            </w:tcBorders>
            <w:shd w:val="clear" w:color="auto" w:fill="FFFFFF"/>
            <w:vAlign w:val="center"/>
          </w:tcPr>
          <w:p w14:paraId="252DDA97">
            <w:pPr>
              <w:jc w:val="right"/>
              <w:rPr>
                <w:rFonts w:hint="eastAsia" w:ascii="宋体" w:hAnsi="宋体" w:cs="宋体"/>
                <w:color w:val="auto"/>
                <w:sz w:val="18"/>
                <w:szCs w:val="18"/>
                <w:highlight w:val="none"/>
              </w:rPr>
            </w:pPr>
          </w:p>
        </w:tc>
        <w:tc>
          <w:tcPr>
            <w:tcW w:w="1095" w:type="dxa"/>
            <w:tcBorders>
              <w:top w:val="single" w:color="000000" w:sz="4" w:space="0"/>
              <w:left w:val="single" w:color="000000" w:sz="4" w:space="0"/>
              <w:bottom w:val="single" w:color="000000" w:sz="4" w:space="0"/>
            </w:tcBorders>
            <w:shd w:val="clear" w:color="auto" w:fill="FFFFFF"/>
            <w:vAlign w:val="center"/>
          </w:tcPr>
          <w:p w14:paraId="4BDFCDAF">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bottom w:val="single" w:color="000000" w:sz="4" w:space="0"/>
            </w:tcBorders>
            <w:shd w:val="clear" w:color="auto" w:fill="FFFFFF"/>
            <w:vAlign w:val="center"/>
          </w:tcPr>
          <w:p w14:paraId="1269ECED">
            <w:pPr>
              <w:jc w:val="right"/>
              <w:rPr>
                <w:rFonts w:hint="eastAsia" w:ascii="宋体" w:hAnsi="宋体" w:cs="宋体"/>
                <w:color w:val="auto"/>
                <w:sz w:val="18"/>
                <w:szCs w:val="18"/>
                <w:highlight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AA9F0">
            <w:pPr>
              <w:jc w:val="left"/>
              <w:rPr>
                <w:rFonts w:hint="eastAsia" w:ascii="宋体" w:hAnsi="宋体" w:cs="宋体"/>
                <w:color w:val="auto"/>
                <w:sz w:val="18"/>
                <w:szCs w:val="18"/>
                <w:highlight w:val="none"/>
              </w:rPr>
            </w:pPr>
          </w:p>
        </w:tc>
      </w:tr>
      <w:tr w14:paraId="01ECBEF7">
        <w:tblPrEx>
          <w:tblCellMar>
            <w:top w:w="15" w:type="dxa"/>
            <w:left w:w="15" w:type="dxa"/>
            <w:bottom w:w="15" w:type="dxa"/>
            <w:right w:w="15" w:type="dxa"/>
          </w:tblCellMar>
        </w:tblPrEx>
        <w:trPr>
          <w:trHeight w:val="450" w:hRule="atLeast"/>
        </w:trPr>
        <w:tc>
          <w:tcPr>
            <w:tcW w:w="106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34D2143D">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本页小计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78A33">
            <w:pPr>
              <w:jc w:val="right"/>
              <w:rPr>
                <w:rFonts w:hint="eastAsia" w:ascii="宋体" w:hAnsi="宋体" w:cs="宋体"/>
                <w:color w:val="auto"/>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97BD10">
            <w:pPr>
              <w:jc w:val="right"/>
              <w:rPr>
                <w:rFonts w:hint="eastAsia" w:ascii="宋体" w:hAnsi="宋体" w:cs="宋体"/>
                <w:color w:val="auto"/>
                <w:sz w:val="18"/>
                <w:szCs w:val="18"/>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DCF21">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A987D">
            <w:pPr>
              <w:jc w:val="right"/>
              <w:rPr>
                <w:rFonts w:hint="eastAsia" w:ascii="宋体" w:hAnsi="宋体" w:cs="宋体"/>
                <w:color w:val="auto"/>
                <w:sz w:val="18"/>
                <w:szCs w:val="18"/>
                <w:highlight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97B243">
            <w:pPr>
              <w:jc w:val="center"/>
              <w:rPr>
                <w:rFonts w:hint="eastAsia" w:ascii="宋体" w:hAnsi="宋体" w:cs="宋体"/>
                <w:color w:val="auto"/>
                <w:sz w:val="18"/>
                <w:szCs w:val="18"/>
                <w:highlight w:val="none"/>
              </w:rPr>
            </w:pPr>
          </w:p>
        </w:tc>
      </w:tr>
    </w:tbl>
    <w:p w14:paraId="2B91EBAB">
      <w:pPr>
        <w:rPr>
          <w:rFonts w:hint="eastAsia"/>
          <w:color w:val="auto"/>
          <w:highlight w:val="none"/>
        </w:rPr>
        <w:sectPr>
          <w:pgSz w:w="16838" w:h="11906" w:orient="landscape"/>
          <w:pgMar w:top="1134" w:right="1134" w:bottom="1134" w:left="1134" w:header="851" w:footer="992" w:gutter="0"/>
          <w:cols w:space="720" w:num="1"/>
          <w:docGrid w:linePitch="312" w:charSpace="0"/>
        </w:sectPr>
      </w:pPr>
    </w:p>
    <w:p w14:paraId="4507F32C">
      <w:pPr>
        <w:spacing w:line="600" w:lineRule="exact"/>
        <w:jc w:val="center"/>
        <w:rPr>
          <w:rFonts w:hint="eastAsia"/>
          <w:b/>
          <w:color w:val="auto"/>
          <w:sz w:val="36"/>
          <w:szCs w:val="36"/>
          <w:highlight w:val="none"/>
        </w:rPr>
      </w:pPr>
      <w:r>
        <w:rPr>
          <w:rFonts w:hint="eastAsia"/>
          <w:b/>
          <w:color w:val="auto"/>
          <w:sz w:val="36"/>
          <w:szCs w:val="36"/>
          <w:highlight w:val="none"/>
        </w:rPr>
        <w:t>施工技术措施项目清单与计价表</w:t>
      </w:r>
    </w:p>
    <w:p w14:paraId="63634128">
      <w:pPr>
        <w:spacing w:line="600" w:lineRule="exact"/>
        <w:rPr>
          <w:rFonts w:hint="eastAsia" w:ascii="黑体" w:hAnsi="宋体"/>
          <w:color w:val="auto"/>
          <w:sz w:val="24"/>
          <w:highlight w:val="none"/>
        </w:rPr>
      </w:pPr>
      <w:r>
        <w:rPr>
          <w:rFonts w:hint="eastAsia"/>
          <w:color w:val="auto"/>
          <w:sz w:val="22"/>
          <w:szCs w:val="22"/>
          <w:highlight w:val="none"/>
        </w:rPr>
        <w:t>工程名称：                                                                                                          第    页 共    页</w:t>
      </w:r>
    </w:p>
    <w:tbl>
      <w:tblPr>
        <w:tblStyle w:val="38"/>
        <w:tblW w:w="0" w:type="auto"/>
        <w:tblInd w:w="-587" w:type="dxa"/>
        <w:tblLayout w:type="fixed"/>
        <w:tblCellMar>
          <w:top w:w="15" w:type="dxa"/>
          <w:left w:w="15" w:type="dxa"/>
          <w:bottom w:w="15" w:type="dxa"/>
          <w:right w:w="15" w:type="dxa"/>
        </w:tblCellMar>
      </w:tblPr>
      <w:tblGrid>
        <w:gridCol w:w="758"/>
        <w:gridCol w:w="1500"/>
        <w:gridCol w:w="2423"/>
        <w:gridCol w:w="3105"/>
        <w:gridCol w:w="675"/>
        <w:gridCol w:w="1065"/>
        <w:gridCol w:w="1080"/>
        <w:gridCol w:w="1035"/>
        <w:gridCol w:w="1005"/>
        <w:gridCol w:w="1095"/>
        <w:gridCol w:w="1170"/>
        <w:gridCol w:w="1089"/>
      </w:tblGrid>
      <w:tr w14:paraId="5E38AD11">
        <w:tblPrEx>
          <w:tblCellMar>
            <w:top w:w="15" w:type="dxa"/>
            <w:left w:w="15" w:type="dxa"/>
            <w:bottom w:w="15" w:type="dxa"/>
            <w:right w:w="15" w:type="dxa"/>
          </w:tblCellMar>
        </w:tblPrEx>
        <w:trPr>
          <w:trHeight w:val="450" w:hRule="atLeast"/>
        </w:trPr>
        <w:tc>
          <w:tcPr>
            <w:tcW w:w="758" w:type="dxa"/>
            <w:vMerge w:val="restart"/>
            <w:tcBorders>
              <w:top w:val="single" w:color="000000" w:sz="4" w:space="0"/>
              <w:left w:val="single" w:color="000000" w:sz="4" w:space="0"/>
            </w:tcBorders>
            <w:shd w:val="clear" w:color="auto" w:fill="FFFFFF"/>
            <w:vAlign w:val="center"/>
          </w:tcPr>
          <w:p w14:paraId="5A980BA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1500" w:type="dxa"/>
            <w:vMerge w:val="restart"/>
            <w:tcBorders>
              <w:top w:val="single" w:color="000000" w:sz="4" w:space="0"/>
              <w:left w:val="single" w:color="000000" w:sz="4" w:space="0"/>
            </w:tcBorders>
            <w:shd w:val="clear" w:color="auto" w:fill="FFFFFF"/>
            <w:vAlign w:val="center"/>
          </w:tcPr>
          <w:p w14:paraId="0B3F8DF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项目编码</w:t>
            </w:r>
          </w:p>
        </w:tc>
        <w:tc>
          <w:tcPr>
            <w:tcW w:w="2423" w:type="dxa"/>
            <w:vMerge w:val="restart"/>
            <w:tcBorders>
              <w:top w:val="single" w:color="000000" w:sz="4" w:space="0"/>
              <w:left w:val="single" w:color="000000" w:sz="4" w:space="0"/>
            </w:tcBorders>
            <w:shd w:val="clear" w:color="auto" w:fill="FFFFFF"/>
            <w:vAlign w:val="center"/>
          </w:tcPr>
          <w:p w14:paraId="57DCA33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项目名称</w:t>
            </w:r>
          </w:p>
        </w:tc>
        <w:tc>
          <w:tcPr>
            <w:tcW w:w="3105" w:type="dxa"/>
            <w:vMerge w:val="restart"/>
            <w:tcBorders>
              <w:top w:val="single" w:color="000000" w:sz="4" w:space="0"/>
              <w:left w:val="single" w:color="000000" w:sz="4" w:space="0"/>
            </w:tcBorders>
            <w:shd w:val="clear" w:color="auto" w:fill="FFFFFF"/>
            <w:vAlign w:val="center"/>
          </w:tcPr>
          <w:p w14:paraId="185BF7EB">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项目特征</w:t>
            </w:r>
          </w:p>
        </w:tc>
        <w:tc>
          <w:tcPr>
            <w:tcW w:w="675" w:type="dxa"/>
            <w:vMerge w:val="restart"/>
            <w:tcBorders>
              <w:top w:val="single" w:color="000000" w:sz="4" w:space="0"/>
              <w:left w:val="single" w:color="000000" w:sz="4" w:space="0"/>
            </w:tcBorders>
            <w:shd w:val="clear" w:color="auto" w:fill="FFFFFF"/>
            <w:vAlign w:val="center"/>
          </w:tcPr>
          <w:p w14:paraId="380E5D66">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计量</w:t>
            </w:r>
          </w:p>
          <w:p w14:paraId="15EBB29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单位</w:t>
            </w:r>
          </w:p>
        </w:tc>
        <w:tc>
          <w:tcPr>
            <w:tcW w:w="1065" w:type="dxa"/>
            <w:vMerge w:val="restart"/>
            <w:tcBorders>
              <w:top w:val="single" w:color="000000" w:sz="4" w:space="0"/>
              <w:left w:val="single" w:color="000000" w:sz="4" w:space="0"/>
            </w:tcBorders>
            <w:shd w:val="clear" w:color="auto" w:fill="FFFFFF"/>
            <w:vAlign w:val="center"/>
          </w:tcPr>
          <w:p w14:paraId="3E85757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工程量</w:t>
            </w:r>
          </w:p>
        </w:tc>
        <w:tc>
          <w:tcPr>
            <w:tcW w:w="5385" w:type="dxa"/>
            <w:gridSpan w:val="5"/>
            <w:tcBorders>
              <w:top w:val="single" w:color="000000" w:sz="4" w:space="0"/>
              <w:left w:val="single" w:color="000000" w:sz="4" w:space="0"/>
            </w:tcBorders>
            <w:shd w:val="clear" w:color="auto" w:fill="FFFFFF"/>
            <w:vAlign w:val="center"/>
          </w:tcPr>
          <w:p w14:paraId="7EB7996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 额  (元)</w:t>
            </w:r>
          </w:p>
        </w:tc>
        <w:tc>
          <w:tcPr>
            <w:tcW w:w="1089" w:type="dxa"/>
            <w:vMerge w:val="restart"/>
            <w:tcBorders>
              <w:top w:val="single" w:color="000000" w:sz="4" w:space="0"/>
              <w:left w:val="single" w:color="000000" w:sz="4" w:space="0"/>
              <w:right w:val="single" w:color="000000" w:sz="4" w:space="0"/>
            </w:tcBorders>
            <w:shd w:val="clear" w:color="auto" w:fill="FFFFFF"/>
            <w:vAlign w:val="center"/>
          </w:tcPr>
          <w:p w14:paraId="3553B52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备注</w:t>
            </w:r>
          </w:p>
        </w:tc>
      </w:tr>
      <w:tr w14:paraId="1A5555F6">
        <w:tblPrEx>
          <w:tblCellMar>
            <w:top w:w="15" w:type="dxa"/>
            <w:left w:w="15" w:type="dxa"/>
            <w:bottom w:w="15" w:type="dxa"/>
            <w:right w:w="15" w:type="dxa"/>
          </w:tblCellMar>
        </w:tblPrEx>
        <w:trPr>
          <w:trHeight w:val="360" w:hRule="atLeast"/>
        </w:trPr>
        <w:tc>
          <w:tcPr>
            <w:tcW w:w="758" w:type="dxa"/>
            <w:vMerge w:val="continue"/>
            <w:tcBorders>
              <w:top w:val="single" w:color="000000" w:sz="4" w:space="0"/>
              <w:left w:val="single" w:color="000000" w:sz="4" w:space="0"/>
            </w:tcBorders>
            <w:shd w:val="clear" w:color="auto" w:fill="FFFFFF"/>
            <w:vAlign w:val="center"/>
          </w:tcPr>
          <w:p w14:paraId="5CEA238A">
            <w:pPr>
              <w:jc w:val="center"/>
              <w:rPr>
                <w:rFonts w:hint="eastAsia" w:ascii="宋体" w:hAnsi="宋体" w:cs="宋体"/>
                <w:color w:val="auto"/>
                <w:sz w:val="18"/>
                <w:szCs w:val="18"/>
                <w:highlight w:val="none"/>
              </w:rPr>
            </w:pPr>
          </w:p>
        </w:tc>
        <w:tc>
          <w:tcPr>
            <w:tcW w:w="1500" w:type="dxa"/>
            <w:vMerge w:val="continue"/>
            <w:tcBorders>
              <w:top w:val="single" w:color="000000" w:sz="4" w:space="0"/>
              <w:left w:val="single" w:color="000000" w:sz="4" w:space="0"/>
            </w:tcBorders>
            <w:shd w:val="clear" w:color="auto" w:fill="FFFFFF"/>
            <w:vAlign w:val="center"/>
          </w:tcPr>
          <w:p w14:paraId="1704B484">
            <w:pPr>
              <w:jc w:val="center"/>
              <w:rPr>
                <w:rFonts w:hint="eastAsia" w:ascii="宋体" w:hAnsi="宋体" w:cs="宋体"/>
                <w:color w:val="auto"/>
                <w:sz w:val="18"/>
                <w:szCs w:val="18"/>
                <w:highlight w:val="none"/>
              </w:rPr>
            </w:pPr>
          </w:p>
        </w:tc>
        <w:tc>
          <w:tcPr>
            <w:tcW w:w="2423" w:type="dxa"/>
            <w:vMerge w:val="continue"/>
            <w:tcBorders>
              <w:top w:val="single" w:color="000000" w:sz="4" w:space="0"/>
              <w:left w:val="single" w:color="000000" w:sz="4" w:space="0"/>
            </w:tcBorders>
            <w:shd w:val="clear" w:color="auto" w:fill="FFFFFF"/>
            <w:vAlign w:val="center"/>
          </w:tcPr>
          <w:p w14:paraId="66B5FB3C">
            <w:pPr>
              <w:jc w:val="center"/>
              <w:rPr>
                <w:rFonts w:hint="eastAsia" w:ascii="宋体" w:hAnsi="宋体" w:cs="宋体"/>
                <w:color w:val="auto"/>
                <w:sz w:val="18"/>
                <w:szCs w:val="18"/>
                <w:highlight w:val="none"/>
              </w:rPr>
            </w:pPr>
          </w:p>
        </w:tc>
        <w:tc>
          <w:tcPr>
            <w:tcW w:w="3105" w:type="dxa"/>
            <w:vMerge w:val="continue"/>
            <w:tcBorders>
              <w:top w:val="single" w:color="000000" w:sz="4" w:space="0"/>
              <w:left w:val="single" w:color="000000" w:sz="4" w:space="0"/>
            </w:tcBorders>
            <w:shd w:val="clear" w:color="auto" w:fill="FFFFFF"/>
            <w:vAlign w:val="center"/>
          </w:tcPr>
          <w:p w14:paraId="622AAC93">
            <w:pPr>
              <w:jc w:val="center"/>
              <w:rPr>
                <w:rFonts w:hint="eastAsia" w:ascii="宋体" w:hAnsi="宋体" w:cs="宋体"/>
                <w:color w:val="auto"/>
                <w:sz w:val="18"/>
                <w:szCs w:val="18"/>
                <w:highlight w:val="none"/>
              </w:rPr>
            </w:pPr>
          </w:p>
        </w:tc>
        <w:tc>
          <w:tcPr>
            <w:tcW w:w="675" w:type="dxa"/>
            <w:vMerge w:val="continue"/>
            <w:tcBorders>
              <w:top w:val="single" w:color="000000" w:sz="4" w:space="0"/>
              <w:left w:val="single" w:color="000000" w:sz="4" w:space="0"/>
            </w:tcBorders>
            <w:shd w:val="clear" w:color="auto" w:fill="FFFFFF"/>
            <w:vAlign w:val="center"/>
          </w:tcPr>
          <w:p w14:paraId="32D41A7D">
            <w:pPr>
              <w:jc w:val="center"/>
              <w:rPr>
                <w:rFonts w:hint="eastAsia" w:ascii="宋体" w:hAnsi="宋体" w:cs="宋体"/>
                <w:color w:val="auto"/>
                <w:sz w:val="18"/>
                <w:szCs w:val="18"/>
                <w:highlight w:val="none"/>
              </w:rPr>
            </w:pPr>
          </w:p>
        </w:tc>
        <w:tc>
          <w:tcPr>
            <w:tcW w:w="1065" w:type="dxa"/>
            <w:vMerge w:val="continue"/>
            <w:tcBorders>
              <w:top w:val="single" w:color="000000" w:sz="4" w:space="0"/>
              <w:left w:val="single" w:color="000000" w:sz="4" w:space="0"/>
            </w:tcBorders>
            <w:shd w:val="clear" w:color="auto" w:fill="FFFFFF"/>
            <w:vAlign w:val="center"/>
          </w:tcPr>
          <w:p w14:paraId="3F88623F">
            <w:pPr>
              <w:jc w:val="center"/>
              <w:rPr>
                <w:rFonts w:hint="eastAsia" w:ascii="宋体" w:hAnsi="宋体" w:cs="宋体"/>
                <w:color w:val="auto"/>
                <w:sz w:val="18"/>
                <w:szCs w:val="18"/>
                <w:highlight w:val="none"/>
              </w:rPr>
            </w:pPr>
          </w:p>
        </w:tc>
        <w:tc>
          <w:tcPr>
            <w:tcW w:w="1080" w:type="dxa"/>
            <w:vMerge w:val="restart"/>
            <w:tcBorders>
              <w:top w:val="single" w:color="000000" w:sz="4" w:space="0"/>
              <w:left w:val="single" w:color="000000" w:sz="4" w:space="0"/>
            </w:tcBorders>
            <w:shd w:val="clear" w:color="auto" w:fill="FFFFFF"/>
            <w:vAlign w:val="center"/>
          </w:tcPr>
          <w:p w14:paraId="753D1D8C">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综合单价</w:t>
            </w:r>
          </w:p>
        </w:tc>
        <w:tc>
          <w:tcPr>
            <w:tcW w:w="1035" w:type="dxa"/>
            <w:vMerge w:val="restart"/>
            <w:tcBorders>
              <w:top w:val="single" w:color="000000" w:sz="4" w:space="0"/>
              <w:left w:val="single" w:color="000000" w:sz="4" w:space="0"/>
            </w:tcBorders>
            <w:shd w:val="clear" w:color="auto" w:fill="FFFFFF"/>
            <w:vAlign w:val="center"/>
          </w:tcPr>
          <w:p w14:paraId="768EE3E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合价</w:t>
            </w:r>
          </w:p>
        </w:tc>
        <w:tc>
          <w:tcPr>
            <w:tcW w:w="3270" w:type="dxa"/>
            <w:gridSpan w:val="3"/>
            <w:tcBorders>
              <w:top w:val="single" w:color="000000" w:sz="4" w:space="0"/>
              <w:left w:val="single" w:color="000000" w:sz="4" w:space="0"/>
              <w:right w:val="single" w:color="000000" w:sz="4" w:space="0"/>
            </w:tcBorders>
            <w:shd w:val="clear" w:color="auto" w:fill="FFFFFF"/>
            <w:vAlign w:val="center"/>
          </w:tcPr>
          <w:p w14:paraId="53679C8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其中</w:t>
            </w:r>
          </w:p>
        </w:tc>
        <w:tc>
          <w:tcPr>
            <w:tcW w:w="1089" w:type="dxa"/>
            <w:vMerge w:val="continue"/>
            <w:tcBorders>
              <w:top w:val="single" w:color="000000" w:sz="4" w:space="0"/>
              <w:left w:val="single" w:color="000000" w:sz="4" w:space="0"/>
              <w:right w:val="single" w:color="000000" w:sz="4" w:space="0"/>
            </w:tcBorders>
            <w:shd w:val="clear" w:color="auto" w:fill="FFFFFF"/>
            <w:vAlign w:val="center"/>
          </w:tcPr>
          <w:p w14:paraId="2920ACD4">
            <w:pPr>
              <w:jc w:val="center"/>
              <w:rPr>
                <w:rFonts w:hint="eastAsia" w:ascii="宋体" w:hAnsi="宋体" w:cs="宋体"/>
                <w:color w:val="auto"/>
                <w:sz w:val="18"/>
                <w:szCs w:val="18"/>
                <w:highlight w:val="none"/>
              </w:rPr>
            </w:pPr>
          </w:p>
        </w:tc>
      </w:tr>
      <w:tr w14:paraId="637700B4">
        <w:tblPrEx>
          <w:tblCellMar>
            <w:top w:w="15" w:type="dxa"/>
            <w:left w:w="15" w:type="dxa"/>
            <w:bottom w:w="15" w:type="dxa"/>
            <w:right w:w="15" w:type="dxa"/>
          </w:tblCellMar>
        </w:tblPrEx>
        <w:trPr>
          <w:trHeight w:val="450" w:hRule="atLeast"/>
        </w:trPr>
        <w:tc>
          <w:tcPr>
            <w:tcW w:w="758" w:type="dxa"/>
            <w:vMerge w:val="continue"/>
            <w:tcBorders>
              <w:top w:val="single" w:color="000000" w:sz="4" w:space="0"/>
              <w:left w:val="single" w:color="000000" w:sz="4" w:space="0"/>
            </w:tcBorders>
            <w:shd w:val="clear" w:color="auto" w:fill="FFFFFF"/>
            <w:vAlign w:val="center"/>
          </w:tcPr>
          <w:p w14:paraId="2B529E39">
            <w:pPr>
              <w:jc w:val="center"/>
              <w:rPr>
                <w:rFonts w:hint="eastAsia" w:ascii="宋体" w:hAnsi="宋体" w:cs="宋体"/>
                <w:color w:val="auto"/>
                <w:sz w:val="18"/>
                <w:szCs w:val="18"/>
                <w:highlight w:val="none"/>
              </w:rPr>
            </w:pPr>
          </w:p>
        </w:tc>
        <w:tc>
          <w:tcPr>
            <w:tcW w:w="1500" w:type="dxa"/>
            <w:vMerge w:val="continue"/>
            <w:tcBorders>
              <w:top w:val="single" w:color="000000" w:sz="4" w:space="0"/>
              <w:left w:val="single" w:color="000000" w:sz="4" w:space="0"/>
            </w:tcBorders>
            <w:shd w:val="clear" w:color="auto" w:fill="FFFFFF"/>
            <w:vAlign w:val="center"/>
          </w:tcPr>
          <w:p w14:paraId="3B050F5F">
            <w:pPr>
              <w:jc w:val="center"/>
              <w:rPr>
                <w:rFonts w:hint="eastAsia" w:ascii="宋体" w:hAnsi="宋体" w:cs="宋体"/>
                <w:color w:val="auto"/>
                <w:sz w:val="18"/>
                <w:szCs w:val="18"/>
                <w:highlight w:val="none"/>
              </w:rPr>
            </w:pPr>
          </w:p>
        </w:tc>
        <w:tc>
          <w:tcPr>
            <w:tcW w:w="2423" w:type="dxa"/>
            <w:vMerge w:val="continue"/>
            <w:tcBorders>
              <w:top w:val="single" w:color="000000" w:sz="4" w:space="0"/>
              <w:left w:val="single" w:color="000000" w:sz="4" w:space="0"/>
            </w:tcBorders>
            <w:shd w:val="clear" w:color="auto" w:fill="FFFFFF"/>
            <w:vAlign w:val="center"/>
          </w:tcPr>
          <w:p w14:paraId="54C3670B">
            <w:pPr>
              <w:jc w:val="center"/>
              <w:rPr>
                <w:rFonts w:hint="eastAsia" w:ascii="宋体" w:hAnsi="宋体" w:cs="宋体"/>
                <w:color w:val="auto"/>
                <w:sz w:val="18"/>
                <w:szCs w:val="18"/>
                <w:highlight w:val="none"/>
              </w:rPr>
            </w:pPr>
          </w:p>
        </w:tc>
        <w:tc>
          <w:tcPr>
            <w:tcW w:w="3105" w:type="dxa"/>
            <w:vMerge w:val="continue"/>
            <w:tcBorders>
              <w:top w:val="single" w:color="000000" w:sz="4" w:space="0"/>
              <w:left w:val="single" w:color="000000" w:sz="4" w:space="0"/>
            </w:tcBorders>
            <w:shd w:val="clear" w:color="auto" w:fill="FFFFFF"/>
            <w:vAlign w:val="center"/>
          </w:tcPr>
          <w:p w14:paraId="5827B5F9">
            <w:pPr>
              <w:jc w:val="center"/>
              <w:rPr>
                <w:rFonts w:hint="eastAsia" w:ascii="宋体" w:hAnsi="宋体" w:cs="宋体"/>
                <w:color w:val="auto"/>
                <w:sz w:val="18"/>
                <w:szCs w:val="18"/>
                <w:highlight w:val="none"/>
              </w:rPr>
            </w:pPr>
          </w:p>
        </w:tc>
        <w:tc>
          <w:tcPr>
            <w:tcW w:w="675" w:type="dxa"/>
            <w:vMerge w:val="continue"/>
            <w:tcBorders>
              <w:top w:val="single" w:color="000000" w:sz="4" w:space="0"/>
              <w:left w:val="single" w:color="000000" w:sz="4" w:space="0"/>
            </w:tcBorders>
            <w:shd w:val="clear" w:color="auto" w:fill="FFFFFF"/>
            <w:vAlign w:val="center"/>
          </w:tcPr>
          <w:p w14:paraId="6080C977">
            <w:pPr>
              <w:jc w:val="center"/>
              <w:rPr>
                <w:rFonts w:hint="eastAsia" w:ascii="宋体" w:hAnsi="宋体" w:cs="宋体"/>
                <w:color w:val="auto"/>
                <w:sz w:val="18"/>
                <w:szCs w:val="18"/>
                <w:highlight w:val="none"/>
              </w:rPr>
            </w:pPr>
          </w:p>
        </w:tc>
        <w:tc>
          <w:tcPr>
            <w:tcW w:w="1065" w:type="dxa"/>
            <w:vMerge w:val="continue"/>
            <w:tcBorders>
              <w:top w:val="single" w:color="000000" w:sz="4" w:space="0"/>
              <w:left w:val="single" w:color="000000" w:sz="4" w:space="0"/>
            </w:tcBorders>
            <w:shd w:val="clear" w:color="auto" w:fill="FFFFFF"/>
            <w:vAlign w:val="center"/>
          </w:tcPr>
          <w:p w14:paraId="6AF771E5">
            <w:pPr>
              <w:jc w:val="center"/>
              <w:rPr>
                <w:rFonts w:hint="eastAsia" w:ascii="宋体" w:hAnsi="宋体" w:cs="宋体"/>
                <w:color w:val="auto"/>
                <w:sz w:val="18"/>
                <w:szCs w:val="18"/>
                <w:highlight w:val="none"/>
              </w:rPr>
            </w:pPr>
          </w:p>
        </w:tc>
        <w:tc>
          <w:tcPr>
            <w:tcW w:w="1080" w:type="dxa"/>
            <w:vMerge w:val="continue"/>
            <w:tcBorders>
              <w:top w:val="single" w:color="000000" w:sz="4" w:space="0"/>
              <w:left w:val="single" w:color="000000" w:sz="4" w:space="0"/>
            </w:tcBorders>
            <w:shd w:val="clear" w:color="auto" w:fill="FFFFFF"/>
            <w:vAlign w:val="center"/>
          </w:tcPr>
          <w:p w14:paraId="22CB4C78">
            <w:pPr>
              <w:jc w:val="center"/>
              <w:rPr>
                <w:rFonts w:hint="eastAsia" w:ascii="宋体" w:hAnsi="宋体" w:cs="宋体"/>
                <w:color w:val="auto"/>
                <w:sz w:val="18"/>
                <w:szCs w:val="18"/>
                <w:highlight w:val="none"/>
              </w:rPr>
            </w:pPr>
          </w:p>
        </w:tc>
        <w:tc>
          <w:tcPr>
            <w:tcW w:w="1035" w:type="dxa"/>
            <w:vMerge w:val="continue"/>
            <w:tcBorders>
              <w:top w:val="single" w:color="000000" w:sz="4" w:space="0"/>
              <w:left w:val="single" w:color="000000" w:sz="4" w:space="0"/>
            </w:tcBorders>
            <w:shd w:val="clear" w:color="auto" w:fill="FFFFFF"/>
            <w:vAlign w:val="center"/>
          </w:tcPr>
          <w:p w14:paraId="42538C03">
            <w:pPr>
              <w:jc w:val="center"/>
              <w:rPr>
                <w:rFonts w:hint="eastAsia" w:ascii="宋体" w:hAnsi="宋体" w:cs="宋体"/>
                <w:color w:val="auto"/>
                <w:sz w:val="18"/>
                <w:szCs w:val="18"/>
                <w:highlight w:val="none"/>
              </w:rPr>
            </w:pPr>
          </w:p>
        </w:tc>
        <w:tc>
          <w:tcPr>
            <w:tcW w:w="1005" w:type="dxa"/>
            <w:tcBorders>
              <w:top w:val="single" w:color="000000" w:sz="4" w:space="0"/>
              <w:left w:val="single" w:color="000000" w:sz="4" w:space="0"/>
            </w:tcBorders>
            <w:shd w:val="clear" w:color="auto" w:fill="FFFFFF"/>
            <w:vAlign w:val="center"/>
          </w:tcPr>
          <w:p w14:paraId="080E856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人工费</w:t>
            </w:r>
          </w:p>
        </w:tc>
        <w:tc>
          <w:tcPr>
            <w:tcW w:w="1095" w:type="dxa"/>
            <w:tcBorders>
              <w:top w:val="single" w:color="000000" w:sz="4" w:space="0"/>
              <w:left w:val="single" w:color="000000" w:sz="4" w:space="0"/>
            </w:tcBorders>
            <w:shd w:val="clear" w:color="auto" w:fill="FFFFFF"/>
            <w:vAlign w:val="center"/>
          </w:tcPr>
          <w:p w14:paraId="37841E19">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机械费</w:t>
            </w:r>
          </w:p>
        </w:tc>
        <w:tc>
          <w:tcPr>
            <w:tcW w:w="1170" w:type="dxa"/>
            <w:tcBorders>
              <w:top w:val="single" w:color="000000" w:sz="4" w:space="0"/>
              <w:left w:val="single" w:color="000000" w:sz="4" w:space="0"/>
              <w:right w:val="single" w:color="000000" w:sz="4" w:space="0"/>
            </w:tcBorders>
            <w:shd w:val="clear" w:color="auto" w:fill="FFFFFF"/>
            <w:vAlign w:val="center"/>
          </w:tcPr>
          <w:p w14:paraId="2F11205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暂估价</w:t>
            </w:r>
          </w:p>
        </w:tc>
        <w:tc>
          <w:tcPr>
            <w:tcW w:w="1089" w:type="dxa"/>
            <w:vMerge w:val="continue"/>
            <w:tcBorders>
              <w:top w:val="single" w:color="000000" w:sz="4" w:space="0"/>
              <w:left w:val="single" w:color="000000" w:sz="4" w:space="0"/>
              <w:right w:val="single" w:color="000000" w:sz="4" w:space="0"/>
            </w:tcBorders>
            <w:shd w:val="clear" w:color="auto" w:fill="FFFFFF"/>
            <w:vAlign w:val="center"/>
          </w:tcPr>
          <w:p w14:paraId="4D27E914">
            <w:pPr>
              <w:jc w:val="center"/>
              <w:rPr>
                <w:rFonts w:hint="eastAsia" w:ascii="宋体" w:hAnsi="宋体" w:cs="宋体"/>
                <w:color w:val="auto"/>
                <w:sz w:val="18"/>
                <w:szCs w:val="18"/>
                <w:highlight w:val="none"/>
              </w:rPr>
            </w:pPr>
          </w:p>
        </w:tc>
      </w:tr>
      <w:tr w14:paraId="3398EC2C">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4E53961E">
            <w:pPr>
              <w:jc w:val="center"/>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3AEB78F5">
            <w:pPr>
              <w:jc w:val="left"/>
              <w:rPr>
                <w:rFonts w:hint="eastAsia" w:ascii="宋体" w:hAnsi="宋体" w:cs="宋体"/>
                <w:color w:val="auto"/>
                <w:sz w:val="18"/>
                <w:szCs w:val="18"/>
                <w:highlight w:val="none"/>
              </w:rPr>
            </w:pPr>
          </w:p>
        </w:tc>
        <w:tc>
          <w:tcPr>
            <w:tcW w:w="2423" w:type="dxa"/>
            <w:tcBorders>
              <w:top w:val="single" w:color="000000" w:sz="4" w:space="0"/>
              <w:left w:val="single" w:color="000000" w:sz="4" w:space="0"/>
            </w:tcBorders>
            <w:shd w:val="clear" w:color="auto" w:fill="FFFFFF"/>
            <w:vAlign w:val="center"/>
          </w:tcPr>
          <w:p w14:paraId="63519E57">
            <w:pPr>
              <w:jc w:val="left"/>
              <w:rPr>
                <w:rFonts w:hint="eastAsia" w:ascii="宋体" w:hAnsi="宋体" w:cs="宋体"/>
                <w:color w:val="auto"/>
                <w:sz w:val="18"/>
                <w:szCs w:val="18"/>
                <w:highlight w:val="none"/>
              </w:rPr>
            </w:pPr>
          </w:p>
        </w:tc>
        <w:tc>
          <w:tcPr>
            <w:tcW w:w="3105" w:type="dxa"/>
            <w:tcBorders>
              <w:top w:val="single" w:color="000000" w:sz="4" w:space="0"/>
              <w:left w:val="single" w:color="000000" w:sz="4" w:space="0"/>
            </w:tcBorders>
            <w:shd w:val="clear" w:color="auto" w:fill="FFFFFF"/>
            <w:vAlign w:val="center"/>
          </w:tcPr>
          <w:p w14:paraId="5CA9CC3C">
            <w:pPr>
              <w:jc w:val="left"/>
              <w:rPr>
                <w:rFonts w:hint="eastAsia" w:ascii="宋体" w:hAnsi="宋体" w:cs="宋体"/>
                <w:color w:val="auto"/>
                <w:sz w:val="18"/>
                <w:szCs w:val="18"/>
                <w:highlight w:val="none"/>
              </w:rPr>
            </w:pPr>
          </w:p>
        </w:tc>
        <w:tc>
          <w:tcPr>
            <w:tcW w:w="675" w:type="dxa"/>
            <w:tcBorders>
              <w:top w:val="single" w:color="000000" w:sz="4" w:space="0"/>
              <w:left w:val="single" w:color="000000" w:sz="4" w:space="0"/>
            </w:tcBorders>
            <w:shd w:val="clear" w:color="auto" w:fill="FFFFFF"/>
            <w:vAlign w:val="center"/>
          </w:tcPr>
          <w:p w14:paraId="5B1E0E45">
            <w:pPr>
              <w:jc w:val="center"/>
              <w:rPr>
                <w:rFonts w:hint="eastAsia" w:ascii="宋体" w:hAnsi="宋体" w:cs="宋体"/>
                <w:color w:val="auto"/>
                <w:sz w:val="18"/>
                <w:szCs w:val="18"/>
                <w:highlight w:val="none"/>
              </w:rPr>
            </w:pPr>
          </w:p>
        </w:tc>
        <w:tc>
          <w:tcPr>
            <w:tcW w:w="1065" w:type="dxa"/>
            <w:tcBorders>
              <w:top w:val="single" w:color="000000" w:sz="4" w:space="0"/>
              <w:left w:val="single" w:color="000000" w:sz="4" w:space="0"/>
            </w:tcBorders>
            <w:shd w:val="clear" w:color="auto" w:fill="FFFFFF"/>
            <w:vAlign w:val="center"/>
          </w:tcPr>
          <w:p w14:paraId="77DE0D90">
            <w:pPr>
              <w:jc w:val="right"/>
              <w:rPr>
                <w:rFonts w:hint="eastAsia" w:ascii="宋体" w:hAnsi="宋体" w:cs="宋体"/>
                <w:color w:val="auto"/>
                <w:sz w:val="18"/>
                <w:szCs w:val="18"/>
                <w:highlight w:val="none"/>
              </w:rPr>
            </w:pPr>
          </w:p>
        </w:tc>
        <w:tc>
          <w:tcPr>
            <w:tcW w:w="1080" w:type="dxa"/>
            <w:tcBorders>
              <w:top w:val="single" w:color="000000" w:sz="4" w:space="0"/>
              <w:left w:val="single" w:color="000000" w:sz="4" w:space="0"/>
            </w:tcBorders>
            <w:shd w:val="clear" w:color="auto" w:fill="FFFFFF"/>
            <w:vAlign w:val="center"/>
          </w:tcPr>
          <w:p w14:paraId="19C03A17">
            <w:pPr>
              <w:jc w:val="right"/>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12BCF377">
            <w:pPr>
              <w:jc w:val="right"/>
              <w:rPr>
                <w:rFonts w:hint="eastAsia" w:ascii="宋体" w:hAnsi="宋体" w:cs="宋体"/>
                <w:color w:val="auto"/>
                <w:sz w:val="18"/>
                <w:szCs w:val="18"/>
                <w:highlight w:val="none"/>
              </w:rPr>
            </w:pPr>
          </w:p>
        </w:tc>
        <w:tc>
          <w:tcPr>
            <w:tcW w:w="1005" w:type="dxa"/>
            <w:tcBorders>
              <w:top w:val="single" w:color="000000" w:sz="4" w:space="0"/>
              <w:left w:val="single" w:color="000000" w:sz="4" w:space="0"/>
            </w:tcBorders>
            <w:shd w:val="clear" w:color="auto" w:fill="FFFFFF"/>
            <w:vAlign w:val="center"/>
          </w:tcPr>
          <w:p w14:paraId="1C0188C5">
            <w:pPr>
              <w:jc w:val="right"/>
              <w:rPr>
                <w:rFonts w:hint="eastAsia" w:ascii="宋体" w:hAnsi="宋体" w:cs="宋体"/>
                <w:color w:val="auto"/>
                <w:sz w:val="18"/>
                <w:szCs w:val="18"/>
                <w:highlight w:val="none"/>
              </w:rPr>
            </w:pPr>
          </w:p>
        </w:tc>
        <w:tc>
          <w:tcPr>
            <w:tcW w:w="1095" w:type="dxa"/>
            <w:tcBorders>
              <w:top w:val="single" w:color="000000" w:sz="4" w:space="0"/>
              <w:left w:val="single" w:color="000000" w:sz="4" w:space="0"/>
            </w:tcBorders>
            <w:shd w:val="clear" w:color="auto" w:fill="FFFFFF"/>
            <w:vAlign w:val="center"/>
          </w:tcPr>
          <w:p w14:paraId="304E0F0F">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26E1449F">
            <w:pPr>
              <w:jc w:val="right"/>
              <w:rPr>
                <w:rFonts w:hint="eastAsia" w:ascii="宋体" w:hAnsi="宋体" w:cs="宋体"/>
                <w:color w:val="auto"/>
                <w:sz w:val="18"/>
                <w:szCs w:val="18"/>
                <w:highlight w:val="none"/>
              </w:rPr>
            </w:pPr>
          </w:p>
        </w:tc>
        <w:tc>
          <w:tcPr>
            <w:tcW w:w="1089" w:type="dxa"/>
            <w:tcBorders>
              <w:top w:val="single" w:color="000000" w:sz="4" w:space="0"/>
              <w:left w:val="single" w:color="000000" w:sz="4" w:space="0"/>
              <w:right w:val="single" w:color="000000" w:sz="4" w:space="0"/>
            </w:tcBorders>
            <w:shd w:val="clear" w:color="auto" w:fill="FFFFFF"/>
            <w:vAlign w:val="center"/>
          </w:tcPr>
          <w:p w14:paraId="04B98816">
            <w:pPr>
              <w:jc w:val="left"/>
              <w:rPr>
                <w:rFonts w:hint="eastAsia" w:ascii="宋体" w:hAnsi="宋体" w:cs="宋体"/>
                <w:color w:val="auto"/>
                <w:sz w:val="18"/>
                <w:szCs w:val="18"/>
                <w:highlight w:val="none"/>
              </w:rPr>
            </w:pPr>
          </w:p>
        </w:tc>
      </w:tr>
      <w:tr w14:paraId="7920C8BC">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55C4F885">
            <w:pPr>
              <w:jc w:val="center"/>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0524EEB6">
            <w:pPr>
              <w:jc w:val="left"/>
              <w:rPr>
                <w:rFonts w:hint="eastAsia" w:ascii="宋体" w:hAnsi="宋体" w:cs="宋体"/>
                <w:color w:val="auto"/>
                <w:sz w:val="18"/>
                <w:szCs w:val="18"/>
                <w:highlight w:val="none"/>
              </w:rPr>
            </w:pPr>
          </w:p>
        </w:tc>
        <w:tc>
          <w:tcPr>
            <w:tcW w:w="2423" w:type="dxa"/>
            <w:tcBorders>
              <w:top w:val="single" w:color="000000" w:sz="4" w:space="0"/>
              <w:left w:val="single" w:color="000000" w:sz="4" w:space="0"/>
            </w:tcBorders>
            <w:shd w:val="clear" w:color="auto" w:fill="FFFFFF"/>
            <w:vAlign w:val="center"/>
          </w:tcPr>
          <w:p w14:paraId="3103C3B7">
            <w:pPr>
              <w:jc w:val="left"/>
              <w:rPr>
                <w:rFonts w:hint="eastAsia" w:ascii="宋体" w:hAnsi="宋体" w:cs="宋体"/>
                <w:color w:val="auto"/>
                <w:sz w:val="18"/>
                <w:szCs w:val="18"/>
                <w:highlight w:val="none"/>
              </w:rPr>
            </w:pPr>
          </w:p>
        </w:tc>
        <w:tc>
          <w:tcPr>
            <w:tcW w:w="3105" w:type="dxa"/>
            <w:tcBorders>
              <w:top w:val="single" w:color="000000" w:sz="4" w:space="0"/>
              <w:left w:val="single" w:color="000000" w:sz="4" w:space="0"/>
            </w:tcBorders>
            <w:shd w:val="clear" w:color="auto" w:fill="FFFFFF"/>
            <w:vAlign w:val="center"/>
          </w:tcPr>
          <w:p w14:paraId="33E7AE85">
            <w:pPr>
              <w:jc w:val="left"/>
              <w:rPr>
                <w:rFonts w:hint="eastAsia" w:ascii="宋体" w:hAnsi="宋体" w:cs="宋体"/>
                <w:color w:val="auto"/>
                <w:sz w:val="18"/>
                <w:szCs w:val="18"/>
                <w:highlight w:val="none"/>
              </w:rPr>
            </w:pPr>
          </w:p>
        </w:tc>
        <w:tc>
          <w:tcPr>
            <w:tcW w:w="675" w:type="dxa"/>
            <w:tcBorders>
              <w:top w:val="single" w:color="000000" w:sz="4" w:space="0"/>
              <w:left w:val="single" w:color="000000" w:sz="4" w:space="0"/>
            </w:tcBorders>
            <w:shd w:val="clear" w:color="auto" w:fill="FFFFFF"/>
            <w:vAlign w:val="center"/>
          </w:tcPr>
          <w:p w14:paraId="3ADEF863">
            <w:pPr>
              <w:jc w:val="center"/>
              <w:rPr>
                <w:rFonts w:hint="eastAsia" w:ascii="宋体" w:hAnsi="宋体" w:cs="宋体"/>
                <w:color w:val="auto"/>
                <w:sz w:val="18"/>
                <w:szCs w:val="18"/>
                <w:highlight w:val="none"/>
              </w:rPr>
            </w:pPr>
          </w:p>
        </w:tc>
        <w:tc>
          <w:tcPr>
            <w:tcW w:w="1065" w:type="dxa"/>
            <w:tcBorders>
              <w:top w:val="single" w:color="000000" w:sz="4" w:space="0"/>
              <w:left w:val="single" w:color="000000" w:sz="4" w:space="0"/>
            </w:tcBorders>
            <w:shd w:val="clear" w:color="auto" w:fill="FFFFFF"/>
            <w:vAlign w:val="center"/>
          </w:tcPr>
          <w:p w14:paraId="68DCAB5A">
            <w:pPr>
              <w:jc w:val="right"/>
              <w:rPr>
                <w:rFonts w:hint="eastAsia" w:ascii="宋体" w:hAnsi="宋体" w:cs="宋体"/>
                <w:color w:val="auto"/>
                <w:sz w:val="18"/>
                <w:szCs w:val="18"/>
                <w:highlight w:val="none"/>
              </w:rPr>
            </w:pPr>
          </w:p>
        </w:tc>
        <w:tc>
          <w:tcPr>
            <w:tcW w:w="1080" w:type="dxa"/>
            <w:tcBorders>
              <w:top w:val="single" w:color="000000" w:sz="4" w:space="0"/>
              <w:left w:val="single" w:color="000000" w:sz="4" w:space="0"/>
            </w:tcBorders>
            <w:shd w:val="clear" w:color="auto" w:fill="FFFFFF"/>
            <w:vAlign w:val="center"/>
          </w:tcPr>
          <w:p w14:paraId="51C07E75">
            <w:pPr>
              <w:jc w:val="right"/>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4230C922">
            <w:pPr>
              <w:jc w:val="right"/>
              <w:rPr>
                <w:rFonts w:hint="eastAsia" w:ascii="宋体" w:hAnsi="宋体" w:cs="宋体"/>
                <w:color w:val="auto"/>
                <w:sz w:val="18"/>
                <w:szCs w:val="18"/>
                <w:highlight w:val="none"/>
              </w:rPr>
            </w:pPr>
          </w:p>
        </w:tc>
        <w:tc>
          <w:tcPr>
            <w:tcW w:w="1005" w:type="dxa"/>
            <w:tcBorders>
              <w:top w:val="single" w:color="000000" w:sz="4" w:space="0"/>
              <w:left w:val="single" w:color="000000" w:sz="4" w:space="0"/>
            </w:tcBorders>
            <w:shd w:val="clear" w:color="auto" w:fill="FFFFFF"/>
            <w:vAlign w:val="center"/>
          </w:tcPr>
          <w:p w14:paraId="5992A417">
            <w:pPr>
              <w:jc w:val="right"/>
              <w:rPr>
                <w:rFonts w:hint="eastAsia" w:ascii="宋体" w:hAnsi="宋体" w:cs="宋体"/>
                <w:color w:val="auto"/>
                <w:sz w:val="18"/>
                <w:szCs w:val="18"/>
                <w:highlight w:val="none"/>
              </w:rPr>
            </w:pPr>
          </w:p>
        </w:tc>
        <w:tc>
          <w:tcPr>
            <w:tcW w:w="1095" w:type="dxa"/>
            <w:tcBorders>
              <w:top w:val="single" w:color="000000" w:sz="4" w:space="0"/>
              <w:left w:val="single" w:color="000000" w:sz="4" w:space="0"/>
            </w:tcBorders>
            <w:shd w:val="clear" w:color="auto" w:fill="FFFFFF"/>
            <w:vAlign w:val="center"/>
          </w:tcPr>
          <w:p w14:paraId="50569D6C">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7C4B96D8">
            <w:pPr>
              <w:jc w:val="right"/>
              <w:rPr>
                <w:rFonts w:hint="eastAsia" w:ascii="宋体" w:hAnsi="宋体" w:cs="宋体"/>
                <w:color w:val="auto"/>
                <w:sz w:val="18"/>
                <w:szCs w:val="18"/>
                <w:highlight w:val="none"/>
              </w:rPr>
            </w:pPr>
          </w:p>
        </w:tc>
        <w:tc>
          <w:tcPr>
            <w:tcW w:w="1089" w:type="dxa"/>
            <w:tcBorders>
              <w:top w:val="single" w:color="000000" w:sz="4" w:space="0"/>
              <w:left w:val="single" w:color="000000" w:sz="4" w:space="0"/>
              <w:right w:val="single" w:color="000000" w:sz="4" w:space="0"/>
            </w:tcBorders>
            <w:shd w:val="clear" w:color="auto" w:fill="FFFFFF"/>
            <w:vAlign w:val="center"/>
          </w:tcPr>
          <w:p w14:paraId="448ADA56">
            <w:pPr>
              <w:jc w:val="left"/>
              <w:rPr>
                <w:rFonts w:hint="eastAsia" w:ascii="宋体" w:hAnsi="宋体" w:cs="宋体"/>
                <w:color w:val="auto"/>
                <w:sz w:val="18"/>
                <w:szCs w:val="18"/>
                <w:highlight w:val="none"/>
              </w:rPr>
            </w:pPr>
          </w:p>
        </w:tc>
      </w:tr>
      <w:tr w14:paraId="39F3B705">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0D295099">
            <w:pPr>
              <w:jc w:val="center"/>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0F0FBCAB">
            <w:pPr>
              <w:jc w:val="left"/>
              <w:rPr>
                <w:rFonts w:hint="eastAsia" w:ascii="宋体" w:hAnsi="宋体" w:cs="宋体"/>
                <w:color w:val="auto"/>
                <w:sz w:val="18"/>
                <w:szCs w:val="18"/>
                <w:highlight w:val="none"/>
              </w:rPr>
            </w:pPr>
          </w:p>
        </w:tc>
        <w:tc>
          <w:tcPr>
            <w:tcW w:w="2423" w:type="dxa"/>
            <w:tcBorders>
              <w:top w:val="single" w:color="000000" w:sz="4" w:space="0"/>
              <w:left w:val="single" w:color="000000" w:sz="4" w:space="0"/>
            </w:tcBorders>
            <w:shd w:val="clear" w:color="auto" w:fill="FFFFFF"/>
            <w:vAlign w:val="center"/>
          </w:tcPr>
          <w:p w14:paraId="21CF60B2">
            <w:pPr>
              <w:jc w:val="left"/>
              <w:rPr>
                <w:rFonts w:hint="eastAsia" w:ascii="宋体" w:hAnsi="宋体" w:cs="宋体"/>
                <w:color w:val="auto"/>
                <w:sz w:val="18"/>
                <w:szCs w:val="18"/>
                <w:highlight w:val="none"/>
              </w:rPr>
            </w:pPr>
          </w:p>
        </w:tc>
        <w:tc>
          <w:tcPr>
            <w:tcW w:w="3105" w:type="dxa"/>
            <w:tcBorders>
              <w:top w:val="single" w:color="000000" w:sz="4" w:space="0"/>
              <w:left w:val="single" w:color="000000" w:sz="4" w:space="0"/>
            </w:tcBorders>
            <w:shd w:val="clear" w:color="auto" w:fill="FFFFFF"/>
            <w:vAlign w:val="center"/>
          </w:tcPr>
          <w:p w14:paraId="661F72EA">
            <w:pPr>
              <w:jc w:val="left"/>
              <w:rPr>
                <w:rFonts w:hint="eastAsia" w:ascii="宋体" w:hAnsi="宋体" w:cs="宋体"/>
                <w:color w:val="auto"/>
                <w:sz w:val="18"/>
                <w:szCs w:val="18"/>
                <w:highlight w:val="none"/>
              </w:rPr>
            </w:pPr>
          </w:p>
        </w:tc>
        <w:tc>
          <w:tcPr>
            <w:tcW w:w="675" w:type="dxa"/>
            <w:tcBorders>
              <w:top w:val="single" w:color="000000" w:sz="4" w:space="0"/>
              <w:left w:val="single" w:color="000000" w:sz="4" w:space="0"/>
            </w:tcBorders>
            <w:shd w:val="clear" w:color="auto" w:fill="FFFFFF"/>
            <w:vAlign w:val="center"/>
          </w:tcPr>
          <w:p w14:paraId="20338138">
            <w:pPr>
              <w:jc w:val="center"/>
              <w:rPr>
                <w:rFonts w:hint="eastAsia" w:ascii="宋体" w:hAnsi="宋体" w:cs="宋体"/>
                <w:color w:val="auto"/>
                <w:sz w:val="18"/>
                <w:szCs w:val="18"/>
                <w:highlight w:val="none"/>
              </w:rPr>
            </w:pPr>
          </w:p>
        </w:tc>
        <w:tc>
          <w:tcPr>
            <w:tcW w:w="1065" w:type="dxa"/>
            <w:tcBorders>
              <w:top w:val="single" w:color="000000" w:sz="4" w:space="0"/>
              <w:left w:val="single" w:color="000000" w:sz="4" w:space="0"/>
            </w:tcBorders>
            <w:shd w:val="clear" w:color="auto" w:fill="FFFFFF"/>
            <w:vAlign w:val="center"/>
          </w:tcPr>
          <w:p w14:paraId="1D768990">
            <w:pPr>
              <w:jc w:val="right"/>
              <w:rPr>
                <w:rFonts w:hint="eastAsia" w:ascii="宋体" w:hAnsi="宋体" w:cs="宋体"/>
                <w:color w:val="auto"/>
                <w:sz w:val="18"/>
                <w:szCs w:val="18"/>
                <w:highlight w:val="none"/>
              </w:rPr>
            </w:pPr>
          </w:p>
        </w:tc>
        <w:tc>
          <w:tcPr>
            <w:tcW w:w="1080" w:type="dxa"/>
            <w:tcBorders>
              <w:top w:val="single" w:color="000000" w:sz="4" w:space="0"/>
              <w:left w:val="single" w:color="000000" w:sz="4" w:space="0"/>
            </w:tcBorders>
            <w:shd w:val="clear" w:color="auto" w:fill="FFFFFF"/>
            <w:vAlign w:val="center"/>
          </w:tcPr>
          <w:p w14:paraId="476D5AB3">
            <w:pPr>
              <w:jc w:val="right"/>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0C7E1921">
            <w:pPr>
              <w:jc w:val="right"/>
              <w:rPr>
                <w:rFonts w:hint="eastAsia" w:ascii="宋体" w:hAnsi="宋体" w:cs="宋体"/>
                <w:color w:val="auto"/>
                <w:sz w:val="18"/>
                <w:szCs w:val="18"/>
                <w:highlight w:val="none"/>
              </w:rPr>
            </w:pPr>
          </w:p>
        </w:tc>
        <w:tc>
          <w:tcPr>
            <w:tcW w:w="1005" w:type="dxa"/>
            <w:tcBorders>
              <w:top w:val="single" w:color="000000" w:sz="4" w:space="0"/>
              <w:left w:val="single" w:color="000000" w:sz="4" w:space="0"/>
            </w:tcBorders>
            <w:shd w:val="clear" w:color="auto" w:fill="FFFFFF"/>
            <w:vAlign w:val="center"/>
          </w:tcPr>
          <w:p w14:paraId="38DAF01B">
            <w:pPr>
              <w:jc w:val="right"/>
              <w:rPr>
                <w:rFonts w:hint="eastAsia" w:ascii="宋体" w:hAnsi="宋体" w:cs="宋体"/>
                <w:color w:val="auto"/>
                <w:sz w:val="18"/>
                <w:szCs w:val="18"/>
                <w:highlight w:val="none"/>
              </w:rPr>
            </w:pPr>
          </w:p>
        </w:tc>
        <w:tc>
          <w:tcPr>
            <w:tcW w:w="1095" w:type="dxa"/>
            <w:tcBorders>
              <w:top w:val="single" w:color="000000" w:sz="4" w:space="0"/>
              <w:left w:val="single" w:color="000000" w:sz="4" w:space="0"/>
            </w:tcBorders>
            <w:shd w:val="clear" w:color="auto" w:fill="FFFFFF"/>
            <w:vAlign w:val="center"/>
          </w:tcPr>
          <w:p w14:paraId="7EC44D29">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2B2EFAEC">
            <w:pPr>
              <w:jc w:val="right"/>
              <w:rPr>
                <w:rFonts w:hint="eastAsia" w:ascii="宋体" w:hAnsi="宋体" w:cs="宋体"/>
                <w:color w:val="auto"/>
                <w:sz w:val="18"/>
                <w:szCs w:val="18"/>
                <w:highlight w:val="none"/>
              </w:rPr>
            </w:pPr>
          </w:p>
        </w:tc>
        <w:tc>
          <w:tcPr>
            <w:tcW w:w="1089" w:type="dxa"/>
            <w:tcBorders>
              <w:top w:val="single" w:color="000000" w:sz="4" w:space="0"/>
              <w:left w:val="single" w:color="000000" w:sz="4" w:space="0"/>
              <w:right w:val="single" w:color="000000" w:sz="4" w:space="0"/>
            </w:tcBorders>
            <w:shd w:val="clear" w:color="auto" w:fill="FFFFFF"/>
            <w:vAlign w:val="center"/>
          </w:tcPr>
          <w:p w14:paraId="2D379355">
            <w:pPr>
              <w:jc w:val="left"/>
              <w:rPr>
                <w:rFonts w:hint="eastAsia" w:ascii="宋体" w:hAnsi="宋体" w:cs="宋体"/>
                <w:color w:val="auto"/>
                <w:sz w:val="18"/>
                <w:szCs w:val="18"/>
                <w:highlight w:val="none"/>
              </w:rPr>
            </w:pPr>
          </w:p>
        </w:tc>
      </w:tr>
      <w:tr w14:paraId="6A7447E6">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002EF187">
            <w:pPr>
              <w:jc w:val="center"/>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5DF846AA">
            <w:pPr>
              <w:jc w:val="left"/>
              <w:rPr>
                <w:rFonts w:hint="eastAsia" w:ascii="宋体" w:hAnsi="宋体" w:cs="宋体"/>
                <w:color w:val="auto"/>
                <w:sz w:val="18"/>
                <w:szCs w:val="18"/>
                <w:highlight w:val="none"/>
              </w:rPr>
            </w:pPr>
          </w:p>
        </w:tc>
        <w:tc>
          <w:tcPr>
            <w:tcW w:w="2423" w:type="dxa"/>
            <w:tcBorders>
              <w:top w:val="single" w:color="000000" w:sz="4" w:space="0"/>
              <w:left w:val="single" w:color="000000" w:sz="4" w:space="0"/>
            </w:tcBorders>
            <w:shd w:val="clear" w:color="auto" w:fill="FFFFFF"/>
            <w:vAlign w:val="center"/>
          </w:tcPr>
          <w:p w14:paraId="5DC7871E">
            <w:pPr>
              <w:jc w:val="left"/>
              <w:rPr>
                <w:rFonts w:hint="eastAsia" w:ascii="宋体" w:hAnsi="宋体" w:cs="宋体"/>
                <w:color w:val="auto"/>
                <w:sz w:val="18"/>
                <w:szCs w:val="18"/>
                <w:highlight w:val="none"/>
              </w:rPr>
            </w:pPr>
          </w:p>
        </w:tc>
        <w:tc>
          <w:tcPr>
            <w:tcW w:w="3105" w:type="dxa"/>
            <w:tcBorders>
              <w:top w:val="single" w:color="000000" w:sz="4" w:space="0"/>
              <w:left w:val="single" w:color="000000" w:sz="4" w:space="0"/>
            </w:tcBorders>
            <w:shd w:val="clear" w:color="auto" w:fill="FFFFFF"/>
            <w:vAlign w:val="center"/>
          </w:tcPr>
          <w:p w14:paraId="067AB0D4">
            <w:pPr>
              <w:jc w:val="left"/>
              <w:rPr>
                <w:rFonts w:hint="eastAsia" w:ascii="宋体" w:hAnsi="宋体" w:cs="宋体"/>
                <w:color w:val="auto"/>
                <w:sz w:val="18"/>
                <w:szCs w:val="18"/>
                <w:highlight w:val="none"/>
              </w:rPr>
            </w:pPr>
          </w:p>
        </w:tc>
        <w:tc>
          <w:tcPr>
            <w:tcW w:w="675" w:type="dxa"/>
            <w:tcBorders>
              <w:top w:val="single" w:color="000000" w:sz="4" w:space="0"/>
              <w:left w:val="single" w:color="000000" w:sz="4" w:space="0"/>
            </w:tcBorders>
            <w:shd w:val="clear" w:color="auto" w:fill="FFFFFF"/>
            <w:vAlign w:val="center"/>
          </w:tcPr>
          <w:p w14:paraId="04B7619A">
            <w:pPr>
              <w:jc w:val="center"/>
              <w:rPr>
                <w:rFonts w:hint="eastAsia" w:ascii="宋体" w:hAnsi="宋体" w:cs="宋体"/>
                <w:color w:val="auto"/>
                <w:sz w:val="18"/>
                <w:szCs w:val="18"/>
                <w:highlight w:val="none"/>
              </w:rPr>
            </w:pPr>
          </w:p>
        </w:tc>
        <w:tc>
          <w:tcPr>
            <w:tcW w:w="1065" w:type="dxa"/>
            <w:tcBorders>
              <w:top w:val="single" w:color="000000" w:sz="4" w:space="0"/>
              <w:left w:val="single" w:color="000000" w:sz="4" w:space="0"/>
            </w:tcBorders>
            <w:shd w:val="clear" w:color="auto" w:fill="FFFFFF"/>
            <w:vAlign w:val="center"/>
          </w:tcPr>
          <w:p w14:paraId="4E218B67">
            <w:pPr>
              <w:jc w:val="right"/>
              <w:rPr>
                <w:rFonts w:hint="eastAsia" w:ascii="宋体" w:hAnsi="宋体" w:cs="宋体"/>
                <w:color w:val="auto"/>
                <w:sz w:val="18"/>
                <w:szCs w:val="18"/>
                <w:highlight w:val="none"/>
              </w:rPr>
            </w:pPr>
          </w:p>
        </w:tc>
        <w:tc>
          <w:tcPr>
            <w:tcW w:w="1080" w:type="dxa"/>
            <w:tcBorders>
              <w:top w:val="single" w:color="000000" w:sz="4" w:space="0"/>
              <w:left w:val="single" w:color="000000" w:sz="4" w:space="0"/>
            </w:tcBorders>
            <w:shd w:val="clear" w:color="auto" w:fill="FFFFFF"/>
            <w:vAlign w:val="center"/>
          </w:tcPr>
          <w:p w14:paraId="48FEE69C">
            <w:pPr>
              <w:jc w:val="right"/>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31B95B0B">
            <w:pPr>
              <w:jc w:val="right"/>
              <w:rPr>
                <w:rFonts w:hint="eastAsia" w:ascii="宋体" w:hAnsi="宋体" w:cs="宋体"/>
                <w:color w:val="auto"/>
                <w:sz w:val="18"/>
                <w:szCs w:val="18"/>
                <w:highlight w:val="none"/>
              </w:rPr>
            </w:pPr>
          </w:p>
        </w:tc>
        <w:tc>
          <w:tcPr>
            <w:tcW w:w="1005" w:type="dxa"/>
            <w:tcBorders>
              <w:top w:val="single" w:color="000000" w:sz="4" w:space="0"/>
              <w:left w:val="single" w:color="000000" w:sz="4" w:space="0"/>
            </w:tcBorders>
            <w:shd w:val="clear" w:color="auto" w:fill="FFFFFF"/>
            <w:vAlign w:val="center"/>
          </w:tcPr>
          <w:p w14:paraId="36A17ED9">
            <w:pPr>
              <w:jc w:val="right"/>
              <w:rPr>
                <w:rFonts w:hint="eastAsia" w:ascii="宋体" w:hAnsi="宋体" w:cs="宋体"/>
                <w:color w:val="auto"/>
                <w:sz w:val="18"/>
                <w:szCs w:val="18"/>
                <w:highlight w:val="none"/>
              </w:rPr>
            </w:pPr>
          </w:p>
        </w:tc>
        <w:tc>
          <w:tcPr>
            <w:tcW w:w="1095" w:type="dxa"/>
            <w:tcBorders>
              <w:top w:val="single" w:color="000000" w:sz="4" w:space="0"/>
              <w:left w:val="single" w:color="000000" w:sz="4" w:space="0"/>
            </w:tcBorders>
            <w:shd w:val="clear" w:color="auto" w:fill="FFFFFF"/>
            <w:vAlign w:val="center"/>
          </w:tcPr>
          <w:p w14:paraId="41B2E798">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5E643E04">
            <w:pPr>
              <w:jc w:val="right"/>
              <w:rPr>
                <w:rFonts w:hint="eastAsia" w:ascii="宋体" w:hAnsi="宋体" w:cs="宋体"/>
                <w:color w:val="auto"/>
                <w:sz w:val="18"/>
                <w:szCs w:val="18"/>
                <w:highlight w:val="none"/>
              </w:rPr>
            </w:pPr>
          </w:p>
        </w:tc>
        <w:tc>
          <w:tcPr>
            <w:tcW w:w="1089" w:type="dxa"/>
            <w:tcBorders>
              <w:top w:val="single" w:color="000000" w:sz="4" w:space="0"/>
              <w:left w:val="single" w:color="000000" w:sz="4" w:space="0"/>
              <w:right w:val="single" w:color="000000" w:sz="4" w:space="0"/>
            </w:tcBorders>
            <w:shd w:val="clear" w:color="auto" w:fill="FFFFFF"/>
            <w:vAlign w:val="center"/>
          </w:tcPr>
          <w:p w14:paraId="7B712FCF">
            <w:pPr>
              <w:jc w:val="left"/>
              <w:rPr>
                <w:rFonts w:hint="eastAsia" w:ascii="宋体" w:hAnsi="宋体" w:cs="宋体"/>
                <w:color w:val="auto"/>
                <w:sz w:val="18"/>
                <w:szCs w:val="18"/>
                <w:highlight w:val="none"/>
              </w:rPr>
            </w:pPr>
          </w:p>
        </w:tc>
      </w:tr>
      <w:tr w14:paraId="760EAC8F">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58F48338">
            <w:pPr>
              <w:jc w:val="center"/>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40D3685D">
            <w:pPr>
              <w:jc w:val="left"/>
              <w:rPr>
                <w:rFonts w:hint="eastAsia" w:ascii="宋体" w:hAnsi="宋体" w:cs="宋体"/>
                <w:color w:val="auto"/>
                <w:sz w:val="18"/>
                <w:szCs w:val="18"/>
                <w:highlight w:val="none"/>
              </w:rPr>
            </w:pPr>
          </w:p>
        </w:tc>
        <w:tc>
          <w:tcPr>
            <w:tcW w:w="2423" w:type="dxa"/>
            <w:tcBorders>
              <w:top w:val="single" w:color="000000" w:sz="4" w:space="0"/>
              <w:left w:val="single" w:color="000000" w:sz="4" w:space="0"/>
            </w:tcBorders>
            <w:shd w:val="clear" w:color="auto" w:fill="FFFFFF"/>
            <w:vAlign w:val="center"/>
          </w:tcPr>
          <w:p w14:paraId="5040BAA9">
            <w:pPr>
              <w:jc w:val="left"/>
              <w:rPr>
                <w:rFonts w:hint="eastAsia" w:ascii="宋体" w:hAnsi="宋体" w:cs="宋体"/>
                <w:color w:val="auto"/>
                <w:sz w:val="18"/>
                <w:szCs w:val="18"/>
                <w:highlight w:val="none"/>
              </w:rPr>
            </w:pPr>
          </w:p>
        </w:tc>
        <w:tc>
          <w:tcPr>
            <w:tcW w:w="3105" w:type="dxa"/>
            <w:tcBorders>
              <w:top w:val="single" w:color="000000" w:sz="4" w:space="0"/>
              <w:left w:val="single" w:color="000000" w:sz="4" w:space="0"/>
            </w:tcBorders>
            <w:shd w:val="clear" w:color="auto" w:fill="FFFFFF"/>
            <w:vAlign w:val="center"/>
          </w:tcPr>
          <w:p w14:paraId="1E280CCE">
            <w:pPr>
              <w:jc w:val="left"/>
              <w:rPr>
                <w:rFonts w:hint="eastAsia" w:ascii="宋体" w:hAnsi="宋体" w:cs="宋体"/>
                <w:color w:val="auto"/>
                <w:sz w:val="18"/>
                <w:szCs w:val="18"/>
                <w:highlight w:val="none"/>
              </w:rPr>
            </w:pPr>
          </w:p>
        </w:tc>
        <w:tc>
          <w:tcPr>
            <w:tcW w:w="675" w:type="dxa"/>
            <w:tcBorders>
              <w:top w:val="single" w:color="000000" w:sz="4" w:space="0"/>
              <w:left w:val="single" w:color="000000" w:sz="4" w:space="0"/>
            </w:tcBorders>
            <w:shd w:val="clear" w:color="auto" w:fill="FFFFFF"/>
            <w:vAlign w:val="center"/>
          </w:tcPr>
          <w:p w14:paraId="2AEA484D">
            <w:pPr>
              <w:jc w:val="center"/>
              <w:rPr>
                <w:rFonts w:hint="eastAsia" w:ascii="宋体" w:hAnsi="宋体" w:cs="宋体"/>
                <w:color w:val="auto"/>
                <w:sz w:val="18"/>
                <w:szCs w:val="18"/>
                <w:highlight w:val="none"/>
              </w:rPr>
            </w:pPr>
          </w:p>
        </w:tc>
        <w:tc>
          <w:tcPr>
            <w:tcW w:w="1065" w:type="dxa"/>
            <w:tcBorders>
              <w:top w:val="single" w:color="000000" w:sz="4" w:space="0"/>
              <w:left w:val="single" w:color="000000" w:sz="4" w:space="0"/>
            </w:tcBorders>
            <w:shd w:val="clear" w:color="auto" w:fill="FFFFFF"/>
            <w:vAlign w:val="center"/>
          </w:tcPr>
          <w:p w14:paraId="06247DD9">
            <w:pPr>
              <w:jc w:val="right"/>
              <w:rPr>
                <w:rFonts w:hint="eastAsia" w:ascii="宋体" w:hAnsi="宋体" w:cs="宋体"/>
                <w:color w:val="auto"/>
                <w:sz w:val="18"/>
                <w:szCs w:val="18"/>
                <w:highlight w:val="none"/>
              </w:rPr>
            </w:pPr>
          </w:p>
        </w:tc>
        <w:tc>
          <w:tcPr>
            <w:tcW w:w="1080" w:type="dxa"/>
            <w:tcBorders>
              <w:top w:val="single" w:color="000000" w:sz="4" w:space="0"/>
              <w:left w:val="single" w:color="000000" w:sz="4" w:space="0"/>
            </w:tcBorders>
            <w:shd w:val="clear" w:color="auto" w:fill="FFFFFF"/>
            <w:vAlign w:val="center"/>
          </w:tcPr>
          <w:p w14:paraId="01EF55A3">
            <w:pPr>
              <w:jc w:val="right"/>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7BDB8E05">
            <w:pPr>
              <w:jc w:val="right"/>
              <w:rPr>
                <w:rFonts w:hint="eastAsia" w:ascii="宋体" w:hAnsi="宋体" w:cs="宋体"/>
                <w:color w:val="auto"/>
                <w:sz w:val="18"/>
                <w:szCs w:val="18"/>
                <w:highlight w:val="none"/>
              </w:rPr>
            </w:pPr>
          </w:p>
        </w:tc>
        <w:tc>
          <w:tcPr>
            <w:tcW w:w="1005" w:type="dxa"/>
            <w:tcBorders>
              <w:top w:val="single" w:color="000000" w:sz="4" w:space="0"/>
              <w:left w:val="single" w:color="000000" w:sz="4" w:space="0"/>
            </w:tcBorders>
            <w:shd w:val="clear" w:color="auto" w:fill="FFFFFF"/>
            <w:vAlign w:val="center"/>
          </w:tcPr>
          <w:p w14:paraId="438C2747">
            <w:pPr>
              <w:jc w:val="right"/>
              <w:rPr>
                <w:rFonts w:hint="eastAsia" w:ascii="宋体" w:hAnsi="宋体" w:cs="宋体"/>
                <w:color w:val="auto"/>
                <w:sz w:val="18"/>
                <w:szCs w:val="18"/>
                <w:highlight w:val="none"/>
              </w:rPr>
            </w:pPr>
          </w:p>
        </w:tc>
        <w:tc>
          <w:tcPr>
            <w:tcW w:w="1095" w:type="dxa"/>
            <w:tcBorders>
              <w:top w:val="single" w:color="000000" w:sz="4" w:space="0"/>
              <w:left w:val="single" w:color="000000" w:sz="4" w:space="0"/>
            </w:tcBorders>
            <w:shd w:val="clear" w:color="auto" w:fill="FFFFFF"/>
            <w:vAlign w:val="center"/>
          </w:tcPr>
          <w:p w14:paraId="73232A2A">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78A56D4E">
            <w:pPr>
              <w:jc w:val="right"/>
              <w:rPr>
                <w:rFonts w:hint="eastAsia" w:ascii="宋体" w:hAnsi="宋体" w:cs="宋体"/>
                <w:color w:val="auto"/>
                <w:sz w:val="18"/>
                <w:szCs w:val="18"/>
                <w:highlight w:val="none"/>
              </w:rPr>
            </w:pPr>
          </w:p>
        </w:tc>
        <w:tc>
          <w:tcPr>
            <w:tcW w:w="1089" w:type="dxa"/>
            <w:tcBorders>
              <w:top w:val="single" w:color="000000" w:sz="4" w:space="0"/>
              <w:left w:val="single" w:color="000000" w:sz="4" w:space="0"/>
              <w:right w:val="single" w:color="000000" w:sz="4" w:space="0"/>
            </w:tcBorders>
            <w:shd w:val="clear" w:color="auto" w:fill="FFFFFF"/>
            <w:vAlign w:val="center"/>
          </w:tcPr>
          <w:p w14:paraId="11543AA6">
            <w:pPr>
              <w:jc w:val="left"/>
              <w:rPr>
                <w:rFonts w:hint="eastAsia" w:ascii="宋体" w:hAnsi="宋体" w:cs="宋体"/>
                <w:color w:val="auto"/>
                <w:sz w:val="18"/>
                <w:szCs w:val="18"/>
                <w:highlight w:val="none"/>
              </w:rPr>
            </w:pPr>
          </w:p>
        </w:tc>
      </w:tr>
      <w:tr w14:paraId="36E6BAA3">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01A9D37D">
            <w:pPr>
              <w:jc w:val="center"/>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34D22B6B">
            <w:pPr>
              <w:jc w:val="left"/>
              <w:rPr>
                <w:rFonts w:hint="eastAsia" w:ascii="宋体" w:hAnsi="宋体" w:cs="宋体"/>
                <w:color w:val="auto"/>
                <w:sz w:val="18"/>
                <w:szCs w:val="18"/>
                <w:highlight w:val="none"/>
              </w:rPr>
            </w:pPr>
          </w:p>
        </w:tc>
        <w:tc>
          <w:tcPr>
            <w:tcW w:w="2423" w:type="dxa"/>
            <w:tcBorders>
              <w:top w:val="single" w:color="000000" w:sz="4" w:space="0"/>
              <w:left w:val="single" w:color="000000" w:sz="4" w:space="0"/>
            </w:tcBorders>
            <w:shd w:val="clear" w:color="auto" w:fill="FFFFFF"/>
            <w:vAlign w:val="center"/>
          </w:tcPr>
          <w:p w14:paraId="6FE1DDEA">
            <w:pPr>
              <w:jc w:val="left"/>
              <w:rPr>
                <w:rFonts w:hint="eastAsia" w:ascii="宋体" w:hAnsi="宋体" w:cs="宋体"/>
                <w:color w:val="auto"/>
                <w:sz w:val="18"/>
                <w:szCs w:val="18"/>
                <w:highlight w:val="none"/>
              </w:rPr>
            </w:pPr>
          </w:p>
        </w:tc>
        <w:tc>
          <w:tcPr>
            <w:tcW w:w="3105" w:type="dxa"/>
            <w:tcBorders>
              <w:top w:val="single" w:color="000000" w:sz="4" w:space="0"/>
              <w:left w:val="single" w:color="000000" w:sz="4" w:space="0"/>
            </w:tcBorders>
            <w:shd w:val="clear" w:color="auto" w:fill="FFFFFF"/>
            <w:vAlign w:val="center"/>
          </w:tcPr>
          <w:p w14:paraId="0251545C">
            <w:pPr>
              <w:jc w:val="left"/>
              <w:rPr>
                <w:rFonts w:hint="eastAsia" w:ascii="宋体" w:hAnsi="宋体" w:cs="宋体"/>
                <w:color w:val="auto"/>
                <w:sz w:val="18"/>
                <w:szCs w:val="18"/>
                <w:highlight w:val="none"/>
              </w:rPr>
            </w:pPr>
          </w:p>
        </w:tc>
        <w:tc>
          <w:tcPr>
            <w:tcW w:w="675" w:type="dxa"/>
            <w:tcBorders>
              <w:top w:val="single" w:color="000000" w:sz="4" w:space="0"/>
              <w:left w:val="single" w:color="000000" w:sz="4" w:space="0"/>
            </w:tcBorders>
            <w:shd w:val="clear" w:color="auto" w:fill="FFFFFF"/>
            <w:vAlign w:val="center"/>
          </w:tcPr>
          <w:p w14:paraId="08AA9F84">
            <w:pPr>
              <w:jc w:val="center"/>
              <w:rPr>
                <w:rFonts w:hint="eastAsia" w:ascii="宋体" w:hAnsi="宋体" w:cs="宋体"/>
                <w:color w:val="auto"/>
                <w:sz w:val="18"/>
                <w:szCs w:val="18"/>
                <w:highlight w:val="none"/>
              </w:rPr>
            </w:pPr>
          </w:p>
        </w:tc>
        <w:tc>
          <w:tcPr>
            <w:tcW w:w="1065" w:type="dxa"/>
            <w:tcBorders>
              <w:top w:val="single" w:color="000000" w:sz="4" w:space="0"/>
              <w:left w:val="single" w:color="000000" w:sz="4" w:space="0"/>
            </w:tcBorders>
            <w:shd w:val="clear" w:color="auto" w:fill="FFFFFF"/>
            <w:vAlign w:val="center"/>
          </w:tcPr>
          <w:p w14:paraId="0D00EA4E">
            <w:pPr>
              <w:jc w:val="right"/>
              <w:rPr>
                <w:rFonts w:hint="eastAsia" w:ascii="宋体" w:hAnsi="宋体" w:cs="宋体"/>
                <w:color w:val="auto"/>
                <w:sz w:val="18"/>
                <w:szCs w:val="18"/>
                <w:highlight w:val="none"/>
              </w:rPr>
            </w:pPr>
          </w:p>
        </w:tc>
        <w:tc>
          <w:tcPr>
            <w:tcW w:w="1080" w:type="dxa"/>
            <w:tcBorders>
              <w:top w:val="single" w:color="000000" w:sz="4" w:space="0"/>
              <w:left w:val="single" w:color="000000" w:sz="4" w:space="0"/>
            </w:tcBorders>
            <w:shd w:val="clear" w:color="auto" w:fill="FFFFFF"/>
            <w:vAlign w:val="center"/>
          </w:tcPr>
          <w:p w14:paraId="759584C8">
            <w:pPr>
              <w:jc w:val="right"/>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2B96D495">
            <w:pPr>
              <w:jc w:val="right"/>
              <w:rPr>
                <w:rFonts w:hint="eastAsia" w:ascii="宋体" w:hAnsi="宋体" w:cs="宋体"/>
                <w:color w:val="auto"/>
                <w:sz w:val="18"/>
                <w:szCs w:val="18"/>
                <w:highlight w:val="none"/>
              </w:rPr>
            </w:pPr>
          </w:p>
        </w:tc>
        <w:tc>
          <w:tcPr>
            <w:tcW w:w="1005" w:type="dxa"/>
            <w:tcBorders>
              <w:top w:val="single" w:color="000000" w:sz="4" w:space="0"/>
              <w:left w:val="single" w:color="000000" w:sz="4" w:space="0"/>
            </w:tcBorders>
            <w:shd w:val="clear" w:color="auto" w:fill="FFFFFF"/>
            <w:vAlign w:val="center"/>
          </w:tcPr>
          <w:p w14:paraId="1582C039">
            <w:pPr>
              <w:jc w:val="right"/>
              <w:rPr>
                <w:rFonts w:hint="eastAsia" w:ascii="宋体" w:hAnsi="宋体" w:cs="宋体"/>
                <w:color w:val="auto"/>
                <w:sz w:val="18"/>
                <w:szCs w:val="18"/>
                <w:highlight w:val="none"/>
              </w:rPr>
            </w:pPr>
          </w:p>
        </w:tc>
        <w:tc>
          <w:tcPr>
            <w:tcW w:w="1095" w:type="dxa"/>
            <w:tcBorders>
              <w:top w:val="single" w:color="000000" w:sz="4" w:space="0"/>
              <w:left w:val="single" w:color="000000" w:sz="4" w:space="0"/>
            </w:tcBorders>
            <w:shd w:val="clear" w:color="auto" w:fill="FFFFFF"/>
            <w:vAlign w:val="center"/>
          </w:tcPr>
          <w:p w14:paraId="063613FD">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3C37EAAF">
            <w:pPr>
              <w:jc w:val="right"/>
              <w:rPr>
                <w:rFonts w:hint="eastAsia" w:ascii="宋体" w:hAnsi="宋体" w:cs="宋体"/>
                <w:color w:val="auto"/>
                <w:sz w:val="18"/>
                <w:szCs w:val="18"/>
                <w:highlight w:val="none"/>
              </w:rPr>
            </w:pPr>
          </w:p>
        </w:tc>
        <w:tc>
          <w:tcPr>
            <w:tcW w:w="1089" w:type="dxa"/>
            <w:tcBorders>
              <w:top w:val="single" w:color="000000" w:sz="4" w:space="0"/>
              <w:left w:val="single" w:color="000000" w:sz="4" w:space="0"/>
              <w:right w:val="single" w:color="000000" w:sz="4" w:space="0"/>
            </w:tcBorders>
            <w:shd w:val="clear" w:color="auto" w:fill="FFFFFF"/>
            <w:vAlign w:val="center"/>
          </w:tcPr>
          <w:p w14:paraId="5DEC6A79">
            <w:pPr>
              <w:jc w:val="left"/>
              <w:rPr>
                <w:rFonts w:hint="eastAsia" w:ascii="宋体" w:hAnsi="宋体" w:cs="宋体"/>
                <w:color w:val="auto"/>
                <w:sz w:val="18"/>
                <w:szCs w:val="18"/>
                <w:highlight w:val="none"/>
              </w:rPr>
            </w:pPr>
          </w:p>
        </w:tc>
      </w:tr>
      <w:tr w14:paraId="40A62C9F">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6E32BED7">
            <w:pPr>
              <w:jc w:val="center"/>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702988CB">
            <w:pPr>
              <w:jc w:val="left"/>
              <w:rPr>
                <w:rFonts w:hint="eastAsia" w:ascii="宋体" w:hAnsi="宋体" w:cs="宋体"/>
                <w:color w:val="auto"/>
                <w:sz w:val="18"/>
                <w:szCs w:val="18"/>
                <w:highlight w:val="none"/>
              </w:rPr>
            </w:pPr>
          </w:p>
        </w:tc>
        <w:tc>
          <w:tcPr>
            <w:tcW w:w="2423" w:type="dxa"/>
            <w:tcBorders>
              <w:top w:val="single" w:color="000000" w:sz="4" w:space="0"/>
              <w:left w:val="single" w:color="000000" w:sz="4" w:space="0"/>
            </w:tcBorders>
            <w:shd w:val="clear" w:color="auto" w:fill="FFFFFF"/>
            <w:vAlign w:val="center"/>
          </w:tcPr>
          <w:p w14:paraId="49E9FDE8">
            <w:pPr>
              <w:jc w:val="left"/>
              <w:rPr>
                <w:rFonts w:hint="eastAsia" w:ascii="宋体" w:hAnsi="宋体" w:cs="宋体"/>
                <w:color w:val="auto"/>
                <w:sz w:val="18"/>
                <w:szCs w:val="18"/>
                <w:highlight w:val="none"/>
              </w:rPr>
            </w:pPr>
          </w:p>
        </w:tc>
        <w:tc>
          <w:tcPr>
            <w:tcW w:w="3105" w:type="dxa"/>
            <w:tcBorders>
              <w:top w:val="single" w:color="000000" w:sz="4" w:space="0"/>
              <w:left w:val="single" w:color="000000" w:sz="4" w:space="0"/>
            </w:tcBorders>
            <w:shd w:val="clear" w:color="auto" w:fill="FFFFFF"/>
            <w:vAlign w:val="center"/>
          </w:tcPr>
          <w:p w14:paraId="6A61E8AB">
            <w:pPr>
              <w:jc w:val="left"/>
              <w:rPr>
                <w:rFonts w:hint="eastAsia" w:ascii="宋体" w:hAnsi="宋体" w:cs="宋体"/>
                <w:color w:val="auto"/>
                <w:sz w:val="18"/>
                <w:szCs w:val="18"/>
                <w:highlight w:val="none"/>
              </w:rPr>
            </w:pPr>
          </w:p>
        </w:tc>
        <w:tc>
          <w:tcPr>
            <w:tcW w:w="675" w:type="dxa"/>
            <w:tcBorders>
              <w:top w:val="single" w:color="000000" w:sz="4" w:space="0"/>
              <w:left w:val="single" w:color="000000" w:sz="4" w:space="0"/>
            </w:tcBorders>
            <w:shd w:val="clear" w:color="auto" w:fill="FFFFFF"/>
            <w:vAlign w:val="center"/>
          </w:tcPr>
          <w:p w14:paraId="36A8F336">
            <w:pPr>
              <w:jc w:val="center"/>
              <w:rPr>
                <w:rFonts w:hint="eastAsia" w:ascii="宋体" w:hAnsi="宋体" w:cs="宋体"/>
                <w:color w:val="auto"/>
                <w:sz w:val="18"/>
                <w:szCs w:val="18"/>
                <w:highlight w:val="none"/>
              </w:rPr>
            </w:pPr>
          </w:p>
        </w:tc>
        <w:tc>
          <w:tcPr>
            <w:tcW w:w="1065" w:type="dxa"/>
            <w:tcBorders>
              <w:top w:val="single" w:color="000000" w:sz="4" w:space="0"/>
              <w:left w:val="single" w:color="000000" w:sz="4" w:space="0"/>
            </w:tcBorders>
            <w:shd w:val="clear" w:color="auto" w:fill="FFFFFF"/>
            <w:vAlign w:val="center"/>
          </w:tcPr>
          <w:p w14:paraId="5F90D4A0">
            <w:pPr>
              <w:jc w:val="right"/>
              <w:rPr>
                <w:rFonts w:hint="eastAsia" w:ascii="宋体" w:hAnsi="宋体" w:cs="宋体"/>
                <w:color w:val="auto"/>
                <w:sz w:val="18"/>
                <w:szCs w:val="18"/>
                <w:highlight w:val="none"/>
              </w:rPr>
            </w:pPr>
          </w:p>
        </w:tc>
        <w:tc>
          <w:tcPr>
            <w:tcW w:w="1080" w:type="dxa"/>
            <w:tcBorders>
              <w:top w:val="single" w:color="000000" w:sz="4" w:space="0"/>
              <w:left w:val="single" w:color="000000" w:sz="4" w:space="0"/>
            </w:tcBorders>
            <w:shd w:val="clear" w:color="auto" w:fill="FFFFFF"/>
            <w:vAlign w:val="center"/>
          </w:tcPr>
          <w:p w14:paraId="77010D73">
            <w:pPr>
              <w:jc w:val="right"/>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5F6DD32C">
            <w:pPr>
              <w:jc w:val="right"/>
              <w:rPr>
                <w:rFonts w:hint="eastAsia" w:ascii="宋体" w:hAnsi="宋体" w:cs="宋体"/>
                <w:color w:val="auto"/>
                <w:sz w:val="18"/>
                <w:szCs w:val="18"/>
                <w:highlight w:val="none"/>
              </w:rPr>
            </w:pPr>
          </w:p>
        </w:tc>
        <w:tc>
          <w:tcPr>
            <w:tcW w:w="1005" w:type="dxa"/>
            <w:tcBorders>
              <w:top w:val="single" w:color="000000" w:sz="4" w:space="0"/>
              <w:left w:val="single" w:color="000000" w:sz="4" w:space="0"/>
            </w:tcBorders>
            <w:shd w:val="clear" w:color="auto" w:fill="FFFFFF"/>
            <w:vAlign w:val="center"/>
          </w:tcPr>
          <w:p w14:paraId="63BE6CF4">
            <w:pPr>
              <w:jc w:val="right"/>
              <w:rPr>
                <w:rFonts w:hint="eastAsia" w:ascii="宋体" w:hAnsi="宋体" w:cs="宋体"/>
                <w:color w:val="auto"/>
                <w:sz w:val="18"/>
                <w:szCs w:val="18"/>
                <w:highlight w:val="none"/>
              </w:rPr>
            </w:pPr>
          </w:p>
        </w:tc>
        <w:tc>
          <w:tcPr>
            <w:tcW w:w="1095" w:type="dxa"/>
            <w:tcBorders>
              <w:top w:val="single" w:color="000000" w:sz="4" w:space="0"/>
              <w:left w:val="single" w:color="000000" w:sz="4" w:space="0"/>
            </w:tcBorders>
            <w:shd w:val="clear" w:color="auto" w:fill="FFFFFF"/>
            <w:vAlign w:val="center"/>
          </w:tcPr>
          <w:p w14:paraId="4824899F">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7D641A18">
            <w:pPr>
              <w:jc w:val="right"/>
              <w:rPr>
                <w:rFonts w:hint="eastAsia" w:ascii="宋体" w:hAnsi="宋体" w:cs="宋体"/>
                <w:color w:val="auto"/>
                <w:sz w:val="18"/>
                <w:szCs w:val="18"/>
                <w:highlight w:val="none"/>
              </w:rPr>
            </w:pPr>
          </w:p>
        </w:tc>
        <w:tc>
          <w:tcPr>
            <w:tcW w:w="1089" w:type="dxa"/>
            <w:tcBorders>
              <w:top w:val="single" w:color="000000" w:sz="4" w:space="0"/>
              <w:left w:val="single" w:color="000000" w:sz="4" w:space="0"/>
              <w:right w:val="single" w:color="000000" w:sz="4" w:space="0"/>
            </w:tcBorders>
            <w:shd w:val="clear" w:color="auto" w:fill="FFFFFF"/>
            <w:vAlign w:val="center"/>
          </w:tcPr>
          <w:p w14:paraId="494AB64A">
            <w:pPr>
              <w:jc w:val="left"/>
              <w:rPr>
                <w:rFonts w:hint="eastAsia" w:ascii="宋体" w:hAnsi="宋体" w:cs="宋体"/>
                <w:color w:val="auto"/>
                <w:sz w:val="18"/>
                <w:szCs w:val="18"/>
                <w:highlight w:val="none"/>
              </w:rPr>
            </w:pPr>
          </w:p>
        </w:tc>
      </w:tr>
      <w:tr w14:paraId="24471E76">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138BB6CE">
            <w:pPr>
              <w:jc w:val="center"/>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4B7E35BC">
            <w:pPr>
              <w:jc w:val="left"/>
              <w:rPr>
                <w:rFonts w:hint="eastAsia" w:ascii="宋体" w:hAnsi="宋体" w:cs="宋体"/>
                <w:color w:val="auto"/>
                <w:sz w:val="18"/>
                <w:szCs w:val="18"/>
                <w:highlight w:val="none"/>
              </w:rPr>
            </w:pPr>
          </w:p>
        </w:tc>
        <w:tc>
          <w:tcPr>
            <w:tcW w:w="2423" w:type="dxa"/>
            <w:tcBorders>
              <w:top w:val="single" w:color="000000" w:sz="4" w:space="0"/>
              <w:left w:val="single" w:color="000000" w:sz="4" w:space="0"/>
            </w:tcBorders>
            <w:shd w:val="clear" w:color="auto" w:fill="FFFFFF"/>
            <w:vAlign w:val="center"/>
          </w:tcPr>
          <w:p w14:paraId="4A44AAD4">
            <w:pPr>
              <w:jc w:val="left"/>
              <w:rPr>
                <w:rFonts w:hint="eastAsia" w:ascii="宋体" w:hAnsi="宋体" w:cs="宋体"/>
                <w:color w:val="auto"/>
                <w:sz w:val="18"/>
                <w:szCs w:val="18"/>
                <w:highlight w:val="none"/>
              </w:rPr>
            </w:pPr>
          </w:p>
        </w:tc>
        <w:tc>
          <w:tcPr>
            <w:tcW w:w="3105" w:type="dxa"/>
            <w:tcBorders>
              <w:top w:val="single" w:color="000000" w:sz="4" w:space="0"/>
              <w:left w:val="single" w:color="000000" w:sz="4" w:space="0"/>
            </w:tcBorders>
            <w:shd w:val="clear" w:color="auto" w:fill="FFFFFF"/>
            <w:vAlign w:val="center"/>
          </w:tcPr>
          <w:p w14:paraId="0CDF8F12">
            <w:pPr>
              <w:jc w:val="left"/>
              <w:rPr>
                <w:rFonts w:hint="eastAsia" w:ascii="宋体" w:hAnsi="宋体" w:cs="宋体"/>
                <w:color w:val="auto"/>
                <w:sz w:val="18"/>
                <w:szCs w:val="18"/>
                <w:highlight w:val="none"/>
              </w:rPr>
            </w:pPr>
          </w:p>
        </w:tc>
        <w:tc>
          <w:tcPr>
            <w:tcW w:w="675" w:type="dxa"/>
            <w:tcBorders>
              <w:top w:val="single" w:color="000000" w:sz="4" w:space="0"/>
              <w:left w:val="single" w:color="000000" w:sz="4" w:space="0"/>
            </w:tcBorders>
            <w:shd w:val="clear" w:color="auto" w:fill="FFFFFF"/>
            <w:vAlign w:val="center"/>
          </w:tcPr>
          <w:p w14:paraId="33BDB7EE">
            <w:pPr>
              <w:jc w:val="center"/>
              <w:rPr>
                <w:rFonts w:hint="eastAsia" w:ascii="宋体" w:hAnsi="宋体" w:cs="宋体"/>
                <w:color w:val="auto"/>
                <w:sz w:val="18"/>
                <w:szCs w:val="18"/>
                <w:highlight w:val="none"/>
              </w:rPr>
            </w:pPr>
          </w:p>
        </w:tc>
        <w:tc>
          <w:tcPr>
            <w:tcW w:w="1065" w:type="dxa"/>
            <w:tcBorders>
              <w:top w:val="single" w:color="000000" w:sz="4" w:space="0"/>
              <w:left w:val="single" w:color="000000" w:sz="4" w:space="0"/>
            </w:tcBorders>
            <w:shd w:val="clear" w:color="auto" w:fill="FFFFFF"/>
            <w:vAlign w:val="center"/>
          </w:tcPr>
          <w:p w14:paraId="1CF09D89">
            <w:pPr>
              <w:jc w:val="right"/>
              <w:rPr>
                <w:rFonts w:hint="eastAsia" w:ascii="宋体" w:hAnsi="宋体" w:cs="宋体"/>
                <w:color w:val="auto"/>
                <w:sz w:val="18"/>
                <w:szCs w:val="18"/>
                <w:highlight w:val="none"/>
              </w:rPr>
            </w:pPr>
          </w:p>
        </w:tc>
        <w:tc>
          <w:tcPr>
            <w:tcW w:w="1080" w:type="dxa"/>
            <w:tcBorders>
              <w:top w:val="single" w:color="000000" w:sz="4" w:space="0"/>
              <w:left w:val="single" w:color="000000" w:sz="4" w:space="0"/>
            </w:tcBorders>
            <w:shd w:val="clear" w:color="auto" w:fill="FFFFFF"/>
            <w:vAlign w:val="center"/>
          </w:tcPr>
          <w:p w14:paraId="35CB432B">
            <w:pPr>
              <w:jc w:val="right"/>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3EDE3B3A">
            <w:pPr>
              <w:jc w:val="right"/>
              <w:rPr>
                <w:rFonts w:hint="eastAsia" w:ascii="宋体" w:hAnsi="宋体" w:cs="宋体"/>
                <w:color w:val="auto"/>
                <w:sz w:val="18"/>
                <w:szCs w:val="18"/>
                <w:highlight w:val="none"/>
              </w:rPr>
            </w:pPr>
          </w:p>
        </w:tc>
        <w:tc>
          <w:tcPr>
            <w:tcW w:w="1005" w:type="dxa"/>
            <w:tcBorders>
              <w:top w:val="single" w:color="000000" w:sz="4" w:space="0"/>
              <w:left w:val="single" w:color="000000" w:sz="4" w:space="0"/>
            </w:tcBorders>
            <w:shd w:val="clear" w:color="auto" w:fill="FFFFFF"/>
            <w:vAlign w:val="center"/>
          </w:tcPr>
          <w:p w14:paraId="16D24AE3">
            <w:pPr>
              <w:jc w:val="right"/>
              <w:rPr>
                <w:rFonts w:hint="eastAsia" w:ascii="宋体" w:hAnsi="宋体" w:cs="宋体"/>
                <w:color w:val="auto"/>
                <w:sz w:val="18"/>
                <w:szCs w:val="18"/>
                <w:highlight w:val="none"/>
              </w:rPr>
            </w:pPr>
          </w:p>
        </w:tc>
        <w:tc>
          <w:tcPr>
            <w:tcW w:w="1095" w:type="dxa"/>
            <w:tcBorders>
              <w:top w:val="single" w:color="000000" w:sz="4" w:space="0"/>
              <w:left w:val="single" w:color="000000" w:sz="4" w:space="0"/>
            </w:tcBorders>
            <w:shd w:val="clear" w:color="auto" w:fill="FFFFFF"/>
            <w:vAlign w:val="center"/>
          </w:tcPr>
          <w:p w14:paraId="3A7E9929">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1B88C2EF">
            <w:pPr>
              <w:jc w:val="right"/>
              <w:rPr>
                <w:rFonts w:hint="eastAsia" w:ascii="宋体" w:hAnsi="宋体" w:cs="宋体"/>
                <w:color w:val="auto"/>
                <w:sz w:val="18"/>
                <w:szCs w:val="18"/>
                <w:highlight w:val="none"/>
              </w:rPr>
            </w:pPr>
          </w:p>
        </w:tc>
        <w:tc>
          <w:tcPr>
            <w:tcW w:w="1089" w:type="dxa"/>
            <w:tcBorders>
              <w:top w:val="single" w:color="000000" w:sz="4" w:space="0"/>
              <w:left w:val="single" w:color="000000" w:sz="4" w:space="0"/>
              <w:right w:val="single" w:color="000000" w:sz="4" w:space="0"/>
            </w:tcBorders>
            <w:shd w:val="clear" w:color="auto" w:fill="FFFFFF"/>
            <w:vAlign w:val="center"/>
          </w:tcPr>
          <w:p w14:paraId="7DA08A64">
            <w:pPr>
              <w:jc w:val="left"/>
              <w:rPr>
                <w:rFonts w:hint="eastAsia" w:ascii="宋体" w:hAnsi="宋体" w:cs="宋体"/>
                <w:color w:val="auto"/>
                <w:sz w:val="18"/>
                <w:szCs w:val="18"/>
                <w:highlight w:val="none"/>
              </w:rPr>
            </w:pPr>
          </w:p>
        </w:tc>
      </w:tr>
      <w:tr w14:paraId="2A86236A">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5D4BCC08">
            <w:pPr>
              <w:jc w:val="center"/>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41F58F9A">
            <w:pPr>
              <w:jc w:val="left"/>
              <w:rPr>
                <w:rFonts w:hint="eastAsia" w:ascii="宋体" w:hAnsi="宋体" w:cs="宋体"/>
                <w:color w:val="auto"/>
                <w:sz w:val="18"/>
                <w:szCs w:val="18"/>
                <w:highlight w:val="none"/>
              </w:rPr>
            </w:pPr>
          </w:p>
        </w:tc>
        <w:tc>
          <w:tcPr>
            <w:tcW w:w="2423" w:type="dxa"/>
            <w:tcBorders>
              <w:top w:val="single" w:color="000000" w:sz="4" w:space="0"/>
              <w:left w:val="single" w:color="000000" w:sz="4" w:space="0"/>
            </w:tcBorders>
            <w:shd w:val="clear" w:color="auto" w:fill="FFFFFF"/>
            <w:vAlign w:val="center"/>
          </w:tcPr>
          <w:p w14:paraId="64E3E419">
            <w:pPr>
              <w:jc w:val="left"/>
              <w:rPr>
                <w:rFonts w:hint="eastAsia" w:ascii="宋体" w:hAnsi="宋体" w:cs="宋体"/>
                <w:color w:val="auto"/>
                <w:sz w:val="18"/>
                <w:szCs w:val="18"/>
                <w:highlight w:val="none"/>
              </w:rPr>
            </w:pPr>
          </w:p>
        </w:tc>
        <w:tc>
          <w:tcPr>
            <w:tcW w:w="3105" w:type="dxa"/>
            <w:tcBorders>
              <w:top w:val="single" w:color="000000" w:sz="4" w:space="0"/>
              <w:left w:val="single" w:color="000000" w:sz="4" w:space="0"/>
            </w:tcBorders>
            <w:shd w:val="clear" w:color="auto" w:fill="FFFFFF"/>
            <w:vAlign w:val="center"/>
          </w:tcPr>
          <w:p w14:paraId="25497C23">
            <w:pPr>
              <w:jc w:val="left"/>
              <w:rPr>
                <w:rFonts w:hint="eastAsia" w:ascii="宋体" w:hAnsi="宋体" w:cs="宋体"/>
                <w:color w:val="auto"/>
                <w:sz w:val="18"/>
                <w:szCs w:val="18"/>
                <w:highlight w:val="none"/>
              </w:rPr>
            </w:pPr>
          </w:p>
        </w:tc>
        <w:tc>
          <w:tcPr>
            <w:tcW w:w="675" w:type="dxa"/>
            <w:tcBorders>
              <w:top w:val="single" w:color="000000" w:sz="4" w:space="0"/>
              <w:left w:val="single" w:color="000000" w:sz="4" w:space="0"/>
            </w:tcBorders>
            <w:shd w:val="clear" w:color="auto" w:fill="FFFFFF"/>
            <w:vAlign w:val="center"/>
          </w:tcPr>
          <w:p w14:paraId="5CB72708">
            <w:pPr>
              <w:jc w:val="center"/>
              <w:rPr>
                <w:rFonts w:hint="eastAsia" w:ascii="宋体" w:hAnsi="宋体" w:cs="宋体"/>
                <w:color w:val="auto"/>
                <w:sz w:val="18"/>
                <w:szCs w:val="18"/>
                <w:highlight w:val="none"/>
              </w:rPr>
            </w:pPr>
          </w:p>
        </w:tc>
        <w:tc>
          <w:tcPr>
            <w:tcW w:w="1065" w:type="dxa"/>
            <w:tcBorders>
              <w:top w:val="single" w:color="000000" w:sz="4" w:space="0"/>
              <w:left w:val="single" w:color="000000" w:sz="4" w:space="0"/>
            </w:tcBorders>
            <w:shd w:val="clear" w:color="auto" w:fill="FFFFFF"/>
            <w:vAlign w:val="center"/>
          </w:tcPr>
          <w:p w14:paraId="0A39E3CA">
            <w:pPr>
              <w:jc w:val="right"/>
              <w:rPr>
                <w:rFonts w:hint="eastAsia" w:ascii="宋体" w:hAnsi="宋体" w:cs="宋体"/>
                <w:color w:val="auto"/>
                <w:sz w:val="18"/>
                <w:szCs w:val="18"/>
                <w:highlight w:val="none"/>
              </w:rPr>
            </w:pPr>
          </w:p>
        </w:tc>
        <w:tc>
          <w:tcPr>
            <w:tcW w:w="1080" w:type="dxa"/>
            <w:tcBorders>
              <w:top w:val="single" w:color="000000" w:sz="4" w:space="0"/>
              <w:left w:val="single" w:color="000000" w:sz="4" w:space="0"/>
            </w:tcBorders>
            <w:shd w:val="clear" w:color="auto" w:fill="FFFFFF"/>
            <w:vAlign w:val="center"/>
          </w:tcPr>
          <w:p w14:paraId="299C04DF">
            <w:pPr>
              <w:jc w:val="right"/>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3D5B68F8">
            <w:pPr>
              <w:jc w:val="right"/>
              <w:rPr>
                <w:rFonts w:hint="eastAsia" w:ascii="宋体" w:hAnsi="宋体" w:cs="宋体"/>
                <w:color w:val="auto"/>
                <w:sz w:val="18"/>
                <w:szCs w:val="18"/>
                <w:highlight w:val="none"/>
              </w:rPr>
            </w:pPr>
          </w:p>
        </w:tc>
        <w:tc>
          <w:tcPr>
            <w:tcW w:w="1005" w:type="dxa"/>
            <w:tcBorders>
              <w:top w:val="single" w:color="000000" w:sz="4" w:space="0"/>
              <w:left w:val="single" w:color="000000" w:sz="4" w:space="0"/>
            </w:tcBorders>
            <w:shd w:val="clear" w:color="auto" w:fill="FFFFFF"/>
            <w:vAlign w:val="center"/>
          </w:tcPr>
          <w:p w14:paraId="1DC619BD">
            <w:pPr>
              <w:jc w:val="right"/>
              <w:rPr>
                <w:rFonts w:hint="eastAsia" w:ascii="宋体" w:hAnsi="宋体" w:cs="宋体"/>
                <w:color w:val="auto"/>
                <w:sz w:val="18"/>
                <w:szCs w:val="18"/>
                <w:highlight w:val="none"/>
              </w:rPr>
            </w:pPr>
          </w:p>
        </w:tc>
        <w:tc>
          <w:tcPr>
            <w:tcW w:w="1095" w:type="dxa"/>
            <w:tcBorders>
              <w:top w:val="single" w:color="000000" w:sz="4" w:space="0"/>
              <w:left w:val="single" w:color="000000" w:sz="4" w:space="0"/>
            </w:tcBorders>
            <w:shd w:val="clear" w:color="auto" w:fill="FFFFFF"/>
            <w:vAlign w:val="center"/>
          </w:tcPr>
          <w:p w14:paraId="74461657">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5B259B7C">
            <w:pPr>
              <w:jc w:val="right"/>
              <w:rPr>
                <w:rFonts w:hint="eastAsia" w:ascii="宋体" w:hAnsi="宋体" w:cs="宋体"/>
                <w:color w:val="auto"/>
                <w:sz w:val="18"/>
                <w:szCs w:val="18"/>
                <w:highlight w:val="none"/>
              </w:rPr>
            </w:pPr>
          </w:p>
        </w:tc>
        <w:tc>
          <w:tcPr>
            <w:tcW w:w="1089" w:type="dxa"/>
            <w:tcBorders>
              <w:top w:val="single" w:color="000000" w:sz="4" w:space="0"/>
              <w:left w:val="single" w:color="000000" w:sz="4" w:space="0"/>
              <w:right w:val="single" w:color="000000" w:sz="4" w:space="0"/>
            </w:tcBorders>
            <w:shd w:val="clear" w:color="auto" w:fill="FFFFFF"/>
            <w:vAlign w:val="center"/>
          </w:tcPr>
          <w:p w14:paraId="344009FB">
            <w:pPr>
              <w:jc w:val="left"/>
              <w:rPr>
                <w:rFonts w:hint="eastAsia" w:ascii="宋体" w:hAnsi="宋体" w:cs="宋体"/>
                <w:color w:val="auto"/>
                <w:sz w:val="18"/>
                <w:szCs w:val="18"/>
                <w:highlight w:val="none"/>
              </w:rPr>
            </w:pPr>
          </w:p>
        </w:tc>
      </w:tr>
      <w:tr w14:paraId="14182999">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tcBorders>
            <w:shd w:val="clear" w:color="auto" w:fill="FFFFFF"/>
            <w:vAlign w:val="center"/>
          </w:tcPr>
          <w:p w14:paraId="6338FD90">
            <w:pPr>
              <w:jc w:val="center"/>
              <w:rPr>
                <w:rFonts w:hint="eastAsia" w:ascii="宋体" w:hAnsi="宋体" w:cs="宋体"/>
                <w:color w:val="auto"/>
                <w:sz w:val="18"/>
                <w:szCs w:val="18"/>
                <w:highlight w:val="none"/>
              </w:rPr>
            </w:pPr>
          </w:p>
        </w:tc>
        <w:tc>
          <w:tcPr>
            <w:tcW w:w="1500" w:type="dxa"/>
            <w:tcBorders>
              <w:top w:val="single" w:color="000000" w:sz="4" w:space="0"/>
              <w:left w:val="single" w:color="000000" w:sz="4" w:space="0"/>
            </w:tcBorders>
            <w:shd w:val="clear" w:color="auto" w:fill="FFFFFF"/>
            <w:vAlign w:val="center"/>
          </w:tcPr>
          <w:p w14:paraId="2192A8FE">
            <w:pPr>
              <w:jc w:val="left"/>
              <w:rPr>
                <w:rFonts w:hint="eastAsia" w:ascii="宋体" w:hAnsi="宋体" w:cs="宋体"/>
                <w:color w:val="auto"/>
                <w:sz w:val="18"/>
                <w:szCs w:val="18"/>
                <w:highlight w:val="none"/>
              </w:rPr>
            </w:pPr>
          </w:p>
        </w:tc>
        <w:tc>
          <w:tcPr>
            <w:tcW w:w="2423" w:type="dxa"/>
            <w:tcBorders>
              <w:top w:val="single" w:color="000000" w:sz="4" w:space="0"/>
              <w:left w:val="single" w:color="000000" w:sz="4" w:space="0"/>
            </w:tcBorders>
            <w:shd w:val="clear" w:color="auto" w:fill="FFFFFF"/>
            <w:vAlign w:val="center"/>
          </w:tcPr>
          <w:p w14:paraId="77F3AF24">
            <w:pPr>
              <w:jc w:val="left"/>
              <w:rPr>
                <w:rFonts w:hint="eastAsia" w:ascii="宋体" w:hAnsi="宋体" w:cs="宋体"/>
                <w:color w:val="auto"/>
                <w:sz w:val="18"/>
                <w:szCs w:val="18"/>
                <w:highlight w:val="none"/>
              </w:rPr>
            </w:pPr>
          </w:p>
        </w:tc>
        <w:tc>
          <w:tcPr>
            <w:tcW w:w="3105" w:type="dxa"/>
            <w:tcBorders>
              <w:top w:val="single" w:color="000000" w:sz="4" w:space="0"/>
              <w:left w:val="single" w:color="000000" w:sz="4" w:space="0"/>
            </w:tcBorders>
            <w:shd w:val="clear" w:color="auto" w:fill="FFFFFF"/>
            <w:vAlign w:val="center"/>
          </w:tcPr>
          <w:p w14:paraId="7964D159">
            <w:pPr>
              <w:jc w:val="left"/>
              <w:rPr>
                <w:rFonts w:hint="eastAsia" w:ascii="宋体" w:hAnsi="宋体" w:cs="宋体"/>
                <w:color w:val="auto"/>
                <w:sz w:val="18"/>
                <w:szCs w:val="18"/>
                <w:highlight w:val="none"/>
              </w:rPr>
            </w:pPr>
          </w:p>
        </w:tc>
        <w:tc>
          <w:tcPr>
            <w:tcW w:w="675" w:type="dxa"/>
            <w:tcBorders>
              <w:top w:val="single" w:color="000000" w:sz="4" w:space="0"/>
              <w:left w:val="single" w:color="000000" w:sz="4" w:space="0"/>
            </w:tcBorders>
            <w:shd w:val="clear" w:color="auto" w:fill="FFFFFF"/>
            <w:vAlign w:val="center"/>
          </w:tcPr>
          <w:p w14:paraId="45F11550">
            <w:pPr>
              <w:jc w:val="center"/>
              <w:rPr>
                <w:rFonts w:hint="eastAsia" w:ascii="宋体" w:hAnsi="宋体" w:cs="宋体"/>
                <w:color w:val="auto"/>
                <w:sz w:val="18"/>
                <w:szCs w:val="18"/>
                <w:highlight w:val="none"/>
              </w:rPr>
            </w:pPr>
          </w:p>
        </w:tc>
        <w:tc>
          <w:tcPr>
            <w:tcW w:w="1065" w:type="dxa"/>
            <w:tcBorders>
              <w:top w:val="single" w:color="000000" w:sz="4" w:space="0"/>
              <w:left w:val="single" w:color="000000" w:sz="4" w:space="0"/>
            </w:tcBorders>
            <w:shd w:val="clear" w:color="auto" w:fill="FFFFFF"/>
            <w:vAlign w:val="center"/>
          </w:tcPr>
          <w:p w14:paraId="2F04EEB8">
            <w:pPr>
              <w:jc w:val="right"/>
              <w:rPr>
                <w:rFonts w:hint="eastAsia" w:ascii="宋体" w:hAnsi="宋体" w:cs="宋体"/>
                <w:color w:val="auto"/>
                <w:sz w:val="18"/>
                <w:szCs w:val="18"/>
                <w:highlight w:val="none"/>
              </w:rPr>
            </w:pPr>
          </w:p>
        </w:tc>
        <w:tc>
          <w:tcPr>
            <w:tcW w:w="1080" w:type="dxa"/>
            <w:tcBorders>
              <w:top w:val="single" w:color="000000" w:sz="4" w:space="0"/>
              <w:left w:val="single" w:color="000000" w:sz="4" w:space="0"/>
            </w:tcBorders>
            <w:shd w:val="clear" w:color="auto" w:fill="FFFFFF"/>
            <w:vAlign w:val="center"/>
          </w:tcPr>
          <w:p w14:paraId="2F1C39F0">
            <w:pPr>
              <w:jc w:val="right"/>
              <w:rPr>
                <w:rFonts w:hint="eastAsia" w:ascii="宋体" w:hAnsi="宋体" w:cs="宋体"/>
                <w:color w:val="auto"/>
                <w:sz w:val="18"/>
                <w:szCs w:val="18"/>
                <w:highlight w:val="none"/>
              </w:rPr>
            </w:pPr>
          </w:p>
        </w:tc>
        <w:tc>
          <w:tcPr>
            <w:tcW w:w="1035" w:type="dxa"/>
            <w:tcBorders>
              <w:top w:val="single" w:color="000000" w:sz="4" w:space="0"/>
              <w:left w:val="single" w:color="000000" w:sz="4" w:space="0"/>
            </w:tcBorders>
            <w:shd w:val="clear" w:color="auto" w:fill="FFFFFF"/>
            <w:vAlign w:val="center"/>
          </w:tcPr>
          <w:p w14:paraId="771E42D6">
            <w:pPr>
              <w:jc w:val="right"/>
              <w:rPr>
                <w:rFonts w:hint="eastAsia" w:ascii="宋体" w:hAnsi="宋体" w:cs="宋体"/>
                <w:color w:val="auto"/>
                <w:sz w:val="18"/>
                <w:szCs w:val="18"/>
                <w:highlight w:val="none"/>
              </w:rPr>
            </w:pPr>
          </w:p>
        </w:tc>
        <w:tc>
          <w:tcPr>
            <w:tcW w:w="1005" w:type="dxa"/>
            <w:tcBorders>
              <w:top w:val="single" w:color="000000" w:sz="4" w:space="0"/>
              <w:left w:val="single" w:color="000000" w:sz="4" w:space="0"/>
            </w:tcBorders>
            <w:shd w:val="clear" w:color="auto" w:fill="FFFFFF"/>
            <w:vAlign w:val="center"/>
          </w:tcPr>
          <w:p w14:paraId="28D10C1E">
            <w:pPr>
              <w:jc w:val="right"/>
              <w:rPr>
                <w:rFonts w:hint="eastAsia" w:ascii="宋体" w:hAnsi="宋体" w:cs="宋体"/>
                <w:color w:val="auto"/>
                <w:sz w:val="18"/>
                <w:szCs w:val="18"/>
                <w:highlight w:val="none"/>
              </w:rPr>
            </w:pPr>
          </w:p>
        </w:tc>
        <w:tc>
          <w:tcPr>
            <w:tcW w:w="1095" w:type="dxa"/>
            <w:tcBorders>
              <w:top w:val="single" w:color="000000" w:sz="4" w:space="0"/>
              <w:left w:val="single" w:color="000000" w:sz="4" w:space="0"/>
            </w:tcBorders>
            <w:shd w:val="clear" w:color="auto" w:fill="FFFFFF"/>
            <w:vAlign w:val="center"/>
          </w:tcPr>
          <w:p w14:paraId="5AA35641">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tcBorders>
            <w:shd w:val="clear" w:color="auto" w:fill="FFFFFF"/>
            <w:vAlign w:val="center"/>
          </w:tcPr>
          <w:p w14:paraId="792899B8">
            <w:pPr>
              <w:jc w:val="right"/>
              <w:rPr>
                <w:rFonts w:hint="eastAsia" w:ascii="宋体" w:hAnsi="宋体" w:cs="宋体"/>
                <w:color w:val="auto"/>
                <w:sz w:val="18"/>
                <w:szCs w:val="18"/>
                <w:highlight w:val="none"/>
              </w:rPr>
            </w:pPr>
          </w:p>
        </w:tc>
        <w:tc>
          <w:tcPr>
            <w:tcW w:w="1089" w:type="dxa"/>
            <w:tcBorders>
              <w:top w:val="single" w:color="000000" w:sz="4" w:space="0"/>
              <w:left w:val="single" w:color="000000" w:sz="4" w:space="0"/>
              <w:right w:val="single" w:color="000000" w:sz="4" w:space="0"/>
            </w:tcBorders>
            <w:shd w:val="clear" w:color="auto" w:fill="FFFFFF"/>
            <w:vAlign w:val="center"/>
          </w:tcPr>
          <w:p w14:paraId="294C8CCC">
            <w:pPr>
              <w:jc w:val="left"/>
              <w:rPr>
                <w:rFonts w:hint="eastAsia" w:ascii="宋体" w:hAnsi="宋体" w:cs="宋体"/>
                <w:color w:val="auto"/>
                <w:sz w:val="18"/>
                <w:szCs w:val="18"/>
                <w:highlight w:val="none"/>
              </w:rPr>
            </w:pPr>
          </w:p>
        </w:tc>
      </w:tr>
      <w:tr w14:paraId="2C40A617">
        <w:tblPrEx>
          <w:tblCellMar>
            <w:top w:w="15" w:type="dxa"/>
            <w:left w:w="15" w:type="dxa"/>
            <w:bottom w:w="15" w:type="dxa"/>
            <w:right w:w="15" w:type="dxa"/>
          </w:tblCellMar>
        </w:tblPrEx>
        <w:trPr>
          <w:trHeight w:val="450" w:hRule="atLeast"/>
        </w:trPr>
        <w:tc>
          <w:tcPr>
            <w:tcW w:w="758" w:type="dxa"/>
            <w:tcBorders>
              <w:top w:val="single" w:color="000000" w:sz="4" w:space="0"/>
              <w:left w:val="single" w:color="000000" w:sz="4" w:space="0"/>
              <w:bottom w:val="single" w:color="000000" w:sz="4" w:space="0"/>
            </w:tcBorders>
            <w:shd w:val="clear" w:color="auto" w:fill="FFFFFF"/>
            <w:vAlign w:val="center"/>
          </w:tcPr>
          <w:p w14:paraId="557CA8F9">
            <w:pPr>
              <w:jc w:val="center"/>
              <w:rPr>
                <w:rFonts w:hint="eastAsia" w:ascii="宋体" w:hAnsi="宋体" w:cs="宋体"/>
                <w:color w:val="auto"/>
                <w:sz w:val="18"/>
                <w:szCs w:val="18"/>
                <w:highlight w:val="none"/>
              </w:rPr>
            </w:pPr>
          </w:p>
        </w:tc>
        <w:tc>
          <w:tcPr>
            <w:tcW w:w="1500" w:type="dxa"/>
            <w:tcBorders>
              <w:top w:val="single" w:color="000000" w:sz="4" w:space="0"/>
              <w:left w:val="single" w:color="000000" w:sz="4" w:space="0"/>
              <w:bottom w:val="single" w:color="000000" w:sz="4" w:space="0"/>
            </w:tcBorders>
            <w:shd w:val="clear" w:color="auto" w:fill="FFFFFF"/>
            <w:vAlign w:val="center"/>
          </w:tcPr>
          <w:p w14:paraId="24913E4C">
            <w:pPr>
              <w:jc w:val="left"/>
              <w:rPr>
                <w:rFonts w:hint="eastAsia" w:ascii="宋体" w:hAnsi="宋体" w:cs="宋体"/>
                <w:color w:val="auto"/>
                <w:sz w:val="18"/>
                <w:szCs w:val="18"/>
                <w:highlight w:val="none"/>
              </w:rPr>
            </w:pPr>
          </w:p>
        </w:tc>
        <w:tc>
          <w:tcPr>
            <w:tcW w:w="2423" w:type="dxa"/>
            <w:tcBorders>
              <w:top w:val="single" w:color="000000" w:sz="4" w:space="0"/>
              <w:left w:val="single" w:color="000000" w:sz="4" w:space="0"/>
              <w:bottom w:val="single" w:color="000000" w:sz="4" w:space="0"/>
            </w:tcBorders>
            <w:shd w:val="clear" w:color="auto" w:fill="FFFFFF"/>
            <w:vAlign w:val="center"/>
          </w:tcPr>
          <w:p w14:paraId="1F9BBCB1">
            <w:pPr>
              <w:jc w:val="left"/>
              <w:rPr>
                <w:rFonts w:hint="eastAsia" w:ascii="宋体" w:hAnsi="宋体" w:cs="宋体"/>
                <w:color w:val="auto"/>
                <w:sz w:val="18"/>
                <w:szCs w:val="18"/>
                <w:highlight w:val="none"/>
              </w:rPr>
            </w:pPr>
          </w:p>
        </w:tc>
        <w:tc>
          <w:tcPr>
            <w:tcW w:w="3105" w:type="dxa"/>
            <w:tcBorders>
              <w:top w:val="single" w:color="000000" w:sz="4" w:space="0"/>
              <w:left w:val="single" w:color="000000" w:sz="4" w:space="0"/>
              <w:bottom w:val="single" w:color="000000" w:sz="4" w:space="0"/>
            </w:tcBorders>
            <w:shd w:val="clear" w:color="auto" w:fill="FFFFFF"/>
            <w:vAlign w:val="center"/>
          </w:tcPr>
          <w:p w14:paraId="14558C0C">
            <w:pPr>
              <w:jc w:val="left"/>
              <w:rPr>
                <w:rFonts w:hint="eastAsia" w:ascii="宋体" w:hAnsi="宋体" w:cs="宋体"/>
                <w:color w:val="auto"/>
                <w:sz w:val="18"/>
                <w:szCs w:val="18"/>
                <w:highlight w:val="none"/>
              </w:rPr>
            </w:pPr>
          </w:p>
        </w:tc>
        <w:tc>
          <w:tcPr>
            <w:tcW w:w="675" w:type="dxa"/>
            <w:tcBorders>
              <w:top w:val="single" w:color="000000" w:sz="4" w:space="0"/>
              <w:left w:val="single" w:color="000000" w:sz="4" w:space="0"/>
              <w:bottom w:val="single" w:color="000000" w:sz="4" w:space="0"/>
            </w:tcBorders>
            <w:shd w:val="clear" w:color="auto" w:fill="FFFFFF"/>
            <w:vAlign w:val="center"/>
          </w:tcPr>
          <w:p w14:paraId="229F3478">
            <w:pPr>
              <w:jc w:val="center"/>
              <w:rPr>
                <w:rFonts w:hint="eastAsia" w:ascii="宋体" w:hAnsi="宋体" w:cs="宋体"/>
                <w:color w:val="auto"/>
                <w:sz w:val="18"/>
                <w:szCs w:val="18"/>
                <w:highlight w:val="none"/>
              </w:rPr>
            </w:pPr>
          </w:p>
        </w:tc>
        <w:tc>
          <w:tcPr>
            <w:tcW w:w="1065" w:type="dxa"/>
            <w:tcBorders>
              <w:top w:val="single" w:color="000000" w:sz="4" w:space="0"/>
              <w:left w:val="single" w:color="000000" w:sz="4" w:space="0"/>
              <w:bottom w:val="single" w:color="000000" w:sz="4" w:space="0"/>
            </w:tcBorders>
            <w:shd w:val="clear" w:color="auto" w:fill="FFFFFF"/>
            <w:vAlign w:val="center"/>
          </w:tcPr>
          <w:p w14:paraId="2003200F">
            <w:pPr>
              <w:jc w:val="right"/>
              <w:rPr>
                <w:rFonts w:hint="eastAsia" w:ascii="宋体" w:hAnsi="宋体" w:cs="宋体"/>
                <w:color w:val="auto"/>
                <w:sz w:val="18"/>
                <w:szCs w:val="18"/>
                <w:highlight w:val="none"/>
              </w:rPr>
            </w:pPr>
          </w:p>
        </w:tc>
        <w:tc>
          <w:tcPr>
            <w:tcW w:w="1080" w:type="dxa"/>
            <w:tcBorders>
              <w:top w:val="single" w:color="000000" w:sz="4" w:space="0"/>
              <w:left w:val="single" w:color="000000" w:sz="4" w:space="0"/>
              <w:bottom w:val="single" w:color="000000" w:sz="4" w:space="0"/>
            </w:tcBorders>
            <w:shd w:val="clear" w:color="auto" w:fill="FFFFFF"/>
            <w:vAlign w:val="center"/>
          </w:tcPr>
          <w:p w14:paraId="2F8141D6">
            <w:pPr>
              <w:jc w:val="right"/>
              <w:rPr>
                <w:rFonts w:hint="eastAsia" w:ascii="宋体" w:hAnsi="宋体" w:cs="宋体"/>
                <w:color w:val="auto"/>
                <w:sz w:val="18"/>
                <w:szCs w:val="18"/>
                <w:highlight w:val="none"/>
              </w:rPr>
            </w:pPr>
          </w:p>
        </w:tc>
        <w:tc>
          <w:tcPr>
            <w:tcW w:w="1035" w:type="dxa"/>
            <w:tcBorders>
              <w:top w:val="single" w:color="000000" w:sz="4" w:space="0"/>
              <w:left w:val="single" w:color="000000" w:sz="4" w:space="0"/>
              <w:bottom w:val="single" w:color="000000" w:sz="4" w:space="0"/>
            </w:tcBorders>
            <w:shd w:val="clear" w:color="auto" w:fill="FFFFFF"/>
            <w:vAlign w:val="center"/>
          </w:tcPr>
          <w:p w14:paraId="6EBDCE24">
            <w:pPr>
              <w:jc w:val="right"/>
              <w:rPr>
                <w:rFonts w:hint="eastAsia" w:ascii="宋体" w:hAnsi="宋体" w:cs="宋体"/>
                <w:color w:val="auto"/>
                <w:sz w:val="18"/>
                <w:szCs w:val="18"/>
                <w:highlight w:val="none"/>
              </w:rPr>
            </w:pPr>
          </w:p>
        </w:tc>
        <w:tc>
          <w:tcPr>
            <w:tcW w:w="1005" w:type="dxa"/>
            <w:tcBorders>
              <w:top w:val="single" w:color="000000" w:sz="4" w:space="0"/>
              <w:left w:val="single" w:color="000000" w:sz="4" w:space="0"/>
              <w:bottom w:val="single" w:color="000000" w:sz="4" w:space="0"/>
            </w:tcBorders>
            <w:shd w:val="clear" w:color="auto" w:fill="FFFFFF"/>
            <w:vAlign w:val="center"/>
          </w:tcPr>
          <w:p w14:paraId="07257B03">
            <w:pPr>
              <w:jc w:val="right"/>
              <w:rPr>
                <w:rFonts w:hint="eastAsia" w:ascii="宋体" w:hAnsi="宋体" w:cs="宋体"/>
                <w:color w:val="auto"/>
                <w:sz w:val="18"/>
                <w:szCs w:val="18"/>
                <w:highlight w:val="none"/>
              </w:rPr>
            </w:pPr>
          </w:p>
        </w:tc>
        <w:tc>
          <w:tcPr>
            <w:tcW w:w="1095" w:type="dxa"/>
            <w:tcBorders>
              <w:top w:val="single" w:color="000000" w:sz="4" w:space="0"/>
              <w:left w:val="single" w:color="000000" w:sz="4" w:space="0"/>
              <w:bottom w:val="single" w:color="000000" w:sz="4" w:space="0"/>
            </w:tcBorders>
            <w:shd w:val="clear" w:color="auto" w:fill="FFFFFF"/>
            <w:vAlign w:val="center"/>
          </w:tcPr>
          <w:p w14:paraId="23D7E173">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bottom w:val="single" w:color="000000" w:sz="4" w:space="0"/>
            </w:tcBorders>
            <w:shd w:val="clear" w:color="auto" w:fill="FFFFFF"/>
            <w:vAlign w:val="center"/>
          </w:tcPr>
          <w:p w14:paraId="5AF044D1">
            <w:pPr>
              <w:jc w:val="right"/>
              <w:rPr>
                <w:rFonts w:hint="eastAsia" w:ascii="宋体" w:hAnsi="宋体" w:cs="宋体"/>
                <w:color w:val="auto"/>
                <w:sz w:val="18"/>
                <w:szCs w:val="18"/>
                <w:highlight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5FCC4">
            <w:pPr>
              <w:jc w:val="left"/>
              <w:rPr>
                <w:rFonts w:hint="eastAsia" w:ascii="宋体" w:hAnsi="宋体" w:cs="宋体"/>
                <w:color w:val="auto"/>
                <w:sz w:val="18"/>
                <w:szCs w:val="18"/>
                <w:highlight w:val="none"/>
              </w:rPr>
            </w:pPr>
          </w:p>
        </w:tc>
      </w:tr>
      <w:tr w14:paraId="5B690094">
        <w:tblPrEx>
          <w:tblCellMar>
            <w:top w:w="15" w:type="dxa"/>
            <w:left w:w="15" w:type="dxa"/>
            <w:bottom w:w="15" w:type="dxa"/>
            <w:right w:w="15" w:type="dxa"/>
          </w:tblCellMar>
        </w:tblPrEx>
        <w:trPr>
          <w:trHeight w:val="450" w:hRule="atLeast"/>
        </w:trPr>
        <w:tc>
          <w:tcPr>
            <w:tcW w:w="1060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58454C0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本页小计</w:t>
            </w:r>
          </w:p>
        </w:tc>
        <w:tc>
          <w:tcPr>
            <w:tcW w:w="103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B8962">
            <w:pPr>
              <w:jc w:val="right"/>
              <w:rPr>
                <w:rFonts w:hint="eastAsia" w:ascii="宋体" w:hAnsi="宋体" w:cs="宋体"/>
                <w:color w:val="auto"/>
                <w:sz w:val="18"/>
                <w:szCs w:val="18"/>
                <w:highlight w:val="none"/>
              </w:rPr>
            </w:pPr>
          </w:p>
        </w:tc>
        <w:tc>
          <w:tcPr>
            <w:tcW w:w="100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DF941">
            <w:pPr>
              <w:jc w:val="right"/>
              <w:rPr>
                <w:rFonts w:hint="eastAsia" w:ascii="宋体" w:hAnsi="宋体" w:cs="宋体"/>
                <w:color w:val="auto"/>
                <w:sz w:val="18"/>
                <w:szCs w:val="18"/>
                <w:highlight w:val="none"/>
              </w:rPr>
            </w:pPr>
          </w:p>
        </w:tc>
        <w:tc>
          <w:tcPr>
            <w:tcW w:w="10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07ACC">
            <w:pPr>
              <w:jc w:val="right"/>
              <w:rPr>
                <w:rFonts w:hint="eastAsia" w:ascii="宋体" w:hAnsi="宋体" w:cs="宋体"/>
                <w:color w:val="auto"/>
                <w:sz w:val="18"/>
                <w:szCs w:val="18"/>
                <w:highlight w:val="none"/>
              </w:rPr>
            </w:pPr>
          </w:p>
        </w:tc>
        <w:tc>
          <w:tcPr>
            <w:tcW w:w="11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31298">
            <w:pPr>
              <w:jc w:val="right"/>
              <w:rPr>
                <w:rFonts w:hint="eastAsia" w:ascii="宋体" w:hAnsi="宋体" w:cs="宋体"/>
                <w:color w:val="auto"/>
                <w:sz w:val="18"/>
                <w:szCs w:val="18"/>
                <w:highlight w:val="none"/>
              </w:rPr>
            </w:pPr>
          </w:p>
        </w:tc>
        <w:tc>
          <w:tcPr>
            <w:tcW w:w="108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C54EE">
            <w:pPr>
              <w:jc w:val="center"/>
              <w:rPr>
                <w:rFonts w:hint="eastAsia" w:ascii="宋体" w:hAnsi="宋体" w:cs="宋体"/>
                <w:color w:val="auto"/>
                <w:sz w:val="18"/>
                <w:szCs w:val="18"/>
                <w:highlight w:val="none"/>
              </w:rPr>
            </w:pPr>
          </w:p>
        </w:tc>
      </w:tr>
    </w:tbl>
    <w:p w14:paraId="7C3D174B">
      <w:pPr>
        <w:rPr>
          <w:rFonts w:hint="eastAsia"/>
          <w:color w:val="auto"/>
          <w:highlight w:val="none"/>
        </w:rPr>
        <w:sectPr>
          <w:pgSz w:w="16838" w:h="11906" w:orient="landscape"/>
          <w:pgMar w:top="1134" w:right="1134" w:bottom="1134" w:left="1134" w:header="851" w:footer="992" w:gutter="0"/>
          <w:cols w:space="720" w:num="1"/>
          <w:docGrid w:linePitch="312" w:charSpace="0"/>
        </w:sectPr>
      </w:pPr>
    </w:p>
    <w:bookmarkEnd w:id="73"/>
    <w:bookmarkEnd w:id="74"/>
    <w:bookmarkEnd w:id="75"/>
    <w:bookmarkEnd w:id="76"/>
    <w:p w14:paraId="6CF5396E">
      <w:pPr>
        <w:pStyle w:val="5"/>
        <w:spacing w:line="440" w:lineRule="exact"/>
        <w:rPr>
          <w:rFonts w:hint="eastAsia" w:ascii="黑体" w:hAnsi="宋体"/>
          <w:color w:val="auto"/>
          <w:sz w:val="24"/>
          <w:szCs w:val="24"/>
          <w:highlight w:val="none"/>
        </w:rPr>
      </w:pPr>
      <w:bookmarkStart w:id="79" w:name="_Toc13435"/>
      <w:bookmarkStart w:id="80" w:name="_Toc101604735"/>
      <w:bookmarkStart w:id="81" w:name="_Toc26527431"/>
      <w:bookmarkStart w:id="82" w:name="_Toc1250"/>
      <w:bookmarkStart w:id="83" w:name="_Toc3840282"/>
      <w:bookmarkStart w:id="84" w:name="_Toc1087"/>
      <w:r>
        <w:rPr>
          <w:rFonts w:hint="eastAsia" w:ascii="黑体" w:hAnsi="宋体"/>
          <w:color w:val="auto"/>
          <w:sz w:val="24"/>
          <w:szCs w:val="24"/>
          <w:highlight w:val="none"/>
        </w:rPr>
        <w:t>附件8 施工组织（总价）措施项目清单与计价表</w:t>
      </w:r>
      <w:bookmarkEnd w:id="79"/>
      <w:bookmarkEnd w:id="80"/>
      <w:bookmarkEnd w:id="81"/>
      <w:bookmarkEnd w:id="82"/>
    </w:p>
    <w:p w14:paraId="258ADBCF">
      <w:pPr>
        <w:spacing w:line="600" w:lineRule="exact"/>
        <w:jc w:val="center"/>
        <w:rPr>
          <w:rFonts w:hint="eastAsia"/>
          <w:b/>
          <w:color w:val="auto"/>
          <w:sz w:val="36"/>
          <w:szCs w:val="36"/>
          <w:highlight w:val="none"/>
        </w:rPr>
      </w:pPr>
      <w:r>
        <w:rPr>
          <w:rFonts w:hint="eastAsia"/>
          <w:b/>
          <w:color w:val="auto"/>
          <w:sz w:val="36"/>
          <w:szCs w:val="36"/>
          <w:highlight w:val="none"/>
        </w:rPr>
        <w:t>施工组织（总价）措施项目清单与计价表</w:t>
      </w:r>
    </w:p>
    <w:p w14:paraId="1EF3700D">
      <w:pPr>
        <w:spacing w:line="600" w:lineRule="exact"/>
        <w:rPr>
          <w:rFonts w:hint="eastAsia"/>
          <w:b/>
          <w:color w:val="auto"/>
          <w:sz w:val="36"/>
          <w:szCs w:val="36"/>
          <w:highlight w:val="none"/>
        </w:rPr>
      </w:pPr>
      <w:r>
        <w:rPr>
          <w:rFonts w:hint="eastAsia"/>
          <w:color w:val="auto"/>
          <w:sz w:val="22"/>
          <w:szCs w:val="22"/>
          <w:highlight w:val="none"/>
        </w:rPr>
        <w:t>工程名称：                                                          第    页 共    页</w:t>
      </w:r>
    </w:p>
    <w:tbl>
      <w:tblPr>
        <w:tblStyle w:val="38"/>
        <w:tblW w:w="0" w:type="auto"/>
        <w:tblInd w:w="0" w:type="dxa"/>
        <w:tblLayout w:type="fixed"/>
        <w:tblCellMar>
          <w:top w:w="15" w:type="dxa"/>
          <w:left w:w="15" w:type="dxa"/>
          <w:bottom w:w="15" w:type="dxa"/>
          <w:right w:w="15" w:type="dxa"/>
        </w:tblCellMar>
      </w:tblPr>
      <w:tblGrid>
        <w:gridCol w:w="734"/>
        <w:gridCol w:w="1576"/>
        <w:gridCol w:w="2340"/>
        <w:gridCol w:w="2010"/>
        <w:gridCol w:w="825"/>
        <w:gridCol w:w="1463"/>
        <w:gridCol w:w="955"/>
      </w:tblGrid>
      <w:tr w14:paraId="15D337B0">
        <w:tblPrEx>
          <w:tblCellMar>
            <w:top w:w="15" w:type="dxa"/>
            <w:left w:w="15" w:type="dxa"/>
            <w:bottom w:w="15" w:type="dxa"/>
            <w:right w:w="15" w:type="dxa"/>
          </w:tblCellMar>
        </w:tblPrEx>
        <w:trPr>
          <w:trHeight w:val="855" w:hRule="atLeast"/>
        </w:trPr>
        <w:tc>
          <w:tcPr>
            <w:tcW w:w="734" w:type="dxa"/>
            <w:tcBorders>
              <w:top w:val="single" w:color="000000" w:sz="4" w:space="0"/>
              <w:left w:val="single" w:color="000000" w:sz="4" w:space="0"/>
            </w:tcBorders>
            <w:shd w:val="clear" w:color="auto" w:fill="FFFFFF"/>
            <w:noWrap w:val="0"/>
            <w:vAlign w:val="center"/>
          </w:tcPr>
          <w:p w14:paraId="1469A4B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1576" w:type="dxa"/>
            <w:tcBorders>
              <w:top w:val="single" w:color="000000" w:sz="4" w:space="0"/>
              <w:left w:val="single" w:color="000000" w:sz="4" w:space="0"/>
            </w:tcBorders>
            <w:shd w:val="clear" w:color="auto" w:fill="FFFFFF"/>
            <w:noWrap w:val="0"/>
            <w:vAlign w:val="center"/>
          </w:tcPr>
          <w:p w14:paraId="14EF1AC2">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项目编号</w:t>
            </w:r>
          </w:p>
        </w:tc>
        <w:tc>
          <w:tcPr>
            <w:tcW w:w="2340" w:type="dxa"/>
            <w:tcBorders>
              <w:top w:val="single" w:color="000000" w:sz="4" w:space="0"/>
              <w:left w:val="single" w:color="000000" w:sz="4" w:space="0"/>
            </w:tcBorders>
            <w:shd w:val="clear" w:color="auto" w:fill="FFFFFF"/>
            <w:noWrap w:val="0"/>
            <w:vAlign w:val="center"/>
          </w:tcPr>
          <w:p w14:paraId="275BBA9F">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项目名称</w:t>
            </w:r>
          </w:p>
        </w:tc>
        <w:tc>
          <w:tcPr>
            <w:tcW w:w="2010" w:type="dxa"/>
            <w:tcBorders>
              <w:top w:val="single" w:color="000000" w:sz="4" w:space="0"/>
              <w:left w:val="single" w:color="000000" w:sz="4" w:space="0"/>
            </w:tcBorders>
            <w:shd w:val="clear" w:color="auto" w:fill="FFFFFF"/>
            <w:noWrap w:val="0"/>
            <w:vAlign w:val="center"/>
          </w:tcPr>
          <w:p w14:paraId="19946E7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计算基础</w:t>
            </w:r>
          </w:p>
        </w:tc>
        <w:tc>
          <w:tcPr>
            <w:tcW w:w="825" w:type="dxa"/>
            <w:tcBorders>
              <w:top w:val="single" w:color="000000" w:sz="4" w:space="0"/>
              <w:left w:val="single" w:color="000000" w:sz="4" w:space="0"/>
            </w:tcBorders>
            <w:shd w:val="clear" w:color="auto" w:fill="FFFFFF"/>
            <w:noWrap w:val="0"/>
            <w:vAlign w:val="center"/>
          </w:tcPr>
          <w:p w14:paraId="465CF9B3">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费率</w:t>
            </w:r>
          </w:p>
          <w:p w14:paraId="19DAAFE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w:t>
            </w:r>
          </w:p>
        </w:tc>
        <w:tc>
          <w:tcPr>
            <w:tcW w:w="1463" w:type="dxa"/>
            <w:tcBorders>
              <w:top w:val="single" w:color="000000" w:sz="4" w:space="0"/>
              <w:left w:val="single" w:color="000000" w:sz="4" w:space="0"/>
            </w:tcBorders>
            <w:shd w:val="clear" w:color="auto" w:fill="FFFFFF"/>
            <w:noWrap w:val="0"/>
            <w:vAlign w:val="center"/>
          </w:tcPr>
          <w:p w14:paraId="1B3DA9C8">
            <w:pPr>
              <w:widowControl/>
              <w:jc w:val="center"/>
              <w:textAlignment w:val="center"/>
              <w:rPr>
                <w:rFonts w:hint="eastAsia" w:ascii="宋体" w:hAnsi="宋体" w:cs="宋体"/>
                <w:color w:val="auto"/>
                <w:kern w:val="0"/>
                <w:sz w:val="18"/>
                <w:szCs w:val="18"/>
                <w:highlight w:val="none"/>
                <w:lang w:bidi="ar"/>
              </w:rPr>
            </w:pPr>
            <w:r>
              <w:rPr>
                <w:rFonts w:hint="eastAsia" w:ascii="宋体" w:hAnsi="宋体" w:cs="宋体"/>
                <w:color w:val="auto"/>
                <w:kern w:val="0"/>
                <w:sz w:val="18"/>
                <w:szCs w:val="18"/>
                <w:highlight w:val="none"/>
                <w:lang w:bidi="ar"/>
              </w:rPr>
              <w:t>金额</w:t>
            </w:r>
          </w:p>
          <w:p w14:paraId="7EFDA923">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(元)</w:t>
            </w:r>
          </w:p>
        </w:tc>
        <w:tc>
          <w:tcPr>
            <w:tcW w:w="955" w:type="dxa"/>
            <w:tcBorders>
              <w:top w:val="single" w:color="000000" w:sz="4" w:space="0"/>
              <w:left w:val="single" w:color="000000" w:sz="4" w:space="0"/>
              <w:right w:val="single" w:color="000000" w:sz="4" w:space="0"/>
            </w:tcBorders>
            <w:shd w:val="clear" w:color="auto" w:fill="FFFFFF"/>
            <w:noWrap w:val="0"/>
            <w:vAlign w:val="center"/>
          </w:tcPr>
          <w:p w14:paraId="2AD3D2C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备注</w:t>
            </w:r>
          </w:p>
        </w:tc>
      </w:tr>
      <w:tr w14:paraId="3B76BCFD">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1688627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1576" w:type="dxa"/>
            <w:tcBorders>
              <w:top w:val="single" w:color="000000" w:sz="4" w:space="0"/>
              <w:left w:val="single" w:color="000000" w:sz="4" w:space="0"/>
            </w:tcBorders>
            <w:shd w:val="clear" w:color="auto" w:fill="FFFFFF"/>
            <w:noWrap w:val="0"/>
            <w:vAlign w:val="center"/>
          </w:tcPr>
          <w:p w14:paraId="6476404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011707001001</w:t>
            </w:r>
          </w:p>
        </w:tc>
        <w:tc>
          <w:tcPr>
            <w:tcW w:w="2340" w:type="dxa"/>
            <w:tcBorders>
              <w:top w:val="single" w:color="000000" w:sz="4" w:space="0"/>
              <w:left w:val="single" w:color="000000" w:sz="4" w:space="0"/>
            </w:tcBorders>
            <w:shd w:val="clear" w:color="auto" w:fill="FFFFFF"/>
            <w:noWrap w:val="0"/>
            <w:vAlign w:val="center"/>
          </w:tcPr>
          <w:p w14:paraId="6BD527A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安全文明施工费</w:t>
            </w:r>
          </w:p>
        </w:tc>
        <w:tc>
          <w:tcPr>
            <w:tcW w:w="2010" w:type="dxa"/>
            <w:tcBorders>
              <w:top w:val="single" w:color="000000" w:sz="4" w:space="0"/>
              <w:left w:val="single" w:color="000000" w:sz="4" w:space="0"/>
            </w:tcBorders>
            <w:shd w:val="clear" w:color="auto" w:fill="FFFFFF"/>
            <w:noWrap w:val="0"/>
            <w:vAlign w:val="center"/>
          </w:tcPr>
          <w:p w14:paraId="4AA1249B">
            <w:pPr>
              <w:jc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0DE44EA7">
            <w:pPr>
              <w:jc w:val="center"/>
              <w:rPr>
                <w:rFonts w:hint="eastAsia" w:ascii="宋体" w:hAnsi="宋体" w:cs="宋体"/>
                <w:color w:val="auto"/>
                <w:sz w:val="18"/>
                <w:szCs w:val="18"/>
                <w:highlight w:val="none"/>
              </w:rPr>
            </w:pPr>
          </w:p>
        </w:tc>
        <w:tc>
          <w:tcPr>
            <w:tcW w:w="1463" w:type="dxa"/>
            <w:tcBorders>
              <w:top w:val="single" w:color="000000" w:sz="4" w:space="0"/>
              <w:left w:val="single" w:color="000000" w:sz="4" w:space="0"/>
            </w:tcBorders>
            <w:shd w:val="clear" w:color="auto" w:fill="FFFFFF"/>
            <w:noWrap w:val="0"/>
            <w:vAlign w:val="center"/>
          </w:tcPr>
          <w:p w14:paraId="4CDA58BB">
            <w:pPr>
              <w:jc w:val="right"/>
              <w:rPr>
                <w:rFonts w:hint="eastAsia" w:ascii="宋体" w:hAnsi="宋体" w:cs="宋体"/>
                <w:color w:val="auto"/>
                <w:sz w:val="18"/>
                <w:szCs w:val="18"/>
                <w:highlight w:val="none"/>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102FA9C9">
            <w:pPr>
              <w:jc w:val="center"/>
              <w:rPr>
                <w:rFonts w:hint="eastAsia" w:ascii="宋体" w:hAnsi="宋体" w:cs="宋体"/>
                <w:color w:val="auto"/>
                <w:sz w:val="18"/>
                <w:szCs w:val="18"/>
                <w:highlight w:val="none"/>
              </w:rPr>
            </w:pPr>
          </w:p>
        </w:tc>
      </w:tr>
      <w:tr w14:paraId="37813E04">
        <w:tblPrEx>
          <w:tblCellMar>
            <w:top w:w="15" w:type="dxa"/>
            <w:left w:w="15" w:type="dxa"/>
            <w:bottom w:w="15" w:type="dxa"/>
            <w:right w:w="15" w:type="dxa"/>
          </w:tblCellMar>
        </w:tblPrEx>
        <w:trPr>
          <w:trHeight w:val="450" w:hRule="atLeast"/>
        </w:trPr>
        <w:tc>
          <w:tcPr>
            <w:tcW w:w="734" w:type="dxa"/>
            <w:tcBorders>
              <w:top w:val="single" w:color="000000" w:sz="4" w:space="0"/>
              <w:left w:val="single" w:color="000000" w:sz="4" w:space="0"/>
            </w:tcBorders>
            <w:shd w:val="clear" w:color="auto" w:fill="FFFFFF"/>
            <w:noWrap w:val="0"/>
            <w:vAlign w:val="center"/>
          </w:tcPr>
          <w:p w14:paraId="365ABAA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1576" w:type="dxa"/>
            <w:tcBorders>
              <w:top w:val="single" w:color="000000" w:sz="4" w:space="0"/>
              <w:left w:val="single" w:color="000000" w:sz="4" w:space="0"/>
            </w:tcBorders>
            <w:shd w:val="clear" w:color="auto" w:fill="FFFFFF"/>
            <w:noWrap w:val="0"/>
            <w:vAlign w:val="center"/>
          </w:tcPr>
          <w:p w14:paraId="6C6EB18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2340" w:type="dxa"/>
            <w:tcBorders>
              <w:top w:val="single" w:color="000000" w:sz="4" w:space="0"/>
              <w:left w:val="single" w:color="000000" w:sz="4" w:space="0"/>
            </w:tcBorders>
            <w:shd w:val="clear" w:color="auto" w:fill="FFFFFF"/>
            <w:noWrap w:val="0"/>
            <w:vAlign w:val="center"/>
          </w:tcPr>
          <w:p w14:paraId="50491D65">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安全文明施工基本费</w:t>
            </w:r>
          </w:p>
        </w:tc>
        <w:tc>
          <w:tcPr>
            <w:tcW w:w="2010" w:type="dxa"/>
            <w:tcBorders>
              <w:top w:val="single" w:color="000000" w:sz="4" w:space="0"/>
              <w:left w:val="single" w:color="000000" w:sz="4" w:space="0"/>
            </w:tcBorders>
            <w:shd w:val="clear" w:color="auto" w:fill="FFFFFF"/>
            <w:noWrap w:val="0"/>
            <w:vAlign w:val="center"/>
          </w:tcPr>
          <w:p w14:paraId="1047F2EF">
            <w:pPr>
              <w:widowControl/>
              <w:jc w:val="center"/>
              <w:textAlignment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noWrap w:val="0"/>
            <w:vAlign w:val="bottom"/>
          </w:tcPr>
          <w:p w14:paraId="331DE838">
            <w:pPr>
              <w:jc w:val="center"/>
              <w:rPr>
                <w:rFonts w:hint="eastAsia" w:ascii="宋体" w:hAnsi="宋体" w:cs="宋体"/>
                <w:color w:val="auto"/>
                <w:sz w:val="18"/>
                <w:szCs w:val="18"/>
                <w:highlight w:val="none"/>
              </w:rPr>
            </w:pPr>
          </w:p>
        </w:tc>
        <w:tc>
          <w:tcPr>
            <w:tcW w:w="1463" w:type="dxa"/>
            <w:tcBorders>
              <w:top w:val="single" w:color="000000" w:sz="4" w:space="0"/>
              <w:left w:val="single" w:color="000000" w:sz="4" w:space="0"/>
            </w:tcBorders>
            <w:shd w:val="clear" w:color="auto" w:fill="FFFFFF"/>
            <w:noWrap w:val="0"/>
            <w:vAlign w:val="center"/>
          </w:tcPr>
          <w:p w14:paraId="3AC75C68">
            <w:pPr>
              <w:jc w:val="right"/>
              <w:rPr>
                <w:rFonts w:hint="eastAsia" w:ascii="宋体" w:hAnsi="宋体" w:cs="宋体"/>
                <w:color w:val="auto"/>
                <w:sz w:val="18"/>
                <w:szCs w:val="18"/>
                <w:highlight w:val="none"/>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084BA9A3">
            <w:pPr>
              <w:jc w:val="center"/>
              <w:rPr>
                <w:rFonts w:hint="eastAsia" w:ascii="宋体" w:hAnsi="宋体" w:cs="宋体"/>
                <w:color w:val="auto"/>
                <w:sz w:val="18"/>
                <w:szCs w:val="18"/>
                <w:highlight w:val="none"/>
              </w:rPr>
            </w:pPr>
          </w:p>
        </w:tc>
      </w:tr>
      <w:tr w14:paraId="06C25F4A">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4546378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1576" w:type="dxa"/>
            <w:tcBorders>
              <w:top w:val="single" w:color="000000" w:sz="4" w:space="0"/>
              <w:left w:val="single" w:color="000000" w:sz="4" w:space="0"/>
            </w:tcBorders>
            <w:shd w:val="clear" w:color="auto" w:fill="FFFFFF"/>
            <w:noWrap w:val="0"/>
            <w:vAlign w:val="center"/>
          </w:tcPr>
          <w:p w14:paraId="71ACC956">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Z01110900801</w:t>
            </w:r>
          </w:p>
        </w:tc>
        <w:tc>
          <w:tcPr>
            <w:tcW w:w="2340" w:type="dxa"/>
            <w:tcBorders>
              <w:top w:val="single" w:color="000000" w:sz="4" w:space="0"/>
              <w:left w:val="single" w:color="000000" w:sz="4" w:space="0"/>
            </w:tcBorders>
            <w:shd w:val="clear" w:color="auto" w:fill="FFFFFF"/>
            <w:noWrap w:val="0"/>
            <w:vAlign w:val="center"/>
          </w:tcPr>
          <w:p w14:paraId="1DFCA1A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提前竣工增加费</w:t>
            </w:r>
          </w:p>
        </w:tc>
        <w:tc>
          <w:tcPr>
            <w:tcW w:w="2010" w:type="dxa"/>
            <w:tcBorders>
              <w:top w:val="single" w:color="000000" w:sz="4" w:space="0"/>
              <w:left w:val="single" w:color="000000" w:sz="4" w:space="0"/>
            </w:tcBorders>
            <w:shd w:val="clear" w:color="auto" w:fill="FFFFFF"/>
            <w:noWrap w:val="0"/>
            <w:vAlign w:val="center"/>
          </w:tcPr>
          <w:p w14:paraId="74EE59A5">
            <w:pPr>
              <w:widowControl/>
              <w:jc w:val="center"/>
              <w:textAlignment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0E4E018A">
            <w:pPr>
              <w:jc w:val="center"/>
              <w:rPr>
                <w:rFonts w:hint="eastAsia" w:ascii="宋体" w:hAnsi="宋体" w:cs="宋体"/>
                <w:color w:val="auto"/>
                <w:sz w:val="18"/>
                <w:szCs w:val="18"/>
                <w:highlight w:val="none"/>
              </w:rPr>
            </w:pPr>
          </w:p>
        </w:tc>
        <w:tc>
          <w:tcPr>
            <w:tcW w:w="1463" w:type="dxa"/>
            <w:tcBorders>
              <w:top w:val="single" w:color="000000" w:sz="4" w:space="0"/>
              <w:left w:val="single" w:color="000000" w:sz="4" w:space="0"/>
            </w:tcBorders>
            <w:shd w:val="clear" w:color="auto" w:fill="FFFFFF"/>
            <w:noWrap w:val="0"/>
            <w:vAlign w:val="center"/>
          </w:tcPr>
          <w:p w14:paraId="1004A489">
            <w:pPr>
              <w:jc w:val="right"/>
              <w:rPr>
                <w:rFonts w:hint="eastAsia" w:ascii="宋体" w:hAnsi="宋体" w:cs="宋体"/>
                <w:color w:val="auto"/>
                <w:sz w:val="18"/>
                <w:szCs w:val="18"/>
                <w:highlight w:val="none"/>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052ED078">
            <w:pPr>
              <w:jc w:val="center"/>
              <w:rPr>
                <w:rFonts w:hint="eastAsia" w:ascii="宋体" w:hAnsi="宋体" w:cs="宋体"/>
                <w:color w:val="auto"/>
                <w:sz w:val="18"/>
                <w:szCs w:val="18"/>
                <w:highlight w:val="none"/>
              </w:rPr>
            </w:pPr>
          </w:p>
        </w:tc>
      </w:tr>
      <w:tr w14:paraId="3FB22A44">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7055C2E6">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1576" w:type="dxa"/>
            <w:tcBorders>
              <w:top w:val="single" w:color="000000" w:sz="4" w:space="0"/>
              <w:left w:val="single" w:color="000000" w:sz="4" w:space="0"/>
            </w:tcBorders>
            <w:shd w:val="clear" w:color="auto" w:fill="FFFFFF"/>
            <w:noWrap w:val="0"/>
            <w:vAlign w:val="center"/>
          </w:tcPr>
          <w:p w14:paraId="0B6189E3">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011707004001</w:t>
            </w:r>
          </w:p>
        </w:tc>
        <w:tc>
          <w:tcPr>
            <w:tcW w:w="2340" w:type="dxa"/>
            <w:tcBorders>
              <w:top w:val="single" w:color="000000" w:sz="4" w:space="0"/>
              <w:left w:val="single" w:color="000000" w:sz="4" w:space="0"/>
            </w:tcBorders>
            <w:shd w:val="clear" w:color="auto" w:fill="FFFFFF"/>
            <w:noWrap w:val="0"/>
            <w:vAlign w:val="center"/>
          </w:tcPr>
          <w:p w14:paraId="1DCAD3E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二次搬运费</w:t>
            </w:r>
          </w:p>
        </w:tc>
        <w:tc>
          <w:tcPr>
            <w:tcW w:w="2010" w:type="dxa"/>
            <w:tcBorders>
              <w:top w:val="single" w:color="000000" w:sz="4" w:space="0"/>
              <w:left w:val="single" w:color="000000" w:sz="4" w:space="0"/>
            </w:tcBorders>
            <w:shd w:val="clear" w:color="auto" w:fill="FFFFFF"/>
            <w:noWrap w:val="0"/>
            <w:vAlign w:val="center"/>
          </w:tcPr>
          <w:p w14:paraId="2AF59A95">
            <w:pPr>
              <w:widowControl/>
              <w:jc w:val="center"/>
              <w:textAlignment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5459E332">
            <w:pPr>
              <w:jc w:val="center"/>
              <w:rPr>
                <w:rFonts w:hint="eastAsia" w:ascii="宋体" w:hAnsi="宋体" w:cs="宋体"/>
                <w:color w:val="auto"/>
                <w:sz w:val="18"/>
                <w:szCs w:val="18"/>
                <w:highlight w:val="none"/>
              </w:rPr>
            </w:pPr>
          </w:p>
        </w:tc>
        <w:tc>
          <w:tcPr>
            <w:tcW w:w="1463" w:type="dxa"/>
            <w:tcBorders>
              <w:top w:val="single" w:color="000000" w:sz="4" w:space="0"/>
              <w:left w:val="single" w:color="000000" w:sz="4" w:space="0"/>
            </w:tcBorders>
            <w:shd w:val="clear" w:color="auto" w:fill="FFFFFF"/>
            <w:noWrap w:val="0"/>
            <w:vAlign w:val="center"/>
          </w:tcPr>
          <w:p w14:paraId="27B22E24">
            <w:pPr>
              <w:jc w:val="right"/>
              <w:rPr>
                <w:rFonts w:hint="eastAsia" w:ascii="宋体" w:hAnsi="宋体" w:cs="宋体"/>
                <w:color w:val="auto"/>
                <w:sz w:val="18"/>
                <w:szCs w:val="18"/>
                <w:highlight w:val="none"/>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3410DA35">
            <w:pPr>
              <w:jc w:val="center"/>
              <w:rPr>
                <w:rFonts w:hint="eastAsia" w:ascii="宋体" w:hAnsi="宋体" w:cs="宋体"/>
                <w:color w:val="auto"/>
                <w:sz w:val="18"/>
                <w:szCs w:val="18"/>
                <w:highlight w:val="none"/>
              </w:rPr>
            </w:pPr>
          </w:p>
        </w:tc>
      </w:tr>
      <w:tr w14:paraId="342DCF4E">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791E699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1576" w:type="dxa"/>
            <w:tcBorders>
              <w:top w:val="single" w:color="000000" w:sz="4" w:space="0"/>
              <w:left w:val="single" w:color="000000" w:sz="4" w:space="0"/>
            </w:tcBorders>
            <w:shd w:val="clear" w:color="auto" w:fill="FFFFFF"/>
            <w:noWrap w:val="0"/>
            <w:vAlign w:val="center"/>
          </w:tcPr>
          <w:p w14:paraId="160D4BC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011707005001</w:t>
            </w:r>
          </w:p>
        </w:tc>
        <w:tc>
          <w:tcPr>
            <w:tcW w:w="2340" w:type="dxa"/>
            <w:tcBorders>
              <w:top w:val="single" w:color="000000" w:sz="4" w:space="0"/>
              <w:left w:val="single" w:color="000000" w:sz="4" w:space="0"/>
            </w:tcBorders>
            <w:shd w:val="clear" w:color="auto" w:fill="FFFFFF"/>
            <w:noWrap w:val="0"/>
            <w:vAlign w:val="center"/>
          </w:tcPr>
          <w:p w14:paraId="14339CC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冬雨季施工增加费</w:t>
            </w:r>
          </w:p>
        </w:tc>
        <w:tc>
          <w:tcPr>
            <w:tcW w:w="2010" w:type="dxa"/>
            <w:tcBorders>
              <w:top w:val="single" w:color="000000" w:sz="4" w:space="0"/>
              <w:left w:val="single" w:color="000000" w:sz="4" w:space="0"/>
            </w:tcBorders>
            <w:shd w:val="clear" w:color="auto" w:fill="FFFFFF"/>
            <w:noWrap w:val="0"/>
            <w:vAlign w:val="center"/>
          </w:tcPr>
          <w:p w14:paraId="17F90BA2">
            <w:pPr>
              <w:widowControl/>
              <w:jc w:val="center"/>
              <w:textAlignment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3E979370">
            <w:pPr>
              <w:jc w:val="center"/>
              <w:rPr>
                <w:rFonts w:hint="eastAsia" w:ascii="宋体" w:hAnsi="宋体" w:cs="宋体"/>
                <w:color w:val="auto"/>
                <w:sz w:val="18"/>
                <w:szCs w:val="18"/>
                <w:highlight w:val="none"/>
              </w:rPr>
            </w:pPr>
          </w:p>
        </w:tc>
        <w:tc>
          <w:tcPr>
            <w:tcW w:w="1463" w:type="dxa"/>
            <w:tcBorders>
              <w:top w:val="single" w:color="000000" w:sz="4" w:space="0"/>
              <w:left w:val="single" w:color="000000" w:sz="4" w:space="0"/>
            </w:tcBorders>
            <w:shd w:val="clear" w:color="auto" w:fill="FFFFFF"/>
            <w:noWrap w:val="0"/>
            <w:vAlign w:val="center"/>
          </w:tcPr>
          <w:p w14:paraId="01C60D34">
            <w:pPr>
              <w:jc w:val="right"/>
              <w:rPr>
                <w:rFonts w:hint="eastAsia" w:ascii="宋体" w:hAnsi="宋体" w:cs="宋体"/>
                <w:color w:val="auto"/>
                <w:sz w:val="18"/>
                <w:szCs w:val="18"/>
                <w:highlight w:val="none"/>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16B6CDC2">
            <w:pPr>
              <w:jc w:val="center"/>
              <w:rPr>
                <w:rFonts w:hint="eastAsia" w:ascii="宋体" w:hAnsi="宋体" w:cs="宋体"/>
                <w:color w:val="auto"/>
                <w:sz w:val="18"/>
                <w:szCs w:val="18"/>
                <w:highlight w:val="none"/>
              </w:rPr>
            </w:pPr>
          </w:p>
        </w:tc>
      </w:tr>
      <w:tr w14:paraId="57A593A2">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0414FCA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5</w:t>
            </w:r>
          </w:p>
        </w:tc>
        <w:tc>
          <w:tcPr>
            <w:tcW w:w="1576" w:type="dxa"/>
            <w:tcBorders>
              <w:top w:val="single" w:color="000000" w:sz="4" w:space="0"/>
              <w:left w:val="single" w:color="000000" w:sz="4" w:space="0"/>
            </w:tcBorders>
            <w:shd w:val="clear" w:color="auto" w:fill="FFFFFF"/>
            <w:noWrap w:val="0"/>
            <w:vAlign w:val="center"/>
          </w:tcPr>
          <w:p w14:paraId="7A25099E">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01B998</w:t>
            </w:r>
          </w:p>
        </w:tc>
        <w:tc>
          <w:tcPr>
            <w:tcW w:w="2340" w:type="dxa"/>
            <w:tcBorders>
              <w:top w:val="single" w:color="000000" w:sz="4" w:space="0"/>
              <w:left w:val="single" w:color="000000" w:sz="4" w:space="0"/>
            </w:tcBorders>
            <w:shd w:val="clear" w:color="auto" w:fill="FFFFFF"/>
            <w:noWrap w:val="0"/>
            <w:vAlign w:val="center"/>
          </w:tcPr>
          <w:p w14:paraId="3DD4E641">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行车、行人干扰增加费</w:t>
            </w:r>
          </w:p>
        </w:tc>
        <w:tc>
          <w:tcPr>
            <w:tcW w:w="2010" w:type="dxa"/>
            <w:tcBorders>
              <w:top w:val="single" w:color="000000" w:sz="4" w:space="0"/>
              <w:left w:val="single" w:color="000000" w:sz="4" w:space="0"/>
            </w:tcBorders>
            <w:shd w:val="clear" w:color="auto" w:fill="FFFFFF"/>
            <w:noWrap w:val="0"/>
            <w:vAlign w:val="center"/>
          </w:tcPr>
          <w:p w14:paraId="6796E6A7">
            <w:pPr>
              <w:widowControl/>
              <w:jc w:val="center"/>
              <w:textAlignment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0AAB905D">
            <w:pPr>
              <w:jc w:val="center"/>
              <w:rPr>
                <w:rFonts w:hint="eastAsia" w:ascii="宋体" w:hAnsi="宋体" w:cs="宋体"/>
                <w:color w:val="auto"/>
                <w:sz w:val="18"/>
                <w:szCs w:val="18"/>
                <w:highlight w:val="none"/>
              </w:rPr>
            </w:pPr>
          </w:p>
        </w:tc>
        <w:tc>
          <w:tcPr>
            <w:tcW w:w="1463" w:type="dxa"/>
            <w:tcBorders>
              <w:top w:val="single" w:color="000000" w:sz="4" w:space="0"/>
              <w:left w:val="single" w:color="000000" w:sz="4" w:space="0"/>
            </w:tcBorders>
            <w:shd w:val="clear" w:color="auto" w:fill="FFFFFF"/>
            <w:noWrap w:val="0"/>
            <w:vAlign w:val="center"/>
          </w:tcPr>
          <w:p w14:paraId="5EACEFE9">
            <w:pPr>
              <w:jc w:val="right"/>
              <w:rPr>
                <w:rFonts w:hint="eastAsia" w:ascii="宋体" w:hAnsi="宋体" w:cs="宋体"/>
                <w:color w:val="auto"/>
                <w:sz w:val="18"/>
                <w:szCs w:val="18"/>
                <w:highlight w:val="none"/>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1AB350B7">
            <w:pPr>
              <w:jc w:val="center"/>
              <w:rPr>
                <w:rFonts w:hint="eastAsia" w:ascii="宋体" w:hAnsi="宋体" w:cs="宋体"/>
                <w:color w:val="auto"/>
                <w:sz w:val="18"/>
                <w:szCs w:val="18"/>
                <w:highlight w:val="none"/>
              </w:rPr>
            </w:pPr>
          </w:p>
        </w:tc>
      </w:tr>
      <w:tr w14:paraId="67FE4BF6">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26FE220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6</w:t>
            </w:r>
          </w:p>
        </w:tc>
        <w:tc>
          <w:tcPr>
            <w:tcW w:w="1576" w:type="dxa"/>
            <w:tcBorders>
              <w:top w:val="single" w:color="000000" w:sz="4" w:space="0"/>
              <w:left w:val="single" w:color="000000" w:sz="4" w:space="0"/>
            </w:tcBorders>
            <w:shd w:val="clear" w:color="auto" w:fill="FFFFFF"/>
            <w:noWrap w:val="0"/>
            <w:vAlign w:val="center"/>
          </w:tcPr>
          <w:p w14:paraId="116A6D14">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01B999</w:t>
            </w:r>
          </w:p>
        </w:tc>
        <w:tc>
          <w:tcPr>
            <w:tcW w:w="2340" w:type="dxa"/>
            <w:tcBorders>
              <w:top w:val="single" w:color="000000" w:sz="4" w:space="0"/>
              <w:left w:val="single" w:color="000000" w:sz="4" w:space="0"/>
            </w:tcBorders>
            <w:shd w:val="clear" w:color="auto" w:fill="FFFFFF"/>
            <w:noWrap w:val="0"/>
            <w:vAlign w:val="center"/>
          </w:tcPr>
          <w:p w14:paraId="272D06A2">
            <w:pPr>
              <w:widowControl/>
              <w:jc w:val="left"/>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其他施工组织措施费</w:t>
            </w:r>
          </w:p>
        </w:tc>
        <w:tc>
          <w:tcPr>
            <w:tcW w:w="2010" w:type="dxa"/>
            <w:tcBorders>
              <w:top w:val="single" w:color="000000" w:sz="4" w:space="0"/>
              <w:left w:val="single" w:color="000000" w:sz="4" w:space="0"/>
            </w:tcBorders>
            <w:shd w:val="clear" w:color="auto" w:fill="FFFFFF"/>
            <w:noWrap w:val="0"/>
            <w:vAlign w:val="center"/>
          </w:tcPr>
          <w:p w14:paraId="2066C7A6">
            <w:pPr>
              <w:widowControl/>
              <w:jc w:val="center"/>
              <w:textAlignment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0F1FC514">
            <w:pPr>
              <w:jc w:val="center"/>
              <w:rPr>
                <w:rFonts w:hint="eastAsia" w:ascii="宋体" w:hAnsi="宋体" w:cs="宋体"/>
                <w:color w:val="auto"/>
                <w:sz w:val="18"/>
                <w:szCs w:val="18"/>
                <w:highlight w:val="none"/>
              </w:rPr>
            </w:pPr>
          </w:p>
        </w:tc>
        <w:tc>
          <w:tcPr>
            <w:tcW w:w="1463" w:type="dxa"/>
            <w:tcBorders>
              <w:top w:val="single" w:color="000000" w:sz="4" w:space="0"/>
              <w:left w:val="single" w:color="000000" w:sz="4" w:space="0"/>
            </w:tcBorders>
            <w:shd w:val="clear" w:color="auto" w:fill="FFFFFF"/>
            <w:noWrap w:val="0"/>
            <w:vAlign w:val="center"/>
          </w:tcPr>
          <w:p w14:paraId="2B826616">
            <w:pPr>
              <w:jc w:val="right"/>
              <w:rPr>
                <w:rFonts w:hint="eastAsia" w:ascii="宋体" w:hAnsi="宋体" w:cs="宋体"/>
                <w:color w:val="auto"/>
                <w:sz w:val="18"/>
                <w:szCs w:val="18"/>
                <w:highlight w:val="none"/>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3683EDF6">
            <w:pPr>
              <w:jc w:val="center"/>
              <w:rPr>
                <w:rFonts w:hint="eastAsia" w:ascii="宋体" w:hAnsi="宋体" w:cs="宋体"/>
                <w:color w:val="auto"/>
                <w:sz w:val="18"/>
                <w:szCs w:val="18"/>
                <w:highlight w:val="none"/>
              </w:rPr>
            </w:pPr>
          </w:p>
        </w:tc>
      </w:tr>
      <w:tr w14:paraId="72A2F96E">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4D9631B1">
            <w:pPr>
              <w:jc w:val="center"/>
              <w:rPr>
                <w:rFonts w:hint="eastAsia" w:ascii="宋体" w:hAnsi="宋体" w:cs="宋体"/>
                <w:color w:val="auto"/>
                <w:sz w:val="18"/>
                <w:szCs w:val="18"/>
                <w:highlight w:val="none"/>
              </w:rPr>
            </w:pPr>
          </w:p>
        </w:tc>
        <w:tc>
          <w:tcPr>
            <w:tcW w:w="1576" w:type="dxa"/>
            <w:tcBorders>
              <w:top w:val="single" w:color="000000" w:sz="4" w:space="0"/>
              <w:left w:val="single" w:color="000000" w:sz="4" w:space="0"/>
            </w:tcBorders>
            <w:shd w:val="clear" w:color="auto" w:fill="FFFFFF"/>
            <w:noWrap w:val="0"/>
            <w:vAlign w:val="center"/>
          </w:tcPr>
          <w:p w14:paraId="59D91BDA">
            <w:pPr>
              <w:jc w:val="left"/>
              <w:rPr>
                <w:rFonts w:hint="eastAsia" w:ascii="宋体" w:hAnsi="宋体" w:cs="宋体"/>
                <w:color w:val="auto"/>
                <w:sz w:val="18"/>
                <w:szCs w:val="18"/>
                <w:highlight w:val="none"/>
              </w:rPr>
            </w:pPr>
          </w:p>
        </w:tc>
        <w:tc>
          <w:tcPr>
            <w:tcW w:w="2340" w:type="dxa"/>
            <w:tcBorders>
              <w:top w:val="single" w:color="000000" w:sz="4" w:space="0"/>
              <w:left w:val="single" w:color="000000" w:sz="4" w:space="0"/>
            </w:tcBorders>
            <w:shd w:val="clear" w:color="auto" w:fill="FFFFFF"/>
            <w:noWrap w:val="0"/>
            <w:vAlign w:val="center"/>
          </w:tcPr>
          <w:p w14:paraId="0CDBECEC">
            <w:pPr>
              <w:jc w:val="left"/>
              <w:rPr>
                <w:rFonts w:hint="eastAsia" w:ascii="宋体" w:hAnsi="宋体" w:cs="宋体"/>
                <w:color w:val="auto"/>
                <w:sz w:val="18"/>
                <w:szCs w:val="18"/>
                <w:highlight w:val="none"/>
              </w:rPr>
            </w:pPr>
          </w:p>
        </w:tc>
        <w:tc>
          <w:tcPr>
            <w:tcW w:w="2010" w:type="dxa"/>
            <w:tcBorders>
              <w:top w:val="single" w:color="000000" w:sz="4" w:space="0"/>
              <w:left w:val="single" w:color="000000" w:sz="4" w:space="0"/>
            </w:tcBorders>
            <w:shd w:val="clear" w:color="auto" w:fill="FFFFFF"/>
            <w:noWrap w:val="0"/>
            <w:vAlign w:val="center"/>
          </w:tcPr>
          <w:p w14:paraId="081D1A4F">
            <w:pPr>
              <w:jc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064FA87B">
            <w:pPr>
              <w:jc w:val="center"/>
              <w:rPr>
                <w:rFonts w:hint="eastAsia" w:ascii="宋体" w:hAnsi="宋体" w:cs="宋体"/>
                <w:color w:val="auto"/>
                <w:sz w:val="18"/>
                <w:szCs w:val="18"/>
                <w:highlight w:val="none"/>
              </w:rPr>
            </w:pPr>
          </w:p>
        </w:tc>
        <w:tc>
          <w:tcPr>
            <w:tcW w:w="1463" w:type="dxa"/>
            <w:tcBorders>
              <w:top w:val="single" w:color="000000" w:sz="4" w:space="0"/>
              <w:left w:val="single" w:color="000000" w:sz="4" w:space="0"/>
            </w:tcBorders>
            <w:shd w:val="clear" w:color="auto" w:fill="FFFFFF"/>
            <w:noWrap w:val="0"/>
            <w:vAlign w:val="center"/>
          </w:tcPr>
          <w:p w14:paraId="2E383D1E">
            <w:pPr>
              <w:jc w:val="right"/>
              <w:rPr>
                <w:rFonts w:hint="eastAsia" w:ascii="宋体" w:hAnsi="宋体" w:cs="宋体"/>
                <w:color w:val="auto"/>
                <w:sz w:val="18"/>
                <w:szCs w:val="18"/>
                <w:highlight w:val="none"/>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13A1C613">
            <w:pPr>
              <w:jc w:val="center"/>
              <w:rPr>
                <w:rFonts w:hint="eastAsia" w:ascii="宋体" w:hAnsi="宋体" w:cs="宋体"/>
                <w:color w:val="auto"/>
                <w:sz w:val="18"/>
                <w:szCs w:val="18"/>
                <w:highlight w:val="none"/>
              </w:rPr>
            </w:pPr>
          </w:p>
        </w:tc>
      </w:tr>
      <w:tr w14:paraId="61ACDA08">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3CD3BA89">
            <w:pPr>
              <w:jc w:val="center"/>
              <w:rPr>
                <w:rFonts w:hint="eastAsia" w:ascii="宋体" w:hAnsi="宋体" w:cs="宋体"/>
                <w:color w:val="auto"/>
                <w:sz w:val="18"/>
                <w:szCs w:val="18"/>
                <w:highlight w:val="none"/>
              </w:rPr>
            </w:pPr>
          </w:p>
        </w:tc>
        <w:tc>
          <w:tcPr>
            <w:tcW w:w="1576" w:type="dxa"/>
            <w:tcBorders>
              <w:top w:val="single" w:color="000000" w:sz="4" w:space="0"/>
              <w:left w:val="single" w:color="000000" w:sz="4" w:space="0"/>
            </w:tcBorders>
            <w:shd w:val="clear" w:color="auto" w:fill="FFFFFF"/>
            <w:noWrap w:val="0"/>
            <w:vAlign w:val="center"/>
          </w:tcPr>
          <w:p w14:paraId="554BEB7C">
            <w:pPr>
              <w:jc w:val="left"/>
              <w:rPr>
                <w:rFonts w:hint="eastAsia" w:ascii="宋体" w:hAnsi="宋体" w:cs="宋体"/>
                <w:color w:val="auto"/>
                <w:sz w:val="18"/>
                <w:szCs w:val="18"/>
                <w:highlight w:val="none"/>
              </w:rPr>
            </w:pPr>
          </w:p>
        </w:tc>
        <w:tc>
          <w:tcPr>
            <w:tcW w:w="2340" w:type="dxa"/>
            <w:tcBorders>
              <w:top w:val="single" w:color="000000" w:sz="4" w:space="0"/>
              <w:left w:val="single" w:color="000000" w:sz="4" w:space="0"/>
            </w:tcBorders>
            <w:shd w:val="clear" w:color="auto" w:fill="FFFFFF"/>
            <w:noWrap w:val="0"/>
            <w:vAlign w:val="center"/>
          </w:tcPr>
          <w:p w14:paraId="41101937">
            <w:pPr>
              <w:jc w:val="left"/>
              <w:rPr>
                <w:rFonts w:hint="eastAsia" w:ascii="宋体" w:hAnsi="宋体" w:cs="宋体"/>
                <w:color w:val="auto"/>
                <w:sz w:val="18"/>
                <w:szCs w:val="18"/>
                <w:highlight w:val="none"/>
              </w:rPr>
            </w:pPr>
          </w:p>
        </w:tc>
        <w:tc>
          <w:tcPr>
            <w:tcW w:w="2010" w:type="dxa"/>
            <w:tcBorders>
              <w:top w:val="single" w:color="000000" w:sz="4" w:space="0"/>
              <w:left w:val="single" w:color="000000" w:sz="4" w:space="0"/>
            </w:tcBorders>
            <w:shd w:val="clear" w:color="auto" w:fill="FFFFFF"/>
            <w:noWrap w:val="0"/>
            <w:vAlign w:val="center"/>
          </w:tcPr>
          <w:p w14:paraId="227D37B0">
            <w:pPr>
              <w:jc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139EE2EE">
            <w:pPr>
              <w:jc w:val="center"/>
              <w:rPr>
                <w:rFonts w:hint="eastAsia" w:ascii="宋体" w:hAnsi="宋体" w:cs="宋体"/>
                <w:color w:val="auto"/>
                <w:sz w:val="18"/>
                <w:szCs w:val="18"/>
                <w:highlight w:val="none"/>
              </w:rPr>
            </w:pPr>
          </w:p>
        </w:tc>
        <w:tc>
          <w:tcPr>
            <w:tcW w:w="1463" w:type="dxa"/>
            <w:tcBorders>
              <w:top w:val="single" w:color="000000" w:sz="4" w:space="0"/>
              <w:left w:val="single" w:color="000000" w:sz="4" w:space="0"/>
            </w:tcBorders>
            <w:shd w:val="clear" w:color="auto" w:fill="FFFFFF"/>
            <w:noWrap w:val="0"/>
            <w:vAlign w:val="center"/>
          </w:tcPr>
          <w:p w14:paraId="0BCD6392">
            <w:pPr>
              <w:jc w:val="right"/>
              <w:rPr>
                <w:rFonts w:hint="eastAsia" w:ascii="宋体" w:hAnsi="宋体" w:cs="宋体"/>
                <w:color w:val="auto"/>
                <w:sz w:val="18"/>
                <w:szCs w:val="18"/>
                <w:highlight w:val="none"/>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44EBC8D7">
            <w:pPr>
              <w:jc w:val="center"/>
              <w:rPr>
                <w:rFonts w:hint="eastAsia" w:ascii="宋体" w:hAnsi="宋体" w:cs="宋体"/>
                <w:color w:val="auto"/>
                <w:sz w:val="18"/>
                <w:szCs w:val="18"/>
                <w:highlight w:val="none"/>
              </w:rPr>
            </w:pPr>
          </w:p>
        </w:tc>
      </w:tr>
      <w:tr w14:paraId="20837855">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6CCBA2D7">
            <w:pPr>
              <w:jc w:val="center"/>
              <w:rPr>
                <w:rFonts w:hint="eastAsia" w:ascii="宋体" w:hAnsi="宋体" w:cs="宋体"/>
                <w:color w:val="auto"/>
                <w:sz w:val="18"/>
                <w:szCs w:val="18"/>
                <w:highlight w:val="none"/>
              </w:rPr>
            </w:pPr>
          </w:p>
        </w:tc>
        <w:tc>
          <w:tcPr>
            <w:tcW w:w="1576" w:type="dxa"/>
            <w:tcBorders>
              <w:top w:val="single" w:color="000000" w:sz="4" w:space="0"/>
              <w:left w:val="single" w:color="000000" w:sz="4" w:space="0"/>
            </w:tcBorders>
            <w:shd w:val="clear" w:color="auto" w:fill="FFFFFF"/>
            <w:noWrap w:val="0"/>
            <w:vAlign w:val="center"/>
          </w:tcPr>
          <w:p w14:paraId="64BE7388">
            <w:pPr>
              <w:jc w:val="left"/>
              <w:rPr>
                <w:rFonts w:hint="eastAsia" w:ascii="宋体" w:hAnsi="宋体" w:cs="宋体"/>
                <w:color w:val="auto"/>
                <w:sz w:val="18"/>
                <w:szCs w:val="18"/>
                <w:highlight w:val="none"/>
              </w:rPr>
            </w:pPr>
          </w:p>
        </w:tc>
        <w:tc>
          <w:tcPr>
            <w:tcW w:w="2340" w:type="dxa"/>
            <w:tcBorders>
              <w:top w:val="single" w:color="000000" w:sz="4" w:space="0"/>
              <w:left w:val="single" w:color="000000" w:sz="4" w:space="0"/>
            </w:tcBorders>
            <w:shd w:val="clear" w:color="auto" w:fill="FFFFFF"/>
            <w:noWrap w:val="0"/>
            <w:vAlign w:val="center"/>
          </w:tcPr>
          <w:p w14:paraId="606A8CD3">
            <w:pPr>
              <w:jc w:val="left"/>
              <w:rPr>
                <w:rFonts w:hint="eastAsia" w:ascii="宋体" w:hAnsi="宋体" w:cs="宋体"/>
                <w:color w:val="auto"/>
                <w:sz w:val="18"/>
                <w:szCs w:val="18"/>
                <w:highlight w:val="none"/>
              </w:rPr>
            </w:pPr>
          </w:p>
        </w:tc>
        <w:tc>
          <w:tcPr>
            <w:tcW w:w="2010" w:type="dxa"/>
            <w:tcBorders>
              <w:top w:val="single" w:color="000000" w:sz="4" w:space="0"/>
              <w:left w:val="single" w:color="000000" w:sz="4" w:space="0"/>
            </w:tcBorders>
            <w:shd w:val="clear" w:color="auto" w:fill="FFFFFF"/>
            <w:noWrap w:val="0"/>
            <w:vAlign w:val="center"/>
          </w:tcPr>
          <w:p w14:paraId="2B795165">
            <w:pPr>
              <w:jc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47F42D19">
            <w:pPr>
              <w:jc w:val="center"/>
              <w:rPr>
                <w:rFonts w:hint="eastAsia" w:ascii="宋体" w:hAnsi="宋体" w:cs="宋体"/>
                <w:color w:val="auto"/>
                <w:sz w:val="18"/>
                <w:szCs w:val="18"/>
                <w:highlight w:val="none"/>
              </w:rPr>
            </w:pPr>
          </w:p>
        </w:tc>
        <w:tc>
          <w:tcPr>
            <w:tcW w:w="1463" w:type="dxa"/>
            <w:tcBorders>
              <w:top w:val="single" w:color="000000" w:sz="4" w:space="0"/>
              <w:left w:val="single" w:color="000000" w:sz="4" w:space="0"/>
            </w:tcBorders>
            <w:shd w:val="clear" w:color="auto" w:fill="FFFFFF"/>
            <w:noWrap w:val="0"/>
            <w:vAlign w:val="center"/>
          </w:tcPr>
          <w:p w14:paraId="47DE87FB">
            <w:pPr>
              <w:jc w:val="right"/>
              <w:rPr>
                <w:rFonts w:hint="eastAsia" w:ascii="宋体" w:hAnsi="宋体" w:cs="宋体"/>
                <w:color w:val="auto"/>
                <w:sz w:val="18"/>
                <w:szCs w:val="18"/>
                <w:highlight w:val="none"/>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3390AE27">
            <w:pPr>
              <w:jc w:val="center"/>
              <w:rPr>
                <w:rFonts w:hint="eastAsia" w:ascii="宋体" w:hAnsi="宋体" w:cs="宋体"/>
                <w:color w:val="auto"/>
                <w:sz w:val="18"/>
                <w:szCs w:val="18"/>
                <w:highlight w:val="none"/>
              </w:rPr>
            </w:pPr>
          </w:p>
        </w:tc>
      </w:tr>
      <w:tr w14:paraId="5C893703">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708C7D5A">
            <w:pPr>
              <w:jc w:val="center"/>
              <w:rPr>
                <w:rFonts w:hint="eastAsia" w:ascii="宋体" w:hAnsi="宋体" w:cs="宋体"/>
                <w:color w:val="auto"/>
                <w:sz w:val="18"/>
                <w:szCs w:val="18"/>
                <w:highlight w:val="none"/>
              </w:rPr>
            </w:pPr>
          </w:p>
        </w:tc>
        <w:tc>
          <w:tcPr>
            <w:tcW w:w="1576" w:type="dxa"/>
            <w:tcBorders>
              <w:top w:val="single" w:color="000000" w:sz="4" w:space="0"/>
              <w:left w:val="single" w:color="000000" w:sz="4" w:space="0"/>
            </w:tcBorders>
            <w:shd w:val="clear" w:color="auto" w:fill="FFFFFF"/>
            <w:noWrap w:val="0"/>
            <w:vAlign w:val="center"/>
          </w:tcPr>
          <w:p w14:paraId="7BBC925A">
            <w:pPr>
              <w:jc w:val="left"/>
              <w:rPr>
                <w:rFonts w:hint="eastAsia" w:ascii="宋体" w:hAnsi="宋体" w:cs="宋体"/>
                <w:color w:val="auto"/>
                <w:sz w:val="18"/>
                <w:szCs w:val="18"/>
                <w:highlight w:val="none"/>
              </w:rPr>
            </w:pPr>
          </w:p>
        </w:tc>
        <w:tc>
          <w:tcPr>
            <w:tcW w:w="2340" w:type="dxa"/>
            <w:tcBorders>
              <w:top w:val="single" w:color="000000" w:sz="4" w:space="0"/>
              <w:left w:val="single" w:color="000000" w:sz="4" w:space="0"/>
            </w:tcBorders>
            <w:shd w:val="clear" w:color="auto" w:fill="FFFFFF"/>
            <w:noWrap w:val="0"/>
            <w:vAlign w:val="center"/>
          </w:tcPr>
          <w:p w14:paraId="7BA27EB9">
            <w:pPr>
              <w:jc w:val="left"/>
              <w:rPr>
                <w:rFonts w:hint="eastAsia" w:ascii="宋体" w:hAnsi="宋体" w:cs="宋体"/>
                <w:color w:val="auto"/>
                <w:sz w:val="18"/>
                <w:szCs w:val="18"/>
                <w:highlight w:val="none"/>
              </w:rPr>
            </w:pPr>
          </w:p>
        </w:tc>
        <w:tc>
          <w:tcPr>
            <w:tcW w:w="2010" w:type="dxa"/>
            <w:tcBorders>
              <w:top w:val="single" w:color="000000" w:sz="4" w:space="0"/>
              <w:left w:val="single" w:color="000000" w:sz="4" w:space="0"/>
            </w:tcBorders>
            <w:shd w:val="clear" w:color="auto" w:fill="FFFFFF"/>
            <w:noWrap w:val="0"/>
            <w:vAlign w:val="center"/>
          </w:tcPr>
          <w:p w14:paraId="0B0CD5B0">
            <w:pPr>
              <w:jc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1B53E189">
            <w:pPr>
              <w:jc w:val="center"/>
              <w:rPr>
                <w:rFonts w:hint="eastAsia" w:ascii="宋体" w:hAnsi="宋体" w:cs="宋体"/>
                <w:color w:val="auto"/>
                <w:sz w:val="18"/>
                <w:szCs w:val="18"/>
                <w:highlight w:val="none"/>
              </w:rPr>
            </w:pPr>
          </w:p>
        </w:tc>
        <w:tc>
          <w:tcPr>
            <w:tcW w:w="1463" w:type="dxa"/>
            <w:tcBorders>
              <w:top w:val="single" w:color="000000" w:sz="4" w:space="0"/>
              <w:left w:val="single" w:color="000000" w:sz="4" w:space="0"/>
            </w:tcBorders>
            <w:shd w:val="clear" w:color="auto" w:fill="FFFFFF"/>
            <w:noWrap w:val="0"/>
            <w:vAlign w:val="center"/>
          </w:tcPr>
          <w:p w14:paraId="2974BDEA">
            <w:pPr>
              <w:jc w:val="right"/>
              <w:rPr>
                <w:rFonts w:hint="eastAsia" w:ascii="宋体" w:hAnsi="宋体" w:cs="宋体"/>
                <w:color w:val="auto"/>
                <w:sz w:val="18"/>
                <w:szCs w:val="18"/>
                <w:highlight w:val="none"/>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7AAAE0FD">
            <w:pPr>
              <w:jc w:val="center"/>
              <w:rPr>
                <w:rFonts w:hint="eastAsia" w:ascii="宋体" w:hAnsi="宋体" w:cs="宋体"/>
                <w:color w:val="auto"/>
                <w:sz w:val="18"/>
                <w:szCs w:val="18"/>
                <w:highlight w:val="none"/>
              </w:rPr>
            </w:pPr>
          </w:p>
        </w:tc>
      </w:tr>
      <w:tr w14:paraId="67162DCB">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4CC5D1AC">
            <w:pPr>
              <w:jc w:val="center"/>
              <w:rPr>
                <w:rFonts w:hint="eastAsia" w:ascii="宋体" w:hAnsi="宋体" w:cs="宋体"/>
                <w:color w:val="auto"/>
                <w:sz w:val="18"/>
                <w:szCs w:val="18"/>
                <w:highlight w:val="none"/>
              </w:rPr>
            </w:pPr>
          </w:p>
        </w:tc>
        <w:tc>
          <w:tcPr>
            <w:tcW w:w="1576" w:type="dxa"/>
            <w:tcBorders>
              <w:top w:val="single" w:color="000000" w:sz="4" w:space="0"/>
              <w:left w:val="single" w:color="000000" w:sz="4" w:space="0"/>
            </w:tcBorders>
            <w:shd w:val="clear" w:color="auto" w:fill="FFFFFF"/>
            <w:noWrap w:val="0"/>
            <w:vAlign w:val="center"/>
          </w:tcPr>
          <w:p w14:paraId="65963DD9">
            <w:pPr>
              <w:jc w:val="left"/>
              <w:rPr>
                <w:rFonts w:hint="eastAsia" w:ascii="宋体" w:hAnsi="宋体" w:cs="宋体"/>
                <w:color w:val="auto"/>
                <w:sz w:val="18"/>
                <w:szCs w:val="18"/>
                <w:highlight w:val="none"/>
              </w:rPr>
            </w:pPr>
          </w:p>
        </w:tc>
        <w:tc>
          <w:tcPr>
            <w:tcW w:w="2340" w:type="dxa"/>
            <w:tcBorders>
              <w:top w:val="single" w:color="000000" w:sz="4" w:space="0"/>
              <w:left w:val="single" w:color="000000" w:sz="4" w:space="0"/>
            </w:tcBorders>
            <w:shd w:val="clear" w:color="auto" w:fill="FFFFFF"/>
            <w:noWrap w:val="0"/>
            <w:vAlign w:val="center"/>
          </w:tcPr>
          <w:p w14:paraId="21121300">
            <w:pPr>
              <w:jc w:val="left"/>
              <w:rPr>
                <w:rFonts w:hint="eastAsia" w:ascii="宋体" w:hAnsi="宋体" w:cs="宋体"/>
                <w:color w:val="auto"/>
                <w:sz w:val="18"/>
                <w:szCs w:val="18"/>
                <w:highlight w:val="none"/>
              </w:rPr>
            </w:pPr>
          </w:p>
        </w:tc>
        <w:tc>
          <w:tcPr>
            <w:tcW w:w="2010" w:type="dxa"/>
            <w:tcBorders>
              <w:top w:val="single" w:color="000000" w:sz="4" w:space="0"/>
              <w:left w:val="single" w:color="000000" w:sz="4" w:space="0"/>
            </w:tcBorders>
            <w:shd w:val="clear" w:color="auto" w:fill="FFFFFF"/>
            <w:noWrap w:val="0"/>
            <w:vAlign w:val="center"/>
          </w:tcPr>
          <w:p w14:paraId="6D6C0EB1">
            <w:pPr>
              <w:jc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7CE890F3">
            <w:pPr>
              <w:jc w:val="center"/>
              <w:rPr>
                <w:rFonts w:hint="eastAsia" w:ascii="宋体" w:hAnsi="宋体" w:cs="宋体"/>
                <w:color w:val="auto"/>
                <w:sz w:val="18"/>
                <w:szCs w:val="18"/>
                <w:highlight w:val="none"/>
              </w:rPr>
            </w:pPr>
          </w:p>
        </w:tc>
        <w:tc>
          <w:tcPr>
            <w:tcW w:w="1463" w:type="dxa"/>
            <w:tcBorders>
              <w:top w:val="single" w:color="000000" w:sz="4" w:space="0"/>
              <w:left w:val="single" w:color="000000" w:sz="4" w:space="0"/>
            </w:tcBorders>
            <w:shd w:val="clear" w:color="auto" w:fill="FFFFFF"/>
            <w:noWrap w:val="0"/>
            <w:vAlign w:val="center"/>
          </w:tcPr>
          <w:p w14:paraId="77BF2D5A">
            <w:pPr>
              <w:jc w:val="right"/>
              <w:rPr>
                <w:rFonts w:hint="eastAsia" w:ascii="宋体" w:hAnsi="宋体" w:cs="宋体"/>
                <w:color w:val="auto"/>
                <w:sz w:val="18"/>
                <w:szCs w:val="18"/>
                <w:highlight w:val="none"/>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7486A522">
            <w:pPr>
              <w:jc w:val="center"/>
              <w:rPr>
                <w:rFonts w:hint="eastAsia" w:ascii="宋体" w:hAnsi="宋体" w:cs="宋体"/>
                <w:color w:val="auto"/>
                <w:sz w:val="18"/>
                <w:szCs w:val="18"/>
                <w:highlight w:val="none"/>
              </w:rPr>
            </w:pPr>
          </w:p>
        </w:tc>
      </w:tr>
      <w:tr w14:paraId="1F378511">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005BD645">
            <w:pPr>
              <w:jc w:val="center"/>
              <w:rPr>
                <w:rFonts w:hint="eastAsia" w:ascii="宋体" w:hAnsi="宋体" w:cs="宋体"/>
                <w:color w:val="auto"/>
                <w:sz w:val="18"/>
                <w:szCs w:val="18"/>
                <w:highlight w:val="none"/>
              </w:rPr>
            </w:pPr>
          </w:p>
        </w:tc>
        <w:tc>
          <w:tcPr>
            <w:tcW w:w="1576" w:type="dxa"/>
            <w:tcBorders>
              <w:top w:val="single" w:color="000000" w:sz="4" w:space="0"/>
              <w:left w:val="single" w:color="000000" w:sz="4" w:space="0"/>
            </w:tcBorders>
            <w:shd w:val="clear" w:color="auto" w:fill="FFFFFF"/>
            <w:noWrap w:val="0"/>
            <w:vAlign w:val="center"/>
          </w:tcPr>
          <w:p w14:paraId="76F5CAED">
            <w:pPr>
              <w:jc w:val="left"/>
              <w:rPr>
                <w:rFonts w:hint="eastAsia" w:ascii="宋体" w:hAnsi="宋体" w:cs="宋体"/>
                <w:color w:val="auto"/>
                <w:sz w:val="18"/>
                <w:szCs w:val="18"/>
                <w:highlight w:val="none"/>
              </w:rPr>
            </w:pPr>
          </w:p>
        </w:tc>
        <w:tc>
          <w:tcPr>
            <w:tcW w:w="2340" w:type="dxa"/>
            <w:tcBorders>
              <w:top w:val="single" w:color="000000" w:sz="4" w:space="0"/>
              <w:left w:val="single" w:color="000000" w:sz="4" w:space="0"/>
            </w:tcBorders>
            <w:shd w:val="clear" w:color="auto" w:fill="FFFFFF"/>
            <w:noWrap w:val="0"/>
            <w:vAlign w:val="center"/>
          </w:tcPr>
          <w:p w14:paraId="2357A56A">
            <w:pPr>
              <w:jc w:val="left"/>
              <w:rPr>
                <w:rFonts w:hint="eastAsia" w:ascii="宋体" w:hAnsi="宋体" w:cs="宋体"/>
                <w:color w:val="auto"/>
                <w:sz w:val="18"/>
                <w:szCs w:val="18"/>
                <w:highlight w:val="none"/>
              </w:rPr>
            </w:pPr>
          </w:p>
        </w:tc>
        <w:tc>
          <w:tcPr>
            <w:tcW w:w="2010" w:type="dxa"/>
            <w:tcBorders>
              <w:top w:val="single" w:color="000000" w:sz="4" w:space="0"/>
              <w:left w:val="single" w:color="000000" w:sz="4" w:space="0"/>
            </w:tcBorders>
            <w:shd w:val="clear" w:color="auto" w:fill="FFFFFF"/>
            <w:noWrap w:val="0"/>
            <w:vAlign w:val="center"/>
          </w:tcPr>
          <w:p w14:paraId="35C92148">
            <w:pPr>
              <w:jc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41C2B1CF">
            <w:pPr>
              <w:jc w:val="center"/>
              <w:rPr>
                <w:rFonts w:hint="eastAsia" w:ascii="宋体" w:hAnsi="宋体" w:cs="宋体"/>
                <w:color w:val="auto"/>
                <w:sz w:val="18"/>
                <w:szCs w:val="18"/>
                <w:highlight w:val="none"/>
              </w:rPr>
            </w:pPr>
          </w:p>
        </w:tc>
        <w:tc>
          <w:tcPr>
            <w:tcW w:w="1463" w:type="dxa"/>
            <w:tcBorders>
              <w:top w:val="single" w:color="000000" w:sz="4" w:space="0"/>
              <w:left w:val="single" w:color="000000" w:sz="4" w:space="0"/>
            </w:tcBorders>
            <w:shd w:val="clear" w:color="auto" w:fill="FFFFFF"/>
            <w:noWrap w:val="0"/>
            <w:vAlign w:val="center"/>
          </w:tcPr>
          <w:p w14:paraId="227A9D74">
            <w:pPr>
              <w:jc w:val="right"/>
              <w:rPr>
                <w:rFonts w:hint="eastAsia" w:ascii="宋体" w:hAnsi="宋体" w:cs="宋体"/>
                <w:color w:val="auto"/>
                <w:sz w:val="18"/>
                <w:szCs w:val="18"/>
                <w:highlight w:val="none"/>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60E68B49">
            <w:pPr>
              <w:jc w:val="center"/>
              <w:rPr>
                <w:rFonts w:hint="eastAsia" w:ascii="宋体" w:hAnsi="宋体" w:cs="宋体"/>
                <w:color w:val="auto"/>
                <w:sz w:val="18"/>
                <w:szCs w:val="18"/>
                <w:highlight w:val="none"/>
              </w:rPr>
            </w:pPr>
          </w:p>
        </w:tc>
      </w:tr>
      <w:tr w14:paraId="39C99A92">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258BEB2C">
            <w:pPr>
              <w:jc w:val="center"/>
              <w:rPr>
                <w:rFonts w:hint="eastAsia" w:ascii="宋体" w:hAnsi="宋体" w:cs="宋体"/>
                <w:color w:val="auto"/>
                <w:sz w:val="18"/>
                <w:szCs w:val="18"/>
                <w:highlight w:val="none"/>
              </w:rPr>
            </w:pPr>
          </w:p>
        </w:tc>
        <w:tc>
          <w:tcPr>
            <w:tcW w:w="1576" w:type="dxa"/>
            <w:tcBorders>
              <w:top w:val="single" w:color="000000" w:sz="4" w:space="0"/>
              <w:left w:val="single" w:color="000000" w:sz="4" w:space="0"/>
            </w:tcBorders>
            <w:shd w:val="clear" w:color="auto" w:fill="FFFFFF"/>
            <w:noWrap w:val="0"/>
            <w:vAlign w:val="center"/>
          </w:tcPr>
          <w:p w14:paraId="79B4D8D1">
            <w:pPr>
              <w:jc w:val="left"/>
              <w:rPr>
                <w:rFonts w:hint="eastAsia" w:ascii="宋体" w:hAnsi="宋体" w:cs="宋体"/>
                <w:color w:val="auto"/>
                <w:sz w:val="18"/>
                <w:szCs w:val="18"/>
                <w:highlight w:val="none"/>
              </w:rPr>
            </w:pPr>
          </w:p>
        </w:tc>
        <w:tc>
          <w:tcPr>
            <w:tcW w:w="2340" w:type="dxa"/>
            <w:tcBorders>
              <w:top w:val="single" w:color="000000" w:sz="4" w:space="0"/>
              <w:left w:val="single" w:color="000000" w:sz="4" w:space="0"/>
            </w:tcBorders>
            <w:shd w:val="clear" w:color="auto" w:fill="FFFFFF"/>
            <w:noWrap w:val="0"/>
            <w:vAlign w:val="center"/>
          </w:tcPr>
          <w:p w14:paraId="0018779D">
            <w:pPr>
              <w:jc w:val="left"/>
              <w:rPr>
                <w:rFonts w:hint="eastAsia" w:ascii="宋体" w:hAnsi="宋体" w:cs="宋体"/>
                <w:color w:val="auto"/>
                <w:sz w:val="18"/>
                <w:szCs w:val="18"/>
                <w:highlight w:val="none"/>
              </w:rPr>
            </w:pPr>
          </w:p>
        </w:tc>
        <w:tc>
          <w:tcPr>
            <w:tcW w:w="2010" w:type="dxa"/>
            <w:tcBorders>
              <w:top w:val="single" w:color="000000" w:sz="4" w:space="0"/>
              <w:left w:val="single" w:color="000000" w:sz="4" w:space="0"/>
            </w:tcBorders>
            <w:shd w:val="clear" w:color="auto" w:fill="FFFFFF"/>
            <w:noWrap w:val="0"/>
            <w:vAlign w:val="center"/>
          </w:tcPr>
          <w:p w14:paraId="797161B3">
            <w:pPr>
              <w:jc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081B89F6">
            <w:pPr>
              <w:jc w:val="center"/>
              <w:rPr>
                <w:rFonts w:hint="eastAsia" w:ascii="宋体" w:hAnsi="宋体" w:cs="宋体"/>
                <w:color w:val="auto"/>
                <w:sz w:val="18"/>
                <w:szCs w:val="18"/>
                <w:highlight w:val="none"/>
              </w:rPr>
            </w:pPr>
          </w:p>
        </w:tc>
        <w:tc>
          <w:tcPr>
            <w:tcW w:w="1463" w:type="dxa"/>
            <w:tcBorders>
              <w:top w:val="single" w:color="000000" w:sz="4" w:space="0"/>
              <w:left w:val="single" w:color="000000" w:sz="4" w:space="0"/>
            </w:tcBorders>
            <w:shd w:val="clear" w:color="auto" w:fill="FFFFFF"/>
            <w:noWrap w:val="0"/>
            <w:vAlign w:val="center"/>
          </w:tcPr>
          <w:p w14:paraId="0E60B6C3">
            <w:pPr>
              <w:jc w:val="right"/>
              <w:rPr>
                <w:rFonts w:hint="eastAsia" w:ascii="宋体" w:hAnsi="宋体" w:cs="宋体"/>
                <w:color w:val="auto"/>
                <w:sz w:val="18"/>
                <w:szCs w:val="18"/>
                <w:highlight w:val="none"/>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466C999E">
            <w:pPr>
              <w:jc w:val="center"/>
              <w:rPr>
                <w:rFonts w:hint="eastAsia" w:ascii="宋体" w:hAnsi="宋体" w:cs="宋体"/>
                <w:color w:val="auto"/>
                <w:sz w:val="18"/>
                <w:szCs w:val="18"/>
                <w:highlight w:val="none"/>
              </w:rPr>
            </w:pPr>
          </w:p>
        </w:tc>
      </w:tr>
      <w:tr w14:paraId="377AE98D">
        <w:tblPrEx>
          <w:tblCellMar>
            <w:top w:w="15" w:type="dxa"/>
            <w:left w:w="15" w:type="dxa"/>
            <w:bottom w:w="15" w:type="dxa"/>
            <w:right w:w="15" w:type="dxa"/>
          </w:tblCellMar>
        </w:tblPrEx>
        <w:trPr>
          <w:trHeight w:val="630" w:hRule="atLeast"/>
        </w:trPr>
        <w:tc>
          <w:tcPr>
            <w:tcW w:w="734" w:type="dxa"/>
            <w:tcBorders>
              <w:top w:val="single" w:color="000000" w:sz="4" w:space="0"/>
              <w:left w:val="single" w:color="000000" w:sz="4" w:space="0"/>
            </w:tcBorders>
            <w:shd w:val="clear" w:color="auto" w:fill="FFFFFF"/>
            <w:noWrap w:val="0"/>
            <w:vAlign w:val="center"/>
          </w:tcPr>
          <w:p w14:paraId="037FA6E2">
            <w:pPr>
              <w:jc w:val="center"/>
              <w:rPr>
                <w:rFonts w:hint="eastAsia" w:ascii="宋体" w:hAnsi="宋体" w:cs="宋体"/>
                <w:color w:val="auto"/>
                <w:sz w:val="18"/>
                <w:szCs w:val="18"/>
                <w:highlight w:val="none"/>
              </w:rPr>
            </w:pPr>
          </w:p>
        </w:tc>
        <w:tc>
          <w:tcPr>
            <w:tcW w:w="1576" w:type="dxa"/>
            <w:tcBorders>
              <w:top w:val="single" w:color="000000" w:sz="4" w:space="0"/>
              <w:left w:val="single" w:color="000000" w:sz="4" w:space="0"/>
            </w:tcBorders>
            <w:shd w:val="clear" w:color="auto" w:fill="FFFFFF"/>
            <w:noWrap w:val="0"/>
            <w:vAlign w:val="center"/>
          </w:tcPr>
          <w:p w14:paraId="2A603FA1">
            <w:pPr>
              <w:jc w:val="left"/>
              <w:rPr>
                <w:rFonts w:hint="eastAsia" w:ascii="宋体" w:hAnsi="宋体" w:cs="宋体"/>
                <w:color w:val="auto"/>
                <w:sz w:val="18"/>
                <w:szCs w:val="18"/>
                <w:highlight w:val="none"/>
              </w:rPr>
            </w:pPr>
          </w:p>
        </w:tc>
        <w:tc>
          <w:tcPr>
            <w:tcW w:w="2340" w:type="dxa"/>
            <w:tcBorders>
              <w:top w:val="single" w:color="000000" w:sz="4" w:space="0"/>
              <w:left w:val="single" w:color="000000" w:sz="4" w:space="0"/>
            </w:tcBorders>
            <w:shd w:val="clear" w:color="auto" w:fill="FFFFFF"/>
            <w:noWrap w:val="0"/>
            <w:vAlign w:val="center"/>
          </w:tcPr>
          <w:p w14:paraId="60D1E145">
            <w:pPr>
              <w:jc w:val="left"/>
              <w:rPr>
                <w:rFonts w:hint="eastAsia" w:ascii="宋体" w:hAnsi="宋体" w:cs="宋体"/>
                <w:color w:val="auto"/>
                <w:sz w:val="18"/>
                <w:szCs w:val="18"/>
                <w:highlight w:val="none"/>
              </w:rPr>
            </w:pPr>
          </w:p>
        </w:tc>
        <w:tc>
          <w:tcPr>
            <w:tcW w:w="2010" w:type="dxa"/>
            <w:tcBorders>
              <w:top w:val="single" w:color="000000" w:sz="4" w:space="0"/>
              <w:left w:val="single" w:color="000000" w:sz="4" w:space="0"/>
            </w:tcBorders>
            <w:shd w:val="clear" w:color="auto" w:fill="FFFFFF"/>
            <w:noWrap w:val="0"/>
            <w:vAlign w:val="center"/>
          </w:tcPr>
          <w:p w14:paraId="74640782">
            <w:pPr>
              <w:jc w:val="center"/>
              <w:rPr>
                <w:rFonts w:hint="eastAsia" w:ascii="宋体" w:hAnsi="宋体" w:cs="宋体"/>
                <w:color w:val="auto"/>
                <w:sz w:val="18"/>
                <w:szCs w:val="18"/>
                <w:highlight w:val="none"/>
              </w:rPr>
            </w:pPr>
          </w:p>
        </w:tc>
        <w:tc>
          <w:tcPr>
            <w:tcW w:w="825" w:type="dxa"/>
            <w:tcBorders>
              <w:top w:val="single" w:color="000000" w:sz="4" w:space="0"/>
              <w:left w:val="single" w:color="000000" w:sz="4" w:space="0"/>
            </w:tcBorders>
            <w:shd w:val="clear" w:color="auto" w:fill="FFFFFF"/>
            <w:noWrap w:val="0"/>
            <w:vAlign w:val="center"/>
          </w:tcPr>
          <w:p w14:paraId="1B6ABA31">
            <w:pPr>
              <w:jc w:val="center"/>
              <w:rPr>
                <w:rFonts w:hint="eastAsia" w:ascii="宋体" w:hAnsi="宋体" w:cs="宋体"/>
                <w:color w:val="auto"/>
                <w:sz w:val="18"/>
                <w:szCs w:val="18"/>
                <w:highlight w:val="none"/>
              </w:rPr>
            </w:pPr>
          </w:p>
        </w:tc>
        <w:tc>
          <w:tcPr>
            <w:tcW w:w="1463" w:type="dxa"/>
            <w:tcBorders>
              <w:top w:val="single" w:color="000000" w:sz="4" w:space="0"/>
              <w:left w:val="single" w:color="000000" w:sz="4" w:space="0"/>
            </w:tcBorders>
            <w:shd w:val="clear" w:color="auto" w:fill="FFFFFF"/>
            <w:noWrap w:val="0"/>
            <w:vAlign w:val="center"/>
          </w:tcPr>
          <w:p w14:paraId="5E85DF9E">
            <w:pPr>
              <w:jc w:val="right"/>
              <w:rPr>
                <w:rFonts w:hint="eastAsia" w:ascii="宋体" w:hAnsi="宋体" w:cs="宋体"/>
                <w:color w:val="auto"/>
                <w:sz w:val="18"/>
                <w:szCs w:val="18"/>
                <w:highlight w:val="none"/>
              </w:rPr>
            </w:pPr>
          </w:p>
        </w:tc>
        <w:tc>
          <w:tcPr>
            <w:tcW w:w="955" w:type="dxa"/>
            <w:tcBorders>
              <w:top w:val="single" w:color="000000" w:sz="4" w:space="0"/>
              <w:left w:val="single" w:color="000000" w:sz="4" w:space="0"/>
              <w:right w:val="single" w:color="000000" w:sz="4" w:space="0"/>
            </w:tcBorders>
            <w:shd w:val="clear" w:color="auto" w:fill="FFFFFF"/>
            <w:noWrap w:val="0"/>
            <w:vAlign w:val="center"/>
          </w:tcPr>
          <w:p w14:paraId="3F0DC765">
            <w:pPr>
              <w:jc w:val="center"/>
              <w:rPr>
                <w:rFonts w:hint="eastAsia" w:ascii="宋体" w:hAnsi="宋体" w:cs="宋体"/>
                <w:color w:val="auto"/>
                <w:sz w:val="18"/>
                <w:szCs w:val="18"/>
                <w:highlight w:val="none"/>
              </w:rPr>
            </w:pPr>
          </w:p>
        </w:tc>
      </w:tr>
      <w:tr w14:paraId="083AE0F0">
        <w:tblPrEx>
          <w:tblCellMar>
            <w:top w:w="15" w:type="dxa"/>
            <w:left w:w="15" w:type="dxa"/>
            <w:bottom w:w="15" w:type="dxa"/>
            <w:right w:w="15" w:type="dxa"/>
          </w:tblCellMar>
        </w:tblPrEx>
        <w:trPr>
          <w:trHeight w:val="630" w:hRule="atLeast"/>
        </w:trPr>
        <w:tc>
          <w:tcPr>
            <w:tcW w:w="7485" w:type="dxa"/>
            <w:gridSpan w:val="5"/>
            <w:tcBorders>
              <w:top w:val="single" w:color="000000" w:sz="4" w:space="0"/>
              <w:left w:val="single" w:color="000000" w:sz="4" w:space="0"/>
              <w:bottom w:val="single" w:color="000000" w:sz="4" w:space="0"/>
            </w:tcBorders>
            <w:shd w:val="clear" w:color="auto" w:fill="FFFFFF"/>
            <w:noWrap w:val="0"/>
            <w:vAlign w:val="center"/>
          </w:tcPr>
          <w:p w14:paraId="71A4CE2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    计</w:t>
            </w:r>
          </w:p>
        </w:tc>
        <w:tc>
          <w:tcPr>
            <w:tcW w:w="1463" w:type="dxa"/>
            <w:tcBorders>
              <w:top w:val="single" w:color="000000" w:sz="4" w:space="0"/>
              <w:left w:val="single" w:color="000000" w:sz="4" w:space="0"/>
              <w:bottom w:val="single" w:color="000000" w:sz="4" w:space="0"/>
            </w:tcBorders>
            <w:shd w:val="clear" w:color="auto" w:fill="FFFFFF"/>
            <w:noWrap w:val="0"/>
            <w:vAlign w:val="center"/>
          </w:tcPr>
          <w:p w14:paraId="47BEDE93">
            <w:pPr>
              <w:jc w:val="right"/>
              <w:rPr>
                <w:rFonts w:hint="eastAsia" w:ascii="宋体" w:hAnsi="宋体" w:cs="宋体"/>
                <w:color w:val="auto"/>
                <w:sz w:val="18"/>
                <w:szCs w:val="18"/>
                <w:highlight w:val="none"/>
              </w:rPr>
            </w:pPr>
          </w:p>
        </w:tc>
        <w:tc>
          <w:tcPr>
            <w:tcW w:w="9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57BA6">
            <w:pPr>
              <w:jc w:val="center"/>
              <w:rPr>
                <w:rFonts w:hint="eastAsia" w:ascii="宋体" w:hAnsi="宋体" w:cs="宋体"/>
                <w:color w:val="auto"/>
                <w:sz w:val="18"/>
                <w:szCs w:val="18"/>
                <w:highlight w:val="none"/>
              </w:rPr>
            </w:pPr>
          </w:p>
        </w:tc>
      </w:tr>
    </w:tbl>
    <w:p w14:paraId="0F9B6251">
      <w:pPr>
        <w:pStyle w:val="5"/>
        <w:spacing w:line="440" w:lineRule="exact"/>
        <w:rPr>
          <w:rFonts w:hint="eastAsia" w:ascii="黑体" w:hAnsi="宋体"/>
          <w:color w:val="auto"/>
          <w:sz w:val="24"/>
          <w:szCs w:val="24"/>
          <w:highlight w:val="none"/>
        </w:rPr>
        <w:sectPr>
          <w:pgSz w:w="11906" w:h="16838"/>
          <w:pgMar w:top="1134" w:right="1134" w:bottom="1134" w:left="1134" w:header="851" w:footer="992" w:gutter="0"/>
          <w:cols w:space="720" w:num="1"/>
          <w:docGrid w:linePitch="312" w:charSpace="0"/>
        </w:sectPr>
      </w:pPr>
    </w:p>
    <w:p w14:paraId="39F7B9A6">
      <w:pPr>
        <w:pStyle w:val="5"/>
        <w:spacing w:line="440" w:lineRule="exact"/>
        <w:rPr>
          <w:rFonts w:hint="eastAsia" w:ascii="黑体" w:hAnsi="宋体"/>
          <w:color w:val="auto"/>
          <w:sz w:val="24"/>
          <w:szCs w:val="24"/>
          <w:highlight w:val="none"/>
        </w:rPr>
      </w:pPr>
      <w:bookmarkStart w:id="85" w:name="_Toc26527432"/>
      <w:bookmarkStart w:id="86" w:name="_Toc11525"/>
      <w:bookmarkStart w:id="87" w:name="_Toc101604736"/>
      <w:bookmarkStart w:id="88" w:name="_Toc13026"/>
      <w:r>
        <w:rPr>
          <w:rFonts w:hint="eastAsia" w:ascii="黑体" w:hAnsi="宋体"/>
          <w:color w:val="auto"/>
          <w:sz w:val="24"/>
          <w:szCs w:val="24"/>
          <w:highlight w:val="none"/>
        </w:rPr>
        <w:t>附件9 其他项目清单与计价汇总表</w:t>
      </w:r>
      <w:bookmarkEnd w:id="85"/>
      <w:bookmarkEnd w:id="86"/>
      <w:bookmarkEnd w:id="87"/>
      <w:bookmarkEnd w:id="88"/>
    </w:p>
    <w:p w14:paraId="5DC2CEA9">
      <w:pPr>
        <w:spacing w:line="600" w:lineRule="exact"/>
        <w:jc w:val="center"/>
        <w:rPr>
          <w:rFonts w:hint="eastAsia"/>
          <w:b/>
          <w:color w:val="auto"/>
          <w:sz w:val="36"/>
          <w:szCs w:val="36"/>
          <w:highlight w:val="none"/>
        </w:rPr>
      </w:pPr>
      <w:r>
        <w:rPr>
          <w:rFonts w:hint="eastAsia"/>
          <w:b/>
          <w:color w:val="auto"/>
          <w:sz w:val="36"/>
          <w:szCs w:val="36"/>
          <w:highlight w:val="none"/>
        </w:rPr>
        <w:t>其他项目清单与计价汇总表</w:t>
      </w:r>
    </w:p>
    <w:p w14:paraId="1569A226">
      <w:pPr>
        <w:spacing w:line="600" w:lineRule="exact"/>
        <w:rPr>
          <w:rFonts w:hint="eastAsia"/>
          <w:b/>
          <w:color w:val="auto"/>
          <w:sz w:val="36"/>
          <w:szCs w:val="36"/>
          <w:highlight w:val="none"/>
        </w:rPr>
      </w:pPr>
      <w:r>
        <w:rPr>
          <w:rFonts w:hint="eastAsia"/>
          <w:color w:val="auto"/>
          <w:sz w:val="22"/>
          <w:szCs w:val="22"/>
          <w:highlight w:val="none"/>
        </w:rPr>
        <w:t>工程名称：                                                          第    页 共    页</w:t>
      </w:r>
    </w:p>
    <w:tbl>
      <w:tblPr>
        <w:tblStyle w:val="38"/>
        <w:tblW w:w="0" w:type="auto"/>
        <w:tblInd w:w="0" w:type="dxa"/>
        <w:tblLayout w:type="fixed"/>
        <w:tblCellMar>
          <w:top w:w="15" w:type="dxa"/>
          <w:left w:w="15" w:type="dxa"/>
          <w:bottom w:w="15" w:type="dxa"/>
          <w:right w:w="15" w:type="dxa"/>
        </w:tblCellMar>
      </w:tblPr>
      <w:tblGrid>
        <w:gridCol w:w="660"/>
        <w:gridCol w:w="4050"/>
        <w:gridCol w:w="1950"/>
        <w:gridCol w:w="2925"/>
      </w:tblGrid>
      <w:tr w14:paraId="7573D829">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5D49A08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序号</w:t>
            </w:r>
          </w:p>
        </w:tc>
        <w:tc>
          <w:tcPr>
            <w:tcW w:w="4050" w:type="dxa"/>
            <w:tcBorders>
              <w:top w:val="single" w:color="000000" w:sz="4" w:space="0"/>
              <w:left w:val="single" w:color="000000" w:sz="4" w:space="0"/>
            </w:tcBorders>
            <w:shd w:val="clear" w:color="auto" w:fill="FFFFFF"/>
            <w:noWrap w:val="0"/>
            <w:vAlign w:val="center"/>
          </w:tcPr>
          <w:p w14:paraId="4C1FAAA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项 目 名 称</w:t>
            </w:r>
          </w:p>
        </w:tc>
        <w:tc>
          <w:tcPr>
            <w:tcW w:w="1950" w:type="dxa"/>
            <w:tcBorders>
              <w:top w:val="single" w:color="000000" w:sz="4" w:space="0"/>
              <w:left w:val="single" w:color="000000" w:sz="4" w:space="0"/>
            </w:tcBorders>
            <w:shd w:val="clear" w:color="auto" w:fill="FFFFFF"/>
            <w:noWrap w:val="0"/>
            <w:vAlign w:val="center"/>
          </w:tcPr>
          <w:p w14:paraId="23F6D6D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金额(元)</w:t>
            </w: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37BD1ED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备注</w:t>
            </w:r>
          </w:p>
        </w:tc>
      </w:tr>
      <w:tr w14:paraId="7986B999">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0A293B37">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w:t>
            </w:r>
          </w:p>
        </w:tc>
        <w:tc>
          <w:tcPr>
            <w:tcW w:w="4050" w:type="dxa"/>
            <w:tcBorders>
              <w:top w:val="single" w:color="000000" w:sz="4" w:space="0"/>
              <w:left w:val="single" w:color="000000" w:sz="4" w:space="0"/>
            </w:tcBorders>
            <w:shd w:val="clear" w:color="auto" w:fill="FFFFFF"/>
            <w:noWrap w:val="0"/>
            <w:vAlign w:val="center"/>
          </w:tcPr>
          <w:p w14:paraId="5A67D41C">
            <w:pPr>
              <w:widowControl/>
              <w:jc w:val="left"/>
              <w:rPr>
                <w:rFonts w:cs="Arial"/>
                <w:color w:val="auto"/>
                <w:kern w:val="0"/>
                <w:sz w:val="18"/>
                <w:szCs w:val="18"/>
                <w:highlight w:val="none"/>
              </w:rPr>
            </w:pPr>
            <w:r>
              <w:rPr>
                <w:rFonts w:hint="eastAsia" w:cs="Arial"/>
                <w:color w:val="auto"/>
                <w:sz w:val="18"/>
                <w:szCs w:val="18"/>
                <w:highlight w:val="none"/>
              </w:rPr>
              <w:t>暂列金额</w:t>
            </w:r>
          </w:p>
        </w:tc>
        <w:tc>
          <w:tcPr>
            <w:tcW w:w="1950" w:type="dxa"/>
            <w:tcBorders>
              <w:top w:val="single" w:color="000000" w:sz="4" w:space="0"/>
              <w:left w:val="single" w:color="000000" w:sz="4" w:space="0"/>
            </w:tcBorders>
            <w:shd w:val="clear" w:color="auto" w:fill="FFFFFF"/>
            <w:noWrap w:val="0"/>
            <w:vAlign w:val="center"/>
          </w:tcPr>
          <w:p w14:paraId="749D0FF0">
            <w:pPr>
              <w:widowControl/>
              <w:jc w:val="right"/>
              <w:textAlignment w:val="center"/>
              <w:rPr>
                <w:rFonts w:hint="eastAsia" w:cs="Arial"/>
                <w:color w:val="auto"/>
                <w:sz w:val="18"/>
                <w:szCs w:val="18"/>
                <w:highlight w:val="none"/>
              </w:rPr>
            </w:pPr>
            <w:r>
              <w:rPr>
                <w:rFonts w:hint="eastAsia" w:ascii="宋体" w:hAnsi="宋体" w:cs="宋体"/>
                <w:color w:val="auto"/>
                <w:kern w:val="0"/>
                <w:sz w:val="18"/>
                <w:szCs w:val="18"/>
                <w:highlight w:val="none"/>
                <w:lang w:bidi="ar"/>
              </w:rPr>
              <w:t>0.00</w:t>
            </w: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06F2B26E">
            <w:pPr>
              <w:widowControl/>
              <w:jc w:val="center"/>
              <w:textAlignment w:val="center"/>
              <w:rPr>
                <w:rFonts w:hint="eastAsia" w:ascii="宋体" w:hAnsi="宋体" w:cs="宋体"/>
                <w:color w:val="auto"/>
                <w:sz w:val="18"/>
                <w:szCs w:val="18"/>
                <w:highlight w:val="none"/>
              </w:rPr>
            </w:pPr>
          </w:p>
        </w:tc>
      </w:tr>
      <w:tr w14:paraId="6153262B">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32F3CBB1">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1.1</w:t>
            </w:r>
          </w:p>
        </w:tc>
        <w:tc>
          <w:tcPr>
            <w:tcW w:w="4050" w:type="dxa"/>
            <w:tcBorders>
              <w:top w:val="single" w:color="000000" w:sz="4" w:space="0"/>
              <w:left w:val="single" w:color="000000" w:sz="4" w:space="0"/>
            </w:tcBorders>
            <w:shd w:val="clear" w:color="auto" w:fill="FFFFFF"/>
            <w:noWrap w:val="0"/>
            <w:vAlign w:val="center"/>
          </w:tcPr>
          <w:p w14:paraId="7A3E8FFA">
            <w:pPr>
              <w:jc w:val="left"/>
              <w:rPr>
                <w:rFonts w:hint="eastAsia" w:cs="Arial"/>
                <w:color w:val="auto"/>
                <w:sz w:val="18"/>
                <w:szCs w:val="18"/>
                <w:highlight w:val="none"/>
              </w:rPr>
            </w:pPr>
            <w:r>
              <w:rPr>
                <w:rFonts w:hint="eastAsia" w:cs="Arial"/>
                <w:color w:val="auto"/>
                <w:sz w:val="18"/>
                <w:szCs w:val="18"/>
                <w:highlight w:val="none"/>
              </w:rPr>
              <w:t>标化工地增加费</w:t>
            </w:r>
          </w:p>
        </w:tc>
        <w:tc>
          <w:tcPr>
            <w:tcW w:w="1950" w:type="dxa"/>
            <w:tcBorders>
              <w:top w:val="single" w:color="000000" w:sz="4" w:space="0"/>
              <w:left w:val="single" w:color="000000" w:sz="4" w:space="0"/>
            </w:tcBorders>
            <w:shd w:val="clear" w:color="auto" w:fill="FFFFFF"/>
            <w:noWrap w:val="0"/>
            <w:vAlign w:val="center"/>
          </w:tcPr>
          <w:p w14:paraId="14E9C65F">
            <w:pPr>
              <w:widowControl/>
              <w:jc w:val="right"/>
              <w:textAlignment w:val="center"/>
              <w:rPr>
                <w:rFonts w:hint="eastAsia" w:cs="Arial"/>
                <w:color w:val="auto"/>
                <w:sz w:val="18"/>
                <w:szCs w:val="18"/>
                <w:highlight w:val="none"/>
              </w:rPr>
            </w:pPr>
            <w:r>
              <w:rPr>
                <w:rFonts w:hint="eastAsia" w:ascii="宋体" w:hAnsi="宋体" w:cs="宋体"/>
                <w:color w:val="auto"/>
                <w:kern w:val="0"/>
                <w:sz w:val="18"/>
                <w:szCs w:val="18"/>
                <w:highlight w:val="none"/>
                <w:lang w:bidi="ar"/>
              </w:rPr>
              <w:t>0.00</w:t>
            </w: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0E4AD3F4">
            <w:pPr>
              <w:widowControl/>
              <w:jc w:val="center"/>
              <w:textAlignment w:val="center"/>
              <w:rPr>
                <w:rFonts w:hint="eastAsia" w:ascii="宋体" w:hAnsi="宋体" w:cs="宋体"/>
                <w:color w:val="auto"/>
                <w:sz w:val="18"/>
                <w:szCs w:val="18"/>
                <w:highlight w:val="none"/>
              </w:rPr>
            </w:pPr>
          </w:p>
        </w:tc>
      </w:tr>
      <w:tr w14:paraId="0679F3D4">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5296ED3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1.2</w:t>
            </w:r>
          </w:p>
        </w:tc>
        <w:tc>
          <w:tcPr>
            <w:tcW w:w="4050" w:type="dxa"/>
            <w:tcBorders>
              <w:top w:val="single" w:color="000000" w:sz="4" w:space="0"/>
              <w:left w:val="single" w:color="000000" w:sz="4" w:space="0"/>
            </w:tcBorders>
            <w:shd w:val="clear" w:color="auto" w:fill="FFFFFF"/>
            <w:noWrap w:val="0"/>
            <w:vAlign w:val="center"/>
          </w:tcPr>
          <w:p w14:paraId="470294AA">
            <w:pPr>
              <w:jc w:val="left"/>
              <w:rPr>
                <w:rFonts w:hint="eastAsia" w:cs="Arial"/>
                <w:color w:val="auto"/>
                <w:sz w:val="18"/>
                <w:szCs w:val="18"/>
                <w:highlight w:val="none"/>
              </w:rPr>
            </w:pPr>
            <w:r>
              <w:rPr>
                <w:rFonts w:hint="eastAsia" w:cs="Arial"/>
                <w:color w:val="auto"/>
                <w:sz w:val="18"/>
                <w:szCs w:val="18"/>
                <w:highlight w:val="none"/>
              </w:rPr>
              <w:t>优质工程增加费</w:t>
            </w:r>
          </w:p>
        </w:tc>
        <w:tc>
          <w:tcPr>
            <w:tcW w:w="1950" w:type="dxa"/>
            <w:tcBorders>
              <w:top w:val="single" w:color="000000" w:sz="4" w:space="0"/>
              <w:left w:val="single" w:color="000000" w:sz="4" w:space="0"/>
            </w:tcBorders>
            <w:shd w:val="clear" w:color="auto" w:fill="FFFFFF"/>
            <w:noWrap w:val="0"/>
            <w:vAlign w:val="center"/>
          </w:tcPr>
          <w:p w14:paraId="46195133">
            <w:pPr>
              <w:widowControl/>
              <w:jc w:val="right"/>
              <w:textAlignment w:val="center"/>
              <w:rPr>
                <w:rFonts w:hint="eastAsia" w:cs="Arial"/>
                <w:color w:val="auto"/>
                <w:sz w:val="18"/>
                <w:szCs w:val="18"/>
                <w:highlight w:val="none"/>
              </w:rPr>
            </w:pPr>
            <w:r>
              <w:rPr>
                <w:rFonts w:hint="eastAsia" w:ascii="宋体" w:hAnsi="宋体" w:cs="宋体"/>
                <w:color w:val="auto"/>
                <w:kern w:val="0"/>
                <w:sz w:val="18"/>
                <w:szCs w:val="18"/>
                <w:highlight w:val="none"/>
                <w:lang w:bidi="ar"/>
              </w:rPr>
              <w:t>0.00</w:t>
            </w: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7FD90F36">
            <w:pPr>
              <w:widowControl/>
              <w:jc w:val="center"/>
              <w:textAlignment w:val="center"/>
              <w:rPr>
                <w:rFonts w:hint="eastAsia" w:ascii="宋体" w:hAnsi="宋体" w:cs="宋体"/>
                <w:color w:val="auto"/>
                <w:sz w:val="18"/>
                <w:szCs w:val="18"/>
                <w:highlight w:val="none"/>
              </w:rPr>
            </w:pPr>
          </w:p>
        </w:tc>
      </w:tr>
      <w:tr w14:paraId="11E04A58">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27F8624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1.3</w:t>
            </w:r>
          </w:p>
        </w:tc>
        <w:tc>
          <w:tcPr>
            <w:tcW w:w="4050" w:type="dxa"/>
            <w:tcBorders>
              <w:top w:val="single" w:color="000000" w:sz="4" w:space="0"/>
              <w:left w:val="single" w:color="000000" w:sz="4" w:space="0"/>
            </w:tcBorders>
            <w:shd w:val="clear" w:color="auto" w:fill="FFFFFF"/>
            <w:noWrap w:val="0"/>
            <w:vAlign w:val="center"/>
          </w:tcPr>
          <w:p w14:paraId="5A202E7D">
            <w:pPr>
              <w:jc w:val="left"/>
              <w:rPr>
                <w:rFonts w:hint="eastAsia" w:cs="Arial"/>
                <w:color w:val="auto"/>
                <w:sz w:val="18"/>
                <w:szCs w:val="18"/>
                <w:highlight w:val="none"/>
              </w:rPr>
            </w:pPr>
            <w:r>
              <w:rPr>
                <w:rFonts w:hint="eastAsia" w:cs="Arial"/>
                <w:color w:val="auto"/>
                <w:sz w:val="18"/>
                <w:szCs w:val="18"/>
                <w:highlight w:val="none"/>
              </w:rPr>
              <w:t>其他暂列金额</w:t>
            </w:r>
          </w:p>
        </w:tc>
        <w:tc>
          <w:tcPr>
            <w:tcW w:w="1950" w:type="dxa"/>
            <w:tcBorders>
              <w:top w:val="single" w:color="000000" w:sz="4" w:space="0"/>
              <w:left w:val="single" w:color="000000" w:sz="4" w:space="0"/>
            </w:tcBorders>
            <w:shd w:val="clear" w:color="auto" w:fill="FFFFFF"/>
            <w:noWrap w:val="0"/>
            <w:vAlign w:val="center"/>
          </w:tcPr>
          <w:p w14:paraId="4789BFCB">
            <w:pPr>
              <w:widowControl/>
              <w:jc w:val="right"/>
              <w:textAlignment w:val="center"/>
              <w:rPr>
                <w:rFonts w:hint="eastAsia" w:cs="Arial"/>
                <w:color w:val="auto"/>
                <w:sz w:val="18"/>
                <w:szCs w:val="18"/>
                <w:highlight w:val="none"/>
              </w:rPr>
            </w:pPr>
            <w:r>
              <w:rPr>
                <w:rFonts w:hint="eastAsia" w:ascii="宋体" w:hAnsi="宋体" w:cs="宋体"/>
                <w:color w:val="auto"/>
                <w:kern w:val="0"/>
                <w:sz w:val="18"/>
                <w:szCs w:val="18"/>
                <w:highlight w:val="none"/>
                <w:lang w:bidi="ar"/>
              </w:rPr>
              <w:t>0.00</w:t>
            </w: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43E0905D">
            <w:pPr>
              <w:widowControl/>
              <w:jc w:val="center"/>
              <w:textAlignment w:val="center"/>
              <w:rPr>
                <w:rFonts w:hint="eastAsia" w:ascii="宋体" w:hAnsi="宋体" w:cs="宋体"/>
                <w:color w:val="auto"/>
                <w:sz w:val="18"/>
                <w:szCs w:val="18"/>
                <w:highlight w:val="none"/>
              </w:rPr>
            </w:pPr>
          </w:p>
        </w:tc>
      </w:tr>
      <w:tr w14:paraId="47592001">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71B56955">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w:t>
            </w:r>
          </w:p>
        </w:tc>
        <w:tc>
          <w:tcPr>
            <w:tcW w:w="4050" w:type="dxa"/>
            <w:tcBorders>
              <w:top w:val="single" w:color="000000" w:sz="4" w:space="0"/>
              <w:left w:val="single" w:color="000000" w:sz="4" w:space="0"/>
            </w:tcBorders>
            <w:shd w:val="clear" w:color="auto" w:fill="FFFFFF"/>
            <w:noWrap w:val="0"/>
            <w:vAlign w:val="center"/>
          </w:tcPr>
          <w:p w14:paraId="49A732BC">
            <w:pPr>
              <w:jc w:val="left"/>
              <w:rPr>
                <w:rFonts w:hint="eastAsia" w:cs="Arial"/>
                <w:color w:val="auto"/>
                <w:sz w:val="18"/>
                <w:szCs w:val="18"/>
                <w:highlight w:val="none"/>
              </w:rPr>
            </w:pPr>
            <w:r>
              <w:rPr>
                <w:rFonts w:hint="eastAsia" w:cs="Arial"/>
                <w:color w:val="auto"/>
                <w:sz w:val="18"/>
                <w:szCs w:val="18"/>
                <w:highlight w:val="none"/>
              </w:rPr>
              <w:t>暂估价</w:t>
            </w:r>
          </w:p>
        </w:tc>
        <w:tc>
          <w:tcPr>
            <w:tcW w:w="1950" w:type="dxa"/>
            <w:tcBorders>
              <w:top w:val="single" w:color="000000" w:sz="4" w:space="0"/>
              <w:left w:val="single" w:color="000000" w:sz="4" w:space="0"/>
            </w:tcBorders>
            <w:shd w:val="clear" w:color="auto" w:fill="FFFFFF"/>
            <w:noWrap w:val="0"/>
            <w:vAlign w:val="center"/>
          </w:tcPr>
          <w:p w14:paraId="61D636C0">
            <w:pPr>
              <w:widowControl/>
              <w:jc w:val="right"/>
              <w:textAlignment w:val="center"/>
              <w:rPr>
                <w:rFonts w:hint="eastAsia" w:cs="Arial"/>
                <w:color w:val="auto"/>
                <w:sz w:val="18"/>
                <w:szCs w:val="18"/>
                <w:highlight w:val="none"/>
              </w:rPr>
            </w:pPr>
            <w:r>
              <w:rPr>
                <w:rFonts w:hint="eastAsia" w:ascii="宋体" w:hAnsi="宋体" w:cs="宋体"/>
                <w:color w:val="auto"/>
                <w:kern w:val="0"/>
                <w:sz w:val="18"/>
                <w:szCs w:val="18"/>
                <w:highlight w:val="none"/>
                <w:lang w:bidi="ar"/>
              </w:rPr>
              <w:t>0.00</w:t>
            </w: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3A342E69">
            <w:pPr>
              <w:jc w:val="center"/>
              <w:rPr>
                <w:rFonts w:hint="eastAsia" w:ascii="宋体" w:hAnsi="宋体" w:cs="宋体"/>
                <w:color w:val="auto"/>
                <w:sz w:val="18"/>
                <w:szCs w:val="18"/>
                <w:highlight w:val="none"/>
              </w:rPr>
            </w:pPr>
          </w:p>
        </w:tc>
      </w:tr>
      <w:tr w14:paraId="5586DA51">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7EE8D41A">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2.1</w:t>
            </w:r>
          </w:p>
        </w:tc>
        <w:tc>
          <w:tcPr>
            <w:tcW w:w="4050" w:type="dxa"/>
            <w:tcBorders>
              <w:top w:val="single" w:color="000000" w:sz="4" w:space="0"/>
              <w:left w:val="single" w:color="000000" w:sz="4" w:space="0"/>
            </w:tcBorders>
            <w:shd w:val="clear" w:color="auto" w:fill="FFFFFF"/>
            <w:noWrap w:val="0"/>
            <w:vAlign w:val="center"/>
          </w:tcPr>
          <w:p w14:paraId="3CCF9F31">
            <w:pPr>
              <w:jc w:val="left"/>
              <w:rPr>
                <w:rFonts w:hint="eastAsia" w:cs="Arial"/>
                <w:color w:val="auto"/>
                <w:sz w:val="18"/>
                <w:szCs w:val="18"/>
                <w:highlight w:val="none"/>
              </w:rPr>
            </w:pPr>
            <w:r>
              <w:rPr>
                <w:rFonts w:hint="eastAsia" w:cs="Arial"/>
                <w:color w:val="auto"/>
                <w:sz w:val="18"/>
                <w:szCs w:val="18"/>
                <w:highlight w:val="none"/>
              </w:rPr>
              <w:t>材料（设备）暂估价</w:t>
            </w:r>
          </w:p>
        </w:tc>
        <w:tc>
          <w:tcPr>
            <w:tcW w:w="1950" w:type="dxa"/>
            <w:tcBorders>
              <w:top w:val="single" w:color="000000" w:sz="4" w:space="0"/>
              <w:left w:val="single" w:color="000000" w:sz="4" w:space="0"/>
            </w:tcBorders>
            <w:shd w:val="clear" w:color="auto" w:fill="FFFFFF"/>
            <w:noWrap w:val="0"/>
            <w:vAlign w:val="center"/>
          </w:tcPr>
          <w:p w14:paraId="1DCF62F8">
            <w:pPr>
              <w:widowControl/>
              <w:jc w:val="right"/>
              <w:textAlignment w:val="center"/>
              <w:rPr>
                <w:rFonts w:hint="eastAsia" w:cs="Arial"/>
                <w:color w:val="auto"/>
                <w:sz w:val="18"/>
                <w:szCs w:val="18"/>
                <w:highlight w:val="none"/>
              </w:rPr>
            </w:pPr>
            <w:r>
              <w:rPr>
                <w:rFonts w:hint="eastAsia" w:ascii="宋体" w:hAnsi="宋体" w:cs="宋体"/>
                <w:color w:val="auto"/>
                <w:kern w:val="0"/>
                <w:sz w:val="18"/>
                <w:szCs w:val="18"/>
                <w:highlight w:val="none"/>
                <w:lang w:bidi="ar"/>
              </w:rPr>
              <w:t>0.00</w:t>
            </w: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5A907B3F">
            <w:pPr>
              <w:widowControl/>
              <w:jc w:val="center"/>
              <w:textAlignment w:val="center"/>
              <w:rPr>
                <w:rFonts w:hint="eastAsia" w:ascii="宋体" w:hAnsi="宋体" w:cs="宋体"/>
                <w:color w:val="auto"/>
                <w:sz w:val="18"/>
                <w:szCs w:val="18"/>
                <w:highlight w:val="none"/>
              </w:rPr>
            </w:pPr>
          </w:p>
        </w:tc>
      </w:tr>
      <w:tr w14:paraId="36CDE4EC">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1D3DC46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2.2</w:t>
            </w:r>
          </w:p>
        </w:tc>
        <w:tc>
          <w:tcPr>
            <w:tcW w:w="4050" w:type="dxa"/>
            <w:tcBorders>
              <w:top w:val="single" w:color="000000" w:sz="4" w:space="0"/>
              <w:left w:val="single" w:color="000000" w:sz="4" w:space="0"/>
            </w:tcBorders>
            <w:shd w:val="clear" w:color="auto" w:fill="FFFFFF"/>
            <w:noWrap w:val="0"/>
            <w:vAlign w:val="center"/>
          </w:tcPr>
          <w:p w14:paraId="4B2AE923">
            <w:pPr>
              <w:jc w:val="left"/>
              <w:rPr>
                <w:rFonts w:hint="eastAsia" w:cs="Arial"/>
                <w:color w:val="auto"/>
                <w:sz w:val="18"/>
                <w:szCs w:val="18"/>
                <w:highlight w:val="none"/>
              </w:rPr>
            </w:pPr>
            <w:r>
              <w:rPr>
                <w:rFonts w:hint="eastAsia" w:cs="Arial"/>
                <w:color w:val="auto"/>
                <w:sz w:val="18"/>
                <w:szCs w:val="18"/>
                <w:highlight w:val="none"/>
              </w:rPr>
              <w:t>专业工程暂估价</w:t>
            </w:r>
          </w:p>
        </w:tc>
        <w:tc>
          <w:tcPr>
            <w:tcW w:w="1950" w:type="dxa"/>
            <w:tcBorders>
              <w:top w:val="single" w:color="000000" w:sz="4" w:space="0"/>
              <w:left w:val="single" w:color="000000" w:sz="4" w:space="0"/>
            </w:tcBorders>
            <w:shd w:val="clear" w:color="auto" w:fill="FFFFFF"/>
            <w:noWrap w:val="0"/>
            <w:vAlign w:val="center"/>
          </w:tcPr>
          <w:p w14:paraId="7B2CD003">
            <w:pPr>
              <w:widowControl/>
              <w:jc w:val="right"/>
              <w:textAlignment w:val="center"/>
              <w:rPr>
                <w:rFonts w:hint="eastAsia" w:cs="Arial"/>
                <w:color w:val="auto"/>
                <w:sz w:val="18"/>
                <w:szCs w:val="18"/>
                <w:highlight w:val="none"/>
              </w:rPr>
            </w:pPr>
            <w:r>
              <w:rPr>
                <w:rFonts w:hint="eastAsia" w:ascii="宋体" w:hAnsi="宋体" w:cs="宋体"/>
                <w:color w:val="auto"/>
                <w:kern w:val="0"/>
                <w:sz w:val="18"/>
                <w:szCs w:val="18"/>
                <w:highlight w:val="none"/>
                <w:lang w:bidi="ar"/>
              </w:rPr>
              <w:t>0.00</w:t>
            </w: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0425E1A3">
            <w:pPr>
              <w:widowControl/>
              <w:jc w:val="center"/>
              <w:textAlignment w:val="center"/>
              <w:rPr>
                <w:rFonts w:hint="eastAsia" w:ascii="宋体" w:hAnsi="宋体" w:cs="宋体"/>
                <w:color w:val="auto"/>
                <w:sz w:val="18"/>
                <w:szCs w:val="18"/>
                <w:highlight w:val="none"/>
              </w:rPr>
            </w:pPr>
          </w:p>
        </w:tc>
      </w:tr>
      <w:tr w14:paraId="70260DF7">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0E3B53A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2.3</w:t>
            </w:r>
          </w:p>
        </w:tc>
        <w:tc>
          <w:tcPr>
            <w:tcW w:w="4050" w:type="dxa"/>
            <w:tcBorders>
              <w:top w:val="single" w:color="000000" w:sz="4" w:space="0"/>
              <w:left w:val="single" w:color="000000" w:sz="4" w:space="0"/>
            </w:tcBorders>
            <w:shd w:val="clear" w:color="auto" w:fill="FFFFFF"/>
            <w:noWrap w:val="0"/>
            <w:vAlign w:val="center"/>
          </w:tcPr>
          <w:p w14:paraId="2925F6C3">
            <w:pPr>
              <w:jc w:val="left"/>
              <w:rPr>
                <w:rFonts w:hint="eastAsia" w:cs="Arial"/>
                <w:color w:val="auto"/>
                <w:sz w:val="18"/>
                <w:szCs w:val="18"/>
                <w:highlight w:val="none"/>
              </w:rPr>
            </w:pPr>
            <w:r>
              <w:rPr>
                <w:rFonts w:hint="eastAsia" w:cs="Arial"/>
                <w:color w:val="auto"/>
                <w:sz w:val="18"/>
                <w:szCs w:val="18"/>
                <w:highlight w:val="none"/>
              </w:rPr>
              <w:t>专项技术措施暂估价</w:t>
            </w:r>
          </w:p>
        </w:tc>
        <w:tc>
          <w:tcPr>
            <w:tcW w:w="1950" w:type="dxa"/>
            <w:tcBorders>
              <w:top w:val="single" w:color="000000" w:sz="4" w:space="0"/>
              <w:left w:val="single" w:color="000000" w:sz="4" w:space="0"/>
            </w:tcBorders>
            <w:shd w:val="clear" w:color="auto" w:fill="FFFFFF"/>
            <w:noWrap w:val="0"/>
            <w:vAlign w:val="center"/>
          </w:tcPr>
          <w:p w14:paraId="2DFAAEAA">
            <w:pPr>
              <w:jc w:val="right"/>
              <w:rPr>
                <w:rFonts w:hint="eastAsia" w:cs="Arial"/>
                <w:color w:val="auto"/>
                <w:sz w:val="18"/>
                <w:szCs w:val="18"/>
                <w:highlight w:val="none"/>
              </w:rPr>
            </w:pPr>
            <w:r>
              <w:rPr>
                <w:rFonts w:hint="eastAsia" w:ascii="宋体" w:hAnsi="宋体" w:cs="宋体"/>
                <w:color w:val="auto"/>
                <w:kern w:val="0"/>
                <w:sz w:val="18"/>
                <w:szCs w:val="18"/>
                <w:highlight w:val="none"/>
                <w:lang w:bidi="ar"/>
              </w:rPr>
              <w:t>0.00</w:t>
            </w: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3EE0A4D8">
            <w:pPr>
              <w:widowControl/>
              <w:jc w:val="center"/>
              <w:textAlignment w:val="center"/>
              <w:rPr>
                <w:rFonts w:hint="eastAsia" w:ascii="宋体" w:hAnsi="宋体" w:cs="宋体"/>
                <w:color w:val="auto"/>
                <w:sz w:val="18"/>
                <w:szCs w:val="18"/>
                <w:highlight w:val="none"/>
              </w:rPr>
            </w:pPr>
          </w:p>
        </w:tc>
      </w:tr>
      <w:tr w14:paraId="7392C293">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73D6C594">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3</w:t>
            </w:r>
          </w:p>
        </w:tc>
        <w:tc>
          <w:tcPr>
            <w:tcW w:w="4050" w:type="dxa"/>
            <w:tcBorders>
              <w:top w:val="single" w:color="000000" w:sz="4" w:space="0"/>
              <w:left w:val="single" w:color="000000" w:sz="4" w:space="0"/>
            </w:tcBorders>
            <w:shd w:val="clear" w:color="auto" w:fill="FFFFFF"/>
            <w:noWrap w:val="0"/>
            <w:vAlign w:val="center"/>
          </w:tcPr>
          <w:p w14:paraId="3A7C2C3F">
            <w:pPr>
              <w:jc w:val="left"/>
              <w:rPr>
                <w:rFonts w:hint="eastAsia" w:cs="Arial"/>
                <w:color w:val="auto"/>
                <w:sz w:val="18"/>
                <w:szCs w:val="18"/>
                <w:highlight w:val="none"/>
              </w:rPr>
            </w:pPr>
            <w:r>
              <w:rPr>
                <w:rFonts w:hint="eastAsia" w:cs="Arial"/>
                <w:color w:val="auto"/>
                <w:sz w:val="18"/>
                <w:szCs w:val="18"/>
                <w:highlight w:val="none"/>
              </w:rPr>
              <w:t>计日工</w:t>
            </w:r>
          </w:p>
        </w:tc>
        <w:tc>
          <w:tcPr>
            <w:tcW w:w="1950" w:type="dxa"/>
            <w:tcBorders>
              <w:top w:val="single" w:color="000000" w:sz="4" w:space="0"/>
              <w:left w:val="single" w:color="000000" w:sz="4" w:space="0"/>
            </w:tcBorders>
            <w:shd w:val="clear" w:color="auto" w:fill="FFFFFF"/>
            <w:noWrap w:val="0"/>
            <w:vAlign w:val="center"/>
          </w:tcPr>
          <w:p w14:paraId="5B7B070B">
            <w:pPr>
              <w:jc w:val="right"/>
              <w:rPr>
                <w:rFonts w:hint="eastAsia" w:cs="Arial"/>
                <w:color w:val="auto"/>
                <w:sz w:val="18"/>
                <w:szCs w:val="18"/>
                <w:highlight w:val="none"/>
              </w:rPr>
            </w:pPr>
            <w:r>
              <w:rPr>
                <w:rFonts w:hint="eastAsia" w:cs="Arial"/>
                <w:color w:val="auto"/>
                <w:sz w:val="18"/>
                <w:szCs w:val="18"/>
                <w:highlight w:val="none"/>
              </w:rPr>
              <w:t>　</w:t>
            </w: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382D6DE6">
            <w:pPr>
              <w:widowControl/>
              <w:jc w:val="center"/>
              <w:textAlignment w:val="center"/>
              <w:rPr>
                <w:rFonts w:hint="eastAsia" w:ascii="宋体" w:hAnsi="宋体" w:cs="宋体"/>
                <w:color w:val="auto"/>
                <w:sz w:val="18"/>
                <w:szCs w:val="18"/>
                <w:highlight w:val="none"/>
              </w:rPr>
            </w:pPr>
          </w:p>
        </w:tc>
      </w:tr>
      <w:tr w14:paraId="4A926A28">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5E2C4B48">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4</w:t>
            </w:r>
          </w:p>
        </w:tc>
        <w:tc>
          <w:tcPr>
            <w:tcW w:w="4050" w:type="dxa"/>
            <w:tcBorders>
              <w:top w:val="single" w:color="000000" w:sz="4" w:space="0"/>
              <w:left w:val="single" w:color="000000" w:sz="4" w:space="0"/>
            </w:tcBorders>
            <w:shd w:val="clear" w:color="auto" w:fill="FFFFFF"/>
            <w:noWrap w:val="0"/>
            <w:vAlign w:val="center"/>
          </w:tcPr>
          <w:p w14:paraId="0D19F76F">
            <w:pPr>
              <w:jc w:val="left"/>
              <w:rPr>
                <w:rFonts w:hint="eastAsia" w:cs="Arial"/>
                <w:color w:val="auto"/>
                <w:sz w:val="18"/>
                <w:szCs w:val="18"/>
                <w:highlight w:val="none"/>
              </w:rPr>
            </w:pPr>
            <w:r>
              <w:rPr>
                <w:rFonts w:hint="eastAsia" w:cs="Arial"/>
                <w:color w:val="auto"/>
                <w:sz w:val="18"/>
                <w:szCs w:val="18"/>
                <w:highlight w:val="none"/>
              </w:rPr>
              <w:t>总承包服务费</w:t>
            </w:r>
          </w:p>
        </w:tc>
        <w:tc>
          <w:tcPr>
            <w:tcW w:w="1950" w:type="dxa"/>
            <w:tcBorders>
              <w:top w:val="single" w:color="000000" w:sz="4" w:space="0"/>
              <w:left w:val="single" w:color="000000" w:sz="4" w:space="0"/>
            </w:tcBorders>
            <w:shd w:val="clear" w:color="auto" w:fill="FFFFFF"/>
            <w:noWrap w:val="0"/>
            <w:vAlign w:val="center"/>
          </w:tcPr>
          <w:p w14:paraId="08B4FDBD">
            <w:pPr>
              <w:jc w:val="right"/>
              <w:rPr>
                <w:rFonts w:hint="eastAsia" w:cs="Arial"/>
                <w:color w:val="auto"/>
                <w:sz w:val="18"/>
                <w:szCs w:val="18"/>
                <w:highlight w:val="none"/>
              </w:rPr>
            </w:pPr>
            <w:r>
              <w:rPr>
                <w:rFonts w:hint="eastAsia" w:cs="Arial"/>
                <w:color w:val="auto"/>
                <w:sz w:val="18"/>
                <w:szCs w:val="18"/>
                <w:highlight w:val="none"/>
              </w:rPr>
              <w:t>　</w:t>
            </w: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2A7FD69B">
            <w:pPr>
              <w:widowControl/>
              <w:jc w:val="center"/>
              <w:textAlignment w:val="center"/>
              <w:rPr>
                <w:rFonts w:hint="eastAsia" w:ascii="宋体" w:hAnsi="宋体" w:cs="宋体"/>
                <w:color w:val="auto"/>
                <w:sz w:val="18"/>
                <w:szCs w:val="18"/>
                <w:highlight w:val="none"/>
              </w:rPr>
            </w:pPr>
          </w:p>
        </w:tc>
      </w:tr>
      <w:tr w14:paraId="7A10EC5F">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744994E5">
            <w:pPr>
              <w:jc w:val="center"/>
              <w:rPr>
                <w:rFonts w:hint="eastAsia" w:ascii="宋体" w:hAnsi="宋体" w:cs="宋体"/>
                <w:color w:val="auto"/>
                <w:sz w:val="18"/>
                <w:szCs w:val="18"/>
                <w:highlight w:val="none"/>
              </w:rPr>
            </w:pPr>
          </w:p>
        </w:tc>
        <w:tc>
          <w:tcPr>
            <w:tcW w:w="4050" w:type="dxa"/>
            <w:tcBorders>
              <w:top w:val="single" w:color="000000" w:sz="4" w:space="0"/>
              <w:left w:val="single" w:color="000000" w:sz="4" w:space="0"/>
            </w:tcBorders>
            <w:shd w:val="clear" w:color="auto" w:fill="FFFFFF"/>
            <w:noWrap w:val="0"/>
            <w:vAlign w:val="center"/>
          </w:tcPr>
          <w:p w14:paraId="5548E51D">
            <w:pPr>
              <w:jc w:val="left"/>
              <w:rPr>
                <w:rFonts w:hint="eastAsia" w:ascii="宋体" w:hAnsi="宋体" w:cs="宋体"/>
                <w:color w:val="auto"/>
                <w:sz w:val="18"/>
                <w:szCs w:val="18"/>
                <w:highlight w:val="none"/>
              </w:rPr>
            </w:pPr>
          </w:p>
        </w:tc>
        <w:tc>
          <w:tcPr>
            <w:tcW w:w="1950" w:type="dxa"/>
            <w:tcBorders>
              <w:top w:val="single" w:color="000000" w:sz="4" w:space="0"/>
              <w:left w:val="single" w:color="000000" w:sz="4" w:space="0"/>
            </w:tcBorders>
            <w:shd w:val="clear" w:color="auto" w:fill="FFFFFF"/>
            <w:noWrap w:val="0"/>
            <w:vAlign w:val="center"/>
          </w:tcPr>
          <w:p w14:paraId="6D8E9321">
            <w:pPr>
              <w:jc w:val="right"/>
              <w:rPr>
                <w:rFonts w:hint="eastAsia" w:ascii="宋体" w:hAnsi="宋体" w:cs="宋体"/>
                <w:color w:val="auto"/>
                <w:sz w:val="18"/>
                <w:szCs w:val="18"/>
                <w:highlight w:val="none"/>
              </w:rPr>
            </w:pP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655E5521">
            <w:pPr>
              <w:jc w:val="center"/>
              <w:rPr>
                <w:rFonts w:hint="eastAsia" w:ascii="宋体" w:hAnsi="宋体" w:cs="宋体"/>
                <w:color w:val="auto"/>
                <w:sz w:val="18"/>
                <w:szCs w:val="18"/>
                <w:highlight w:val="none"/>
              </w:rPr>
            </w:pPr>
          </w:p>
        </w:tc>
      </w:tr>
      <w:tr w14:paraId="355A0871">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43515015">
            <w:pPr>
              <w:jc w:val="center"/>
              <w:rPr>
                <w:rFonts w:hint="eastAsia" w:ascii="宋体" w:hAnsi="宋体" w:cs="宋体"/>
                <w:color w:val="auto"/>
                <w:sz w:val="18"/>
                <w:szCs w:val="18"/>
                <w:highlight w:val="none"/>
              </w:rPr>
            </w:pPr>
          </w:p>
        </w:tc>
        <w:tc>
          <w:tcPr>
            <w:tcW w:w="4050" w:type="dxa"/>
            <w:tcBorders>
              <w:top w:val="single" w:color="000000" w:sz="4" w:space="0"/>
              <w:left w:val="single" w:color="000000" w:sz="4" w:space="0"/>
            </w:tcBorders>
            <w:shd w:val="clear" w:color="auto" w:fill="FFFFFF"/>
            <w:noWrap w:val="0"/>
            <w:vAlign w:val="center"/>
          </w:tcPr>
          <w:p w14:paraId="2639DBB4">
            <w:pPr>
              <w:jc w:val="left"/>
              <w:rPr>
                <w:rFonts w:hint="eastAsia" w:ascii="宋体" w:hAnsi="宋体" w:cs="宋体"/>
                <w:color w:val="auto"/>
                <w:sz w:val="18"/>
                <w:szCs w:val="18"/>
                <w:highlight w:val="none"/>
              </w:rPr>
            </w:pPr>
          </w:p>
        </w:tc>
        <w:tc>
          <w:tcPr>
            <w:tcW w:w="1950" w:type="dxa"/>
            <w:tcBorders>
              <w:top w:val="single" w:color="000000" w:sz="4" w:space="0"/>
              <w:left w:val="single" w:color="000000" w:sz="4" w:space="0"/>
            </w:tcBorders>
            <w:shd w:val="clear" w:color="auto" w:fill="FFFFFF"/>
            <w:noWrap w:val="0"/>
            <w:vAlign w:val="center"/>
          </w:tcPr>
          <w:p w14:paraId="6EB80493">
            <w:pPr>
              <w:jc w:val="right"/>
              <w:rPr>
                <w:rFonts w:hint="eastAsia" w:ascii="宋体" w:hAnsi="宋体" w:cs="宋体"/>
                <w:color w:val="auto"/>
                <w:sz w:val="18"/>
                <w:szCs w:val="18"/>
                <w:highlight w:val="none"/>
              </w:rPr>
            </w:pP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25627ADD">
            <w:pPr>
              <w:jc w:val="center"/>
              <w:rPr>
                <w:rFonts w:hint="eastAsia" w:ascii="宋体" w:hAnsi="宋体" w:cs="宋体"/>
                <w:color w:val="auto"/>
                <w:sz w:val="18"/>
                <w:szCs w:val="18"/>
                <w:highlight w:val="none"/>
              </w:rPr>
            </w:pPr>
          </w:p>
        </w:tc>
      </w:tr>
      <w:tr w14:paraId="497D27F0">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0DD3E247">
            <w:pPr>
              <w:jc w:val="center"/>
              <w:rPr>
                <w:rFonts w:hint="eastAsia" w:ascii="宋体" w:hAnsi="宋体" w:cs="宋体"/>
                <w:color w:val="auto"/>
                <w:sz w:val="18"/>
                <w:szCs w:val="18"/>
                <w:highlight w:val="none"/>
              </w:rPr>
            </w:pPr>
          </w:p>
        </w:tc>
        <w:tc>
          <w:tcPr>
            <w:tcW w:w="4050" w:type="dxa"/>
            <w:tcBorders>
              <w:top w:val="single" w:color="000000" w:sz="4" w:space="0"/>
              <w:left w:val="single" w:color="000000" w:sz="4" w:space="0"/>
            </w:tcBorders>
            <w:shd w:val="clear" w:color="auto" w:fill="FFFFFF"/>
            <w:noWrap w:val="0"/>
            <w:vAlign w:val="center"/>
          </w:tcPr>
          <w:p w14:paraId="357722DA">
            <w:pPr>
              <w:jc w:val="left"/>
              <w:rPr>
                <w:rFonts w:hint="eastAsia" w:ascii="宋体" w:hAnsi="宋体" w:cs="宋体"/>
                <w:color w:val="auto"/>
                <w:sz w:val="18"/>
                <w:szCs w:val="18"/>
                <w:highlight w:val="none"/>
              </w:rPr>
            </w:pPr>
          </w:p>
        </w:tc>
        <w:tc>
          <w:tcPr>
            <w:tcW w:w="1950" w:type="dxa"/>
            <w:tcBorders>
              <w:top w:val="single" w:color="000000" w:sz="4" w:space="0"/>
              <w:left w:val="single" w:color="000000" w:sz="4" w:space="0"/>
            </w:tcBorders>
            <w:shd w:val="clear" w:color="auto" w:fill="FFFFFF"/>
            <w:noWrap w:val="0"/>
            <w:vAlign w:val="center"/>
          </w:tcPr>
          <w:p w14:paraId="4C94AFB6">
            <w:pPr>
              <w:jc w:val="right"/>
              <w:rPr>
                <w:rFonts w:hint="eastAsia" w:ascii="宋体" w:hAnsi="宋体" w:cs="宋体"/>
                <w:color w:val="auto"/>
                <w:sz w:val="18"/>
                <w:szCs w:val="18"/>
                <w:highlight w:val="none"/>
              </w:rPr>
            </w:pP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1EA92A49">
            <w:pPr>
              <w:jc w:val="center"/>
              <w:rPr>
                <w:rFonts w:hint="eastAsia" w:ascii="宋体" w:hAnsi="宋体" w:cs="宋体"/>
                <w:color w:val="auto"/>
                <w:sz w:val="18"/>
                <w:szCs w:val="18"/>
                <w:highlight w:val="none"/>
              </w:rPr>
            </w:pPr>
          </w:p>
        </w:tc>
      </w:tr>
      <w:tr w14:paraId="62B4788F">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7C952F0A">
            <w:pPr>
              <w:jc w:val="center"/>
              <w:rPr>
                <w:rFonts w:hint="eastAsia" w:ascii="宋体" w:hAnsi="宋体" w:cs="宋体"/>
                <w:color w:val="auto"/>
                <w:sz w:val="18"/>
                <w:szCs w:val="18"/>
                <w:highlight w:val="none"/>
              </w:rPr>
            </w:pPr>
          </w:p>
        </w:tc>
        <w:tc>
          <w:tcPr>
            <w:tcW w:w="4050" w:type="dxa"/>
            <w:tcBorders>
              <w:top w:val="single" w:color="000000" w:sz="4" w:space="0"/>
              <w:left w:val="single" w:color="000000" w:sz="4" w:space="0"/>
            </w:tcBorders>
            <w:shd w:val="clear" w:color="auto" w:fill="FFFFFF"/>
            <w:noWrap w:val="0"/>
            <w:vAlign w:val="center"/>
          </w:tcPr>
          <w:p w14:paraId="72AD5A62">
            <w:pPr>
              <w:jc w:val="left"/>
              <w:rPr>
                <w:rFonts w:hint="eastAsia" w:ascii="宋体" w:hAnsi="宋体" w:cs="宋体"/>
                <w:color w:val="auto"/>
                <w:sz w:val="18"/>
                <w:szCs w:val="18"/>
                <w:highlight w:val="none"/>
              </w:rPr>
            </w:pPr>
          </w:p>
        </w:tc>
        <w:tc>
          <w:tcPr>
            <w:tcW w:w="1950" w:type="dxa"/>
            <w:tcBorders>
              <w:top w:val="single" w:color="000000" w:sz="4" w:space="0"/>
              <w:left w:val="single" w:color="000000" w:sz="4" w:space="0"/>
            </w:tcBorders>
            <w:shd w:val="clear" w:color="auto" w:fill="FFFFFF"/>
            <w:noWrap w:val="0"/>
            <w:vAlign w:val="center"/>
          </w:tcPr>
          <w:p w14:paraId="1D904419">
            <w:pPr>
              <w:jc w:val="right"/>
              <w:rPr>
                <w:rFonts w:hint="eastAsia" w:ascii="宋体" w:hAnsi="宋体" w:cs="宋体"/>
                <w:color w:val="auto"/>
                <w:sz w:val="18"/>
                <w:szCs w:val="18"/>
                <w:highlight w:val="none"/>
              </w:rPr>
            </w:pP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104C586E">
            <w:pPr>
              <w:jc w:val="center"/>
              <w:rPr>
                <w:rFonts w:hint="eastAsia" w:ascii="宋体" w:hAnsi="宋体" w:cs="宋体"/>
                <w:color w:val="auto"/>
                <w:sz w:val="18"/>
                <w:szCs w:val="18"/>
                <w:highlight w:val="none"/>
              </w:rPr>
            </w:pPr>
          </w:p>
        </w:tc>
      </w:tr>
      <w:tr w14:paraId="10A9C458">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6E4754E9">
            <w:pPr>
              <w:jc w:val="center"/>
              <w:rPr>
                <w:rFonts w:hint="eastAsia" w:ascii="宋体" w:hAnsi="宋体" w:cs="宋体"/>
                <w:color w:val="auto"/>
                <w:sz w:val="18"/>
                <w:szCs w:val="18"/>
                <w:highlight w:val="none"/>
              </w:rPr>
            </w:pPr>
          </w:p>
        </w:tc>
        <w:tc>
          <w:tcPr>
            <w:tcW w:w="4050" w:type="dxa"/>
            <w:tcBorders>
              <w:top w:val="single" w:color="000000" w:sz="4" w:space="0"/>
              <w:left w:val="single" w:color="000000" w:sz="4" w:space="0"/>
            </w:tcBorders>
            <w:shd w:val="clear" w:color="auto" w:fill="FFFFFF"/>
            <w:noWrap w:val="0"/>
            <w:vAlign w:val="center"/>
          </w:tcPr>
          <w:p w14:paraId="790F68AE">
            <w:pPr>
              <w:jc w:val="left"/>
              <w:rPr>
                <w:rFonts w:hint="eastAsia" w:ascii="宋体" w:hAnsi="宋体" w:cs="宋体"/>
                <w:color w:val="auto"/>
                <w:sz w:val="18"/>
                <w:szCs w:val="18"/>
                <w:highlight w:val="none"/>
              </w:rPr>
            </w:pPr>
          </w:p>
        </w:tc>
        <w:tc>
          <w:tcPr>
            <w:tcW w:w="1950" w:type="dxa"/>
            <w:tcBorders>
              <w:top w:val="single" w:color="000000" w:sz="4" w:space="0"/>
              <w:left w:val="single" w:color="000000" w:sz="4" w:space="0"/>
            </w:tcBorders>
            <w:shd w:val="clear" w:color="auto" w:fill="FFFFFF"/>
            <w:noWrap w:val="0"/>
            <w:vAlign w:val="center"/>
          </w:tcPr>
          <w:p w14:paraId="19CB6EF1">
            <w:pPr>
              <w:jc w:val="right"/>
              <w:rPr>
                <w:rFonts w:hint="eastAsia" w:ascii="宋体" w:hAnsi="宋体" w:cs="宋体"/>
                <w:color w:val="auto"/>
                <w:sz w:val="18"/>
                <w:szCs w:val="18"/>
                <w:highlight w:val="none"/>
              </w:rPr>
            </w:pP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49EECA3D">
            <w:pPr>
              <w:jc w:val="center"/>
              <w:rPr>
                <w:rFonts w:hint="eastAsia" w:ascii="宋体" w:hAnsi="宋体" w:cs="宋体"/>
                <w:color w:val="auto"/>
                <w:sz w:val="18"/>
                <w:szCs w:val="18"/>
                <w:highlight w:val="none"/>
              </w:rPr>
            </w:pPr>
          </w:p>
        </w:tc>
      </w:tr>
      <w:tr w14:paraId="53C58926">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40919238">
            <w:pPr>
              <w:jc w:val="center"/>
              <w:rPr>
                <w:rFonts w:hint="eastAsia" w:ascii="宋体" w:hAnsi="宋体" w:cs="宋体"/>
                <w:color w:val="auto"/>
                <w:sz w:val="18"/>
                <w:szCs w:val="18"/>
                <w:highlight w:val="none"/>
              </w:rPr>
            </w:pPr>
          </w:p>
        </w:tc>
        <w:tc>
          <w:tcPr>
            <w:tcW w:w="4050" w:type="dxa"/>
            <w:tcBorders>
              <w:top w:val="single" w:color="000000" w:sz="4" w:space="0"/>
              <w:left w:val="single" w:color="000000" w:sz="4" w:space="0"/>
            </w:tcBorders>
            <w:shd w:val="clear" w:color="auto" w:fill="FFFFFF"/>
            <w:noWrap w:val="0"/>
            <w:vAlign w:val="center"/>
          </w:tcPr>
          <w:p w14:paraId="0DD9E854">
            <w:pPr>
              <w:jc w:val="left"/>
              <w:rPr>
                <w:rFonts w:hint="eastAsia" w:ascii="宋体" w:hAnsi="宋体" w:cs="宋体"/>
                <w:color w:val="auto"/>
                <w:sz w:val="18"/>
                <w:szCs w:val="18"/>
                <w:highlight w:val="none"/>
              </w:rPr>
            </w:pPr>
          </w:p>
        </w:tc>
        <w:tc>
          <w:tcPr>
            <w:tcW w:w="1950" w:type="dxa"/>
            <w:tcBorders>
              <w:top w:val="single" w:color="000000" w:sz="4" w:space="0"/>
              <w:left w:val="single" w:color="000000" w:sz="4" w:space="0"/>
            </w:tcBorders>
            <w:shd w:val="clear" w:color="auto" w:fill="FFFFFF"/>
            <w:noWrap w:val="0"/>
            <w:vAlign w:val="center"/>
          </w:tcPr>
          <w:p w14:paraId="182B418B">
            <w:pPr>
              <w:jc w:val="right"/>
              <w:rPr>
                <w:rFonts w:hint="eastAsia" w:ascii="宋体" w:hAnsi="宋体" w:cs="宋体"/>
                <w:color w:val="auto"/>
                <w:sz w:val="18"/>
                <w:szCs w:val="18"/>
                <w:highlight w:val="none"/>
              </w:rPr>
            </w:pP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0DD58FD3">
            <w:pPr>
              <w:jc w:val="center"/>
              <w:rPr>
                <w:rFonts w:hint="eastAsia" w:ascii="宋体" w:hAnsi="宋体" w:cs="宋体"/>
                <w:color w:val="auto"/>
                <w:sz w:val="18"/>
                <w:szCs w:val="18"/>
                <w:highlight w:val="none"/>
              </w:rPr>
            </w:pPr>
          </w:p>
        </w:tc>
      </w:tr>
      <w:tr w14:paraId="15809647">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7DB18551">
            <w:pPr>
              <w:jc w:val="center"/>
              <w:rPr>
                <w:rFonts w:hint="eastAsia" w:ascii="宋体" w:hAnsi="宋体" w:cs="宋体"/>
                <w:color w:val="auto"/>
                <w:sz w:val="18"/>
                <w:szCs w:val="18"/>
                <w:highlight w:val="none"/>
              </w:rPr>
            </w:pPr>
          </w:p>
        </w:tc>
        <w:tc>
          <w:tcPr>
            <w:tcW w:w="4050" w:type="dxa"/>
            <w:tcBorders>
              <w:top w:val="single" w:color="000000" w:sz="4" w:space="0"/>
              <w:left w:val="single" w:color="000000" w:sz="4" w:space="0"/>
            </w:tcBorders>
            <w:shd w:val="clear" w:color="auto" w:fill="FFFFFF"/>
            <w:noWrap w:val="0"/>
            <w:vAlign w:val="center"/>
          </w:tcPr>
          <w:p w14:paraId="3CC4903A">
            <w:pPr>
              <w:jc w:val="left"/>
              <w:rPr>
                <w:rFonts w:hint="eastAsia" w:ascii="宋体" w:hAnsi="宋体" w:cs="宋体"/>
                <w:color w:val="auto"/>
                <w:sz w:val="18"/>
                <w:szCs w:val="18"/>
                <w:highlight w:val="none"/>
              </w:rPr>
            </w:pPr>
          </w:p>
        </w:tc>
        <w:tc>
          <w:tcPr>
            <w:tcW w:w="1950" w:type="dxa"/>
            <w:tcBorders>
              <w:top w:val="single" w:color="000000" w:sz="4" w:space="0"/>
              <w:left w:val="single" w:color="000000" w:sz="4" w:space="0"/>
            </w:tcBorders>
            <w:shd w:val="clear" w:color="auto" w:fill="FFFFFF"/>
            <w:noWrap w:val="0"/>
            <w:vAlign w:val="center"/>
          </w:tcPr>
          <w:p w14:paraId="3D7A8D54">
            <w:pPr>
              <w:jc w:val="right"/>
              <w:rPr>
                <w:rFonts w:hint="eastAsia" w:ascii="宋体" w:hAnsi="宋体" w:cs="宋体"/>
                <w:color w:val="auto"/>
                <w:sz w:val="18"/>
                <w:szCs w:val="18"/>
                <w:highlight w:val="none"/>
              </w:rPr>
            </w:pP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20E6B8E0">
            <w:pPr>
              <w:jc w:val="center"/>
              <w:rPr>
                <w:rFonts w:hint="eastAsia" w:ascii="宋体" w:hAnsi="宋体" w:cs="宋体"/>
                <w:color w:val="auto"/>
                <w:sz w:val="18"/>
                <w:szCs w:val="18"/>
                <w:highlight w:val="none"/>
              </w:rPr>
            </w:pPr>
          </w:p>
        </w:tc>
      </w:tr>
      <w:tr w14:paraId="47CF35CF">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7BA53CA8">
            <w:pPr>
              <w:jc w:val="center"/>
              <w:rPr>
                <w:rFonts w:hint="eastAsia" w:ascii="宋体" w:hAnsi="宋体" w:cs="宋体"/>
                <w:color w:val="auto"/>
                <w:sz w:val="18"/>
                <w:szCs w:val="18"/>
                <w:highlight w:val="none"/>
              </w:rPr>
            </w:pPr>
          </w:p>
        </w:tc>
        <w:tc>
          <w:tcPr>
            <w:tcW w:w="4050" w:type="dxa"/>
            <w:tcBorders>
              <w:top w:val="single" w:color="000000" w:sz="4" w:space="0"/>
              <w:left w:val="single" w:color="000000" w:sz="4" w:space="0"/>
            </w:tcBorders>
            <w:shd w:val="clear" w:color="auto" w:fill="FFFFFF"/>
            <w:noWrap w:val="0"/>
            <w:vAlign w:val="center"/>
          </w:tcPr>
          <w:p w14:paraId="7FF29CDC">
            <w:pPr>
              <w:jc w:val="left"/>
              <w:rPr>
                <w:rFonts w:hint="eastAsia" w:ascii="宋体" w:hAnsi="宋体" w:cs="宋体"/>
                <w:color w:val="auto"/>
                <w:sz w:val="18"/>
                <w:szCs w:val="18"/>
                <w:highlight w:val="none"/>
              </w:rPr>
            </w:pPr>
          </w:p>
        </w:tc>
        <w:tc>
          <w:tcPr>
            <w:tcW w:w="1950" w:type="dxa"/>
            <w:tcBorders>
              <w:top w:val="single" w:color="000000" w:sz="4" w:space="0"/>
              <w:left w:val="single" w:color="000000" w:sz="4" w:space="0"/>
            </w:tcBorders>
            <w:shd w:val="clear" w:color="auto" w:fill="FFFFFF"/>
            <w:noWrap w:val="0"/>
            <w:vAlign w:val="center"/>
          </w:tcPr>
          <w:p w14:paraId="5DD7378E">
            <w:pPr>
              <w:jc w:val="right"/>
              <w:rPr>
                <w:rFonts w:hint="eastAsia" w:ascii="宋体" w:hAnsi="宋体" w:cs="宋体"/>
                <w:color w:val="auto"/>
                <w:sz w:val="18"/>
                <w:szCs w:val="18"/>
                <w:highlight w:val="none"/>
              </w:rPr>
            </w:pP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1359BB3D">
            <w:pPr>
              <w:jc w:val="center"/>
              <w:rPr>
                <w:rFonts w:hint="eastAsia" w:ascii="宋体" w:hAnsi="宋体" w:cs="宋体"/>
                <w:color w:val="auto"/>
                <w:sz w:val="18"/>
                <w:szCs w:val="18"/>
                <w:highlight w:val="none"/>
              </w:rPr>
            </w:pPr>
          </w:p>
        </w:tc>
      </w:tr>
      <w:tr w14:paraId="6C025200">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4681E3FA">
            <w:pPr>
              <w:jc w:val="center"/>
              <w:rPr>
                <w:rFonts w:hint="eastAsia" w:ascii="宋体" w:hAnsi="宋体" w:cs="宋体"/>
                <w:color w:val="auto"/>
                <w:sz w:val="18"/>
                <w:szCs w:val="18"/>
                <w:highlight w:val="none"/>
              </w:rPr>
            </w:pPr>
          </w:p>
        </w:tc>
        <w:tc>
          <w:tcPr>
            <w:tcW w:w="4050" w:type="dxa"/>
            <w:tcBorders>
              <w:top w:val="single" w:color="000000" w:sz="4" w:space="0"/>
              <w:left w:val="single" w:color="000000" w:sz="4" w:space="0"/>
            </w:tcBorders>
            <w:shd w:val="clear" w:color="auto" w:fill="FFFFFF"/>
            <w:noWrap w:val="0"/>
            <w:vAlign w:val="center"/>
          </w:tcPr>
          <w:p w14:paraId="4C2A5785">
            <w:pPr>
              <w:jc w:val="left"/>
              <w:rPr>
                <w:rFonts w:hint="eastAsia" w:ascii="宋体" w:hAnsi="宋体" w:cs="宋体"/>
                <w:color w:val="auto"/>
                <w:sz w:val="18"/>
                <w:szCs w:val="18"/>
                <w:highlight w:val="none"/>
              </w:rPr>
            </w:pPr>
          </w:p>
        </w:tc>
        <w:tc>
          <w:tcPr>
            <w:tcW w:w="1950" w:type="dxa"/>
            <w:tcBorders>
              <w:top w:val="single" w:color="000000" w:sz="4" w:space="0"/>
              <w:left w:val="single" w:color="000000" w:sz="4" w:space="0"/>
            </w:tcBorders>
            <w:shd w:val="clear" w:color="auto" w:fill="FFFFFF"/>
            <w:noWrap w:val="0"/>
            <w:vAlign w:val="center"/>
          </w:tcPr>
          <w:p w14:paraId="7DAF3D4C">
            <w:pPr>
              <w:jc w:val="right"/>
              <w:rPr>
                <w:rFonts w:hint="eastAsia" w:ascii="宋体" w:hAnsi="宋体" w:cs="宋体"/>
                <w:color w:val="auto"/>
                <w:sz w:val="18"/>
                <w:szCs w:val="18"/>
                <w:highlight w:val="none"/>
              </w:rPr>
            </w:pP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2EF34F61">
            <w:pPr>
              <w:jc w:val="center"/>
              <w:rPr>
                <w:rFonts w:hint="eastAsia" w:ascii="宋体" w:hAnsi="宋体" w:cs="宋体"/>
                <w:color w:val="auto"/>
                <w:sz w:val="18"/>
                <w:szCs w:val="18"/>
                <w:highlight w:val="none"/>
              </w:rPr>
            </w:pPr>
          </w:p>
        </w:tc>
      </w:tr>
      <w:tr w14:paraId="7C02B563">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4A40A8B1">
            <w:pPr>
              <w:jc w:val="center"/>
              <w:rPr>
                <w:rFonts w:hint="eastAsia" w:ascii="宋体" w:hAnsi="宋体" w:cs="宋体"/>
                <w:color w:val="auto"/>
                <w:sz w:val="18"/>
                <w:szCs w:val="18"/>
                <w:highlight w:val="none"/>
              </w:rPr>
            </w:pPr>
          </w:p>
        </w:tc>
        <w:tc>
          <w:tcPr>
            <w:tcW w:w="4050" w:type="dxa"/>
            <w:tcBorders>
              <w:top w:val="single" w:color="000000" w:sz="4" w:space="0"/>
              <w:left w:val="single" w:color="000000" w:sz="4" w:space="0"/>
            </w:tcBorders>
            <w:shd w:val="clear" w:color="auto" w:fill="FFFFFF"/>
            <w:noWrap w:val="0"/>
            <w:vAlign w:val="center"/>
          </w:tcPr>
          <w:p w14:paraId="2B9F0859">
            <w:pPr>
              <w:jc w:val="left"/>
              <w:rPr>
                <w:rFonts w:hint="eastAsia" w:ascii="宋体" w:hAnsi="宋体" w:cs="宋体"/>
                <w:color w:val="auto"/>
                <w:sz w:val="18"/>
                <w:szCs w:val="18"/>
                <w:highlight w:val="none"/>
              </w:rPr>
            </w:pPr>
          </w:p>
        </w:tc>
        <w:tc>
          <w:tcPr>
            <w:tcW w:w="1950" w:type="dxa"/>
            <w:tcBorders>
              <w:top w:val="single" w:color="000000" w:sz="4" w:space="0"/>
              <w:left w:val="single" w:color="000000" w:sz="4" w:space="0"/>
            </w:tcBorders>
            <w:shd w:val="clear" w:color="auto" w:fill="FFFFFF"/>
            <w:noWrap w:val="0"/>
            <w:vAlign w:val="center"/>
          </w:tcPr>
          <w:p w14:paraId="49BD4C38">
            <w:pPr>
              <w:jc w:val="right"/>
              <w:rPr>
                <w:rFonts w:hint="eastAsia" w:ascii="宋体" w:hAnsi="宋体" w:cs="宋体"/>
                <w:color w:val="auto"/>
                <w:sz w:val="18"/>
                <w:szCs w:val="18"/>
                <w:highlight w:val="none"/>
              </w:rPr>
            </w:pP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0EDC59F1">
            <w:pPr>
              <w:jc w:val="center"/>
              <w:rPr>
                <w:rFonts w:hint="eastAsia" w:ascii="宋体" w:hAnsi="宋体" w:cs="宋体"/>
                <w:color w:val="auto"/>
                <w:sz w:val="18"/>
                <w:szCs w:val="18"/>
                <w:highlight w:val="none"/>
              </w:rPr>
            </w:pPr>
          </w:p>
        </w:tc>
      </w:tr>
      <w:tr w14:paraId="779988EB">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2AEA160F">
            <w:pPr>
              <w:jc w:val="center"/>
              <w:rPr>
                <w:rFonts w:hint="eastAsia" w:ascii="宋体" w:hAnsi="宋体" w:cs="宋体"/>
                <w:color w:val="auto"/>
                <w:sz w:val="18"/>
                <w:szCs w:val="18"/>
                <w:highlight w:val="none"/>
              </w:rPr>
            </w:pPr>
          </w:p>
        </w:tc>
        <w:tc>
          <w:tcPr>
            <w:tcW w:w="4050" w:type="dxa"/>
            <w:tcBorders>
              <w:top w:val="single" w:color="000000" w:sz="4" w:space="0"/>
              <w:left w:val="single" w:color="000000" w:sz="4" w:space="0"/>
            </w:tcBorders>
            <w:shd w:val="clear" w:color="auto" w:fill="FFFFFF"/>
            <w:noWrap w:val="0"/>
            <w:vAlign w:val="center"/>
          </w:tcPr>
          <w:p w14:paraId="76E7725B">
            <w:pPr>
              <w:jc w:val="left"/>
              <w:rPr>
                <w:rFonts w:hint="eastAsia" w:ascii="宋体" w:hAnsi="宋体" w:cs="宋体"/>
                <w:color w:val="auto"/>
                <w:sz w:val="18"/>
                <w:szCs w:val="18"/>
                <w:highlight w:val="none"/>
              </w:rPr>
            </w:pPr>
          </w:p>
        </w:tc>
        <w:tc>
          <w:tcPr>
            <w:tcW w:w="1950" w:type="dxa"/>
            <w:tcBorders>
              <w:top w:val="single" w:color="000000" w:sz="4" w:space="0"/>
              <w:left w:val="single" w:color="000000" w:sz="4" w:space="0"/>
            </w:tcBorders>
            <w:shd w:val="clear" w:color="auto" w:fill="FFFFFF"/>
            <w:noWrap w:val="0"/>
            <w:vAlign w:val="center"/>
          </w:tcPr>
          <w:p w14:paraId="5A654E9C">
            <w:pPr>
              <w:jc w:val="right"/>
              <w:rPr>
                <w:rFonts w:hint="eastAsia" w:ascii="宋体" w:hAnsi="宋体" w:cs="宋体"/>
                <w:color w:val="auto"/>
                <w:sz w:val="18"/>
                <w:szCs w:val="18"/>
                <w:highlight w:val="none"/>
              </w:rPr>
            </w:pP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77705696">
            <w:pPr>
              <w:jc w:val="center"/>
              <w:rPr>
                <w:rFonts w:hint="eastAsia" w:ascii="宋体" w:hAnsi="宋体" w:cs="宋体"/>
                <w:color w:val="auto"/>
                <w:sz w:val="18"/>
                <w:szCs w:val="18"/>
                <w:highlight w:val="none"/>
              </w:rPr>
            </w:pPr>
          </w:p>
        </w:tc>
      </w:tr>
      <w:tr w14:paraId="3EBAF97D">
        <w:tblPrEx>
          <w:tblCellMar>
            <w:top w:w="15" w:type="dxa"/>
            <w:left w:w="15" w:type="dxa"/>
            <w:bottom w:w="15" w:type="dxa"/>
            <w:right w:w="15" w:type="dxa"/>
          </w:tblCellMar>
        </w:tblPrEx>
        <w:trPr>
          <w:trHeight w:val="435" w:hRule="atLeast"/>
        </w:trPr>
        <w:tc>
          <w:tcPr>
            <w:tcW w:w="660" w:type="dxa"/>
            <w:tcBorders>
              <w:top w:val="single" w:color="000000" w:sz="4" w:space="0"/>
              <w:left w:val="single" w:color="000000" w:sz="4" w:space="0"/>
            </w:tcBorders>
            <w:shd w:val="clear" w:color="auto" w:fill="FFFFFF"/>
            <w:noWrap w:val="0"/>
            <w:vAlign w:val="center"/>
          </w:tcPr>
          <w:p w14:paraId="66809F8B">
            <w:pPr>
              <w:jc w:val="center"/>
              <w:rPr>
                <w:rFonts w:hint="eastAsia" w:ascii="宋体" w:hAnsi="宋体" w:cs="宋体"/>
                <w:color w:val="auto"/>
                <w:sz w:val="18"/>
                <w:szCs w:val="18"/>
                <w:highlight w:val="none"/>
              </w:rPr>
            </w:pPr>
          </w:p>
        </w:tc>
        <w:tc>
          <w:tcPr>
            <w:tcW w:w="4050" w:type="dxa"/>
            <w:tcBorders>
              <w:top w:val="single" w:color="000000" w:sz="4" w:space="0"/>
              <w:left w:val="single" w:color="000000" w:sz="4" w:space="0"/>
            </w:tcBorders>
            <w:shd w:val="clear" w:color="auto" w:fill="FFFFFF"/>
            <w:noWrap w:val="0"/>
            <w:vAlign w:val="center"/>
          </w:tcPr>
          <w:p w14:paraId="2C85DBC4">
            <w:pPr>
              <w:jc w:val="left"/>
              <w:rPr>
                <w:rFonts w:hint="eastAsia" w:ascii="宋体" w:hAnsi="宋体" w:cs="宋体"/>
                <w:color w:val="auto"/>
                <w:sz w:val="18"/>
                <w:szCs w:val="18"/>
                <w:highlight w:val="none"/>
              </w:rPr>
            </w:pPr>
          </w:p>
        </w:tc>
        <w:tc>
          <w:tcPr>
            <w:tcW w:w="1950" w:type="dxa"/>
            <w:tcBorders>
              <w:top w:val="single" w:color="000000" w:sz="4" w:space="0"/>
              <w:left w:val="single" w:color="000000" w:sz="4" w:space="0"/>
            </w:tcBorders>
            <w:shd w:val="clear" w:color="auto" w:fill="FFFFFF"/>
            <w:noWrap w:val="0"/>
            <w:vAlign w:val="center"/>
          </w:tcPr>
          <w:p w14:paraId="141C9022">
            <w:pPr>
              <w:jc w:val="right"/>
              <w:rPr>
                <w:rFonts w:hint="eastAsia" w:ascii="宋体" w:hAnsi="宋体" w:cs="宋体"/>
                <w:color w:val="auto"/>
                <w:sz w:val="18"/>
                <w:szCs w:val="18"/>
                <w:highlight w:val="none"/>
              </w:rPr>
            </w:pPr>
          </w:p>
        </w:tc>
        <w:tc>
          <w:tcPr>
            <w:tcW w:w="2925" w:type="dxa"/>
            <w:tcBorders>
              <w:top w:val="single" w:color="000000" w:sz="4" w:space="0"/>
              <w:left w:val="single" w:color="000000" w:sz="4" w:space="0"/>
              <w:right w:val="single" w:color="000000" w:sz="4" w:space="0"/>
            </w:tcBorders>
            <w:shd w:val="clear" w:color="auto" w:fill="FFFFFF"/>
            <w:noWrap w:val="0"/>
            <w:vAlign w:val="center"/>
          </w:tcPr>
          <w:p w14:paraId="4931B171">
            <w:pPr>
              <w:jc w:val="center"/>
              <w:rPr>
                <w:rFonts w:hint="eastAsia" w:ascii="宋体" w:hAnsi="宋体" w:cs="宋体"/>
                <w:color w:val="auto"/>
                <w:sz w:val="18"/>
                <w:szCs w:val="18"/>
                <w:highlight w:val="none"/>
              </w:rPr>
            </w:pPr>
          </w:p>
        </w:tc>
      </w:tr>
      <w:tr w14:paraId="531E40AF">
        <w:tblPrEx>
          <w:tblCellMar>
            <w:top w:w="15" w:type="dxa"/>
            <w:left w:w="15" w:type="dxa"/>
            <w:bottom w:w="15" w:type="dxa"/>
            <w:right w:w="15" w:type="dxa"/>
          </w:tblCellMar>
        </w:tblPrEx>
        <w:trPr>
          <w:trHeight w:val="435" w:hRule="atLeast"/>
        </w:trPr>
        <w:tc>
          <w:tcPr>
            <w:tcW w:w="4710" w:type="dxa"/>
            <w:gridSpan w:val="2"/>
            <w:tcBorders>
              <w:top w:val="single" w:color="000000" w:sz="4" w:space="0"/>
              <w:left w:val="single" w:color="000000" w:sz="4" w:space="0"/>
              <w:bottom w:val="single" w:color="000000" w:sz="4" w:space="0"/>
            </w:tcBorders>
            <w:shd w:val="clear" w:color="auto" w:fill="FFFFFF"/>
            <w:noWrap w:val="0"/>
            <w:vAlign w:val="center"/>
          </w:tcPr>
          <w:p w14:paraId="648728B0">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合    计</w:t>
            </w:r>
          </w:p>
        </w:tc>
        <w:tc>
          <w:tcPr>
            <w:tcW w:w="1950" w:type="dxa"/>
            <w:tcBorders>
              <w:top w:val="single" w:color="000000" w:sz="4" w:space="0"/>
              <w:left w:val="single" w:color="000000" w:sz="4" w:space="0"/>
              <w:bottom w:val="single" w:color="000000" w:sz="4" w:space="0"/>
            </w:tcBorders>
            <w:shd w:val="clear" w:color="auto" w:fill="FFFFFF"/>
            <w:noWrap w:val="0"/>
            <w:vAlign w:val="center"/>
          </w:tcPr>
          <w:p w14:paraId="6306A479">
            <w:pPr>
              <w:jc w:val="right"/>
              <w:rPr>
                <w:rFonts w:hint="eastAsia" w:ascii="宋体" w:hAnsi="宋体" w:cs="宋体"/>
                <w:color w:val="auto"/>
                <w:sz w:val="18"/>
                <w:szCs w:val="18"/>
                <w:highlight w:val="none"/>
              </w:rPr>
            </w:pPr>
          </w:p>
        </w:tc>
        <w:tc>
          <w:tcPr>
            <w:tcW w:w="29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687A3E">
            <w:pPr>
              <w:widowControl/>
              <w:jc w:val="center"/>
              <w:textAlignment w:val="center"/>
              <w:rPr>
                <w:rFonts w:hint="eastAsia" w:ascii="宋体" w:hAnsi="宋体" w:cs="宋体"/>
                <w:color w:val="auto"/>
                <w:sz w:val="18"/>
                <w:szCs w:val="18"/>
                <w:highlight w:val="none"/>
              </w:rPr>
            </w:pPr>
            <w:r>
              <w:rPr>
                <w:rFonts w:hint="eastAsia" w:ascii="宋体" w:hAnsi="宋体" w:cs="宋体"/>
                <w:color w:val="auto"/>
                <w:kern w:val="0"/>
                <w:sz w:val="18"/>
                <w:szCs w:val="18"/>
                <w:highlight w:val="none"/>
                <w:lang w:bidi="ar"/>
              </w:rPr>
              <w:t>0</w:t>
            </w:r>
          </w:p>
        </w:tc>
      </w:tr>
    </w:tbl>
    <w:p w14:paraId="2FC8698B">
      <w:pPr>
        <w:pStyle w:val="5"/>
        <w:spacing w:line="440" w:lineRule="exact"/>
        <w:rPr>
          <w:rFonts w:hint="eastAsia" w:ascii="黑体" w:hAnsi="宋体"/>
          <w:color w:val="auto"/>
          <w:sz w:val="24"/>
          <w:szCs w:val="24"/>
          <w:highlight w:val="none"/>
        </w:rPr>
      </w:pPr>
      <w:bookmarkStart w:id="89" w:name="_Toc17985"/>
      <w:r>
        <w:rPr>
          <w:rFonts w:hint="eastAsia" w:ascii="黑体" w:hAnsi="宋体"/>
          <w:color w:val="auto"/>
          <w:sz w:val="24"/>
          <w:szCs w:val="24"/>
          <w:highlight w:val="none"/>
        </w:rPr>
        <w:t>附件</w:t>
      </w:r>
      <w:r>
        <w:rPr>
          <w:rFonts w:hint="eastAsia" w:ascii="黑体" w:hAnsi="宋体"/>
          <w:color w:val="auto"/>
          <w:sz w:val="24"/>
          <w:szCs w:val="24"/>
          <w:highlight w:val="none"/>
          <w:lang w:val="en-US" w:eastAsia="zh-CN"/>
        </w:rPr>
        <w:t>10</w:t>
      </w:r>
      <w:r>
        <w:rPr>
          <w:rFonts w:hint="eastAsia" w:ascii="黑体" w:hAnsi="宋体"/>
          <w:color w:val="auto"/>
          <w:sz w:val="24"/>
          <w:szCs w:val="24"/>
          <w:highlight w:val="none"/>
        </w:rPr>
        <w:t xml:space="preserve"> </w:t>
      </w:r>
      <w:bookmarkEnd w:id="83"/>
      <w:r>
        <w:rPr>
          <w:rFonts w:hint="eastAsia" w:ascii="黑体" w:hAnsi="宋体"/>
          <w:color w:val="auto"/>
          <w:sz w:val="24"/>
          <w:szCs w:val="24"/>
          <w:highlight w:val="none"/>
        </w:rPr>
        <w:t>资格证明文件</w:t>
      </w:r>
      <w:bookmarkEnd w:id="84"/>
      <w:bookmarkEnd w:id="89"/>
    </w:p>
    <w:p w14:paraId="547E9B9D">
      <w:pPr>
        <w:spacing w:line="440" w:lineRule="exact"/>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资格证明文件</w:t>
      </w:r>
    </w:p>
    <w:p w14:paraId="650EDDCC">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t>（1）法定代表人、单位负责人或自然人本人的身份证明（适用于法定代表人、单位负责人或者自然人本人代表磋商供应商参加磋商）</w:t>
      </w:r>
    </w:p>
    <w:p w14:paraId="4CDA1FF8">
      <w:pPr>
        <w:autoSpaceDE w:val="0"/>
        <w:autoSpaceDN w:val="0"/>
        <w:adjustRightInd w:val="0"/>
        <w:rPr>
          <w:rFonts w:hint="eastAsia" w:ascii="宋体" w:hAnsi="宋体" w:cs="宋体"/>
          <w:color w:val="auto"/>
          <w:kern w:val="0"/>
          <w:sz w:val="22"/>
          <w:szCs w:val="22"/>
          <w:highlight w:val="none"/>
        </w:rPr>
      </w:pPr>
    </w:p>
    <w:p w14:paraId="4BA92FA3">
      <w:pPr>
        <w:autoSpaceDE w:val="0"/>
        <w:autoSpaceDN w:val="0"/>
        <w:adjustRightInd w:val="0"/>
        <w:spacing w:line="44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磋商供应商名称：</w:t>
      </w:r>
      <w:r>
        <w:rPr>
          <w:rFonts w:hint="eastAsia" w:ascii="宋体" w:hAnsi="宋体" w:cs="宋体"/>
          <w:color w:val="auto"/>
          <w:kern w:val="0"/>
          <w:sz w:val="22"/>
          <w:szCs w:val="22"/>
          <w:highlight w:val="none"/>
          <w:u w:val="single"/>
        </w:rPr>
        <w:t xml:space="preserve">                            </w:t>
      </w:r>
    </w:p>
    <w:p w14:paraId="5ECDD410">
      <w:pPr>
        <w:autoSpaceDE w:val="0"/>
        <w:autoSpaceDN w:val="0"/>
        <w:adjustRightInd w:val="0"/>
        <w:spacing w:line="44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单位性质： </w:t>
      </w:r>
      <w:r>
        <w:rPr>
          <w:rFonts w:hint="eastAsia" w:ascii="宋体" w:hAnsi="宋体" w:cs="宋体"/>
          <w:color w:val="auto"/>
          <w:kern w:val="0"/>
          <w:sz w:val="22"/>
          <w:szCs w:val="22"/>
          <w:highlight w:val="none"/>
          <w:u w:val="single"/>
        </w:rPr>
        <w:t xml:space="preserve">                                 </w:t>
      </w:r>
    </w:p>
    <w:p w14:paraId="7CD0EB08">
      <w:pPr>
        <w:autoSpaceDE w:val="0"/>
        <w:autoSpaceDN w:val="0"/>
        <w:adjustRightInd w:val="0"/>
        <w:spacing w:line="44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地    址：</w:t>
      </w:r>
      <w:r>
        <w:rPr>
          <w:rFonts w:hint="eastAsia" w:ascii="宋体" w:hAnsi="宋体" w:cs="宋体"/>
          <w:color w:val="auto"/>
          <w:kern w:val="0"/>
          <w:sz w:val="22"/>
          <w:szCs w:val="22"/>
          <w:highlight w:val="none"/>
          <w:u w:val="single"/>
        </w:rPr>
        <w:t xml:space="preserve">                                  </w:t>
      </w:r>
    </w:p>
    <w:p w14:paraId="674F7138">
      <w:pPr>
        <w:autoSpaceDE w:val="0"/>
        <w:autoSpaceDN w:val="0"/>
        <w:adjustRightInd w:val="0"/>
        <w:spacing w:line="44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成立时间： </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年</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月</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日</w:t>
      </w:r>
      <w:r>
        <w:rPr>
          <w:rFonts w:hint="eastAsia" w:ascii="宋体" w:hAnsi="宋体" w:cs="宋体"/>
          <w:color w:val="auto"/>
          <w:kern w:val="0"/>
          <w:sz w:val="22"/>
          <w:szCs w:val="22"/>
          <w:highlight w:val="none"/>
        </w:rPr>
        <w:tab/>
      </w:r>
    </w:p>
    <w:p w14:paraId="1CC3BB5B">
      <w:pPr>
        <w:autoSpaceDE w:val="0"/>
        <w:autoSpaceDN w:val="0"/>
        <w:adjustRightInd w:val="0"/>
        <w:spacing w:line="44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经营期限：</w:t>
      </w:r>
      <w:r>
        <w:rPr>
          <w:rFonts w:hint="eastAsia" w:ascii="宋体" w:hAnsi="宋体" w:cs="宋体"/>
          <w:color w:val="auto"/>
          <w:kern w:val="0"/>
          <w:sz w:val="22"/>
          <w:szCs w:val="22"/>
          <w:highlight w:val="none"/>
          <w:u w:val="single"/>
        </w:rPr>
        <w:t xml:space="preserve">                                   </w:t>
      </w:r>
    </w:p>
    <w:p w14:paraId="3B0C8AA1">
      <w:pPr>
        <w:autoSpaceDE w:val="0"/>
        <w:autoSpaceDN w:val="0"/>
        <w:adjustRightInd w:val="0"/>
        <w:spacing w:line="44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姓    名：</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性别：</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年龄：</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职务：</w:t>
      </w:r>
      <w:r>
        <w:rPr>
          <w:rFonts w:hint="eastAsia" w:ascii="宋体" w:hAnsi="宋体" w:cs="宋体"/>
          <w:color w:val="auto"/>
          <w:kern w:val="0"/>
          <w:sz w:val="22"/>
          <w:szCs w:val="22"/>
          <w:highlight w:val="none"/>
          <w:u w:val="single"/>
        </w:rPr>
        <w:t xml:space="preserve">         </w:t>
      </w:r>
    </w:p>
    <w:p w14:paraId="55A26451">
      <w:pPr>
        <w:autoSpaceDE w:val="0"/>
        <w:autoSpaceDN w:val="0"/>
        <w:adjustRightInd w:val="0"/>
        <w:spacing w:line="44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系：</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 xml:space="preserve"> （磋商供应商名称）的法定代表人</w:t>
      </w:r>
    </w:p>
    <w:p w14:paraId="0E5E23BA">
      <w:pPr>
        <w:autoSpaceDE w:val="0"/>
        <w:autoSpaceDN w:val="0"/>
        <w:adjustRightInd w:val="0"/>
        <w:spacing w:line="440" w:lineRule="exac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特此证明</w:t>
      </w:r>
    </w:p>
    <w:p w14:paraId="5EA01FDB">
      <w:pPr>
        <w:autoSpaceDE w:val="0"/>
        <w:autoSpaceDN w:val="0"/>
        <w:adjustRightInd w:val="0"/>
        <w:spacing w:line="440" w:lineRule="exact"/>
        <w:rPr>
          <w:rFonts w:hint="eastAsia" w:ascii="宋体" w:hAnsi="宋体" w:cs="宋体"/>
          <w:color w:val="auto"/>
          <w:kern w:val="0"/>
          <w:sz w:val="22"/>
          <w:szCs w:val="22"/>
          <w:highlight w:val="none"/>
        </w:rPr>
      </w:pPr>
    </w:p>
    <w:p w14:paraId="332CE5CF">
      <w:pPr>
        <w:autoSpaceDE w:val="0"/>
        <w:autoSpaceDN w:val="0"/>
        <w:adjustRightInd w:val="0"/>
        <w:spacing w:line="440" w:lineRule="exact"/>
        <w:rPr>
          <w:rFonts w:hint="eastAsia" w:ascii="宋体" w:hAnsi="宋体" w:cs="宋体"/>
          <w:color w:val="auto"/>
          <w:kern w:val="0"/>
          <w:sz w:val="22"/>
          <w:szCs w:val="22"/>
          <w:highlight w:val="none"/>
        </w:rPr>
      </w:pPr>
    </w:p>
    <w:p w14:paraId="2C13FB6B">
      <w:pPr>
        <w:autoSpaceDE w:val="0"/>
        <w:autoSpaceDN w:val="0"/>
        <w:adjustRightInd w:val="0"/>
        <w:spacing w:line="440" w:lineRule="exact"/>
        <w:rPr>
          <w:rFonts w:hint="eastAsia" w:ascii="宋体" w:hAnsi="宋体" w:cs="宋体"/>
          <w:color w:val="auto"/>
          <w:kern w:val="0"/>
          <w:sz w:val="22"/>
          <w:szCs w:val="22"/>
          <w:highlight w:val="none"/>
        </w:rPr>
      </w:pPr>
    </w:p>
    <w:p w14:paraId="1679586E">
      <w:pPr>
        <w:autoSpaceDE w:val="0"/>
        <w:autoSpaceDN w:val="0"/>
        <w:adjustRightInd w:val="0"/>
        <w:spacing w:line="440" w:lineRule="exact"/>
        <w:jc w:val="righ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磋商供应商：</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（盖单位章）</w:t>
      </w:r>
    </w:p>
    <w:p w14:paraId="0027BA11">
      <w:pPr>
        <w:wordWrap w:val="0"/>
        <w:autoSpaceDE w:val="0"/>
        <w:autoSpaceDN w:val="0"/>
        <w:adjustRightInd w:val="0"/>
        <w:spacing w:line="440" w:lineRule="exact"/>
        <w:ind w:firstLine="1650" w:firstLineChars="750"/>
        <w:jc w:val="righ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日期：        年      月       日</w:t>
      </w:r>
    </w:p>
    <w:p w14:paraId="532C0958">
      <w:pPr>
        <w:autoSpaceDE w:val="0"/>
        <w:autoSpaceDN w:val="0"/>
        <w:adjustRightInd w:val="0"/>
        <w:jc w:val="left"/>
        <w:rPr>
          <w:rFonts w:hint="eastAsia" w:ascii="宋体" w:hAnsi="宋体" w:cs="宋体"/>
          <w:color w:val="auto"/>
          <w:kern w:val="0"/>
          <w:sz w:val="22"/>
          <w:szCs w:val="22"/>
          <w:highlight w:val="none"/>
        </w:rPr>
      </w:pPr>
    </w:p>
    <w:p w14:paraId="2D1BA023">
      <w:pPr>
        <w:spacing w:line="380" w:lineRule="exact"/>
        <w:jc w:val="center"/>
        <w:rPr>
          <w:rFonts w:hint="eastAsia" w:ascii="宋体" w:hAnsi="宋体" w:cs="宋体"/>
          <w:b/>
          <w:color w:val="auto"/>
          <w:sz w:val="24"/>
          <w:highlight w:val="none"/>
        </w:rPr>
      </w:pPr>
    </w:p>
    <w:p w14:paraId="7DA2896F">
      <w:pPr>
        <w:spacing w:line="380" w:lineRule="exact"/>
        <w:rPr>
          <w:rFonts w:hint="eastAsia" w:ascii="宋体" w:hAnsi="宋体" w:cs="宋体"/>
          <w:b/>
          <w:color w:val="auto"/>
          <w:sz w:val="24"/>
          <w:highlight w:val="none"/>
        </w:rPr>
      </w:pPr>
      <w:r>
        <w:rPr>
          <w:rFonts w:hint="eastAsia" w:ascii="宋体" w:hAnsi="宋体" w:cs="宋体"/>
          <w:b/>
          <w:color w:val="auto"/>
          <w:sz w:val="24"/>
          <w:highlight w:val="none"/>
        </w:rPr>
        <w:t>附：法定代表人身份证明</w:t>
      </w:r>
    </w:p>
    <w:p w14:paraId="4B3BAE36">
      <w:pPr>
        <w:spacing w:line="380" w:lineRule="exact"/>
        <w:rPr>
          <w:rFonts w:hint="eastAsia" w:ascii="宋体" w:hAnsi="宋体" w:cs="宋体"/>
          <w:b/>
          <w:color w:val="auto"/>
          <w:sz w:val="24"/>
          <w:highlight w:val="none"/>
        </w:rPr>
      </w:pPr>
    </w:p>
    <w:tbl>
      <w:tblPr>
        <w:tblStyle w:val="38"/>
        <w:tblpPr w:leftFromText="180" w:rightFromText="180" w:vertAnchor="text" w:horzAnchor="margin" w:tblpXSpec="right" w:tblpY="10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1"/>
      </w:tblGrid>
      <w:tr w14:paraId="1BA12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691" w:type="dxa"/>
          </w:tcPr>
          <w:p w14:paraId="7720D8DD">
            <w:pPr>
              <w:spacing w:line="440" w:lineRule="exact"/>
              <w:rPr>
                <w:rFonts w:hint="eastAsia" w:ascii="宋体" w:hAnsi="宋体" w:cs="宋体"/>
                <w:color w:val="auto"/>
                <w:sz w:val="22"/>
                <w:szCs w:val="22"/>
                <w:highlight w:val="none"/>
              </w:rPr>
            </w:pPr>
          </w:p>
          <w:p w14:paraId="40703C08">
            <w:pPr>
              <w:spacing w:line="440" w:lineRule="exact"/>
              <w:rPr>
                <w:rFonts w:hint="eastAsia" w:ascii="宋体" w:hAnsi="宋体" w:cs="宋体"/>
                <w:color w:val="auto"/>
                <w:sz w:val="22"/>
                <w:szCs w:val="22"/>
                <w:highlight w:val="none"/>
              </w:rPr>
            </w:pPr>
          </w:p>
          <w:p w14:paraId="102AC698">
            <w:pPr>
              <w:spacing w:line="440" w:lineRule="exact"/>
              <w:rPr>
                <w:rFonts w:hint="eastAsia" w:ascii="宋体" w:hAnsi="宋体" w:cs="宋体"/>
                <w:color w:val="auto"/>
                <w:sz w:val="22"/>
                <w:szCs w:val="22"/>
                <w:highlight w:val="none"/>
              </w:rPr>
            </w:pPr>
          </w:p>
          <w:p w14:paraId="74831300">
            <w:pPr>
              <w:spacing w:line="440" w:lineRule="exact"/>
              <w:ind w:firstLine="1100" w:firstLineChars="50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法人代表身份证复印件（粘贴处）</w:t>
            </w:r>
          </w:p>
        </w:tc>
      </w:tr>
    </w:tbl>
    <w:p w14:paraId="2DA0A5FE">
      <w:pPr>
        <w:spacing w:line="380" w:lineRule="exact"/>
        <w:jc w:val="center"/>
        <w:rPr>
          <w:rFonts w:hint="eastAsia" w:ascii="宋体" w:hAnsi="宋体" w:cs="宋体"/>
          <w:b/>
          <w:color w:val="auto"/>
          <w:sz w:val="24"/>
          <w:highlight w:val="none"/>
        </w:rPr>
      </w:pPr>
      <w:r>
        <w:rPr>
          <w:rFonts w:hint="eastAsia" w:ascii="宋体" w:hAnsi="宋体" w:cs="宋体"/>
          <w:b/>
          <w:color w:val="auto"/>
          <w:sz w:val="24"/>
          <w:highlight w:val="none"/>
        </w:rPr>
        <w:br w:type="page"/>
      </w:r>
      <w:r>
        <w:rPr>
          <w:rFonts w:hint="eastAsia" w:ascii="宋体" w:hAnsi="宋体" w:cs="宋体"/>
          <w:b/>
          <w:color w:val="auto"/>
          <w:sz w:val="24"/>
          <w:highlight w:val="none"/>
        </w:rPr>
        <w:t>（2）法定代表人授权书</w:t>
      </w:r>
    </w:p>
    <w:p w14:paraId="362F9772">
      <w:pPr>
        <w:spacing w:line="460" w:lineRule="exact"/>
        <w:rPr>
          <w:rFonts w:hint="eastAsia" w:ascii="宋体" w:hAnsi="宋体" w:cs="宋体"/>
          <w:color w:val="auto"/>
          <w:sz w:val="22"/>
          <w:szCs w:val="22"/>
          <w:highlight w:val="none"/>
        </w:rPr>
      </w:pPr>
    </w:p>
    <w:p w14:paraId="150B1F70">
      <w:pPr>
        <w:spacing w:line="460" w:lineRule="exact"/>
        <w:rPr>
          <w:rFonts w:hint="eastAsia" w:ascii="宋体" w:hAnsi="宋体" w:cs="宋体"/>
          <w:b/>
          <w:color w:val="auto"/>
          <w:sz w:val="24"/>
          <w:highlight w:val="none"/>
        </w:rPr>
      </w:pPr>
      <w:r>
        <w:rPr>
          <w:rFonts w:hint="eastAsia" w:ascii="宋体" w:hAnsi="宋体" w:cs="宋体"/>
          <w:b/>
          <w:color w:val="auto"/>
          <w:sz w:val="24"/>
          <w:highlight w:val="none"/>
          <w:lang w:eastAsia="zh-CN"/>
        </w:rPr>
        <w:t>温州市综合行政执法局</w:t>
      </w:r>
      <w:r>
        <w:rPr>
          <w:rFonts w:hint="eastAsia" w:ascii="宋体" w:hAnsi="宋体" w:cs="宋体"/>
          <w:b/>
          <w:color w:val="auto"/>
          <w:sz w:val="24"/>
          <w:highlight w:val="none"/>
        </w:rPr>
        <w:t>：</w:t>
      </w:r>
    </w:p>
    <w:p w14:paraId="32A7D50D">
      <w:pPr>
        <w:spacing w:line="440" w:lineRule="exact"/>
        <w:rPr>
          <w:rFonts w:hint="eastAsia" w:ascii="宋体" w:hAnsi="宋体" w:cs="宋体"/>
          <w:color w:val="auto"/>
          <w:sz w:val="22"/>
          <w:szCs w:val="22"/>
          <w:highlight w:val="none"/>
          <w:u w:val="single"/>
        </w:rPr>
      </w:pPr>
    </w:p>
    <w:p w14:paraId="0227679A">
      <w:pPr>
        <w:spacing w:line="440" w:lineRule="exact"/>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 xml:space="preserve">本人       </w:t>
      </w:r>
      <w:r>
        <w:rPr>
          <w:rFonts w:hint="eastAsia" w:ascii="宋体" w:hAnsi="宋体" w:cs="宋体"/>
          <w:color w:val="auto"/>
          <w:sz w:val="22"/>
          <w:szCs w:val="22"/>
          <w:highlight w:val="none"/>
        </w:rPr>
        <w:t>（姓名）系</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（磋商供应商全称）的法定代表人，现委托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（全权代表姓名）为我方授权代表。代理人根据授权，以我方名义签署、澄清、说明、补正、递交、撤回、修改</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（项目名称、编号）响应文件、签订合同和处理有关事宜，其法律后果由我方承担。</w:t>
      </w:r>
    </w:p>
    <w:p w14:paraId="5D9DA182">
      <w:pPr>
        <w:spacing w:line="440" w:lineRule="exact"/>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 xml:space="preserve">    委托期限：</w:t>
      </w:r>
      <w:r>
        <w:rPr>
          <w:rFonts w:hint="eastAsia" w:ascii="宋体" w:hAnsi="宋体" w:cs="宋体"/>
          <w:color w:val="auto"/>
          <w:sz w:val="22"/>
          <w:szCs w:val="22"/>
          <w:highlight w:val="none"/>
          <w:u w:val="single"/>
        </w:rPr>
        <w:t xml:space="preserve">                                </w:t>
      </w:r>
    </w:p>
    <w:p w14:paraId="0E6293AF">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代理人无转委托权。</w:t>
      </w:r>
    </w:p>
    <w:p w14:paraId="60DC5085">
      <w:pPr>
        <w:spacing w:line="44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76D99829">
      <w:pPr>
        <w:spacing w:line="440" w:lineRule="exact"/>
        <w:ind w:firstLine="4301" w:firstLineChars="1955"/>
        <w:rPr>
          <w:rFonts w:hint="eastAsia" w:ascii="宋体" w:hAnsi="宋体" w:cs="宋体"/>
          <w:color w:val="auto"/>
          <w:sz w:val="22"/>
          <w:szCs w:val="22"/>
          <w:highlight w:val="none"/>
        </w:rPr>
      </w:pPr>
      <w:r>
        <w:rPr>
          <w:rFonts w:hint="eastAsia" w:ascii="宋体" w:hAnsi="宋体" w:cs="宋体"/>
          <w:color w:val="auto"/>
          <w:sz w:val="22"/>
          <w:szCs w:val="22"/>
          <w:highlight w:val="none"/>
        </w:rPr>
        <w:t>法定代表人（签字/电子签字）：</w:t>
      </w:r>
    </w:p>
    <w:p w14:paraId="4E2003E0">
      <w:pPr>
        <w:spacing w:line="44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磋商供应商全称（电子签名/公章）：</w:t>
      </w:r>
    </w:p>
    <w:p w14:paraId="0B35B712">
      <w:pPr>
        <w:spacing w:line="440" w:lineRule="exact"/>
        <w:ind w:firstLine="2955"/>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 xml:space="preserve"> 日期：      年    月    日</w:t>
      </w:r>
    </w:p>
    <w:p w14:paraId="7F511BDB">
      <w:pPr>
        <w:spacing w:line="440" w:lineRule="exact"/>
        <w:rPr>
          <w:rFonts w:hint="eastAsia" w:ascii="宋体" w:hAnsi="宋体" w:cs="宋体"/>
          <w:color w:val="auto"/>
          <w:sz w:val="22"/>
          <w:szCs w:val="22"/>
          <w:highlight w:val="none"/>
        </w:rPr>
      </w:pPr>
    </w:p>
    <w:p w14:paraId="28B03AE1">
      <w:pPr>
        <w:spacing w:line="440" w:lineRule="exact"/>
        <w:rPr>
          <w:rFonts w:hint="eastAsia" w:ascii="宋体" w:hAnsi="宋体" w:cs="宋体"/>
          <w:color w:val="auto"/>
          <w:sz w:val="22"/>
          <w:szCs w:val="22"/>
          <w:highlight w:val="none"/>
        </w:rPr>
      </w:pPr>
    </w:p>
    <w:p w14:paraId="28D9F861">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附：</w:t>
      </w:r>
    </w:p>
    <w:p w14:paraId="6F43B580">
      <w:pPr>
        <w:spacing w:line="44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授权代表姓名：</w:t>
      </w:r>
    </w:p>
    <w:p w14:paraId="1A7C570E">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身份证号码：</w:t>
      </w:r>
    </w:p>
    <w:p w14:paraId="1AA69CDB">
      <w:pPr>
        <w:spacing w:line="440" w:lineRule="exact"/>
        <w:ind w:firstLine="220" w:firstLineChars="100"/>
        <w:rPr>
          <w:rFonts w:ascii="宋体" w:hAnsi="宋体" w:cs="宋体"/>
          <w:color w:val="auto"/>
          <w:sz w:val="22"/>
          <w:szCs w:val="22"/>
          <w:highlight w:val="none"/>
        </w:rPr>
      </w:pPr>
      <w:r>
        <w:rPr>
          <w:rFonts w:hint="eastAsia" w:ascii="宋体" w:hAnsi="宋体" w:cs="宋体"/>
          <w:color w:val="auto"/>
          <w:sz w:val="22"/>
          <w:szCs w:val="22"/>
          <w:highlight w:val="none"/>
        </w:rPr>
        <w:t>职务：</w:t>
      </w:r>
    </w:p>
    <w:p w14:paraId="259AD5DE">
      <w:pPr>
        <w:spacing w:line="440" w:lineRule="exact"/>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手机：</w:t>
      </w:r>
    </w:p>
    <w:p w14:paraId="4808C6B6">
      <w:pPr>
        <w:spacing w:line="440" w:lineRule="exact"/>
        <w:rPr>
          <w:rFonts w:hint="eastAsia" w:ascii="宋体" w:hAnsi="宋体" w:cs="宋体"/>
          <w:color w:val="auto"/>
          <w:sz w:val="22"/>
          <w:szCs w:val="22"/>
          <w:highlight w:val="none"/>
        </w:rPr>
      </w:pPr>
      <w:r>
        <w:rPr>
          <w:rFonts w:hint="eastAsia" w:ascii="宋体" w:hAnsi="宋体" w:cs="宋体"/>
          <w:b/>
          <w:color w:val="auto"/>
          <w:sz w:val="24"/>
          <w:highlight w:val="none"/>
        </w:rPr>
        <w:t>附：授权代表身份证明</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14:paraId="7855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9727" w:type="dxa"/>
          </w:tcPr>
          <w:p w14:paraId="7001C2E7">
            <w:pPr>
              <w:spacing w:line="440" w:lineRule="exact"/>
              <w:rPr>
                <w:rFonts w:hint="eastAsia" w:ascii="宋体" w:hAnsi="宋体" w:cs="宋体"/>
                <w:color w:val="auto"/>
                <w:sz w:val="22"/>
                <w:szCs w:val="22"/>
                <w:highlight w:val="none"/>
              </w:rPr>
            </w:pPr>
          </w:p>
          <w:p w14:paraId="235A0A8B">
            <w:pPr>
              <w:spacing w:line="440" w:lineRule="exact"/>
              <w:rPr>
                <w:rFonts w:hint="eastAsia" w:ascii="宋体" w:hAnsi="宋体" w:cs="宋体"/>
                <w:color w:val="auto"/>
                <w:sz w:val="22"/>
                <w:szCs w:val="22"/>
                <w:highlight w:val="none"/>
              </w:rPr>
            </w:pPr>
          </w:p>
          <w:p w14:paraId="222B0801">
            <w:pPr>
              <w:spacing w:line="440" w:lineRule="exact"/>
              <w:rPr>
                <w:rFonts w:hint="eastAsia" w:ascii="宋体" w:hAnsi="宋体" w:cs="宋体"/>
                <w:color w:val="auto"/>
                <w:sz w:val="22"/>
                <w:szCs w:val="22"/>
                <w:highlight w:val="none"/>
              </w:rPr>
            </w:pPr>
          </w:p>
          <w:p w14:paraId="76F0C4C8">
            <w:pPr>
              <w:spacing w:line="440" w:lineRule="exact"/>
              <w:ind w:firstLine="1100" w:firstLineChars="500"/>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授权代表身份证复印件（扫描件）（粘贴处）</w:t>
            </w:r>
          </w:p>
        </w:tc>
      </w:tr>
    </w:tbl>
    <w:p w14:paraId="44F6CCBA">
      <w:pPr>
        <w:spacing w:line="440" w:lineRule="exact"/>
        <w:ind w:firstLine="220" w:firstLineChars="100"/>
        <w:rPr>
          <w:rFonts w:hint="eastAsia" w:ascii="宋体" w:hAnsi="宋体" w:cs="宋体"/>
          <w:color w:val="auto"/>
          <w:sz w:val="22"/>
          <w:szCs w:val="22"/>
          <w:highlight w:val="none"/>
        </w:rPr>
      </w:pPr>
    </w:p>
    <w:p w14:paraId="6D709B8E">
      <w:pPr>
        <w:spacing w:line="440" w:lineRule="exact"/>
        <w:rPr>
          <w:rFonts w:hint="eastAsia" w:ascii="宋体" w:hAnsi="宋体" w:cs="宋体"/>
          <w:b/>
          <w:bCs/>
          <w:color w:val="auto"/>
          <w:sz w:val="22"/>
          <w:szCs w:val="22"/>
          <w:highlight w:val="none"/>
        </w:rPr>
      </w:pPr>
    </w:p>
    <w:p w14:paraId="7178D75A">
      <w:pPr>
        <w:spacing w:line="440" w:lineRule="exact"/>
        <w:rPr>
          <w:rFonts w:ascii="宋体" w:hAnsi="宋体"/>
          <w:color w:val="auto"/>
          <w:highlight w:val="none"/>
        </w:rPr>
        <w:sectPr>
          <w:pgSz w:w="11906" w:h="16838"/>
          <w:pgMar w:top="1134" w:right="1134" w:bottom="1134" w:left="1134" w:header="851" w:footer="992" w:gutter="0"/>
          <w:cols w:space="720" w:num="1"/>
          <w:docGrid w:linePitch="312" w:charSpace="0"/>
        </w:sectPr>
      </w:pPr>
    </w:p>
    <w:p w14:paraId="4988B864">
      <w:pPr>
        <w:spacing w:line="380" w:lineRule="exact"/>
        <w:jc w:val="center"/>
        <w:rPr>
          <w:rFonts w:ascii="宋体" w:hAnsi="宋体" w:cs="宋体"/>
          <w:b/>
          <w:color w:val="auto"/>
          <w:sz w:val="24"/>
          <w:highlight w:val="none"/>
        </w:rPr>
      </w:pPr>
      <w:r>
        <w:rPr>
          <w:rFonts w:hint="eastAsia" w:ascii="宋体" w:hAnsi="宋体" w:cs="宋体"/>
          <w:b/>
          <w:color w:val="auto"/>
          <w:sz w:val="24"/>
          <w:highlight w:val="none"/>
        </w:rPr>
        <w:t>（3）</w:t>
      </w:r>
      <w:r>
        <w:rPr>
          <w:rFonts w:ascii="宋体" w:hAnsi="宋体" w:cs="宋体"/>
          <w:b/>
          <w:color w:val="auto"/>
          <w:sz w:val="24"/>
          <w:highlight w:val="none"/>
        </w:rPr>
        <w:t>符合参加政府采购活动应当具备的一般条件的承诺函</w:t>
      </w:r>
    </w:p>
    <w:p w14:paraId="0CA12EC8">
      <w:pPr>
        <w:spacing w:line="460" w:lineRule="exact"/>
        <w:ind w:right="-153" w:rightChars="-73"/>
        <w:rPr>
          <w:rFonts w:ascii="楷体_GB2312" w:hAnsi="宋体" w:eastAsia="楷体_GB2312"/>
          <w:bCs/>
          <w:color w:val="auto"/>
          <w:sz w:val="22"/>
          <w:szCs w:val="22"/>
          <w:highlight w:val="none"/>
        </w:rPr>
      </w:pPr>
    </w:p>
    <w:p w14:paraId="7086FFA5">
      <w:pPr>
        <w:snapToGrid w:val="0"/>
        <w:spacing w:line="360" w:lineRule="auto"/>
        <w:rPr>
          <w:rFonts w:ascii="宋体" w:hAnsi="宋体" w:cs="仿宋_GB2312"/>
          <w:b/>
          <w:bCs/>
          <w:color w:val="auto"/>
          <w:sz w:val="22"/>
          <w:szCs w:val="22"/>
          <w:highlight w:val="none"/>
        </w:rPr>
      </w:pPr>
      <w:r>
        <w:rPr>
          <w:rFonts w:hint="eastAsia" w:ascii="宋体" w:hAnsi="宋体" w:cs="Arial"/>
          <w:b/>
          <w:bCs/>
          <w:color w:val="auto"/>
          <w:sz w:val="22"/>
          <w:szCs w:val="22"/>
          <w:highlight w:val="none"/>
          <w:lang w:eastAsia="zh-CN"/>
        </w:rPr>
        <w:t>温州市综合行政执法局</w:t>
      </w:r>
      <w:r>
        <w:rPr>
          <w:rFonts w:hint="eastAsia" w:ascii="宋体" w:hAnsi="宋体" w:cs="Arial"/>
          <w:b/>
          <w:bCs/>
          <w:color w:val="auto"/>
          <w:sz w:val="22"/>
          <w:szCs w:val="22"/>
          <w:highlight w:val="none"/>
        </w:rPr>
        <w:t>、</w:t>
      </w:r>
      <w:r>
        <w:rPr>
          <w:rFonts w:hint="eastAsia" w:ascii="宋体" w:hAnsi="宋体" w:cs="仿宋_GB2312"/>
          <w:b/>
          <w:bCs/>
          <w:color w:val="auto"/>
          <w:sz w:val="22"/>
          <w:szCs w:val="22"/>
          <w:highlight w:val="none"/>
          <w:lang w:eastAsia="zh-CN"/>
        </w:rPr>
        <w:t>温州众晟工程管理有限公司</w:t>
      </w:r>
      <w:r>
        <w:rPr>
          <w:rFonts w:hint="eastAsia" w:ascii="宋体" w:hAnsi="宋体" w:cs="仿宋_GB2312"/>
          <w:b/>
          <w:bCs/>
          <w:color w:val="auto"/>
          <w:sz w:val="22"/>
          <w:szCs w:val="22"/>
          <w:highlight w:val="none"/>
        </w:rPr>
        <w:t>：</w:t>
      </w:r>
    </w:p>
    <w:p w14:paraId="1F6A72F3">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我方参与</w:t>
      </w:r>
      <w:r>
        <w:rPr>
          <w:rFonts w:hint="eastAsia" w:ascii="宋体" w:hAnsi="宋体" w:cs="仿宋_GB2312"/>
          <w:color w:val="auto"/>
          <w:sz w:val="22"/>
          <w:szCs w:val="22"/>
          <w:highlight w:val="none"/>
          <w:u w:val="single"/>
        </w:rPr>
        <w:t xml:space="preserve"> </w:t>
      </w:r>
      <w:r>
        <w:rPr>
          <w:rFonts w:ascii="宋体" w:hAnsi="宋体" w:cs="仿宋_GB2312"/>
          <w:color w:val="auto"/>
          <w:sz w:val="22"/>
          <w:szCs w:val="22"/>
          <w:highlight w:val="none"/>
          <w:u w:val="single"/>
        </w:rPr>
        <w:t xml:space="preserve">     </w:t>
      </w:r>
      <w:r>
        <w:rPr>
          <w:rFonts w:hint="eastAsia" w:ascii="宋体" w:hAnsi="宋体" w:cs="仿宋_GB2312"/>
          <w:color w:val="auto"/>
          <w:sz w:val="22"/>
          <w:szCs w:val="22"/>
          <w:highlight w:val="none"/>
          <w:u w:val="single"/>
        </w:rPr>
        <w:t>（项目名称）【项目编号：】</w:t>
      </w:r>
      <w:r>
        <w:rPr>
          <w:rFonts w:hint="eastAsia" w:ascii="宋体" w:hAnsi="宋体" w:cs="仿宋_GB2312"/>
          <w:color w:val="auto"/>
          <w:sz w:val="22"/>
          <w:szCs w:val="22"/>
          <w:highlight w:val="none"/>
        </w:rPr>
        <w:t>政府采购活动，郑重承诺：</w:t>
      </w:r>
    </w:p>
    <w:p w14:paraId="7E17CC72">
      <w:pPr>
        <w:snapToGrid w:val="0"/>
        <w:spacing w:line="360" w:lineRule="auto"/>
        <w:ind w:firstLine="330" w:firstLineChars="150"/>
        <w:rPr>
          <w:rFonts w:ascii="宋体" w:hAnsi="宋体" w:cs="仿宋_GB2312"/>
          <w:color w:val="auto"/>
          <w:sz w:val="22"/>
          <w:szCs w:val="22"/>
          <w:highlight w:val="none"/>
        </w:rPr>
      </w:pPr>
      <w:r>
        <w:rPr>
          <w:rFonts w:hint="eastAsia" w:ascii="宋体" w:hAnsi="宋体" w:cs="仿宋_GB2312"/>
          <w:color w:val="auto"/>
          <w:sz w:val="22"/>
          <w:szCs w:val="22"/>
          <w:highlight w:val="none"/>
        </w:rPr>
        <w:t>（一）具备《中华人民共和国政府采购法》第二十二条第一款规定的条件：</w:t>
      </w:r>
    </w:p>
    <w:p w14:paraId="31A72552">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1、</w:t>
      </w:r>
      <w:r>
        <w:rPr>
          <w:rFonts w:ascii="宋体" w:hAnsi="宋体" w:cs="仿宋_GB2312"/>
          <w:color w:val="auto"/>
          <w:sz w:val="22"/>
          <w:szCs w:val="22"/>
          <w:highlight w:val="none"/>
        </w:rPr>
        <w:t>具有独立承担民事责任的能力；</w:t>
      </w:r>
    </w:p>
    <w:p w14:paraId="700DFE07">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2、</w:t>
      </w:r>
      <w:r>
        <w:rPr>
          <w:rFonts w:ascii="宋体" w:hAnsi="宋体"/>
          <w:color w:val="auto"/>
          <w:sz w:val="22"/>
          <w:szCs w:val="22"/>
          <w:highlight w:val="none"/>
        </w:rPr>
        <w:t xml:space="preserve">具有良好的商业信誉和健全的财务会计制度； </w:t>
      </w:r>
    </w:p>
    <w:p w14:paraId="6B33D0B8">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3、</w:t>
      </w:r>
      <w:r>
        <w:rPr>
          <w:rFonts w:ascii="宋体" w:hAnsi="宋体"/>
          <w:color w:val="auto"/>
          <w:sz w:val="22"/>
          <w:szCs w:val="22"/>
          <w:highlight w:val="none"/>
        </w:rPr>
        <w:t>具有履行合同所必需的设备和专业技术能力；</w:t>
      </w:r>
    </w:p>
    <w:p w14:paraId="24632682">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4、</w:t>
      </w:r>
      <w:r>
        <w:rPr>
          <w:rFonts w:ascii="宋体" w:hAnsi="宋体"/>
          <w:color w:val="auto"/>
          <w:sz w:val="22"/>
          <w:szCs w:val="22"/>
          <w:highlight w:val="none"/>
        </w:rPr>
        <w:t>有依法缴纳税收和社会保障资金的良好记录；</w:t>
      </w:r>
    </w:p>
    <w:p w14:paraId="2551846A">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5、</w:t>
      </w:r>
      <w:r>
        <w:rPr>
          <w:rFonts w:ascii="宋体" w:hAnsi="宋体"/>
          <w:color w:val="auto"/>
          <w:sz w:val="22"/>
          <w:szCs w:val="22"/>
          <w:highlight w:val="none"/>
        </w:rPr>
        <w:t>参加政府采购活动前三年内，在经营活动中没有重大违法记录；</w:t>
      </w:r>
    </w:p>
    <w:p w14:paraId="3F7338D9">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6、</w:t>
      </w:r>
      <w:r>
        <w:rPr>
          <w:rFonts w:ascii="宋体" w:hAnsi="宋体"/>
          <w:color w:val="auto"/>
          <w:sz w:val="22"/>
          <w:szCs w:val="22"/>
          <w:highlight w:val="none"/>
        </w:rPr>
        <w:t>具有法律、行政法规规定的其他条件。</w:t>
      </w:r>
    </w:p>
    <w:p w14:paraId="38DECA36">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（二）未被信用中国（</w:t>
      </w:r>
      <w:r>
        <w:rPr>
          <w:rFonts w:ascii="宋体" w:hAnsi="宋体"/>
          <w:color w:val="auto"/>
          <w:sz w:val="22"/>
          <w:szCs w:val="22"/>
          <w:highlight w:val="none"/>
        </w:rPr>
        <w:t>www.creditchina.gov.cn)、中国政府采购网（www.ccgp.gov.cn）列入失信被执行人、重大税收违法案件当事人名单、政府采购严重违法失信行为记录名单。</w:t>
      </w:r>
    </w:p>
    <w:p w14:paraId="2CC620B4">
      <w:pPr>
        <w:snapToGrid w:val="0"/>
        <w:spacing w:line="360" w:lineRule="auto"/>
        <w:ind w:firstLine="440" w:firstLineChars="200"/>
        <w:rPr>
          <w:rFonts w:ascii="宋体" w:hAnsi="宋体"/>
          <w:color w:val="auto"/>
          <w:sz w:val="22"/>
          <w:szCs w:val="22"/>
          <w:highlight w:val="none"/>
        </w:rPr>
      </w:pPr>
      <w:r>
        <w:rPr>
          <w:rFonts w:hint="eastAsia" w:ascii="宋体" w:hAnsi="宋体"/>
          <w:color w:val="auto"/>
          <w:sz w:val="22"/>
          <w:szCs w:val="22"/>
          <w:highlight w:val="none"/>
        </w:rPr>
        <w:t>（三）不存在以下情况：</w:t>
      </w:r>
    </w:p>
    <w:p w14:paraId="6B5AFD62">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1、</w:t>
      </w:r>
      <w:r>
        <w:rPr>
          <w:rFonts w:ascii="宋体" w:hAnsi="宋体" w:cs="仿宋_GB2312"/>
          <w:color w:val="auto"/>
          <w:sz w:val="22"/>
          <w:szCs w:val="22"/>
          <w:highlight w:val="none"/>
        </w:rPr>
        <w:t>单位负责人为同一人或者存在直接控股、管理关系的不同供应商参加同一合同项下的政府采购活动的；</w:t>
      </w:r>
    </w:p>
    <w:p w14:paraId="65E05BD0">
      <w:pPr>
        <w:snapToGrid w:val="0"/>
        <w:spacing w:line="360" w:lineRule="auto"/>
        <w:ind w:firstLine="440" w:firstLineChars="200"/>
        <w:rPr>
          <w:rFonts w:ascii="宋体" w:hAnsi="宋体" w:cs="仿宋_GB2312"/>
          <w:color w:val="auto"/>
          <w:sz w:val="22"/>
          <w:szCs w:val="22"/>
          <w:highlight w:val="none"/>
        </w:rPr>
      </w:pPr>
      <w:r>
        <w:rPr>
          <w:rFonts w:hint="eastAsia" w:ascii="宋体" w:hAnsi="宋体" w:cs="仿宋_GB2312"/>
          <w:color w:val="auto"/>
          <w:sz w:val="22"/>
          <w:szCs w:val="22"/>
          <w:highlight w:val="none"/>
        </w:rPr>
        <w:t>2、</w:t>
      </w:r>
      <w:r>
        <w:rPr>
          <w:rFonts w:ascii="宋体" w:hAnsi="宋体" w:cs="仿宋_GB2312"/>
          <w:color w:val="auto"/>
          <w:sz w:val="22"/>
          <w:szCs w:val="22"/>
          <w:highlight w:val="none"/>
        </w:rPr>
        <w:t>为采购项目提供整体设计、规范编制或者项目管理、监理、检测等服务后再参加该采购项目的其他采购活动的。</w:t>
      </w:r>
    </w:p>
    <w:p w14:paraId="493F9EB8">
      <w:pPr>
        <w:snapToGrid w:val="0"/>
        <w:spacing w:line="360" w:lineRule="auto"/>
        <w:ind w:firstLine="440" w:firstLineChars="200"/>
        <w:rPr>
          <w:rFonts w:ascii="宋体" w:hAnsi="宋体" w:cs="仿宋_GB2312"/>
          <w:color w:val="auto"/>
          <w:sz w:val="22"/>
          <w:szCs w:val="22"/>
          <w:highlight w:val="none"/>
        </w:rPr>
      </w:pPr>
    </w:p>
    <w:p w14:paraId="47DF12C6">
      <w:pPr>
        <w:snapToGrid w:val="0"/>
        <w:spacing w:line="360" w:lineRule="auto"/>
        <w:ind w:firstLine="440" w:firstLineChars="200"/>
        <w:rPr>
          <w:rFonts w:ascii="宋体" w:hAnsi="宋体" w:cs="仿宋_GB2312"/>
          <w:color w:val="auto"/>
          <w:sz w:val="22"/>
          <w:szCs w:val="22"/>
          <w:highlight w:val="none"/>
        </w:rPr>
      </w:pPr>
    </w:p>
    <w:p w14:paraId="46BD3A9C">
      <w:pPr>
        <w:snapToGrid w:val="0"/>
        <w:spacing w:line="360" w:lineRule="auto"/>
        <w:ind w:firstLine="440" w:firstLineChars="200"/>
        <w:rPr>
          <w:rFonts w:ascii="宋体" w:hAnsi="宋体" w:cs="仿宋_GB2312"/>
          <w:color w:val="auto"/>
          <w:sz w:val="22"/>
          <w:szCs w:val="22"/>
          <w:highlight w:val="none"/>
        </w:rPr>
      </w:pPr>
    </w:p>
    <w:p w14:paraId="551745E2">
      <w:pPr>
        <w:spacing w:line="440" w:lineRule="exact"/>
        <w:ind w:firstLine="4620" w:firstLineChars="2100"/>
        <w:rPr>
          <w:rFonts w:ascii="宋体" w:hAnsi="宋体"/>
          <w:color w:val="auto"/>
          <w:sz w:val="22"/>
          <w:szCs w:val="22"/>
          <w:highlight w:val="none"/>
        </w:rPr>
      </w:pPr>
      <w:r>
        <w:rPr>
          <w:rFonts w:hint="eastAsia" w:ascii="宋体" w:hAnsi="宋体"/>
          <w:color w:val="auto"/>
          <w:sz w:val="22"/>
          <w:szCs w:val="22"/>
          <w:highlight w:val="none"/>
        </w:rPr>
        <w:t>供应商名称</w:t>
      </w:r>
      <w:r>
        <w:rPr>
          <w:rFonts w:hint="eastAsia" w:ascii="宋体" w:hAnsi="宋体" w:cs="宋体"/>
          <w:color w:val="auto"/>
          <w:sz w:val="22"/>
          <w:szCs w:val="22"/>
          <w:highlight w:val="none"/>
        </w:rPr>
        <w:t>（电子签名/公章）</w:t>
      </w:r>
      <w:r>
        <w:rPr>
          <w:rFonts w:ascii="宋体" w:hAnsi="宋体"/>
          <w:color w:val="auto"/>
          <w:sz w:val="22"/>
          <w:szCs w:val="22"/>
          <w:highlight w:val="none"/>
        </w:rPr>
        <w:t>：</w:t>
      </w:r>
    </w:p>
    <w:p w14:paraId="542FFB91">
      <w:pPr>
        <w:spacing w:line="440" w:lineRule="exact"/>
        <w:jc w:val="center"/>
        <w:rPr>
          <w:rFonts w:ascii="宋体" w:hAnsi="宋体"/>
          <w:color w:val="auto"/>
          <w:sz w:val="22"/>
          <w:szCs w:val="22"/>
          <w:highlight w:val="none"/>
        </w:rPr>
      </w:pPr>
      <w:r>
        <w:rPr>
          <w:rFonts w:ascii="宋体" w:hAnsi="宋体"/>
          <w:color w:val="auto"/>
          <w:sz w:val="22"/>
          <w:szCs w:val="22"/>
          <w:highlight w:val="none"/>
        </w:rPr>
        <w:t xml:space="preserve">                    </w:t>
      </w:r>
      <w:r>
        <w:rPr>
          <w:rFonts w:hint="eastAsia" w:ascii="宋体" w:hAnsi="宋体"/>
          <w:color w:val="auto"/>
          <w:sz w:val="22"/>
          <w:szCs w:val="22"/>
          <w:highlight w:val="none"/>
        </w:rPr>
        <w:t xml:space="preserve">    日期：</w:t>
      </w:r>
      <w:r>
        <w:rPr>
          <w:rFonts w:ascii="宋体" w:hAnsi="宋体"/>
          <w:color w:val="auto"/>
          <w:sz w:val="22"/>
          <w:szCs w:val="22"/>
          <w:highlight w:val="none"/>
        </w:rPr>
        <w:t xml:space="preserve">       年</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月</w:t>
      </w:r>
      <w:r>
        <w:rPr>
          <w:rFonts w:ascii="宋体" w:hAnsi="宋体"/>
          <w:color w:val="auto"/>
          <w:sz w:val="22"/>
          <w:szCs w:val="22"/>
          <w:highlight w:val="none"/>
        </w:rPr>
        <w:t xml:space="preserve">     </w:t>
      </w:r>
      <w:r>
        <w:rPr>
          <w:rFonts w:hint="eastAsia" w:ascii="宋体" w:hAnsi="宋体"/>
          <w:color w:val="auto"/>
          <w:sz w:val="22"/>
          <w:szCs w:val="22"/>
          <w:highlight w:val="none"/>
        </w:rPr>
        <w:t>日</w:t>
      </w:r>
    </w:p>
    <w:p w14:paraId="0DE555BC">
      <w:pPr>
        <w:spacing w:line="360" w:lineRule="auto"/>
        <w:rPr>
          <w:rFonts w:ascii="宋体" w:hAnsi="宋体"/>
          <w:color w:val="auto"/>
          <w:sz w:val="22"/>
          <w:szCs w:val="22"/>
          <w:highlight w:val="none"/>
          <w:u w:val="single"/>
        </w:rPr>
      </w:pPr>
    </w:p>
    <w:p w14:paraId="1D7C7DD2">
      <w:pPr>
        <w:spacing w:line="360" w:lineRule="auto"/>
        <w:rPr>
          <w:rFonts w:ascii="宋体" w:hAnsi="宋体"/>
          <w:color w:val="auto"/>
          <w:sz w:val="22"/>
          <w:szCs w:val="22"/>
          <w:highlight w:val="none"/>
          <w:u w:val="single"/>
        </w:rPr>
      </w:pPr>
    </w:p>
    <w:p w14:paraId="1D2ABDDF">
      <w:pPr>
        <w:spacing w:line="360" w:lineRule="auto"/>
        <w:rPr>
          <w:rFonts w:hint="eastAsia" w:ascii="宋体" w:hAnsi="宋体"/>
          <w:color w:val="auto"/>
          <w:sz w:val="22"/>
          <w:szCs w:val="22"/>
          <w:highlight w:val="none"/>
          <w:u w:val="single"/>
        </w:rPr>
        <w:sectPr>
          <w:pgSz w:w="11906" w:h="16838"/>
          <w:pgMar w:top="1134" w:right="1134" w:bottom="1134" w:left="1134" w:header="851" w:footer="992" w:gutter="0"/>
          <w:cols w:space="720" w:num="1"/>
          <w:docGrid w:linePitch="312" w:charSpace="0"/>
        </w:sectPr>
      </w:pPr>
    </w:p>
    <w:p w14:paraId="7D5B52F6">
      <w:pPr>
        <w:pStyle w:val="5"/>
        <w:spacing w:line="440" w:lineRule="exact"/>
        <w:rPr>
          <w:rFonts w:hint="eastAsia" w:ascii="黑体" w:hAnsi="宋体"/>
          <w:color w:val="auto"/>
          <w:sz w:val="24"/>
          <w:szCs w:val="24"/>
          <w:highlight w:val="none"/>
        </w:rPr>
      </w:pPr>
      <w:bookmarkStart w:id="90" w:name="_Toc32462"/>
      <w:bookmarkStart w:id="91" w:name="_Toc3741100"/>
      <w:bookmarkStart w:id="92" w:name="_Toc26527442"/>
      <w:bookmarkStart w:id="93" w:name="_Toc8542"/>
      <w:bookmarkStart w:id="94" w:name="_Toc26123774"/>
      <w:bookmarkStart w:id="95" w:name="_Toc3741468"/>
      <w:bookmarkStart w:id="96" w:name="_Toc2229_WPSOffice_Level2"/>
      <w:r>
        <w:rPr>
          <w:rFonts w:hint="eastAsia" w:ascii="黑体" w:hAnsi="宋体"/>
          <w:color w:val="auto"/>
          <w:sz w:val="24"/>
          <w:szCs w:val="24"/>
          <w:highlight w:val="none"/>
        </w:rPr>
        <w:t>附件</w:t>
      </w:r>
      <w:r>
        <w:rPr>
          <w:rFonts w:hint="eastAsia" w:ascii="黑体" w:hAnsi="宋体"/>
          <w:color w:val="auto"/>
          <w:sz w:val="24"/>
          <w:szCs w:val="24"/>
          <w:highlight w:val="none"/>
          <w:lang w:val="en-US" w:eastAsia="zh-CN"/>
        </w:rPr>
        <w:t>11</w:t>
      </w:r>
      <w:r>
        <w:rPr>
          <w:rFonts w:hint="eastAsia" w:ascii="黑体" w:hAnsi="宋体"/>
          <w:color w:val="auto"/>
          <w:sz w:val="24"/>
          <w:szCs w:val="24"/>
          <w:highlight w:val="none"/>
        </w:rPr>
        <w:t xml:space="preserve"> 商务条款、技术规格偏离表</w:t>
      </w:r>
      <w:bookmarkEnd w:id="90"/>
      <w:bookmarkEnd w:id="91"/>
      <w:bookmarkEnd w:id="92"/>
      <w:bookmarkEnd w:id="93"/>
      <w:bookmarkEnd w:id="94"/>
      <w:bookmarkEnd w:id="95"/>
      <w:bookmarkEnd w:id="96"/>
    </w:p>
    <w:p w14:paraId="70881D16">
      <w:pPr>
        <w:spacing w:line="460" w:lineRule="exact"/>
        <w:jc w:val="center"/>
        <w:rPr>
          <w:rFonts w:hint="eastAsia" w:ascii="宋体" w:hAnsi="宋体" w:cs="宋体"/>
          <w:b/>
          <w:bCs/>
          <w:color w:val="auto"/>
          <w:sz w:val="28"/>
          <w:szCs w:val="28"/>
          <w:highlight w:val="none"/>
        </w:rPr>
      </w:pPr>
      <w:bookmarkStart w:id="97" w:name="_Toc6168_WPSOffice_Level2"/>
      <w:r>
        <w:rPr>
          <w:rFonts w:hint="eastAsia" w:ascii="宋体" w:hAnsi="宋体" w:cs="宋体"/>
          <w:b/>
          <w:bCs/>
          <w:color w:val="auto"/>
          <w:sz w:val="28"/>
          <w:szCs w:val="28"/>
          <w:highlight w:val="none"/>
        </w:rPr>
        <w:t>商务条款、技术规格偏离表</w:t>
      </w:r>
      <w:bookmarkEnd w:id="97"/>
    </w:p>
    <w:p w14:paraId="054D4E35">
      <w:pPr>
        <w:spacing w:line="560" w:lineRule="exact"/>
        <w:rPr>
          <w:rFonts w:hint="eastAsia" w:ascii="宋体" w:hAnsi="宋体" w:cs="宋体"/>
          <w:b/>
          <w:bCs/>
          <w:color w:val="auto"/>
          <w:sz w:val="22"/>
          <w:szCs w:val="22"/>
          <w:highlight w:val="none"/>
        </w:rPr>
      </w:pPr>
      <w:r>
        <w:rPr>
          <w:rFonts w:hint="eastAsia" w:ascii="宋体" w:hAnsi="宋体" w:cs="宋体"/>
          <w:b/>
          <w:color w:val="auto"/>
          <w:sz w:val="22"/>
          <w:szCs w:val="22"/>
          <w:highlight w:val="none"/>
        </w:rPr>
        <w:t>项目名称：                                                项目编号：</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1948"/>
        <w:gridCol w:w="1975"/>
        <w:gridCol w:w="2210"/>
        <w:gridCol w:w="1918"/>
      </w:tblGrid>
      <w:tr w14:paraId="48260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trPr>
        <w:tc>
          <w:tcPr>
            <w:tcW w:w="1749" w:type="dxa"/>
            <w:shd w:val="clear" w:color="auto" w:fill="D9D9D9"/>
            <w:vAlign w:val="center"/>
          </w:tcPr>
          <w:p w14:paraId="2B3C1DCB">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内   容</w:t>
            </w:r>
          </w:p>
        </w:tc>
        <w:tc>
          <w:tcPr>
            <w:tcW w:w="1948" w:type="dxa"/>
            <w:shd w:val="clear" w:color="auto" w:fill="D9D9D9"/>
            <w:vAlign w:val="center"/>
          </w:tcPr>
          <w:p w14:paraId="50C7030E">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招标文件</w:t>
            </w:r>
          </w:p>
          <w:p w14:paraId="202CD8D9">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条目</w:t>
            </w:r>
          </w:p>
        </w:tc>
        <w:tc>
          <w:tcPr>
            <w:tcW w:w="1975" w:type="dxa"/>
            <w:shd w:val="clear" w:color="auto" w:fill="D9D9D9"/>
            <w:vAlign w:val="center"/>
          </w:tcPr>
          <w:p w14:paraId="1B0838A7">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招标文件</w:t>
            </w:r>
          </w:p>
          <w:p w14:paraId="58F1906D">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规格要求</w:t>
            </w:r>
          </w:p>
        </w:tc>
        <w:tc>
          <w:tcPr>
            <w:tcW w:w="2210" w:type="dxa"/>
            <w:shd w:val="clear" w:color="auto" w:fill="D9D9D9"/>
            <w:vAlign w:val="center"/>
          </w:tcPr>
          <w:p w14:paraId="6D7E872B">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投标文件</w:t>
            </w:r>
          </w:p>
          <w:p w14:paraId="29C2200E">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对应规格</w:t>
            </w:r>
          </w:p>
        </w:tc>
        <w:tc>
          <w:tcPr>
            <w:tcW w:w="1918" w:type="dxa"/>
            <w:shd w:val="clear" w:color="auto" w:fill="D9D9D9"/>
            <w:vAlign w:val="center"/>
          </w:tcPr>
          <w:p w14:paraId="3C52B1DB">
            <w:pPr>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说   明</w:t>
            </w:r>
          </w:p>
        </w:tc>
      </w:tr>
      <w:tr w14:paraId="1382E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1749" w:type="dxa"/>
            <w:vMerge w:val="restart"/>
            <w:vAlign w:val="center"/>
          </w:tcPr>
          <w:p w14:paraId="5035D215">
            <w:pPr>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商务条款</w:t>
            </w:r>
          </w:p>
        </w:tc>
        <w:tc>
          <w:tcPr>
            <w:tcW w:w="1948" w:type="dxa"/>
            <w:vAlign w:val="center"/>
          </w:tcPr>
          <w:p w14:paraId="5A37582D">
            <w:pPr>
              <w:jc w:val="center"/>
              <w:rPr>
                <w:rFonts w:hint="eastAsia" w:ascii="宋体" w:hAnsi="宋体" w:cs="宋体"/>
                <w:color w:val="auto"/>
                <w:sz w:val="22"/>
                <w:szCs w:val="22"/>
                <w:highlight w:val="none"/>
              </w:rPr>
            </w:pPr>
          </w:p>
        </w:tc>
        <w:tc>
          <w:tcPr>
            <w:tcW w:w="1975" w:type="dxa"/>
            <w:vAlign w:val="center"/>
          </w:tcPr>
          <w:p w14:paraId="22D8EDAD">
            <w:pPr>
              <w:jc w:val="center"/>
              <w:rPr>
                <w:rFonts w:hint="eastAsia" w:ascii="宋体" w:hAnsi="宋体" w:cs="宋体"/>
                <w:color w:val="auto"/>
                <w:sz w:val="22"/>
                <w:szCs w:val="22"/>
                <w:highlight w:val="none"/>
              </w:rPr>
            </w:pPr>
          </w:p>
        </w:tc>
        <w:tc>
          <w:tcPr>
            <w:tcW w:w="2210" w:type="dxa"/>
            <w:vAlign w:val="center"/>
          </w:tcPr>
          <w:p w14:paraId="607C3B6A">
            <w:pPr>
              <w:jc w:val="center"/>
              <w:rPr>
                <w:rFonts w:hint="eastAsia" w:ascii="宋体" w:hAnsi="宋体" w:cs="宋体"/>
                <w:color w:val="auto"/>
                <w:sz w:val="22"/>
                <w:szCs w:val="22"/>
                <w:highlight w:val="none"/>
              </w:rPr>
            </w:pPr>
          </w:p>
        </w:tc>
        <w:tc>
          <w:tcPr>
            <w:tcW w:w="1918" w:type="dxa"/>
            <w:vAlign w:val="center"/>
          </w:tcPr>
          <w:p w14:paraId="18052BF2">
            <w:pPr>
              <w:jc w:val="center"/>
              <w:rPr>
                <w:rFonts w:hint="eastAsia" w:ascii="宋体" w:hAnsi="宋体" w:cs="宋体"/>
                <w:color w:val="auto"/>
                <w:sz w:val="22"/>
                <w:szCs w:val="22"/>
                <w:highlight w:val="none"/>
              </w:rPr>
            </w:pPr>
          </w:p>
        </w:tc>
      </w:tr>
      <w:tr w14:paraId="0CBA6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1749" w:type="dxa"/>
            <w:vMerge w:val="continue"/>
            <w:vAlign w:val="center"/>
          </w:tcPr>
          <w:p w14:paraId="2415959E">
            <w:pPr>
              <w:jc w:val="center"/>
              <w:rPr>
                <w:rFonts w:hint="eastAsia" w:ascii="宋体" w:hAnsi="宋体" w:cs="宋体"/>
                <w:b/>
                <w:color w:val="auto"/>
                <w:sz w:val="24"/>
                <w:highlight w:val="none"/>
              </w:rPr>
            </w:pPr>
          </w:p>
        </w:tc>
        <w:tc>
          <w:tcPr>
            <w:tcW w:w="1948" w:type="dxa"/>
            <w:vAlign w:val="center"/>
          </w:tcPr>
          <w:p w14:paraId="258CE1F8">
            <w:pPr>
              <w:jc w:val="center"/>
              <w:rPr>
                <w:rFonts w:hint="eastAsia" w:ascii="宋体" w:hAnsi="宋体" w:cs="宋体"/>
                <w:color w:val="auto"/>
                <w:sz w:val="22"/>
                <w:szCs w:val="22"/>
                <w:highlight w:val="none"/>
              </w:rPr>
            </w:pPr>
          </w:p>
        </w:tc>
        <w:tc>
          <w:tcPr>
            <w:tcW w:w="1975" w:type="dxa"/>
            <w:vAlign w:val="center"/>
          </w:tcPr>
          <w:p w14:paraId="13DD5C1C">
            <w:pPr>
              <w:jc w:val="center"/>
              <w:rPr>
                <w:rFonts w:hint="eastAsia" w:ascii="宋体" w:hAnsi="宋体" w:cs="宋体"/>
                <w:color w:val="auto"/>
                <w:sz w:val="22"/>
                <w:szCs w:val="22"/>
                <w:highlight w:val="none"/>
              </w:rPr>
            </w:pPr>
          </w:p>
        </w:tc>
        <w:tc>
          <w:tcPr>
            <w:tcW w:w="2210" w:type="dxa"/>
            <w:vAlign w:val="center"/>
          </w:tcPr>
          <w:p w14:paraId="50E53D89">
            <w:pPr>
              <w:jc w:val="center"/>
              <w:rPr>
                <w:rFonts w:hint="eastAsia" w:ascii="宋体" w:hAnsi="宋体" w:cs="宋体"/>
                <w:color w:val="auto"/>
                <w:sz w:val="22"/>
                <w:szCs w:val="22"/>
                <w:highlight w:val="none"/>
              </w:rPr>
            </w:pPr>
          </w:p>
        </w:tc>
        <w:tc>
          <w:tcPr>
            <w:tcW w:w="1918" w:type="dxa"/>
            <w:vAlign w:val="center"/>
          </w:tcPr>
          <w:p w14:paraId="1102407B">
            <w:pPr>
              <w:jc w:val="center"/>
              <w:rPr>
                <w:rFonts w:hint="eastAsia" w:ascii="宋体" w:hAnsi="宋体" w:cs="宋体"/>
                <w:color w:val="auto"/>
                <w:sz w:val="22"/>
                <w:szCs w:val="22"/>
                <w:highlight w:val="none"/>
              </w:rPr>
            </w:pPr>
          </w:p>
        </w:tc>
      </w:tr>
      <w:tr w14:paraId="3FCB9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1749" w:type="dxa"/>
            <w:vMerge w:val="continue"/>
            <w:vAlign w:val="center"/>
          </w:tcPr>
          <w:p w14:paraId="38492D3F">
            <w:pPr>
              <w:jc w:val="center"/>
              <w:rPr>
                <w:rFonts w:hint="eastAsia" w:ascii="宋体" w:hAnsi="宋体" w:cs="宋体"/>
                <w:b/>
                <w:color w:val="auto"/>
                <w:sz w:val="24"/>
                <w:highlight w:val="none"/>
              </w:rPr>
            </w:pPr>
          </w:p>
        </w:tc>
        <w:tc>
          <w:tcPr>
            <w:tcW w:w="1948" w:type="dxa"/>
            <w:vAlign w:val="center"/>
          </w:tcPr>
          <w:p w14:paraId="6891C40C">
            <w:pPr>
              <w:jc w:val="center"/>
              <w:rPr>
                <w:rFonts w:hint="eastAsia" w:ascii="宋体" w:hAnsi="宋体" w:cs="宋体"/>
                <w:color w:val="auto"/>
                <w:sz w:val="22"/>
                <w:szCs w:val="22"/>
                <w:highlight w:val="none"/>
              </w:rPr>
            </w:pPr>
          </w:p>
        </w:tc>
        <w:tc>
          <w:tcPr>
            <w:tcW w:w="1975" w:type="dxa"/>
            <w:vAlign w:val="center"/>
          </w:tcPr>
          <w:p w14:paraId="557EC7BD">
            <w:pPr>
              <w:jc w:val="center"/>
              <w:rPr>
                <w:rFonts w:hint="eastAsia" w:ascii="宋体" w:hAnsi="宋体" w:cs="宋体"/>
                <w:color w:val="auto"/>
                <w:sz w:val="22"/>
                <w:szCs w:val="22"/>
                <w:highlight w:val="none"/>
              </w:rPr>
            </w:pPr>
          </w:p>
        </w:tc>
        <w:tc>
          <w:tcPr>
            <w:tcW w:w="2210" w:type="dxa"/>
            <w:vAlign w:val="center"/>
          </w:tcPr>
          <w:p w14:paraId="4E21DCE9">
            <w:pPr>
              <w:jc w:val="center"/>
              <w:rPr>
                <w:rFonts w:hint="eastAsia" w:ascii="宋体" w:hAnsi="宋体" w:cs="宋体"/>
                <w:color w:val="auto"/>
                <w:sz w:val="22"/>
                <w:szCs w:val="22"/>
                <w:highlight w:val="none"/>
              </w:rPr>
            </w:pPr>
          </w:p>
        </w:tc>
        <w:tc>
          <w:tcPr>
            <w:tcW w:w="1918" w:type="dxa"/>
            <w:vAlign w:val="center"/>
          </w:tcPr>
          <w:p w14:paraId="38FD9DB3">
            <w:pPr>
              <w:jc w:val="center"/>
              <w:rPr>
                <w:rFonts w:hint="eastAsia" w:ascii="宋体" w:hAnsi="宋体" w:cs="宋体"/>
                <w:color w:val="auto"/>
                <w:sz w:val="22"/>
                <w:szCs w:val="22"/>
                <w:highlight w:val="none"/>
              </w:rPr>
            </w:pPr>
          </w:p>
        </w:tc>
      </w:tr>
      <w:tr w14:paraId="7CDD7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1749" w:type="dxa"/>
            <w:vMerge w:val="continue"/>
            <w:vAlign w:val="center"/>
          </w:tcPr>
          <w:p w14:paraId="009BD7DD">
            <w:pPr>
              <w:jc w:val="center"/>
              <w:rPr>
                <w:rFonts w:hint="eastAsia" w:ascii="宋体" w:hAnsi="宋体" w:cs="宋体"/>
                <w:b/>
                <w:color w:val="auto"/>
                <w:sz w:val="24"/>
                <w:highlight w:val="none"/>
              </w:rPr>
            </w:pPr>
          </w:p>
        </w:tc>
        <w:tc>
          <w:tcPr>
            <w:tcW w:w="1948" w:type="dxa"/>
            <w:vAlign w:val="center"/>
          </w:tcPr>
          <w:p w14:paraId="578D6603">
            <w:pPr>
              <w:jc w:val="center"/>
              <w:rPr>
                <w:rFonts w:hint="eastAsia" w:ascii="宋体" w:hAnsi="宋体" w:cs="宋体"/>
                <w:color w:val="auto"/>
                <w:sz w:val="22"/>
                <w:szCs w:val="22"/>
                <w:highlight w:val="none"/>
              </w:rPr>
            </w:pPr>
          </w:p>
        </w:tc>
        <w:tc>
          <w:tcPr>
            <w:tcW w:w="1975" w:type="dxa"/>
            <w:vAlign w:val="center"/>
          </w:tcPr>
          <w:p w14:paraId="244A96CB">
            <w:pPr>
              <w:jc w:val="center"/>
              <w:rPr>
                <w:rFonts w:hint="eastAsia" w:ascii="宋体" w:hAnsi="宋体" w:cs="宋体"/>
                <w:color w:val="auto"/>
                <w:sz w:val="22"/>
                <w:szCs w:val="22"/>
                <w:highlight w:val="none"/>
              </w:rPr>
            </w:pPr>
          </w:p>
        </w:tc>
        <w:tc>
          <w:tcPr>
            <w:tcW w:w="2210" w:type="dxa"/>
            <w:vAlign w:val="center"/>
          </w:tcPr>
          <w:p w14:paraId="401E8517">
            <w:pPr>
              <w:jc w:val="center"/>
              <w:rPr>
                <w:rFonts w:hint="eastAsia" w:ascii="宋体" w:hAnsi="宋体" w:cs="宋体"/>
                <w:color w:val="auto"/>
                <w:sz w:val="22"/>
                <w:szCs w:val="22"/>
                <w:highlight w:val="none"/>
              </w:rPr>
            </w:pPr>
          </w:p>
        </w:tc>
        <w:tc>
          <w:tcPr>
            <w:tcW w:w="1918" w:type="dxa"/>
            <w:vAlign w:val="center"/>
          </w:tcPr>
          <w:p w14:paraId="347089D4">
            <w:pPr>
              <w:jc w:val="center"/>
              <w:rPr>
                <w:rFonts w:hint="eastAsia" w:ascii="宋体" w:hAnsi="宋体" w:cs="宋体"/>
                <w:color w:val="auto"/>
                <w:sz w:val="22"/>
                <w:szCs w:val="22"/>
                <w:highlight w:val="none"/>
              </w:rPr>
            </w:pPr>
          </w:p>
        </w:tc>
      </w:tr>
      <w:tr w14:paraId="28B8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1749" w:type="dxa"/>
            <w:vMerge w:val="continue"/>
            <w:vAlign w:val="center"/>
          </w:tcPr>
          <w:p w14:paraId="2D41BF2E">
            <w:pPr>
              <w:jc w:val="center"/>
              <w:rPr>
                <w:rFonts w:hint="eastAsia" w:ascii="宋体" w:hAnsi="宋体" w:cs="宋体"/>
                <w:b/>
                <w:color w:val="auto"/>
                <w:sz w:val="24"/>
                <w:highlight w:val="none"/>
              </w:rPr>
            </w:pPr>
          </w:p>
        </w:tc>
        <w:tc>
          <w:tcPr>
            <w:tcW w:w="1948" w:type="dxa"/>
            <w:vAlign w:val="center"/>
          </w:tcPr>
          <w:p w14:paraId="3475E017">
            <w:pPr>
              <w:jc w:val="center"/>
              <w:rPr>
                <w:rFonts w:hint="eastAsia" w:ascii="宋体" w:hAnsi="宋体" w:cs="宋体"/>
                <w:color w:val="auto"/>
                <w:sz w:val="22"/>
                <w:szCs w:val="22"/>
                <w:highlight w:val="none"/>
              </w:rPr>
            </w:pPr>
          </w:p>
        </w:tc>
        <w:tc>
          <w:tcPr>
            <w:tcW w:w="1975" w:type="dxa"/>
            <w:vAlign w:val="center"/>
          </w:tcPr>
          <w:p w14:paraId="1C93558F">
            <w:pPr>
              <w:jc w:val="center"/>
              <w:rPr>
                <w:rFonts w:hint="eastAsia" w:ascii="宋体" w:hAnsi="宋体" w:cs="宋体"/>
                <w:color w:val="auto"/>
                <w:sz w:val="22"/>
                <w:szCs w:val="22"/>
                <w:highlight w:val="none"/>
              </w:rPr>
            </w:pPr>
          </w:p>
        </w:tc>
        <w:tc>
          <w:tcPr>
            <w:tcW w:w="2210" w:type="dxa"/>
            <w:vAlign w:val="center"/>
          </w:tcPr>
          <w:p w14:paraId="293530A3">
            <w:pPr>
              <w:jc w:val="center"/>
              <w:rPr>
                <w:rFonts w:hint="eastAsia" w:ascii="宋体" w:hAnsi="宋体" w:cs="宋体"/>
                <w:color w:val="auto"/>
                <w:sz w:val="22"/>
                <w:szCs w:val="22"/>
                <w:highlight w:val="none"/>
              </w:rPr>
            </w:pPr>
          </w:p>
        </w:tc>
        <w:tc>
          <w:tcPr>
            <w:tcW w:w="1918" w:type="dxa"/>
            <w:vAlign w:val="center"/>
          </w:tcPr>
          <w:p w14:paraId="6DFE72D7">
            <w:pPr>
              <w:jc w:val="center"/>
              <w:rPr>
                <w:rFonts w:hint="eastAsia" w:ascii="宋体" w:hAnsi="宋体" w:cs="宋体"/>
                <w:color w:val="auto"/>
                <w:sz w:val="22"/>
                <w:szCs w:val="22"/>
                <w:highlight w:val="none"/>
              </w:rPr>
            </w:pPr>
          </w:p>
        </w:tc>
      </w:tr>
      <w:tr w14:paraId="2B46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1749" w:type="dxa"/>
            <w:vMerge w:val="restart"/>
            <w:vAlign w:val="center"/>
          </w:tcPr>
          <w:p w14:paraId="067D2BEC">
            <w:pPr>
              <w:ind w:firstLine="241" w:firstLineChars="100"/>
              <w:rPr>
                <w:rFonts w:hint="eastAsia" w:ascii="宋体" w:hAnsi="宋体" w:cs="宋体"/>
                <w:b/>
                <w:color w:val="auto"/>
                <w:sz w:val="24"/>
                <w:highlight w:val="none"/>
              </w:rPr>
            </w:pPr>
            <w:r>
              <w:rPr>
                <w:rFonts w:hint="eastAsia" w:ascii="宋体" w:hAnsi="宋体" w:cs="宋体"/>
                <w:b/>
                <w:color w:val="auto"/>
                <w:sz w:val="24"/>
                <w:highlight w:val="none"/>
              </w:rPr>
              <w:t>技术规格</w:t>
            </w:r>
          </w:p>
        </w:tc>
        <w:tc>
          <w:tcPr>
            <w:tcW w:w="1948" w:type="dxa"/>
            <w:vAlign w:val="center"/>
          </w:tcPr>
          <w:p w14:paraId="50E908BA">
            <w:pPr>
              <w:jc w:val="center"/>
              <w:rPr>
                <w:rFonts w:hint="eastAsia" w:ascii="宋体" w:hAnsi="宋体" w:cs="宋体"/>
                <w:color w:val="auto"/>
                <w:sz w:val="22"/>
                <w:szCs w:val="22"/>
                <w:highlight w:val="none"/>
              </w:rPr>
            </w:pPr>
          </w:p>
        </w:tc>
        <w:tc>
          <w:tcPr>
            <w:tcW w:w="1975" w:type="dxa"/>
            <w:vAlign w:val="center"/>
          </w:tcPr>
          <w:p w14:paraId="64E18599">
            <w:pPr>
              <w:jc w:val="center"/>
              <w:rPr>
                <w:rFonts w:hint="eastAsia" w:ascii="宋体" w:hAnsi="宋体" w:cs="宋体"/>
                <w:color w:val="auto"/>
                <w:sz w:val="22"/>
                <w:szCs w:val="22"/>
                <w:highlight w:val="none"/>
              </w:rPr>
            </w:pPr>
          </w:p>
        </w:tc>
        <w:tc>
          <w:tcPr>
            <w:tcW w:w="2210" w:type="dxa"/>
            <w:vAlign w:val="center"/>
          </w:tcPr>
          <w:p w14:paraId="3B1CBEC4">
            <w:pPr>
              <w:jc w:val="center"/>
              <w:rPr>
                <w:rFonts w:hint="eastAsia" w:ascii="宋体" w:hAnsi="宋体" w:cs="宋体"/>
                <w:color w:val="auto"/>
                <w:sz w:val="22"/>
                <w:szCs w:val="22"/>
                <w:highlight w:val="none"/>
              </w:rPr>
            </w:pPr>
          </w:p>
        </w:tc>
        <w:tc>
          <w:tcPr>
            <w:tcW w:w="1918" w:type="dxa"/>
            <w:vAlign w:val="center"/>
          </w:tcPr>
          <w:p w14:paraId="1661092B">
            <w:pPr>
              <w:jc w:val="center"/>
              <w:rPr>
                <w:rFonts w:hint="eastAsia" w:ascii="宋体" w:hAnsi="宋体" w:cs="宋体"/>
                <w:color w:val="auto"/>
                <w:sz w:val="22"/>
                <w:szCs w:val="22"/>
                <w:highlight w:val="none"/>
              </w:rPr>
            </w:pPr>
          </w:p>
        </w:tc>
      </w:tr>
      <w:tr w14:paraId="200E4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1749" w:type="dxa"/>
            <w:vMerge w:val="continue"/>
            <w:vAlign w:val="center"/>
          </w:tcPr>
          <w:p w14:paraId="3DCB6015">
            <w:pPr>
              <w:jc w:val="center"/>
              <w:rPr>
                <w:rFonts w:hint="eastAsia" w:ascii="宋体" w:hAnsi="宋体" w:cs="宋体"/>
                <w:color w:val="auto"/>
                <w:sz w:val="22"/>
                <w:szCs w:val="22"/>
                <w:highlight w:val="none"/>
              </w:rPr>
            </w:pPr>
          </w:p>
        </w:tc>
        <w:tc>
          <w:tcPr>
            <w:tcW w:w="1948" w:type="dxa"/>
            <w:vAlign w:val="center"/>
          </w:tcPr>
          <w:p w14:paraId="1AFAD8F8">
            <w:pPr>
              <w:jc w:val="center"/>
              <w:rPr>
                <w:rFonts w:hint="eastAsia" w:ascii="宋体" w:hAnsi="宋体" w:cs="宋体"/>
                <w:color w:val="auto"/>
                <w:sz w:val="22"/>
                <w:szCs w:val="22"/>
                <w:highlight w:val="none"/>
              </w:rPr>
            </w:pPr>
          </w:p>
        </w:tc>
        <w:tc>
          <w:tcPr>
            <w:tcW w:w="1975" w:type="dxa"/>
            <w:vAlign w:val="center"/>
          </w:tcPr>
          <w:p w14:paraId="1D2CB0F6">
            <w:pPr>
              <w:jc w:val="center"/>
              <w:rPr>
                <w:rFonts w:hint="eastAsia" w:ascii="宋体" w:hAnsi="宋体" w:cs="宋体"/>
                <w:color w:val="auto"/>
                <w:sz w:val="22"/>
                <w:szCs w:val="22"/>
                <w:highlight w:val="none"/>
              </w:rPr>
            </w:pPr>
          </w:p>
        </w:tc>
        <w:tc>
          <w:tcPr>
            <w:tcW w:w="2210" w:type="dxa"/>
            <w:vAlign w:val="center"/>
          </w:tcPr>
          <w:p w14:paraId="79A2BF94">
            <w:pPr>
              <w:jc w:val="center"/>
              <w:rPr>
                <w:rFonts w:hint="eastAsia" w:ascii="宋体" w:hAnsi="宋体" w:cs="宋体"/>
                <w:color w:val="auto"/>
                <w:sz w:val="22"/>
                <w:szCs w:val="22"/>
                <w:highlight w:val="none"/>
              </w:rPr>
            </w:pPr>
          </w:p>
        </w:tc>
        <w:tc>
          <w:tcPr>
            <w:tcW w:w="1918" w:type="dxa"/>
            <w:vAlign w:val="center"/>
          </w:tcPr>
          <w:p w14:paraId="3ED88DC8">
            <w:pPr>
              <w:jc w:val="center"/>
              <w:rPr>
                <w:rFonts w:hint="eastAsia" w:ascii="宋体" w:hAnsi="宋体" w:cs="宋体"/>
                <w:color w:val="auto"/>
                <w:sz w:val="22"/>
                <w:szCs w:val="22"/>
                <w:highlight w:val="none"/>
              </w:rPr>
            </w:pPr>
          </w:p>
        </w:tc>
      </w:tr>
      <w:tr w14:paraId="62EFA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1749" w:type="dxa"/>
            <w:vMerge w:val="continue"/>
            <w:vAlign w:val="center"/>
          </w:tcPr>
          <w:p w14:paraId="0E384D90">
            <w:pPr>
              <w:jc w:val="center"/>
              <w:rPr>
                <w:rFonts w:hint="eastAsia" w:ascii="宋体" w:hAnsi="宋体" w:cs="宋体"/>
                <w:color w:val="auto"/>
                <w:sz w:val="22"/>
                <w:szCs w:val="22"/>
                <w:highlight w:val="none"/>
              </w:rPr>
            </w:pPr>
          </w:p>
        </w:tc>
        <w:tc>
          <w:tcPr>
            <w:tcW w:w="1948" w:type="dxa"/>
            <w:vAlign w:val="center"/>
          </w:tcPr>
          <w:p w14:paraId="275BCEA8">
            <w:pPr>
              <w:jc w:val="center"/>
              <w:rPr>
                <w:rFonts w:hint="eastAsia" w:ascii="宋体" w:hAnsi="宋体" w:cs="宋体"/>
                <w:color w:val="auto"/>
                <w:sz w:val="22"/>
                <w:szCs w:val="22"/>
                <w:highlight w:val="none"/>
              </w:rPr>
            </w:pPr>
          </w:p>
        </w:tc>
        <w:tc>
          <w:tcPr>
            <w:tcW w:w="1975" w:type="dxa"/>
            <w:vAlign w:val="center"/>
          </w:tcPr>
          <w:p w14:paraId="18216EE5">
            <w:pPr>
              <w:jc w:val="center"/>
              <w:rPr>
                <w:rFonts w:hint="eastAsia" w:ascii="宋体" w:hAnsi="宋体" w:cs="宋体"/>
                <w:color w:val="auto"/>
                <w:sz w:val="22"/>
                <w:szCs w:val="22"/>
                <w:highlight w:val="none"/>
              </w:rPr>
            </w:pPr>
          </w:p>
        </w:tc>
        <w:tc>
          <w:tcPr>
            <w:tcW w:w="2210" w:type="dxa"/>
            <w:vAlign w:val="center"/>
          </w:tcPr>
          <w:p w14:paraId="39FAF8B3">
            <w:pPr>
              <w:jc w:val="center"/>
              <w:rPr>
                <w:rFonts w:hint="eastAsia" w:ascii="宋体" w:hAnsi="宋体" w:cs="宋体"/>
                <w:color w:val="auto"/>
                <w:sz w:val="22"/>
                <w:szCs w:val="22"/>
                <w:highlight w:val="none"/>
              </w:rPr>
            </w:pPr>
          </w:p>
        </w:tc>
        <w:tc>
          <w:tcPr>
            <w:tcW w:w="1918" w:type="dxa"/>
            <w:vAlign w:val="center"/>
          </w:tcPr>
          <w:p w14:paraId="6D7D0370">
            <w:pPr>
              <w:jc w:val="center"/>
              <w:rPr>
                <w:rFonts w:hint="eastAsia" w:ascii="宋体" w:hAnsi="宋体" w:cs="宋体"/>
                <w:color w:val="auto"/>
                <w:sz w:val="22"/>
                <w:szCs w:val="22"/>
                <w:highlight w:val="none"/>
              </w:rPr>
            </w:pPr>
          </w:p>
        </w:tc>
      </w:tr>
      <w:tr w14:paraId="098B6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1749" w:type="dxa"/>
            <w:vMerge w:val="continue"/>
            <w:vAlign w:val="center"/>
          </w:tcPr>
          <w:p w14:paraId="0C4831AD">
            <w:pPr>
              <w:jc w:val="center"/>
              <w:rPr>
                <w:rFonts w:hint="eastAsia" w:ascii="宋体" w:hAnsi="宋体" w:cs="宋体"/>
                <w:color w:val="auto"/>
                <w:sz w:val="22"/>
                <w:szCs w:val="22"/>
                <w:highlight w:val="none"/>
              </w:rPr>
            </w:pPr>
          </w:p>
        </w:tc>
        <w:tc>
          <w:tcPr>
            <w:tcW w:w="1948" w:type="dxa"/>
            <w:vAlign w:val="center"/>
          </w:tcPr>
          <w:p w14:paraId="326498D3">
            <w:pPr>
              <w:jc w:val="center"/>
              <w:rPr>
                <w:rFonts w:hint="eastAsia" w:ascii="宋体" w:hAnsi="宋体" w:cs="宋体"/>
                <w:color w:val="auto"/>
                <w:sz w:val="22"/>
                <w:szCs w:val="22"/>
                <w:highlight w:val="none"/>
              </w:rPr>
            </w:pPr>
          </w:p>
        </w:tc>
        <w:tc>
          <w:tcPr>
            <w:tcW w:w="1975" w:type="dxa"/>
            <w:vAlign w:val="center"/>
          </w:tcPr>
          <w:p w14:paraId="6F608288">
            <w:pPr>
              <w:jc w:val="center"/>
              <w:rPr>
                <w:rFonts w:hint="eastAsia" w:ascii="宋体" w:hAnsi="宋体" w:cs="宋体"/>
                <w:color w:val="auto"/>
                <w:sz w:val="22"/>
                <w:szCs w:val="22"/>
                <w:highlight w:val="none"/>
              </w:rPr>
            </w:pPr>
          </w:p>
        </w:tc>
        <w:tc>
          <w:tcPr>
            <w:tcW w:w="2210" w:type="dxa"/>
            <w:vAlign w:val="center"/>
          </w:tcPr>
          <w:p w14:paraId="5FD359B1">
            <w:pPr>
              <w:jc w:val="center"/>
              <w:rPr>
                <w:rFonts w:hint="eastAsia" w:ascii="宋体" w:hAnsi="宋体" w:cs="宋体"/>
                <w:color w:val="auto"/>
                <w:sz w:val="22"/>
                <w:szCs w:val="22"/>
                <w:highlight w:val="none"/>
              </w:rPr>
            </w:pPr>
          </w:p>
        </w:tc>
        <w:tc>
          <w:tcPr>
            <w:tcW w:w="1918" w:type="dxa"/>
            <w:vAlign w:val="center"/>
          </w:tcPr>
          <w:p w14:paraId="4FE9E4EA">
            <w:pPr>
              <w:jc w:val="center"/>
              <w:rPr>
                <w:rFonts w:hint="eastAsia" w:ascii="宋体" w:hAnsi="宋体" w:cs="宋体"/>
                <w:color w:val="auto"/>
                <w:sz w:val="22"/>
                <w:szCs w:val="22"/>
                <w:highlight w:val="none"/>
              </w:rPr>
            </w:pPr>
          </w:p>
        </w:tc>
      </w:tr>
      <w:tr w14:paraId="4CC341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6" w:hRule="exact"/>
        </w:trPr>
        <w:tc>
          <w:tcPr>
            <w:tcW w:w="1749" w:type="dxa"/>
            <w:vMerge w:val="continue"/>
            <w:vAlign w:val="center"/>
          </w:tcPr>
          <w:p w14:paraId="7E2D6799">
            <w:pPr>
              <w:jc w:val="center"/>
              <w:rPr>
                <w:rFonts w:hint="eastAsia" w:ascii="宋体" w:hAnsi="宋体" w:cs="宋体"/>
                <w:color w:val="auto"/>
                <w:sz w:val="22"/>
                <w:szCs w:val="22"/>
                <w:highlight w:val="none"/>
              </w:rPr>
            </w:pPr>
          </w:p>
        </w:tc>
        <w:tc>
          <w:tcPr>
            <w:tcW w:w="1948" w:type="dxa"/>
            <w:vAlign w:val="center"/>
          </w:tcPr>
          <w:p w14:paraId="1462D06C">
            <w:pPr>
              <w:jc w:val="center"/>
              <w:rPr>
                <w:rFonts w:hint="eastAsia" w:ascii="宋体" w:hAnsi="宋体" w:cs="宋体"/>
                <w:color w:val="auto"/>
                <w:sz w:val="22"/>
                <w:szCs w:val="22"/>
                <w:highlight w:val="none"/>
              </w:rPr>
            </w:pPr>
          </w:p>
        </w:tc>
        <w:tc>
          <w:tcPr>
            <w:tcW w:w="1975" w:type="dxa"/>
            <w:vAlign w:val="center"/>
          </w:tcPr>
          <w:p w14:paraId="2E5802EB">
            <w:pPr>
              <w:jc w:val="center"/>
              <w:rPr>
                <w:rFonts w:hint="eastAsia" w:ascii="宋体" w:hAnsi="宋体" w:cs="宋体"/>
                <w:color w:val="auto"/>
                <w:sz w:val="22"/>
                <w:szCs w:val="22"/>
                <w:highlight w:val="none"/>
              </w:rPr>
            </w:pPr>
          </w:p>
        </w:tc>
        <w:tc>
          <w:tcPr>
            <w:tcW w:w="2210" w:type="dxa"/>
            <w:vAlign w:val="center"/>
          </w:tcPr>
          <w:p w14:paraId="6697DDDA">
            <w:pPr>
              <w:jc w:val="center"/>
              <w:rPr>
                <w:rFonts w:hint="eastAsia" w:ascii="宋体" w:hAnsi="宋体" w:cs="宋体"/>
                <w:color w:val="auto"/>
                <w:sz w:val="22"/>
                <w:szCs w:val="22"/>
                <w:highlight w:val="none"/>
              </w:rPr>
            </w:pPr>
          </w:p>
        </w:tc>
        <w:tc>
          <w:tcPr>
            <w:tcW w:w="1918" w:type="dxa"/>
            <w:vAlign w:val="center"/>
          </w:tcPr>
          <w:p w14:paraId="063D0762">
            <w:pPr>
              <w:jc w:val="center"/>
              <w:rPr>
                <w:rFonts w:hint="eastAsia" w:ascii="宋体" w:hAnsi="宋体" w:cs="宋体"/>
                <w:color w:val="auto"/>
                <w:sz w:val="22"/>
                <w:szCs w:val="22"/>
                <w:highlight w:val="none"/>
              </w:rPr>
            </w:pPr>
          </w:p>
        </w:tc>
      </w:tr>
      <w:tr w14:paraId="5291C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exact"/>
        </w:trPr>
        <w:tc>
          <w:tcPr>
            <w:tcW w:w="1749" w:type="dxa"/>
            <w:vMerge w:val="continue"/>
            <w:vAlign w:val="center"/>
          </w:tcPr>
          <w:p w14:paraId="3EFCC07D">
            <w:pPr>
              <w:jc w:val="center"/>
              <w:rPr>
                <w:rFonts w:hint="eastAsia" w:ascii="宋体" w:hAnsi="宋体" w:cs="宋体"/>
                <w:color w:val="auto"/>
                <w:sz w:val="22"/>
                <w:szCs w:val="22"/>
                <w:highlight w:val="none"/>
              </w:rPr>
            </w:pPr>
          </w:p>
        </w:tc>
        <w:tc>
          <w:tcPr>
            <w:tcW w:w="1948" w:type="dxa"/>
            <w:vAlign w:val="center"/>
          </w:tcPr>
          <w:p w14:paraId="4795332B">
            <w:pPr>
              <w:jc w:val="center"/>
              <w:rPr>
                <w:rFonts w:hint="eastAsia" w:ascii="宋体" w:hAnsi="宋体" w:cs="宋体"/>
                <w:color w:val="auto"/>
                <w:sz w:val="22"/>
                <w:szCs w:val="22"/>
                <w:highlight w:val="none"/>
              </w:rPr>
            </w:pPr>
          </w:p>
        </w:tc>
        <w:tc>
          <w:tcPr>
            <w:tcW w:w="1975" w:type="dxa"/>
            <w:vAlign w:val="center"/>
          </w:tcPr>
          <w:p w14:paraId="41981A63">
            <w:pPr>
              <w:jc w:val="center"/>
              <w:rPr>
                <w:rFonts w:hint="eastAsia" w:ascii="宋体" w:hAnsi="宋体" w:cs="宋体"/>
                <w:color w:val="auto"/>
                <w:sz w:val="22"/>
                <w:szCs w:val="22"/>
                <w:highlight w:val="none"/>
              </w:rPr>
            </w:pPr>
          </w:p>
        </w:tc>
        <w:tc>
          <w:tcPr>
            <w:tcW w:w="2210" w:type="dxa"/>
            <w:vAlign w:val="center"/>
          </w:tcPr>
          <w:p w14:paraId="0AF4CCD5">
            <w:pPr>
              <w:jc w:val="center"/>
              <w:rPr>
                <w:rFonts w:hint="eastAsia" w:ascii="宋体" w:hAnsi="宋体" w:cs="宋体"/>
                <w:color w:val="auto"/>
                <w:sz w:val="22"/>
                <w:szCs w:val="22"/>
                <w:highlight w:val="none"/>
              </w:rPr>
            </w:pPr>
          </w:p>
        </w:tc>
        <w:tc>
          <w:tcPr>
            <w:tcW w:w="1918" w:type="dxa"/>
            <w:vAlign w:val="center"/>
          </w:tcPr>
          <w:p w14:paraId="299DF8E3">
            <w:pPr>
              <w:jc w:val="center"/>
              <w:rPr>
                <w:rFonts w:hint="eastAsia" w:ascii="宋体" w:hAnsi="宋体" w:cs="宋体"/>
                <w:color w:val="auto"/>
                <w:sz w:val="22"/>
                <w:szCs w:val="22"/>
                <w:highlight w:val="none"/>
              </w:rPr>
            </w:pPr>
          </w:p>
        </w:tc>
      </w:tr>
    </w:tbl>
    <w:p w14:paraId="68A2528A">
      <w:pPr>
        <w:widowControl/>
        <w:overflowPunct w:val="0"/>
        <w:autoSpaceDE w:val="0"/>
        <w:autoSpaceDN w:val="0"/>
        <w:adjustRightInd w:val="0"/>
        <w:spacing w:line="440" w:lineRule="exact"/>
        <w:ind w:left="537" w:hanging="537" w:hangingChars="243"/>
        <w:jc w:val="left"/>
        <w:textAlignment w:val="baseline"/>
        <w:rPr>
          <w:rFonts w:hint="eastAsia" w:ascii="宋体" w:hAnsi="宋体" w:cs="宋体"/>
          <w:b/>
          <w:color w:val="auto"/>
          <w:kern w:val="0"/>
          <w:sz w:val="22"/>
          <w:szCs w:val="22"/>
          <w:highlight w:val="none"/>
        </w:rPr>
      </w:pPr>
      <w:r>
        <w:rPr>
          <w:rFonts w:hint="eastAsia" w:ascii="宋体" w:hAnsi="宋体" w:cs="宋体"/>
          <w:b/>
          <w:color w:val="auto"/>
          <w:kern w:val="0"/>
          <w:sz w:val="22"/>
          <w:szCs w:val="22"/>
          <w:highlight w:val="none"/>
        </w:rPr>
        <w:t>注： 如有偏离，必须在偏离表中进行详细对比说明并注明正偏离和负偏离，如不说明偏离情况，视为完全响应招标文件要求无偏离。</w:t>
      </w:r>
    </w:p>
    <w:p w14:paraId="30ECED90">
      <w:pPr>
        <w:spacing w:line="440" w:lineRule="exact"/>
        <w:ind w:firstLine="4400" w:firstLineChars="2000"/>
        <w:rPr>
          <w:rFonts w:hint="eastAsia"/>
          <w:color w:val="auto"/>
          <w:sz w:val="22"/>
          <w:szCs w:val="22"/>
          <w:highlight w:val="none"/>
        </w:rPr>
      </w:pPr>
      <w:r>
        <w:rPr>
          <w:rFonts w:hint="eastAsia"/>
          <w:color w:val="auto"/>
          <w:sz w:val="22"/>
          <w:szCs w:val="22"/>
          <w:highlight w:val="none"/>
        </w:rPr>
        <w:t>磋商供应商全称</w:t>
      </w:r>
      <w:r>
        <w:rPr>
          <w:rFonts w:hint="eastAsia" w:ascii="宋体" w:hAnsi="宋体" w:cs="宋体"/>
          <w:color w:val="auto"/>
          <w:sz w:val="22"/>
          <w:szCs w:val="22"/>
          <w:highlight w:val="none"/>
        </w:rPr>
        <w:t>（电子签名/公章）</w:t>
      </w:r>
      <w:r>
        <w:rPr>
          <w:rFonts w:hint="eastAsia"/>
          <w:color w:val="auto"/>
          <w:sz w:val="22"/>
          <w:szCs w:val="22"/>
          <w:highlight w:val="none"/>
        </w:rPr>
        <w:t>：</w:t>
      </w:r>
    </w:p>
    <w:p w14:paraId="6C79193B">
      <w:pPr>
        <w:spacing w:line="440" w:lineRule="exact"/>
        <w:ind w:firstLine="4400" w:firstLineChars="2000"/>
        <w:rPr>
          <w:rFonts w:hint="eastAsia"/>
          <w:color w:val="auto"/>
          <w:sz w:val="22"/>
          <w:szCs w:val="22"/>
          <w:highlight w:val="none"/>
        </w:rPr>
      </w:pPr>
      <w:r>
        <w:rPr>
          <w:rFonts w:hint="eastAsia"/>
          <w:color w:val="auto"/>
          <w:sz w:val="22"/>
          <w:szCs w:val="22"/>
          <w:highlight w:val="none"/>
        </w:rPr>
        <w:t xml:space="preserve">日期：     年    月    日  </w:t>
      </w:r>
    </w:p>
    <w:p w14:paraId="422CA0B2">
      <w:pPr>
        <w:spacing w:line="360" w:lineRule="auto"/>
        <w:rPr>
          <w:rFonts w:hint="eastAsia" w:ascii="宋体" w:hAnsi="宋体"/>
          <w:color w:val="auto"/>
          <w:sz w:val="22"/>
          <w:szCs w:val="22"/>
          <w:highlight w:val="none"/>
          <w:u w:val="single"/>
        </w:rPr>
        <w:sectPr>
          <w:pgSz w:w="11906" w:h="16838"/>
          <w:pgMar w:top="1134" w:right="1134" w:bottom="1134" w:left="1134" w:header="851" w:footer="992" w:gutter="0"/>
          <w:cols w:space="720" w:num="1"/>
          <w:docGrid w:linePitch="312" w:charSpace="0"/>
        </w:sectPr>
      </w:pPr>
    </w:p>
    <w:p w14:paraId="5E3E3FB3">
      <w:pPr>
        <w:pStyle w:val="5"/>
        <w:spacing w:line="440" w:lineRule="exact"/>
        <w:rPr>
          <w:rFonts w:ascii="黑体" w:hAnsi="宋体"/>
          <w:color w:val="auto"/>
          <w:sz w:val="24"/>
          <w:szCs w:val="24"/>
          <w:highlight w:val="none"/>
        </w:rPr>
      </w:pPr>
      <w:bookmarkStart w:id="98" w:name="_Toc2826"/>
      <w:bookmarkStart w:id="99" w:name="_Toc24968"/>
      <w:r>
        <w:rPr>
          <w:rFonts w:hint="eastAsia" w:ascii="黑体" w:hAnsi="宋体"/>
          <w:color w:val="auto"/>
          <w:sz w:val="24"/>
          <w:szCs w:val="24"/>
          <w:highlight w:val="none"/>
        </w:rPr>
        <w:t>附件1</w:t>
      </w:r>
      <w:r>
        <w:rPr>
          <w:rFonts w:hint="eastAsia" w:ascii="黑体" w:hAnsi="宋体"/>
          <w:color w:val="auto"/>
          <w:sz w:val="24"/>
          <w:szCs w:val="24"/>
          <w:highlight w:val="none"/>
          <w:lang w:val="en-US" w:eastAsia="zh-CN"/>
        </w:rPr>
        <w:t>2</w:t>
      </w:r>
      <w:r>
        <w:rPr>
          <w:rFonts w:ascii="黑体" w:hAnsi="宋体"/>
          <w:color w:val="auto"/>
          <w:sz w:val="24"/>
          <w:szCs w:val="24"/>
          <w:highlight w:val="none"/>
        </w:rPr>
        <w:t xml:space="preserve"> </w:t>
      </w:r>
      <w:r>
        <w:rPr>
          <w:rFonts w:hint="eastAsia" w:ascii="黑体" w:hAnsi="宋体"/>
          <w:color w:val="auto"/>
          <w:sz w:val="24"/>
          <w:szCs w:val="24"/>
          <w:highlight w:val="none"/>
        </w:rPr>
        <w:t>选用主要材料的品牌表</w:t>
      </w:r>
      <w:bookmarkEnd w:id="98"/>
      <w:bookmarkEnd w:id="99"/>
    </w:p>
    <w:p w14:paraId="08EA4895">
      <w:pPr>
        <w:spacing w:line="440" w:lineRule="exact"/>
        <w:jc w:val="center"/>
        <w:rPr>
          <w:rFonts w:ascii="宋体" w:hAnsi="宋体"/>
          <w:b/>
          <w:bCs/>
          <w:color w:val="auto"/>
          <w:sz w:val="32"/>
          <w:szCs w:val="32"/>
          <w:highlight w:val="none"/>
        </w:rPr>
      </w:pPr>
      <w:r>
        <w:rPr>
          <w:rFonts w:hint="eastAsia" w:ascii="宋体" w:hAnsi="宋体"/>
          <w:b/>
          <w:bCs/>
          <w:color w:val="auto"/>
          <w:sz w:val="32"/>
          <w:szCs w:val="32"/>
          <w:highlight w:val="none"/>
        </w:rPr>
        <w:t>选用主要材料的品牌表</w:t>
      </w:r>
    </w:p>
    <w:p w14:paraId="16330C29">
      <w:pPr>
        <w:spacing w:line="440" w:lineRule="exact"/>
        <w:rPr>
          <w:rFonts w:ascii="宋体" w:hAnsi="宋体"/>
          <w:color w:val="auto"/>
          <w:sz w:val="22"/>
          <w:szCs w:val="22"/>
          <w:highlight w:val="none"/>
        </w:rPr>
      </w:pPr>
    </w:p>
    <w:p w14:paraId="2872D590">
      <w:pPr>
        <w:spacing w:line="440" w:lineRule="exact"/>
        <w:rPr>
          <w:rFonts w:hint="eastAsia" w:ascii="宋体" w:hAnsi="宋体"/>
          <w:color w:val="auto"/>
          <w:sz w:val="22"/>
          <w:szCs w:val="22"/>
          <w:highlight w:val="none"/>
        </w:rPr>
      </w:pPr>
      <w:r>
        <w:rPr>
          <w:rFonts w:ascii="宋体" w:hAnsi="宋体"/>
          <w:color w:val="auto"/>
          <w:sz w:val="22"/>
          <w:szCs w:val="22"/>
          <w:highlight w:val="none"/>
        </w:rPr>
        <w:t>项目名称</w:t>
      </w: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项目编号：</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694"/>
        <w:gridCol w:w="3969"/>
        <w:gridCol w:w="1559"/>
      </w:tblGrid>
      <w:tr w14:paraId="26DAF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shd w:val="clear" w:color="auto" w:fill="D9D9D9"/>
            <w:vAlign w:val="center"/>
          </w:tcPr>
          <w:p w14:paraId="2B7D1AAD">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序号</w:t>
            </w:r>
          </w:p>
        </w:tc>
        <w:tc>
          <w:tcPr>
            <w:tcW w:w="2694" w:type="dxa"/>
            <w:shd w:val="clear" w:color="auto" w:fill="D9D9D9"/>
            <w:vAlign w:val="center"/>
          </w:tcPr>
          <w:p w14:paraId="6CBA976D">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主材名称</w:t>
            </w:r>
          </w:p>
        </w:tc>
        <w:tc>
          <w:tcPr>
            <w:tcW w:w="3969" w:type="dxa"/>
            <w:shd w:val="clear" w:color="auto" w:fill="D9D9D9"/>
            <w:vAlign w:val="center"/>
          </w:tcPr>
          <w:p w14:paraId="314D5300">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品牌、规格型号</w:t>
            </w:r>
          </w:p>
        </w:tc>
        <w:tc>
          <w:tcPr>
            <w:tcW w:w="1559" w:type="dxa"/>
            <w:shd w:val="clear" w:color="auto" w:fill="D9D9D9"/>
            <w:vAlign w:val="center"/>
          </w:tcPr>
          <w:p w14:paraId="577F7BD9">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备注</w:t>
            </w:r>
          </w:p>
        </w:tc>
      </w:tr>
      <w:tr w14:paraId="55328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6B79BF20">
            <w:pPr>
              <w:spacing w:line="380" w:lineRule="exact"/>
              <w:jc w:val="center"/>
              <w:rPr>
                <w:rFonts w:hint="eastAsia" w:ascii="宋体" w:hAnsi="宋体"/>
                <w:b/>
                <w:bCs/>
                <w:color w:val="auto"/>
                <w:sz w:val="22"/>
                <w:szCs w:val="22"/>
                <w:highlight w:val="none"/>
              </w:rPr>
            </w:pPr>
            <w:r>
              <w:rPr>
                <w:rFonts w:hint="eastAsia"/>
                <w:color w:val="auto"/>
                <w:sz w:val="24"/>
                <w:highlight w:val="none"/>
              </w:rPr>
              <w:t>1</w:t>
            </w:r>
          </w:p>
        </w:tc>
        <w:tc>
          <w:tcPr>
            <w:tcW w:w="2694" w:type="dxa"/>
            <w:vAlign w:val="center"/>
          </w:tcPr>
          <w:p w14:paraId="6C93B335">
            <w:pPr>
              <w:spacing w:line="380" w:lineRule="exact"/>
              <w:jc w:val="center"/>
              <w:rPr>
                <w:rFonts w:hint="eastAsia" w:ascii="宋体" w:hAnsi="宋体"/>
                <w:b/>
                <w:bCs/>
                <w:color w:val="auto"/>
                <w:sz w:val="22"/>
                <w:szCs w:val="22"/>
                <w:highlight w:val="none"/>
              </w:rPr>
            </w:pPr>
          </w:p>
        </w:tc>
        <w:tc>
          <w:tcPr>
            <w:tcW w:w="3969" w:type="dxa"/>
            <w:vAlign w:val="center"/>
          </w:tcPr>
          <w:p w14:paraId="436C3B5B">
            <w:pPr>
              <w:spacing w:line="380" w:lineRule="exact"/>
              <w:jc w:val="center"/>
              <w:rPr>
                <w:rFonts w:hint="eastAsia" w:ascii="宋体" w:hAnsi="宋体"/>
                <w:b/>
                <w:bCs/>
                <w:color w:val="auto"/>
                <w:sz w:val="22"/>
                <w:szCs w:val="22"/>
                <w:highlight w:val="none"/>
              </w:rPr>
            </w:pPr>
          </w:p>
        </w:tc>
        <w:tc>
          <w:tcPr>
            <w:tcW w:w="1559" w:type="dxa"/>
            <w:vAlign w:val="center"/>
          </w:tcPr>
          <w:p w14:paraId="46AF218C">
            <w:pPr>
              <w:spacing w:line="380" w:lineRule="exact"/>
              <w:jc w:val="center"/>
              <w:rPr>
                <w:rFonts w:hint="eastAsia" w:ascii="宋体" w:hAnsi="宋体"/>
                <w:b/>
                <w:bCs/>
                <w:color w:val="auto"/>
                <w:sz w:val="22"/>
                <w:szCs w:val="22"/>
                <w:highlight w:val="none"/>
              </w:rPr>
            </w:pPr>
          </w:p>
        </w:tc>
      </w:tr>
      <w:tr w14:paraId="12420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5E86696B">
            <w:pPr>
              <w:spacing w:line="380" w:lineRule="exact"/>
              <w:jc w:val="center"/>
              <w:rPr>
                <w:rFonts w:hint="eastAsia" w:ascii="宋体" w:hAnsi="宋体"/>
                <w:b/>
                <w:bCs/>
                <w:color w:val="auto"/>
                <w:sz w:val="22"/>
                <w:szCs w:val="22"/>
                <w:highlight w:val="none"/>
              </w:rPr>
            </w:pPr>
            <w:r>
              <w:rPr>
                <w:rFonts w:hint="eastAsia"/>
                <w:color w:val="auto"/>
                <w:sz w:val="24"/>
                <w:highlight w:val="none"/>
              </w:rPr>
              <w:t>2</w:t>
            </w:r>
          </w:p>
        </w:tc>
        <w:tc>
          <w:tcPr>
            <w:tcW w:w="2694" w:type="dxa"/>
            <w:vAlign w:val="center"/>
          </w:tcPr>
          <w:p w14:paraId="1C7E396B">
            <w:pPr>
              <w:spacing w:line="380" w:lineRule="exact"/>
              <w:jc w:val="center"/>
              <w:rPr>
                <w:rFonts w:hint="eastAsia" w:ascii="宋体" w:hAnsi="宋体"/>
                <w:b/>
                <w:bCs/>
                <w:color w:val="auto"/>
                <w:sz w:val="22"/>
                <w:szCs w:val="22"/>
                <w:highlight w:val="none"/>
              </w:rPr>
            </w:pPr>
          </w:p>
        </w:tc>
        <w:tc>
          <w:tcPr>
            <w:tcW w:w="3969" w:type="dxa"/>
            <w:vAlign w:val="center"/>
          </w:tcPr>
          <w:p w14:paraId="260E66D1">
            <w:pPr>
              <w:spacing w:line="380" w:lineRule="exact"/>
              <w:jc w:val="center"/>
              <w:rPr>
                <w:rFonts w:hint="eastAsia" w:ascii="宋体" w:hAnsi="宋体"/>
                <w:b/>
                <w:bCs/>
                <w:color w:val="auto"/>
                <w:sz w:val="22"/>
                <w:szCs w:val="22"/>
                <w:highlight w:val="none"/>
              </w:rPr>
            </w:pPr>
          </w:p>
        </w:tc>
        <w:tc>
          <w:tcPr>
            <w:tcW w:w="1559" w:type="dxa"/>
            <w:vAlign w:val="center"/>
          </w:tcPr>
          <w:p w14:paraId="70AD0F97">
            <w:pPr>
              <w:spacing w:line="380" w:lineRule="exact"/>
              <w:jc w:val="center"/>
              <w:rPr>
                <w:rFonts w:hint="eastAsia" w:ascii="宋体" w:hAnsi="宋体"/>
                <w:b/>
                <w:bCs/>
                <w:color w:val="auto"/>
                <w:sz w:val="22"/>
                <w:szCs w:val="22"/>
                <w:highlight w:val="none"/>
              </w:rPr>
            </w:pPr>
          </w:p>
        </w:tc>
      </w:tr>
      <w:tr w14:paraId="069E1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6C3F9C50">
            <w:pPr>
              <w:spacing w:line="380" w:lineRule="exact"/>
              <w:jc w:val="center"/>
              <w:rPr>
                <w:rFonts w:hint="eastAsia" w:ascii="宋体" w:hAnsi="宋体"/>
                <w:b/>
                <w:bCs/>
                <w:color w:val="auto"/>
                <w:sz w:val="22"/>
                <w:szCs w:val="22"/>
                <w:highlight w:val="none"/>
              </w:rPr>
            </w:pPr>
            <w:r>
              <w:rPr>
                <w:rFonts w:hint="eastAsia"/>
                <w:color w:val="auto"/>
                <w:sz w:val="24"/>
                <w:highlight w:val="none"/>
              </w:rPr>
              <w:t>3</w:t>
            </w:r>
          </w:p>
        </w:tc>
        <w:tc>
          <w:tcPr>
            <w:tcW w:w="2694" w:type="dxa"/>
            <w:vAlign w:val="center"/>
          </w:tcPr>
          <w:p w14:paraId="2AA2E360">
            <w:pPr>
              <w:spacing w:line="380" w:lineRule="exact"/>
              <w:jc w:val="center"/>
              <w:rPr>
                <w:rFonts w:hint="eastAsia" w:ascii="宋体" w:hAnsi="宋体"/>
                <w:b/>
                <w:bCs/>
                <w:color w:val="auto"/>
                <w:sz w:val="22"/>
                <w:szCs w:val="22"/>
                <w:highlight w:val="none"/>
              </w:rPr>
            </w:pPr>
          </w:p>
        </w:tc>
        <w:tc>
          <w:tcPr>
            <w:tcW w:w="3969" w:type="dxa"/>
            <w:vAlign w:val="center"/>
          </w:tcPr>
          <w:p w14:paraId="3966E771">
            <w:pPr>
              <w:spacing w:line="380" w:lineRule="exact"/>
              <w:jc w:val="center"/>
              <w:rPr>
                <w:rFonts w:hint="eastAsia" w:ascii="宋体" w:hAnsi="宋体"/>
                <w:b/>
                <w:bCs/>
                <w:color w:val="auto"/>
                <w:sz w:val="22"/>
                <w:szCs w:val="22"/>
                <w:highlight w:val="none"/>
              </w:rPr>
            </w:pPr>
          </w:p>
        </w:tc>
        <w:tc>
          <w:tcPr>
            <w:tcW w:w="1559" w:type="dxa"/>
            <w:vAlign w:val="center"/>
          </w:tcPr>
          <w:p w14:paraId="4F8A732A">
            <w:pPr>
              <w:spacing w:line="380" w:lineRule="exact"/>
              <w:jc w:val="center"/>
              <w:rPr>
                <w:rFonts w:hint="eastAsia" w:ascii="宋体" w:hAnsi="宋体"/>
                <w:b/>
                <w:bCs/>
                <w:color w:val="auto"/>
                <w:sz w:val="22"/>
                <w:szCs w:val="22"/>
                <w:highlight w:val="none"/>
              </w:rPr>
            </w:pPr>
          </w:p>
        </w:tc>
      </w:tr>
      <w:tr w14:paraId="4E700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5DDB5681">
            <w:pPr>
              <w:spacing w:line="380" w:lineRule="exact"/>
              <w:jc w:val="center"/>
              <w:rPr>
                <w:rFonts w:hint="eastAsia" w:ascii="宋体" w:hAnsi="宋体"/>
                <w:b/>
                <w:bCs/>
                <w:color w:val="auto"/>
                <w:sz w:val="22"/>
                <w:szCs w:val="22"/>
                <w:highlight w:val="none"/>
              </w:rPr>
            </w:pPr>
            <w:r>
              <w:rPr>
                <w:rFonts w:hint="eastAsia"/>
                <w:color w:val="auto"/>
                <w:sz w:val="24"/>
                <w:highlight w:val="none"/>
              </w:rPr>
              <w:t>4</w:t>
            </w:r>
          </w:p>
        </w:tc>
        <w:tc>
          <w:tcPr>
            <w:tcW w:w="2694" w:type="dxa"/>
            <w:vAlign w:val="center"/>
          </w:tcPr>
          <w:p w14:paraId="13AB4F1E">
            <w:pPr>
              <w:spacing w:line="380" w:lineRule="exact"/>
              <w:jc w:val="center"/>
              <w:rPr>
                <w:rFonts w:hint="eastAsia" w:ascii="宋体" w:hAnsi="宋体"/>
                <w:b/>
                <w:bCs/>
                <w:color w:val="auto"/>
                <w:sz w:val="22"/>
                <w:szCs w:val="22"/>
                <w:highlight w:val="none"/>
              </w:rPr>
            </w:pPr>
          </w:p>
        </w:tc>
        <w:tc>
          <w:tcPr>
            <w:tcW w:w="3969" w:type="dxa"/>
            <w:vAlign w:val="center"/>
          </w:tcPr>
          <w:p w14:paraId="7BCA8001">
            <w:pPr>
              <w:spacing w:line="380" w:lineRule="exact"/>
              <w:jc w:val="center"/>
              <w:rPr>
                <w:rFonts w:hint="eastAsia" w:ascii="宋体" w:hAnsi="宋体"/>
                <w:b/>
                <w:bCs/>
                <w:color w:val="auto"/>
                <w:sz w:val="22"/>
                <w:szCs w:val="22"/>
                <w:highlight w:val="none"/>
              </w:rPr>
            </w:pPr>
          </w:p>
        </w:tc>
        <w:tc>
          <w:tcPr>
            <w:tcW w:w="1559" w:type="dxa"/>
            <w:vAlign w:val="center"/>
          </w:tcPr>
          <w:p w14:paraId="4E157D47">
            <w:pPr>
              <w:spacing w:line="380" w:lineRule="exact"/>
              <w:jc w:val="center"/>
              <w:rPr>
                <w:rFonts w:hint="eastAsia" w:ascii="宋体" w:hAnsi="宋体"/>
                <w:b/>
                <w:bCs/>
                <w:color w:val="auto"/>
                <w:sz w:val="22"/>
                <w:szCs w:val="22"/>
                <w:highlight w:val="none"/>
              </w:rPr>
            </w:pPr>
          </w:p>
        </w:tc>
      </w:tr>
      <w:tr w14:paraId="76172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55234F60">
            <w:pPr>
              <w:spacing w:line="380" w:lineRule="exact"/>
              <w:jc w:val="center"/>
              <w:rPr>
                <w:rFonts w:hint="eastAsia" w:ascii="宋体" w:hAnsi="宋体"/>
                <w:b/>
                <w:bCs/>
                <w:color w:val="auto"/>
                <w:sz w:val="22"/>
                <w:szCs w:val="22"/>
                <w:highlight w:val="none"/>
              </w:rPr>
            </w:pPr>
            <w:r>
              <w:rPr>
                <w:rFonts w:hint="eastAsia"/>
                <w:color w:val="auto"/>
                <w:sz w:val="24"/>
                <w:highlight w:val="none"/>
              </w:rPr>
              <w:t>5</w:t>
            </w:r>
          </w:p>
        </w:tc>
        <w:tc>
          <w:tcPr>
            <w:tcW w:w="2694" w:type="dxa"/>
          </w:tcPr>
          <w:p w14:paraId="2F61FF1A">
            <w:pPr>
              <w:spacing w:line="380" w:lineRule="exact"/>
              <w:jc w:val="center"/>
              <w:rPr>
                <w:rFonts w:hint="eastAsia" w:ascii="宋体" w:hAnsi="宋体"/>
                <w:b/>
                <w:bCs/>
                <w:color w:val="auto"/>
                <w:sz w:val="22"/>
                <w:szCs w:val="22"/>
                <w:highlight w:val="none"/>
              </w:rPr>
            </w:pPr>
          </w:p>
        </w:tc>
        <w:tc>
          <w:tcPr>
            <w:tcW w:w="3969" w:type="dxa"/>
            <w:vAlign w:val="center"/>
          </w:tcPr>
          <w:p w14:paraId="4791BDED">
            <w:pPr>
              <w:spacing w:line="380" w:lineRule="exact"/>
              <w:jc w:val="center"/>
              <w:rPr>
                <w:rFonts w:hint="eastAsia" w:ascii="宋体" w:hAnsi="宋体"/>
                <w:b/>
                <w:bCs/>
                <w:color w:val="auto"/>
                <w:sz w:val="22"/>
                <w:szCs w:val="22"/>
                <w:highlight w:val="none"/>
              </w:rPr>
            </w:pPr>
          </w:p>
        </w:tc>
        <w:tc>
          <w:tcPr>
            <w:tcW w:w="1559" w:type="dxa"/>
            <w:vAlign w:val="center"/>
          </w:tcPr>
          <w:p w14:paraId="14A32DE3">
            <w:pPr>
              <w:spacing w:line="380" w:lineRule="exact"/>
              <w:jc w:val="center"/>
              <w:rPr>
                <w:rFonts w:hint="eastAsia" w:ascii="宋体" w:hAnsi="宋体"/>
                <w:b/>
                <w:bCs/>
                <w:color w:val="auto"/>
                <w:sz w:val="22"/>
                <w:szCs w:val="22"/>
                <w:highlight w:val="none"/>
              </w:rPr>
            </w:pPr>
          </w:p>
        </w:tc>
      </w:tr>
      <w:tr w14:paraId="17EAC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061B663B">
            <w:pPr>
              <w:spacing w:line="380" w:lineRule="exact"/>
              <w:jc w:val="center"/>
              <w:rPr>
                <w:rFonts w:hint="eastAsia" w:ascii="宋体" w:hAnsi="宋体"/>
                <w:b/>
                <w:bCs/>
                <w:color w:val="auto"/>
                <w:sz w:val="22"/>
                <w:szCs w:val="22"/>
                <w:highlight w:val="none"/>
              </w:rPr>
            </w:pPr>
            <w:r>
              <w:rPr>
                <w:rFonts w:hint="eastAsia"/>
                <w:color w:val="auto"/>
                <w:sz w:val="24"/>
                <w:highlight w:val="none"/>
              </w:rPr>
              <w:t>6</w:t>
            </w:r>
          </w:p>
        </w:tc>
        <w:tc>
          <w:tcPr>
            <w:tcW w:w="2694" w:type="dxa"/>
            <w:vAlign w:val="center"/>
          </w:tcPr>
          <w:p w14:paraId="209EB9BB">
            <w:pPr>
              <w:spacing w:line="380" w:lineRule="exact"/>
              <w:jc w:val="center"/>
              <w:rPr>
                <w:rFonts w:hint="eastAsia" w:ascii="宋体" w:hAnsi="宋体"/>
                <w:b/>
                <w:bCs/>
                <w:color w:val="auto"/>
                <w:sz w:val="22"/>
                <w:szCs w:val="22"/>
                <w:highlight w:val="none"/>
              </w:rPr>
            </w:pPr>
          </w:p>
        </w:tc>
        <w:tc>
          <w:tcPr>
            <w:tcW w:w="3969" w:type="dxa"/>
            <w:vAlign w:val="center"/>
          </w:tcPr>
          <w:p w14:paraId="11548AAB">
            <w:pPr>
              <w:spacing w:line="380" w:lineRule="exact"/>
              <w:jc w:val="center"/>
              <w:rPr>
                <w:rFonts w:hint="eastAsia" w:ascii="宋体" w:hAnsi="宋体"/>
                <w:b/>
                <w:bCs/>
                <w:color w:val="auto"/>
                <w:sz w:val="22"/>
                <w:szCs w:val="22"/>
                <w:highlight w:val="none"/>
              </w:rPr>
            </w:pPr>
          </w:p>
        </w:tc>
        <w:tc>
          <w:tcPr>
            <w:tcW w:w="1559" w:type="dxa"/>
            <w:vAlign w:val="center"/>
          </w:tcPr>
          <w:p w14:paraId="69DA1466">
            <w:pPr>
              <w:spacing w:line="380" w:lineRule="exact"/>
              <w:jc w:val="center"/>
              <w:rPr>
                <w:rFonts w:hint="eastAsia" w:ascii="宋体" w:hAnsi="宋体"/>
                <w:b/>
                <w:bCs/>
                <w:color w:val="auto"/>
                <w:sz w:val="22"/>
                <w:szCs w:val="22"/>
                <w:highlight w:val="none"/>
              </w:rPr>
            </w:pPr>
          </w:p>
        </w:tc>
      </w:tr>
      <w:tr w14:paraId="69BEF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20D74EC1">
            <w:pPr>
              <w:spacing w:line="380" w:lineRule="exact"/>
              <w:jc w:val="center"/>
              <w:rPr>
                <w:rFonts w:hint="eastAsia" w:ascii="宋体" w:hAnsi="宋体"/>
                <w:b/>
                <w:bCs/>
                <w:color w:val="auto"/>
                <w:sz w:val="22"/>
                <w:szCs w:val="22"/>
                <w:highlight w:val="none"/>
              </w:rPr>
            </w:pPr>
            <w:r>
              <w:rPr>
                <w:rFonts w:hint="eastAsia"/>
                <w:color w:val="auto"/>
                <w:sz w:val="24"/>
                <w:highlight w:val="none"/>
              </w:rPr>
              <w:t>7</w:t>
            </w:r>
          </w:p>
        </w:tc>
        <w:tc>
          <w:tcPr>
            <w:tcW w:w="2694" w:type="dxa"/>
            <w:vAlign w:val="center"/>
          </w:tcPr>
          <w:p w14:paraId="2D494C00">
            <w:pPr>
              <w:spacing w:line="380" w:lineRule="exact"/>
              <w:jc w:val="center"/>
              <w:rPr>
                <w:rFonts w:hint="eastAsia" w:ascii="宋体" w:hAnsi="宋体"/>
                <w:b/>
                <w:bCs/>
                <w:color w:val="auto"/>
                <w:sz w:val="22"/>
                <w:szCs w:val="22"/>
                <w:highlight w:val="none"/>
              </w:rPr>
            </w:pPr>
          </w:p>
        </w:tc>
        <w:tc>
          <w:tcPr>
            <w:tcW w:w="3969" w:type="dxa"/>
            <w:vAlign w:val="center"/>
          </w:tcPr>
          <w:p w14:paraId="3D793E41">
            <w:pPr>
              <w:spacing w:line="380" w:lineRule="exact"/>
              <w:jc w:val="center"/>
              <w:rPr>
                <w:rFonts w:hint="eastAsia" w:ascii="宋体" w:hAnsi="宋体"/>
                <w:b/>
                <w:bCs/>
                <w:color w:val="auto"/>
                <w:sz w:val="22"/>
                <w:szCs w:val="22"/>
                <w:highlight w:val="none"/>
              </w:rPr>
            </w:pPr>
          </w:p>
        </w:tc>
        <w:tc>
          <w:tcPr>
            <w:tcW w:w="1559" w:type="dxa"/>
            <w:vAlign w:val="center"/>
          </w:tcPr>
          <w:p w14:paraId="72EDC621">
            <w:pPr>
              <w:spacing w:line="380" w:lineRule="exact"/>
              <w:jc w:val="center"/>
              <w:rPr>
                <w:rFonts w:hint="eastAsia" w:ascii="宋体" w:hAnsi="宋体"/>
                <w:b/>
                <w:bCs/>
                <w:color w:val="auto"/>
                <w:sz w:val="22"/>
                <w:szCs w:val="22"/>
                <w:highlight w:val="none"/>
              </w:rPr>
            </w:pPr>
          </w:p>
        </w:tc>
      </w:tr>
      <w:tr w14:paraId="43AC5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7DD4D770">
            <w:pPr>
              <w:spacing w:line="380" w:lineRule="exact"/>
              <w:jc w:val="center"/>
              <w:rPr>
                <w:rFonts w:hint="eastAsia" w:ascii="宋体" w:hAnsi="宋体"/>
                <w:b/>
                <w:bCs/>
                <w:color w:val="auto"/>
                <w:sz w:val="22"/>
                <w:szCs w:val="22"/>
                <w:highlight w:val="none"/>
              </w:rPr>
            </w:pPr>
            <w:r>
              <w:rPr>
                <w:rFonts w:hint="eastAsia"/>
                <w:color w:val="auto"/>
                <w:sz w:val="24"/>
                <w:highlight w:val="none"/>
              </w:rPr>
              <w:t>8</w:t>
            </w:r>
          </w:p>
        </w:tc>
        <w:tc>
          <w:tcPr>
            <w:tcW w:w="2694" w:type="dxa"/>
            <w:vAlign w:val="center"/>
          </w:tcPr>
          <w:p w14:paraId="1F11F896">
            <w:pPr>
              <w:spacing w:line="380" w:lineRule="exact"/>
              <w:jc w:val="center"/>
              <w:rPr>
                <w:rFonts w:hint="eastAsia" w:ascii="宋体" w:hAnsi="宋体"/>
                <w:b/>
                <w:bCs/>
                <w:color w:val="auto"/>
                <w:sz w:val="22"/>
                <w:szCs w:val="22"/>
                <w:highlight w:val="none"/>
              </w:rPr>
            </w:pPr>
          </w:p>
        </w:tc>
        <w:tc>
          <w:tcPr>
            <w:tcW w:w="3969" w:type="dxa"/>
            <w:vAlign w:val="center"/>
          </w:tcPr>
          <w:p w14:paraId="43DFCB6E">
            <w:pPr>
              <w:spacing w:line="380" w:lineRule="exact"/>
              <w:jc w:val="center"/>
              <w:rPr>
                <w:rFonts w:hint="eastAsia" w:ascii="宋体" w:hAnsi="宋体"/>
                <w:b/>
                <w:bCs/>
                <w:color w:val="auto"/>
                <w:sz w:val="22"/>
                <w:szCs w:val="22"/>
                <w:highlight w:val="none"/>
              </w:rPr>
            </w:pPr>
          </w:p>
        </w:tc>
        <w:tc>
          <w:tcPr>
            <w:tcW w:w="1559" w:type="dxa"/>
            <w:vAlign w:val="center"/>
          </w:tcPr>
          <w:p w14:paraId="762809DF">
            <w:pPr>
              <w:spacing w:line="380" w:lineRule="exact"/>
              <w:jc w:val="center"/>
              <w:rPr>
                <w:rFonts w:hint="eastAsia" w:ascii="宋体" w:hAnsi="宋体"/>
                <w:b/>
                <w:bCs/>
                <w:color w:val="auto"/>
                <w:sz w:val="22"/>
                <w:szCs w:val="22"/>
                <w:highlight w:val="none"/>
              </w:rPr>
            </w:pPr>
          </w:p>
        </w:tc>
      </w:tr>
      <w:tr w14:paraId="62D2B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0C607A64">
            <w:pPr>
              <w:spacing w:line="380" w:lineRule="exact"/>
              <w:jc w:val="center"/>
              <w:rPr>
                <w:rFonts w:hint="eastAsia" w:ascii="宋体" w:hAnsi="宋体"/>
                <w:b/>
                <w:bCs/>
                <w:color w:val="auto"/>
                <w:sz w:val="22"/>
                <w:szCs w:val="22"/>
                <w:highlight w:val="none"/>
              </w:rPr>
            </w:pPr>
            <w:r>
              <w:rPr>
                <w:rFonts w:hint="eastAsia"/>
                <w:color w:val="auto"/>
                <w:sz w:val="24"/>
                <w:highlight w:val="none"/>
              </w:rPr>
              <w:t>9</w:t>
            </w:r>
          </w:p>
        </w:tc>
        <w:tc>
          <w:tcPr>
            <w:tcW w:w="2694" w:type="dxa"/>
            <w:vAlign w:val="center"/>
          </w:tcPr>
          <w:p w14:paraId="294365AD">
            <w:pPr>
              <w:spacing w:line="380" w:lineRule="exact"/>
              <w:jc w:val="center"/>
              <w:rPr>
                <w:rFonts w:hint="eastAsia" w:ascii="宋体" w:hAnsi="宋体"/>
                <w:b/>
                <w:bCs/>
                <w:color w:val="auto"/>
                <w:sz w:val="22"/>
                <w:szCs w:val="22"/>
                <w:highlight w:val="none"/>
              </w:rPr>
            </w:pPr>
          </w:p>
        </w:tc>
        <w:tc>
          <w:tcPr>
            <w:tcW w:w="3969" w:type="dxa"/>
            <w:vAlign w:val="center"/>
          </w:tcPr>
          <w:p w14:paraId="2EC59041">
            <w:pPr>
              <w:spacing w:line="380" w:lineRule="exact"/>
              <w:jc w:val="center"/>
              <w:rPr>
                <w:rFonts w:hint="eastAsia" w:ascii="宋体" w:hAnsi="宋体"/>
                <w:b/>
                <w:bCs/>
                <w:color w:val="auto"/>
                <w:sz w:val="22"/>
                <w:szCs w:val="22"/>
                <w:highlight w:val="none"/>
              </w:rPr>
            </w:pPr>
          </w:p>
        </w:tc>
        <w:tc>
          <w:tcPr>
            <w:tcW w:w="1559" w:type="dxa"/>
            <w:vAlign w:val="center"/>
          </w:tcPr>
          <w:p w14:paraId="49E73CC2">
            <w:pPr>
              <w:spacing w:line="380" w:lineRule="exact"/>
              <w:jc w:val="center"/>
              <w:rPr>
                <w:rFonts w:hint="eastAsia" w:ascii="宋体" w:hAnsi="宋体"/>
                <w:b/>
                <w:bCs/>
                <w:color w:val="auto"/>
                <w:sz w:val="22"/>
                <w:szCs w:val="22"/>
                <w:highlight w:val="none"/>
              </w:rPr>
            </w:pPr>
          </w:p>
        </w:tc>
      </w:tr>
      <w:tr w14:paraId="16DA9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74BC61BF">
            <w:pPr>
              <w:spacing w:line="380" w:lineRule="exact"/>
              <w:jc w:val="center"/>
              <w:rPr>
                <w:rFonts w:hint="eastAsia" w:ascii="宋体" w:hAnsi="宋体"/>
                <w:b/>
                <w:bCs/>
                <w:color w:val="auto"/>
                <w:sz w:val="22"/>
                <w:szCs w:val="22"/>
                <w:highlight w:val="none"/>
              </w:rPr>
            </w:pPr>
            <w:r>
              <w:rPr>
                <w:rFonts w:hint="eastAsia"/>
                <w:color w:val="auto"/>
                <w:sz w:val="24"/>
                <w:highlight w:val="none"/>
              </w:rPr>
              <w:t>10</w:t>
            </w:r>
          </w:p>
        </w:tc>
        <w:tc>
          <w:tcPr>
            <w:tcW w:w="2694" w:type="dxa"/>
            <w:vAlign w:val="center"/>
          </w:tcPr>
          <w:p w14:paraId="5D384777">
            <w:pPr>
              <w:spacing w:line="380" w:lineRule="exact"/>
              <w:jc w:val="center"/>
              <w:rPr>
                <w:rFonts w:hint="eastAsia" w:ascii="宋体" w:hAnsi="宋体"/>
                <w:b/>
                <w:bCs/>
                <w:color w:val="auto"/>
                <w:sz w:val="22"/>
                <w:szCs w:val="22"/>
                <w:highlight w:val="none"/>
              </w:rPr>
            </w:pPr>
          </w:p>
        </w:tc>
        <w:tc>
          <w:tcPr>
            <w:tcW w:w="3969" w:type="dxa"/>
            <w:vAlign w:val="center"/>
          </w:tcPr>
          <w:p w14:paraId="2D0DFDCC">
            <w:pPr>
              <w:spacing w:line="380" w:lineRule="exact"/>
              <w:jc w:val="center"/>
              <w:rPr>
                <w:rFonts w:hint="eastAsia" w:ascii="宋体" w:hAnsi="宋体"/>
                <w:b/>
                <w:bCs/>
                <w:color w:val="auto"/>
                <w:sz w:val="22"/>
                <w:szCs w:val="22"/>
                <w:highlight w:val="none"/>
              </w:rPr>
            </w:pPr>
          </w:p>
        </w:tc>
        <w:tc>
          <w:tcPr>
            <w:tcW w:w="1559" w:type="dxa"/>
            <w:vAlign w:val="center"/>
          </w:tcPr>
          <w:p w14:paraId="733BF8A4">
            <w:pPr>
              <w:spacing w:line="380" w:lineRule="exact"/>
              <w:jc w:val="center"/>
              <w:rPr>
                <w:rFonts w:hint="eastAsia" w:ascii="宋体" w:hAnsi="宋体"/>
                <w:b/>
                <w:bCs/>
                <w:color w:val="auto"/>
                <w:sz w:val="22"/>
                <w:szCs w:val="22"/>
                <w:highlight w:val="none"/>
              </w:rPr>
            </w:pPr>
          </w:p>
        </w:tc>
      </w:tr>
      <w:tr w14:paraId="52550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242" w:type="dxa"/>
            <w:vAlign w:val="center"/>
          </w:tcPr>
          <w:p w14:paraId="31E82E16">
            <w:pPr>
              <w:spacing w:line="380" w:lineRule="exact"/>
              <w:jc w:val="center"/>
              <w:rPr>
                <w:rFonts w:hint="eastAsia"/>
                <w:color w:val="auto"/>
                <w:sz w:val="24"/>
                <w:highlight w:val="none"/>
              </w:rPr>
            </w:pPr>
            <w:r>
              <w:rPr>
                <w:rFonts w:hint="eastAsia"/>
                <w:color w:val="auto"/>
                <w:sz w:val="24"/>
                <w:highlight w:val="none"/>
              </w:rPr>
              <w:t>11</w:t>
            </w:r>
          </w:p>
        </w:tc>
        <w:tc>
          <w:tcPr>
            <w:tcW w:w="2694" w:type="dxa"/>
            <w:vAlign w:val="center"/>
          </w:tcPr>
          <w:p w14:paraId="148DBC2A">
            <w:pPr>
              <w:spacing w:line="380" w:lineRule="exact"/>
              <w:jc w:val="center"/>
              <w:rPr>
                <w:rFonts w:hint="eastAsia"/>
                <w:color w:val="auto"/>
                <w:sz w:val="24"/>
                <w:highlight w:val="none"/>
              </w:rPr>
            </w:pPr>
          </w:p>
        </w:tc>
        <w:tc>
          <w:tcPr>
            <w:tcW w:w="3969" w:type="dxa"/>
            <w:vAlign w:val="center"/>
          </w:tcPr>
          <w:p w14:paraId="7B2DF3E7">
            <w:pPr>
              <w:spacing w:line="380" w:lineRule="exact"/>
              <w:jc w:val="center"/>
              <w:rPr>
                <w:rFonts w:hint="eastAsia" w:ascii="宋体" w:hAnsi="宋体"/>
                <w:b/>
                <w:bCs/>
                <w:color w:val="auto"/>
                <w:sz w:val="22"/>
                <w:szCs w:val="22"/>
                <w:highlight w:val="none"/>
              </w:rPr>
            </w:pPr>
          </w:p>
        </w:tc>
        <w:tc>
          <w:tcPr>
            <w:tcW w:w="1559" w:type="dxa"/>
            <w:vAlign w:val="center"/>
          </w:tcPr>
          <w:p w14:paraId="517523C8">
            <w:pPr>
              <w:spacing w:line="380" w:lineRule="exact"/>
              <w:jc w:val="center"/>
              <w:rPr>
                <w:rFonts w:hint="eastAsia" w:ascii="宋体" w:hAnsi="宋体"/>
                <w:b/>
                <w:bCs/>
                <w:color w:val="auto"/>
                <w:sz w:val="22"/>
                <w:szCs w:val="22"/>
                <w:highlight w:val="none"/>
              </w:rPr>
            </w:pPr>
          </w:p>
        </w:tc>
      </w:tr>
    </w:tbl>
    <w:p w14:paraId="4C68BAE2">
      <w:pPr>
        <w:spacing w:line="440" w:lineRule="exact"/>
        <w:ind w:left="758" w:hanging="758" w:hangingChars="343"/>
        <w:rPr>
          <w:rFonts w:ascii="宋体" w:hAnsi="宋体"/>
          <w:b/>
          <w:color w:val="auto"/>
          <w:sz w:val="22"/>
          <w:szCs w:val="22"/>
          <w:highlight w:val="none"/>
        </w:rPr>
      </w:pPr>
      <w:r>
        <w:rPr>
          <w:rFonts w:hint="eastAsia" w:ascii="宋体" w:hAnsi="宋体"/>
          <w:b/>
          <w:bCs/>
          <w:color w:val="auto"/>
          <w:sz w:val="22"/>
          <w:szCs w:val="22"/>
          <w:highlight w:val="none"/>
        </w:rPr>
        <w:t>注：</w:t>
      </w:r>
      <w:r>
        <w:rPr>
          <w:rFonts w:hint="eastAsia" w:ascii="宋体" w:hAnsi="宋体"/>
          <w:b/>
          <w:color w:val="auto"/>
          <w:sz w:val="22"/>
          <w:szCs w:val="22"/>
          <w:highlight w:val="none"/>
        </w:rPr>
        <w:t>1. 供应商应根据编制说明的要求提供拟投入本项目使用的主材的品牌等资料，如未填写，合同签订时由采购人任意选定一品牌、规格型号，磋商供应商不得拒绝。</w:t>
      </w:r>
    </w:p>
    <w:p w14:paraId="574F360F">
      <w:pPr>
        <w:spacing w:line="440" w:lineRule="exact"/>
        <w:ind w:left="758" w:hanging="758" w:hangingChars="343"/>
        <w:rPr>
          <w:rFonts w:ascii="宋体" w:hAnsi="宋体"/>
          <w:b/>
          <w:color w:val="auto"/>
          <w:sz w:val="22"/>
          <w:szCs w:val="22"/>
          <w:highlight w:val="none"/>
        </w:rPr>
      </w:pPr>
      <w:r>
        <w:rPr>
          <w:rFonts w:hint="eastAsia" w:ascii="宋体" w:hAnsi="宋体"/>
          <w:b/>
          <w:color w:val="auto"/>
          <w:sz w:val="22"/>
          <w:szCs w:val="22"/>
          <w:highlight w:val="none"/>
        </w:rPr>
        <w:t xml:space="preserve">  </w:t>
      </w:r>
      <w:r>
        <w:rPr>
          <w:rFonts w:ascii="宋体" w:hAnsi="宋体"/>
          <w:b/>
          <w:color w:val="auto"/>
          <w:sz w:val="22"/>
          <w:szCs w:val="22"/>
          <w:highlight w:val="none"/>
        </w:rPr>
        <w:t xml:space="preserve"> </w:t>
      </w:r>
      <w:r>
        <w:rPr>
          <w:rFonts w:hint="eastAsia" w:ascii="宋体" w:hAnsi="宋体"/>
          <w:b/>
          <w:color w:val="auto"/>
          <w:sz w:val="22"/>
          <w:szCs w:val="22"/>
          <w:highlight w:val="none"/>
        </w:rPr>
        <w:t xml:space="preserve"> </w:t>
      </w:r>
      <w:r>
        <w:rPr>
          <w:rFonts w:ascii="宋体" w:hAnsi="宋体"/>
          <w:b/>
          <w:color w:val="auto"/>
          <w:sz w:val="22"/>
          <w:szCs w:val="22"/>
          <w:highlight w:val="none"/>
        </w:rPr>
        <w:t>2</w:t>
      </w:r>
      <w:r>
        <w:rPr>
          <w:rFonts w:hint="eastAsia" w:ascii="宋体" w:hAnsi="宋体"/>
          <w:b/>
          <w:color w:val="auto"/>
          <w:sz w:val="22"/>
          <w:szCs w:val="22"/>
          <w:highlight w:val="none"/>
        </w:rPr>
        <w:t>．未经采购人允许，该表格所列的品牌、型号不得更改。</w:t>
      </w:r>
    </w:p>
    <w:p w14:paraId="389DDB3E">
      <w:pPr>
        <w:spacing w:line="440" w:lineRule="exact"/>
        <w:ind w:firstLine="4400" w:firstLineChars="2000"/>
        <w:rPr>
          <w:rFonts w:hint="eastAsia" w:ascii="宋体" w:hAnsi="宋体"/>
          <w:color w:val="auto"/>
          <w:sz w:val="22"/>
          <w:szCs w:val="22"/>
          <w:highlight w:val="none"/>
        </w:rPr>
      </w:pPr>
    </w:p>
    <w:p w14:paraId="5B26ACA1">
      <w:pPr>
        <w:spacing w:line="440" w:lineRule="exact"/>
        <w:ind w:firstLine="4400" w:firstLineChars="2000"/>
        <w:rPr>
          <w:rFonts w:hint="eastAsia"/>
          <w:color w:val="auto"/>
          <w:sz w:val="22"/>
          <w:szCs w:val="22"/>
          <w:highlight w:val="none"/>
        </w:rPr>
      </w:pPr>
      <w:bookmarkStart w:id="100" w:name="_Toc26527444"/>
      <w:bookmarkStart w:id="101" w:name="_Toc390245844"/>
      <w:bookmarkStart w:id="102" w:name="_Toc453935780"/>
      <w:bookmarkStart w:id="103" w:name="_Toc439852847"/>
      <w:bookmarkStart w:id="104" w:name="_Toc230773790"/>
      <w:bookmarkStart w:id="105" w:name="_Toc522717098"/>
      <w:r>
        <w:rPr>
          <w:rFonts w:hint="eastAsia"/>
          <w:color w:val="auto"/>
          <w:sz w:val="22"/>
          <w:szCs w:val="22"/>
          <w:highlight w:val="none"/>
        </w:rPr>
        <w:t>磋商供应商全称</w:t>
      </w:r>
      <w:r>
        <w:rPr>
          <w:rFonts w:hint="eastAsia" w:ascii="宋体" w:hAnsi="宋体" w:cs="宋体"/>
          <w:color w:val="auto"/>
          <w:sz w:val="22"/>
          <w:szCs w:val="22"/>
          <w:highlight w:val="none"/>
        </w:rPr>
        <w:t>（电子签名/公章）</w:t>
      </w:r>
      <w:r>
        <w:rPr>
          <w:rFonts w:hint="eastAsia"/>
          <w:color w:val="auto"/>
          <w:sz w:val="22"/>
          <w:szCs w:val="22"/>
          <w:highlight w:val="none"/>
        </w:rPr>
        <w:t>：</w:t>
      </w:r>
    </w:p>
    <w:p w14:paraId="76E8CFDF">
      <w:pPr>
        <w:spacing w:line="440" w:lineRule="exact"/>
        <w:ind w:firstLine="4400" w:firstLineChars="2000"/>
        <w:rPr>
          <w:rFonts w:hint="eastAsia"/>
          <w:color w:val="auto"/>
          <w:sz w:val="22"/>
          <w:szCs w:val="22"/>
          <w:highlight w:val="none"/>
        </w:rPr>
      </w:pPr>
      <w:r>
        <w:rPr>
          <w:rFonts w:hint="eastAsia"/>
          <w:color w:val="auto"/>
          <w:sz w:val="22"/>
          <w:szCs w:val="22"/>
          <w:highlight w:val="none"/>
        </w:rPr>
        <w:t xml:space="preserve">日期：     年    月    日  </w:t>
      </w:r>
    </w:p>
    <w:p w14:paraId="5FCEF974">
      <w:pPr>
        <w:pStyle w:val="5"/>
        <w:spacing w:line="440" w:lineRule="exact"/>
        <w:rPr>
          <w:rFonts w:hint="eastAsia" w:ascii="黑体" w:hAnsi="宋体"/>
          <w:color w:val="auto"/>
          <w:sz w:val="24"/>
          <w:szCs w:val="24"/>
          <w:highlight w:val="none"/>
        </w:rPr>
      </w:pPr>
      <w:bookmarkStart w:id="106" w:name="_Toc16615"/>
      <w:bookmarkStart w:id="107" w:name="_Toc26144"/>
      <w:r>
        <w:rPr>
          <w:rFonts w:hint="eastAsia" w:ascii="黑体" w:hAnsi="宋体"/>
          <w:color w:val="auto"/>
          <w:sz w:val="24"/>
          <w:szCs w:val="24"/>
          <w:highlight w:val="none"/>
        </w:rPr>
        <w:t>附件1</w:t>
      </w:r>
      <w:r>
        <w:rPr>
          <w:rFonts w:hint="eastAsia" w:ascii="黑体" w:hAnsi="宋体"/>
          <w:color w:val="auto"/>
          <w:sz w:val="24"/>
          <w:szCs w:val="24"/>
          <w:highlight w:val="none"/>
          <w:lang w:val="en-US" w:eastAsia="zh-CN"/>
        </w:rPr>
        <w:t>3</w:t>
      </w:r>
      <w:r>
        <w:rPr>
          <w:rFonts w:hint="eastAsia" w:ascii="黑体" w:hAnsi="宋体"/>
          <w:color w:val="auto"/>
          <w:sz w:val="24"/>
          <w:szCs w:val="24"/>
          <w:highlight w:val="none"/>
        </w:rPr>
        <w:t xml:space="preserve"> 同类项目业绩</w:t>
      </w:r>
      <w:bookmarkEnd w:id="100"/>
      <w:bookmarkEnd w:id="101"/>
      <w:bookmarkEnd w:id="102"/>
      <w:bookmarkEnd w:id="103"/>
      <w:bookmarkEnd w:id="104"/>
      <w:bookmarkEnd w:id="105"/>
      <w:bookmarkEnd w:id="106"/>
      <w:bookmarkEnd w:id="107"/>
    </w:p>
    <w:p w14:paraId="051A2FB0">
      <w:pPr>
        <w:spacing w:line="440" w:lineRule="exact"/>
        <w:jc w:val="center"/>
        <w:rPr>
          <w:rFonts w:hint="eastAsia" w:ascii="宋体" w:hAnsi="宋体"/>
          <w:b/>
          <w:bCs/>
          <w:color w:val="auto"/>
          <w:sz w:val="28"/>
          <w:szCs w:val="28"/>
          <w:highlight w:val="none"/>
        </w:rPr>
      </w:pPr>
      <w:r>
        <w:rPr>
          <w:rFonts w:hint="eastAsia" w:ascii="宋体" w:hAnsi="宋体"/>
          <w:b/>
          <w:bCs/>
          <w:color w:val="auto"/>
          <w:sz w:val="28"/>
          <w:szCs w:val="28"/>
          <w:highlight w:val="none"/>
        </w:rPr>
        <w:t>同类项目业绩</w:t>
      </w:r>
    </w:p>
    <w:p w14:paraId="2B84E3E3">
      <w:pPr>
        <w:spacing w:line="440" w:lineRule="exact"/>
        <w:rPr>
          <w:rFonts w:hint="eastAsia" w:ascii="宋体" w:hAnsi="宋体"/>
          <w:b/>
          <w:bCs/>
          <w:color w:val="auto"/>
          <w:sz w:val="22"/>
          <w:szCs w:val="22"/>
          <w:highlight w:val="none"/>
        </w:rPr>
      </w:pPr>
      <w:r>
        <w:rPr>
          <w:rFonts w:hint="eastAsia" w:ascii="宋体" w:hAnsi="宋体"/>
          <w:b/>
          <w:bCs/>
          <w:color w:val="auto"/>
          <w:sz w:val="22"/>
          <w:szCs w:val="22"/>
          <w:highlight w:val="none"/>
        </w:rPr>
        <w:t>项目名称：                                                 项目编号：</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984"/>
        <w:gridCol w:w="720"/>
        <w:gridCol w:w="1123"/>
        <w:gridCol w:w="1134"/>
        <w:gridCol w:w="1727"/>
      </w:tblGrid>
      <w:tr w14:paraId="7BF80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vAlign w:val="center"/>
          </w:tcPr>
          <w:p w14:paraId="179B9884">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序号</w:t>
            </w:r>
          </w:p>
        </w:tc>
        <w:tc>
          <w:tcPr>
            <w:tcW w:w="2192" w:type="dxa"/>
            <w:shd w:val="clear" w:color="auto" w:fill="D9D9D9"/>
            <w:vAlign w:val="center"/>
          </w:tcPr>
          <w:p w14:paraId="421ABED2">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项目名称</w:t>
            </w:r>
          </w:p>
        </w:tc>
        <w:tc>
          <w:tcPr>
            <w:tcW w:w="1984" w:type="dxa"/>
            <w:shd w:val="clear" w:color="auto" w:fill="D9D9D9"/>
            <w:vAlign w:val="center"/>
          </w:tcPr>
          <w:p w14:paraId="1B1E2E8B">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用户单位</w:t>
            </w:r>
          </w:p>
        </w:tc>
        <w:tc>
          <w:tcPr>
            <w:tcW w:w="720" w:type="dxa"/>
            <w:shd w:val="clear" w:color="auto" w:fill="D9D9D9"/>
            <w:vAlign w:val="center"/>
          </w:tcPr>
          <w:p w14:paraId="47D499E7">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数量</w:t>
            </w:r>
          </w:p>
        </w:tc>
        <w:tc>
          <w:tcPr>
            <w:tcW w:w="1123" w:type="dxa"/>
            <w:shd w:val="clear" w:color="auto" w:fill="D9D9D9"/>
            <w:vAlign w:val="center"/>
          </w:tcPr>
          <w:p w14:paraId="795C9000">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合同金额</w:t>
            </w:r>
          </w:p>
        </w:tc>
        <w:tc>
          <w:tcPr>
            <w:tcW w:w="1134" w:type="dxa"/>
            <w:shd w:val="clear" w:color="auto" w:fill="D9D9D9"/>
            <w:vAlign w:val="center"/>
          </w:tcPr>
          <w:p w14:paraId="37439898">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合同签订时间</w:t>
            </w:r>
          </w:p>
        </w:tc>
        <w:tc>
          <w:tcPr>
            <w:tcW w:w="1727" w:type="dxa"/>
            <w:shd w:val="clear" w:color="auto" w:fill="D9D9D9"/>
            <w:vAlign w:val="center"/>
          </w:tcPr>
          <w:p w14:paraId="06BCA949">
            <w:pPr>
              <w:spacing w:line="380" w:lineRule="exact"/>
              <w:jc w:val="center"/>
              <w:rPr>
                <w:rFonts w:hint="eastAsia" w:ascii="宋体" w:hAnsi="宋体"/>
                <w:b/>
                <w:bCs/>
                <w:color w:val="auto"/>
                <w:sz w:val="22"/>
                <w:szCs w:val="22"/>
                <w:highlight w:val="none"/>
              </w:rPr>
            </w:pPr>
            <w:r>
              <w:rPr>
                <w:rFonts w:hint="eastAsia" w:ascii="宋体" w:hAnsi="宋体"/>
                <w:b/>
                <w:bCs/>
                <w:color w:val="auto"/>
                <w:sz w:val="22"/>
                <w:szCs w:val="22"/>
                <w:highlight w:val="none"/>
              </w:rPr>
              <w:t>用户联系人/联系方式</w:t>
            </w:r>
          </w:p>
        </w:tc>
      </w:tr>
      <w:tr w14:paraId="14E0F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30560C8A">
            <w:pPr>
              <w:spacing w:line="380" w:lineRule="exact"/>
              <w:jc w:val="center"/>
              <w:rPr>
                <w:rFonts w:hint="eastAsia" w:ascii="宋体" w:hAnsi="宋体"/>
                <w:b/>
                <w:bCs/>
                <w:color w:val="auto"/>
                <w:sz w:val="22"/>
                <w:szCs w:val="22"/>
                <w:highlight w:val="none"/>
              </w:rPr>
            </w:pPr>
          </w:p>
        </w:tc>
        <w:tc>
          <w:tcPr>
            <w:tcW w:w="2192" w:type="dxa"/>
            <w:vAlign w:val="center"/>
          </w:tcPr>
          <w:p w14:paraId="557D0CFA">
            <w:pPr>
              <w:spacing w:line="380" w:lineRule="exact"/>
              <w:jc w:val="center"/>
              <w:rPr>
                <w:rFonts w:hint="eastAsia" w:ascii="宋体" w:hAnsi="宋体"/>
                <w:b/>
                <w:bCs/>
                <w:color w:val="auto"/>
                <w:sz w:val="22"/>
                <w:szCs w:val="22"/>
                <w:highlight w:val="none"/>
              </w:rPr>
            </w:pPr>
          </w:p>
        </w:tc>
        <w:tc>
          <w:tcPr>
            <w:tcW w:w="1984" w:type="dxa"/>
            <w:vAlign w:val="center"/>
          </w:tcPr>
          <w:p w14:paraId="71D43465">
            <w:pPr>
              <w:spacing w:line="380" w:lineRule="exact"/>
              <w:jc w:val="center"/>
              <w:rPr>
                <w:rFonts w:hint="eastAsia" w:ascii="宋体" w:hAnsi="宋体"/>
                <w:b/>
                <w:bCs/>
                <w:color w:val="auto"/>
                <w:sz w:val="22"/>
                <w:szCs w:val="22"/>
                <w:highlight w:val="none"/>
              </w:rPr>
            </w:pPr>
          </w:p>
        </w:tc>
        <w:tc>
          <w:tcPr>
            <w:tcW w:w="720" w:type="dxa"/>
            <w:vAlign w:val="center"/>
          </w:tcPr>
          <w:p w14:paraId="1535A30C">
            <w:pPr>
              <w:spacing w:line="380" w:lineRule="exact"/>
              <w:jc w:val="center"/>
              <w:rPr>
                <w:rFonts w:hint="eastAsia" w:ascii="宋体" w:hAnsi="宋体"/>
                <w:b/>
                <w:bCs/>
                <w:color w:val="auto"/>
                <w:sz w:val="22"/>
                <w:szCs w:val="22"/>
                <w:highlight w:val="none"/>
              </w:rPr>
            </w:pPr>
          </w:p>
        </w:tc>
        <w:tc>
          <w:tcPr>
            <w:tcW w:w="1123" w:type="dxa"/>
            <w:vAlign w:val="center"/>
          </w:tcPr>
          <w:p w14:paraId="63CFCB3D">
            <w:pPr>
              <w:spacing w:line="380" w:lineRule="exact"/>
              <w:jc w:val="center"/>
              <w:rPr>
                <w:rFonts w:hint="eastAsia" w:ascii="宋体" w:hAnsi="宋体"/>
                <w:b/>
                <w:bCs/>
                <w:color w:val="auto"/>
                <w:sz w:val="22"/>
                <w:szCs w:val="22"/>
                <w:highlight w:val="none"/>
              </w:rPr>
            </w:pPr>
          </w:p>
        </w:tc>
        <w:tc>
          <w:tcPr>
            <w:tcW w:w="1134" w:type="dxa"/>
            <w:vAlign w:val="center"/>
          </w:tcPr>
          <w:p w14:paraId="639CD182">
            <w:pPr>
              <w:spacing w:line="380" w:lineRule="exact"/>
              <w:jc w:val="center"/>
              <w:rPr>
                <w:rFonts w:hint="eastAsia" w:ascii="宋体" w:hAnsi="宋体"/>
                <w:b/>
                <w:bCs/>
                <w:color w:val="auto"/>
                <w:sz w:val="22"/>
                <w:szCs w:val="22"/>
                <w:highlight w:val="none"/>
              </w:rPr>
            </w:pPr>
          </w:p>
        </w:tc>
        <w:tc>
          <w:tcPr>
            <w:tcW w:w="1727" w:type="dxa"/>
            <w:vAlign w:val="center"/>
          </w:tcPr>
          <w:p w14:paraId="537D482A">
            <w:pPr>
              <w:spacing w:line="380" w:lineRule="exact"/>
              <w:jc w:val="center"/>
              <w:rPr>
                <w:rFonts w:hint="eastAsia" w:ascii="宋体" w:hAnsi="宋体"/>
                <w:b/>
                <w:bCs/>
                <w:color w:val="auto"/>
                <w:sz w:val="22"/>
                <w:szCs w:val="22"/>
                <w:highlight w:val="none"/>
              </w:rPr>
            </w:pPr>
          </w:p>
        </w:tc>
      </w:tr>
      <w:tr w14:paraId="4D8F9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10C86481">
            <w:pPr>
              <w:spacing w:line="380" w:lineRule="exact"/>
              <w:jc w:val="center"/>
              <w:rPr>
                <w:rFonts w:hint="eastAsia" w:ascii="宋体" w:hAnsi="宋体"/>
                <w:b/>
                <w:bCs/>
                <w:color w:val="auto"/>
                <w:sz w:val="22"/>
                <w:szCs w:val="22"/>
                <w:highlight w:val="none"/>
              </w:rPr>
            </w:pPr>
          </w:p>
        </w:tc>
        <w:tc>
          <w:tcPr>
            <w:tcW w:w="2192" w:type="dxa"/>
            <w:vAlign w:val="center"/>
          </w:tcPr>
          <w:p w14:paraId="4FFC10A1">
            <w:pPr>
              <w:spacing w:line="380" w:lineRule="exact"/>
              <w:jc w:val="center"/>
              <w:rPr>
                <w:rFonts w:hint="eastAsia" w:ascii="宋体" w:hAnsi="宋体"/>
                <w:b/>
                <w:bCs/>
                <w:color w:val="auto"/>
                <w:sz w:val="22"/>
                <w:szCs w:val="22"/>
                <w:highlight w:val="none"/>
              </w:rPr>
            </w:pPr>
          </w:p>
        </w:tc>
        <w:tc>
          <w:tcPr>
            <w:tcW w:w="1984" w:type="dxa"/>
            <w:vAlign w:val="center"/>
          </w:tcPr>
          <w:p w14:paraId="0AFF96A7">
            <w:pPr>
              <w:spacing w:line="380" w:lineRule="exact"/>
              <w:jc w:val="center"/>
              <w:rPr>
                <w:rFonts w:hint="eastAsia" w:ascii="宋体" w:hAnsi="宋体"/>
                <w:b/>
                <w:bCs/>
                <w:color w:val="auto"/>
                <w:sz w:val="22"/>
                <w:szCs w:val="22"/>
                <w:highlight w:val="none"/>
              </w:rPr>
            </w:pPr>
          </w:p>
        </w:tc>
        <w:tc>
          <w:tcPr>
            <w:tcW w:w="720" w:type="dxa"/>
            <w:vAlign w:val="center"/>
          </w:tcPr>
          <w:p w14:paraId="0BA4D54F">
            <w:pPr>
              <w:spacing w:line="380" w:lineRule="exact"/>
              <w:jc w:val="center"/>
              <w:rPr>
                <w:rFonts w:hint="eastAsia" w:ascii="宋体" w:hAnsi="宋体"/>
                <w:b/>
                <w:bCs/>
                <w:color w:val="auto"/>
                <w:sz w:val="22"/>
                <w:szCs w:val="22"/>
                <w:highlight w:val="none"/>
              </w:rPr>
            </w:pPr>
          </w:p>
        </w:tc>
        <w:tc>
          <w:tcPr>
            <w:tcW w:w="1123" w:type="dxa"/>
            <w:vAlign w:val="center"/>
          </w:tcPr>
          <w:p w14:paraId="793BE52D">
            <w:pPr>
              <w:spacing w:line="380" w:lineRule="exact"/>
              <w:jc w:val="center"/>
              <w:rPr>
                <w:rFonts w:hint="eastAsia" w:ascii="宋体" w:hAnsi="宋体"/>
                <w:b/>
                <w:bCs/>
                <w:color w:val="auto"/>
                <w:sz w:val="22"/>
                <w:szCs w:val="22"/>
                <w:highlight w:val="none"/>
              </w:rPr>
            </w:pPr>
          </w:p>
        </w:tc>
        <w:tc>
          <w:tcPr>
            <w:tcW w:w="1134" w:type="dxa"/>
            <w:vAlign w:val="center"/>
          </w:tcPr>
          <w:p w14:paraId="6E8CC6A8">
            <w:pPr>
              <w:spacing w:line="380" w:lineRule="exact"/>
              <w:jc w:val="center"/>
              <w:rPr>
                <w:rFonts w:hint="eastAsia" w:ascii="宋体" w:hAnsi="宋体"/>
                <w:b/>
                <w:bCs/>
                <w:color w:val="auto"/>
                <w:sz w:val="22"/>
                <w:szCs w:val="22"/>
                <w:highlight w:val="none"/>
              </w:rPr>
            </w:pPr>
          </w:p>
        </w:tc>
        <w:tc>
          <w:tcPr>
            <w:tcW w:w="1727" w:type="dxa"/>
            <w:vAlign w:val="center"/>
          </w:tcPr>
          <w:p w14:paraId="3AEC62CF">
            <w:pPr>
              <w:spacing w:line="380" w:lineRule="exact"/>
              <w:jc w:val="center"/>
              <w:rPr>
                <w:rFonts w:hint="eastAsia" w:ascii="宋体" w:hAnsi="宋体"/>
                <w:b/>
                <w:bCs/>
                <w:color w:val="auto"/>
                <w:sz w:val="22"/>
                <w:szCs w:val="22"/>
                <w:highlight w:val="none"/>
              </w:rPr>
            </w:pPr>
          </w:p>
        </w:tc>
      </w:tr>
      <w:tr w14:paraId="2884C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2FE0593C">
            <w:pPr>
              <w:spacing w:line="380" w:lineRule="exact"/>
              <w:jc w:val="center"/>
              <w:rPr>
                <w:rFonts w:hint="eastAsia" w:ascii="宋体" w:hAnsi="宋体"/>
                <w:b/>
                <w:bCs/>
                <w:color w:val="auto"/>
                <w:sz w:val="22"/>
                <w:szCs w:val="22"/>
                <w:highlight w:val="none"/>
              </w:rPr>
            </w:pPr>
          </w:p>
        </w:tc>
        <w:tc>
          <w:tcPr>
            <w:tcW w:w="2192" w:type="dxa"/>
            <w:vAlign w:val="center"/>
          </w:tcPr>
          <w:p w14:paraId="4C518D20">
            <w:pPr>
              <w:spacing w:line="380" w:lineRule="exact"/>
              <w:jc w:val="center"/>
              <w:rPr>
                <w:rFonts w:hint="eastAsia" w:ascii="宋体" w:hAnsi="宋体"/>
                <w:b/>
                <w:bCs/>
                <w:color w:val="auto"/>
                <w:sz w:val="22"/>
                <w:szCs w:val="22"/>
                <w:highlight w:val="none"/>
              </w:rPr>
            </w:pPr>
          </w:p>
        </w:tc>
        <w:tc>
          <w:tcPr>
            <w:tcW w:w="1984" w:type="dxa"/>
            <w:vAlign w:val="center"/>
          </w:tcPr>
          <w:p w14:paraId="26F55BB9">
            <w:pPr>
              <w:spacing w:line="380" w:lineRule="exact"/>
              <w:jc w:val="center"/>
              <w:rPr>
                <w:rFonts w:hint="eastAsia" w:ascii="宋体" w:hAnsi="宋体"/>
                <w:b/>
                <w:bCs/>
                <w:color w:val="auto"/>
                <w:sz w:val="22"/>
                <w:szCs w:val="22"/>
                <w:highlight w:val="none"/>
              </w:rPr>
            </w:pPr>
          </w:p>
        </w:tc>
        <w:tc>
          <w:tcPr>
            <w:tcW w:w="720" w:type="dxa"/>
            <w:vAlign w:val="center"/>
          </w:tcPr>
          <w:p w14:paraId="78920132">
            <w:pPr>
              <w:spacing w:line="380" w:lineRule="exact"/>
              <w:jc w:val="center"/>
              <w:rPr>
                <w:rFonts w:hint="eastAsia" w:ascii="宋体" w:hAnsi="宋体"/>
                <w:b/>
                <w:bCs/>
                <w:color w:val="auto"/>
                <w:sz w:val="22"/>
                <w:szCs w:val="22"/>
                <w:highlight w:val="none"/>
              </w:rPr>
            </w:pPr>
          </w:p>
        </w:tc>
        <w:tc>
          <w:tcPr>
            <w:tcW w:w="1123" w:type="dxa"/>
            <w:vAlign w:val="center"/>
          </w:tcPr>
          <w:p w14:paraId="4DF0B8DA">
            <w:pPr>
              <w:spacing w:line="380" w:lineRule="exact"/>
              <w:jc w:val="center"/>
              <w:rPr>
                <w:rFonts w:hint="eastAsia" w:ascii="宋体" w:hAnsi="宋体"/>
                <w:b/>
                <w:bCs/>
                <w:color w:val="auto"/>
                <w:sz w:val="22"/>
                <w:szCs w:val="22"/>
                <w:highlight w:val="none"/>
              </w:rPr>
            </w:pPr>
          </w:p>
        </w:tc>
        <w:tc>
          <w:tcPr>
            <w:tcW w:w="1134" w:type="dxa"/>
            <w:vAlign w:val="center"/>
          </w:tcPr>
          <w:p w14:paraId="5A609306">
            <w:pPr>
              <w:spacing w:line="380" w:lineRule="exact"/>
              <w:jc w:val="center"/>
              <w:rPr>
                <w:rFonts w:hint="eastAsia" w:ascii="宋体" w:hAnsi="宋体"/>
                <w:b/>
                <w:bCs/>
                <w:color w:val="auto"/>
                <w:sz w:val="22"/>
                <w:szCs w:val="22"/>
                <w:highlight w:val="none"/>
              </w:rPr>
            </w:pPr>
          </w:p>
        </w:tc>
        <w:tc>
          <w:tcPr>
            <w:tcW w:w="1727" w:type="dxa"/>
            <w:vAlign w:val="center"/>
          </w:tcPr>
          <w:p w14:paraId="3FA0B8B0">
            <w:pPr>
              <w:spacing w:line="380" w:lineRule="exact"/>
              <w:jc w:val="center"/>
              <w:rPr>
                <w:rFonts w:hint="eastAsia" w:ascii="宋体" w:hAnsi="宋体"/>
                <w:b/>
                <w:bCs/>
                <w:color w:val="auto"/>
                <w:sz w:val="22"/>
                <w:szCs w:val="22"/>
                <w:highlight w:val="none"/>
              </w:rPr>
            </w:pPr>
          </w:p>
        </w:tc>
      </w:tr>
      <w:tr w14:paraId="31611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76DD29E4">
            <w:pPr>
              <w:spacing w:line="380" w:lineRule="exact"/>
              <w:jc w:val="center"/>
              <w:rPr>
                <w:rFonts w:hint="eastAsia" w:ascii="宋体" w:hAnsi="宋体"/>
                <w:b/>
                <w:bCs/>
                <w:color w:val="auto"/>
                <w:sz w:val="22"/>
                <w:szCs w:val="22"/>
                <w:highlight w:val="none"/>
              </w:rPr>
            </w:pPr>
          </w:p>
        </w:tc>
        <w:tc>
          <w:tcPr>
            <w:tcW w:w="2192" w:type="dxa"/>
            <w:vAlign w:val="center"/>
          </w:tcPr>
          <w:p w14:paraId="20D86847">
            <w:pPr>
              <w:spacing w:line="380" w:lineRule="exact"/>
              <w:jc w:val="center"/>
              <w:rPr>
                <w:rFonts w:hint="eastAsia" w:ascii="宋体" w:hAnsi="宋体"/>
                <w:b/>
                <w:bCs/>
                <w:color w:val="auto"/>
                <w:sz w:val="22"/>
                <w:szCs w:val="22"/>
                <w:highlight w:val="none"/>
              </w:rPr>
            </w:pPr>
          </w:p>
        </w:tc>
        <w:tc>
          <w:tcPr>
            <w:tcW w:w="1984" w:type="dxa"/>
            <w:vAlign w:val="center"/>
          </w:tcPr>
          <w:p w14:paraId="6A2843D3">
            <w:pPr>
              <w:spacing w:line="380" w:lineRule="exact"/>
              <w:jc w:val="center"/>
              <w:rPr>
                <w:rFonts w:hint="eastAsia" w:ascii="宋体" w:hAnsi="宋体"/>
                <w:b/>
                <w:bCs/>
                <w:color w:val="auto"/>
                <w:sz w:val="22"/>
                <w:szCs w:val="22"/>
                <w:highlight w:val="none"/>
              </w:rPr>
            </w:pPr>
          </w:p>
        </w:tc>
        <w:tc>
          <w:tcPr>
            <w:tcW w:w="720" w:type="dxa"/>
            <w:vAlign w:val="center"/>
          </w:tcPr>
          <w:p w14:paraId="7E278783">
            <w:pPr>
              <w:spacing w:line="380" w:lineRule="exact"/>
              <w:jc w:val="center"/>
              <w:rPr>
                <w:rFonts w:hint="eastAsia" w:ascii="宋体" w:hAnsi="宋体"/>
                <w:b/>
                <w:bCs/>
                <w:color w:val="auto"/>
                <w:sz w:val="22"/>
                <w:szCs w:val="22"/>
                <w:highlight w:val="none"/>
              </w:rPr>
            </w:pPr>
          </w:p>
        </w:tc>
        <w:tc>
          <w:tcPr>
            <w:tcW w:w="1123" w:type="dxa"/>
            <w:vAlign w:val="center"/>
          </w:tcPr>
          <w:p w14:paraId="1D68C9E5">
            <w:pPr>
              <w:spacing w:line="380" w:lineRule="exact"/>
              <w:jc w:val="center"/>
              <w:rPr>
                <w:rFonts w:hint="eastAsia" w:ascii="宋体" w:hAnsi="宋体"/>
                <w:b/>
                <w:bCs/>
                <w:color w:val="auto"/>
                <w:sz w:val="22"/>
                <w:szCs w:val="22"/>
                <w:highlight w:val="none"/>
              </w:rPr>
            </w:pPr>
          </w:p>
        </w:tc>
        <w:tc>
          <w:tcPr>
            <w:tcW w:w="1134" w:type="dxa"/>
            <w:vAlign w:val="center"/>
          </w:tcPr>
          <w:p w14:paraId="15BE4F9F">
            <w:pPr>
              <w:spacing w:line="380" w:lineRule="exact"/>
              <w:jc w:val="center"/>
              <w:rPr>
                <w:rFonts w:hint="eastAsia" w:ascii="宋体" w:hAnsi="宋体"/>
                <w:b/>
                <w:bCs/>
                <w:color w:val="auto"/>
                <w:sz w:val="22"/>
                <w:szCs w:val="22"/>
                <w:highlight w:val="none"/>
              </w:rPr>
            </w:pPr>
          </w:p>
        </w:tc>
        <w:tc>
          <w:tcPr>
            <w:tcW w:w="1727" w:type="dxa"/>
            <w:vAlign w:val="center"/>
          </w:tcPr>
          <w:p w14:paraId="45252E87">
            <w:pPr>
              <w:spacing w:line="380" w:lineRule="exact"/>
              <w:jc w:val="center"/>
              <w:rPr>
                <w:rFonts w:hint="eastAsia" w:ascii="宋体" w:hAnsi="宋体"/>
                <w:b/>
                <w:bCs/>
                <w:color w:val="auto"/>
                <w:sz w:val="22"/>
                <w:szCs w:val="22"/>
                <w:highlight w:val="none"/>
              </w:rPr>
            </w:pPr>
          </w:p>
        </w:tc>
      </w:tr>
      <w:tr w14:paraId="2ACA5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66354D6A">
            <w:pPr>
              <w:spacing w:line="380" w:lineRule="exact"/>
              <w:jc w:val="center"/>
              <w:rPr>
                <w:rFonts w:hint="eastAsia" w:ascii="宋体" w:hAnsi="宋体"/>
                <w:b/>
                <w:bCs/>
                <w:color w:val="auto"/>
                <w:sz w:val="22"/>
                <w:szCs w:val="22"/>
                <w:highlight w:val="none"/>
              </w:rPr>
            </w:pPr>
          </w:p>
        </w:tc>
        <w:tc>
          <w:tcPr>
            <w:tcW w:w="2192" w:type="dxa"/>
            <w:vAlign w:val="center"/>
          </w:tcPr>
          <w:p w14:paraId="1A8A663E">
            <w:pPr>
              <w:spacing w:line="380" w:lineRule="exact"/>
              <w:jc w:val="center"/>
              <w:rPr>
                <w:rFonts w:hint="eastAsia" w:ascii="宋体" w:hAnsi="宋体"/>
                <w:b/>
                <w:bCs/>
                <w:color w:val="auto"/>
                <w:sz w:val="22"/>
                <w:szCs w:val="22"/>
                <w:highlight w:val="none"/>
              </w:rPr>
            </w:pPr>
          </w:p>
        </w:tc>
        <w:tc>
          <w:tcPr>
            <w:tcW w:w="1984" w:type="dxa"/>
            <w:vAlign w:val="center"/>
          </w:tcPr>
          <w:p w14:paraId="2DF3F590">
            <w:pPr>
              <w:spacing w:line="380" w:lineRule="exact"/>
              <w:jc w:val="center"/>
              <w:rPr>
                <w:rFonts w:hint="eastAsia" w:ascii="宋体" w:hAnsi="宋体"/>
                <w:b/>
                <w:bCs/>
                <w:color w:val="auto"/>
                <w:sz w:val="22"/>
                <w:szCs w:val="22"/>
                <w:highlight w:val="none"/>
              </w:rPr>
            </w:pPr>
          </w:p>
        </w:tc>
        <w:tc>
          <w:tcPr>
            <w:tcW w:w="720" w:type="dxa"/>
            <w:vAlign w:val="center"/>
          </w:tcPr>
          <w:p w14:paraId="3FDBE241">
            <w:pPr>
              <w:spacing w:line="380" w:lineRule="exact"/>
              <w:jc w:val="center"/>
              <w:rPr>
                <w:rFonts w:hint="eastAsia" w:ascii="宋体" w:hAnsi="宋体"/>
                <w:b/>
                <w:bCs/>
                <w:color w:val="auto"/>
                <w:sz w:val="22"/>
                <w:szCs w:val="22"/>
                <w:highlight w:val="none"/>
              </w:rPr>
            </w:pPr>
          </w:p>
        </w:tc>
        <w:tc>
          <w:tcPr>
            <w:tcW w:w="1123" w:type="dxa"/>
            <w:vAlign w:val="center"/>
          </w:tcPr>
          <w:p w14:paraId="69FE98AB">
            <w:pPr>
              <w:spacing w:line="380" w:lineRule="exact"/>
              <w:jc w:val="center"/>
              <w:rPr>
                <w:rFonts w:hint="eastAsia" w:ascii="宋体" w:hAnsi="宋体"/>
                <w:b/>
                <w:bCs/>
                <w:color w:val="auto"/>
                <w:sz w:val="22"/>
                <w:szCs w:val="22"/>
                <w:highlight w:val="none"/>
              </w:rPr>
            </w:pPr>
          </w:p>
        </w:tc>
        <w:tc>
          <w:tcPr>
            <w:tcW w:w="1134" w:type="dxa"/>
            <w:vAlign w:val="center"/>
          </w:tcPr>
          <w:p w14:paraId="164C1197">
            <w:pPr>
              <w:spacing w:line="380" w:lineRule="exact"/>
              <w:jc w:val="center"/>
              <w:rPr>
                <w:rFonts w:hint="eastAsia" w:ascii="宋体" w:hAnsi="宋体"/>
                <w:b/>
                <w:bCs/>
                <w:color w:val="auto"/>
                <w:sz w:val="22"/>
                <w:szCs w:val="22"/>
                <w:highlight w:val="none"/>
              </w:rPr>
            </w:pPr>
          </w:p>
        </w:tc>
        <w:tc>
          <w:tcPr>
            <w:tcW w:w="1727" w:type="dxa"/>
            <w:vAlign w:val="center"/>
          </w:tcPr>
          <w:p w14:paraId="4849F7B8">
            <w:pPr>
              <w:spacing w:line="380" w:lineRule="exact"/>
              <w:jc w:val="center"/>
              <w:rPr>
                <w:rFonts w:hint="eastAsia" w:ascii="宋体" w:hAnsi="宋体"/>
                <w:b/>
                <w:bCs/>
                <w:color w:val="auto"/>
                <w:sz w:val="22"/>
                <w:szCs w:val="22"/>
                <w:highlight w:val="none"/>
              </w:rPr>
            </w:pPr>
          </w:p>
        </w:tc>
      </w:tr>
      <w:tr w14:paraId="1336A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4E305401">
            <w:pPr>
              <w:spacing w:line="380" w:lineRule="exact"/>
              <w:jc w:val="center"/>
              <w:rPr>
                <w:rFonts w:hint="eastAsia" w:ascii="宋体" w:hAnsi="宋体"/>
                <w:b/>
                <w:bCs/>
                <w:color w:val="auto"/>
                <w:sz w:val="22"/>
                <w:szCs w:val="22"/>
                <w:highlight w:val="none"/>
              </w:rPr>
            </w:pPr>
          </w:p>
        </w:tc>
        <w:tc>
          <w:tcPr>
            <w:tcW w:w="2192" w:type="dxa"/>
            <w:vAlign w:val="center"/>
          </w:tcPr>
          <w:p w14:paraId="734E5A62">
            <w:pPr>
              <w:spacing w:line="380" w:lineRule="exact"/>
              <w:jc w:val="center"/>
              <w:rPr>
                <w:rFonts w:hint="eastAsia" w:ascii="宋体" w:hAnsi="宋体"/>
                <w:b/>
                <w:bCs/>
                <w:color w:val="auto"/>
                <w:sz w:val="22"/>
                <w:szCs w:val="22"/>
                <w:highlight w:val="none"/>
              </w:rPr>
            </w:pPr>
          </w:p>
        </w:tc>
        <w:tc>
          <w:tcPr>
            <w:tcW w:w="1984" w:type="dxa"/>
            <w:vAlign w:val="center"/>
          </w:tcPr>
          <w:p w14:paraId="19A6E13E">
            <w:pPr>
              <w:spacing w:line="380" w:lineRule="exact"/>
              <w:jc w:val="center"/>
              <w:rPr>
                <w:rFonts w:hint="eastAsia" w:ascii="宋体" w:hAnsi="宋体"/>
                <w:b/>
                <w:bCs/>
                <w:color w:val="auto"/>
                <w:sz w:val="22"/>
                <w:szCs w:val="22"/>
                <w:highlight w:val="none"/>
              </w:rPr>
            </w:pPr>
          </w:p>
        </w:tc>
        <w:tc>
          <w:tcPr>
            <w:tcW w:w="720" w:type="dxa"/>
            <w:vAlign w:val="center"/>
          </w:tcPr>
          <w:p w14:paraId="466873D9">
            <w:pPr>
              <w:spacing w:line="380" w:lineRule="exact"/>
              <w:jc w:val="center"/>
              <w:rPr>
                <w:rFonts w:hint="eastAsia" w:ascii="宋体" w:hAnsi="宋体"/>
                <w:b/>
                <w:bCs/>
                <w:color w:val="auto"/>
                <w:sz w:val="22"/>
                <w:szCs w:val="22"/>
                <w:highlight w:val="none"/>
              </w:rPr>
            </w:pPr>
          </w:p>
        </w:tc>
        <w:tc>
          <w:tcPr>
            <w:tcW w:w="1123" w:type="dxa"/>
            <w:vAlign w:val="center"/>
          </w:tcPr>
          <w:p w14:paraId="69F46274">
            <w:pPr>
              <w:spacing w:line="380" w:lineRule="exact"/>
              <w:jc w:val="center"/>
              <w:rPr>
                <w:rFonts w:hint="eastAsia" w:ascii="宋体" w:hAnsi="宋体"/>
                <w:b/>
                <w:bCs/>
                <w:color w:val="auto"/>
                <w:sz w:val="22"/>
                <w:szCs w:val="22"/>
                <w:highlight w:val="none"/>
              </w:rPr>
            </w:pPr>
          </w:p>
        </w:tc>
        <w:tc>
          <w:tcPr>
            <w:tcW w:w="1134" w:type="dxa"/>
            <w:vAlign w:val="center"/>
          </w:tcPr>
          <w:p w14:paraId="587C800B">
            <w:pPr>
              <w:spacing w:line="380" w:lineRule="exact"/>
              <w:jc w:val="center"/>
              <w:rPr>
                <w:rFonts w:hint="eastAsia" w:ascii="宋体" w:hAnsi="宋体"/>
                <w:b/>
                <w:bCs/>
                <w:color w:val="auto"/>
                <w:sz w:val="22"/>
                <w:szCs w:val="22"/>
                <w:highlight w:val="none"/>
              </w:rPr>
            </w:pPr>
          </w:p>
        </w:tc>
        <w:tc>
          <w:tcPr>
            <w:tcW w:w="1727" w:type="dxa"/>
            <w:vAlign w:val="center"/>
          </w:tcPr>
          <w:p w14:paraId="5616A1BF">
            <w:pPr>
              <w:spacing w:line="380" w:lineRule="exact"/>
              <w:jc w:val="center"/>
              <w:rPr>
                <w:rFonts w:hint="eastAsia" w:ascii="宋体" w:hAnsi="宋体"/>
                <w:b/>
                <w:bCs/>
                <w:color w:val="auto"/>
                <w:sz w:val="22"/>
                <w:szCs w:val="22"/>
                <w:highlight w:val="none"/>
              </w:rPr>
            </w:pPr>
          </w:p>
        </w:tc>
      </w:tr>
      <w:tr w14:paraId="494C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0FD6798F">
            <w:pPr>
              <w:spacing w:line="380" w:lineRule="exact"/>
              <w:jc w:val="center"/>
              <w:rPr>
                <w:rFonts w:hint="eastAsia" w:ascii="宋体" w:hAnsi="宋体"/>
                <w:b/>
                <w:bCs/>
                <w:color w:val="auto"/>
                <w:sz w:val="22"/>
                <w:szCs w:val="22"/>
                <w:highlight w:val="none"/>
              </w:rPr>
            </w:pPr>
          </w:p>
        </w:tc>
        <w:tc>
          <w:tcPr>
            <w:tcW w:w="2192" w:type="dxa"/>
            <w:vAlign w:val="center"/>
          </w:tcPr>
          <w:p w14:paraId="346C2236">
            <w:pPr>
              <w:spacing w:line="380" w:lineRule="exact"/>
              <w:jc w:val="center"/>
              <w:rPr>
                <w:rFonts w:hint="eastAsia" w:ascii="宋体" w:hAnsi="宋体"/>
                <w:b/>
                <w:bCs/>
                <w:color w:val="auto"/>
                <w:sz w:val="22"/>
                <w:szCs w:val="22"/>
                <w:highlight w:val="none"/>
              </w:rPr>
            </w:pPr>
          </w:p>
        </w:tc>
        <w:tc>
          <w:tcPr>
            <w:tcW w:w="1984" w:type="dxa"/>
            <w:vAlign w:val="center"/>
          </w:tcPr>
          <w:p w14:paraId="77DB5E20">
            <w:pPr>
              <w:spacing w:line="380" w:lineRule="exact"/>
              <w:jc w:val="center"/>
              <w:rPr>
                <w:rFonts w:hint="eastAsia" w:ascii="宋体" w:hAnsi="宋体"/>
                <w:b/>
                <w:bCs/>
                <w:color w:val="auto"/>
                <w:sz w:val="22"/>
                <w:szCs w:val="22"/>
                <w:highlight w:val="none"/>
              </w:rPr>
            </w:pPr>
          </w:p>
        </w:tc>
        <w:tc>
          <w:tcPr>
            <w:tcW w:w="720" w:type="dxa"/>
            <w:vAlign w:val="center"/>
          </w:tcPr>
          <w:p w14:paraId="12E521F1">
            <w:pPr>
              <w:spacing w:line="380" w:lineRule="exact"/>
              <w:jc w:val="center"/>
              <w:rPr>
                <w:rFonts w:hint="eastAsia" w:ascii="宋体" w:hAnsi="宋体"/>
                <w:b/>
                <w:bCs/>
                <w:color w:val="auto"/>
                <w:sz w:val="22"/>
                <w:szCs w:val="22"/>
                <w:highlight w:val="none"/>
              </w:rPr>
            </w:pPr>
          </w:p>
        </w:tc>
        <w:tc>
          <w:tcPr>
            <w:tcW w:w="1123" w:type="dxa"/>
            <w:vAlign w:val="center"/>
          </w:tcPr>
          <w:p w14:paraId="0250487D">
            <w:pPr>
              <w:spacing w:line="380" w:lineRule="exact"/>
              <w:jc w:val="center"/>
              <w:rPr>
                <w:rFonts w:hint="eastAsia" w:ascii="宋体" w:hAnsi="宋体"/>
                <w:b/>
                <w:bCs/>
                <w:color w:val="auto"/>
                <w:sz w:val="22"/>
                <w:szCs w:val="22"/>
                <w:highlight w:val="none"/>
              </w:rPr>
            </w:pPr>
          </w:p>
        </w:tc>
        <w:tc>
          <w:tcPr>
            <w:tcW w:w="1134" w:type="dxa"/>
            <w:vAlign w:val="center"/>
          </w:tcPr>
          <w:p w14:paraId="07852EED">
            <w:pPr>
              <w:spacing w:line="380" w:lineRule="exact"/>
              <w:jc w:val="center"/>
              <w:rPr>
                <w:rFonts w:hint="eastAsia" w:ascii="宋体" w:hAnsi="宋体"/>
                <w:b/>
                <w:bCs/>
                <w:color w:val="auto"/>
                <w:sz w:val="22"/>
                <w:szCs w:val="22"/>
                <w:highlight w:val="none"/>
              </w:rPr>
            </w:pPr>
          </w:p>
        </w:tc>
        <w:tc>
          <w:tcPr>
            <w:tcW w:w="1727" w:type="dxa"/>
            <w:vAlign w:val="center"/>
          </w:tcPr>
          <w:p w14:paraId="7E356A99">
            <w:pPr>
              <w:spacing w:line="380" w:lineRule="exact"/>
              <w:jc w:val="center"/>
              <w:rPr>
                <w:rFonts w:hint="eastAsia" w:ascii="宋体" w:hAnsi="宋体"/>
                <w:b/>
                <w:bCs/>
                <w:color w:val="auto"/>
                <w:sz w:val="22"/>
                <w:szCs w:val="22"/>
                <w:highlight w:val="none"/>
              </w:rPr>
            </w:pPr>
          </w:p>
        </w:tc>
      </w:tr>
      <w:tr w14:paraId="5443A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7B64BA9B">
            <w:pPr>
              <w:spacing w:line="380" w:lineRule="exact"/>
              <w:jc w:val="center"/>
              <w:rPr>
                <w:rFonts w:hint="eastAsia" w:ascii="宋体" w:hAnsi="宋体"/>
                <w:b/>
                <w:bCs/>
                <w:color w:val="auto"/>
                <w:sz w:val="22"/>
                <w:szCs w:val="22"/>
                <w:highlight w:val="none"/>
              </w:rPr>
            </w:pPr>
          </w:p>
        </w:tc>
        <w:tc>
          <w:tcPr>
            <w:tcW w:w="2192" w:type="dxa"/>
            <w:vAlign w:val="center"/>
          </w:tcPr>
          <w:p w14:paraId="05B7BA67">
            <w:pPr>
              <w:spacing w:line="380" w:lineRule="exact"/>
              <w:jc w:val="center"/>
              <w:rPr>
                <w:rFonts w:hint="eastAsia" w:ascii="宋体" w:hAnsi="宋体"/>
                <w:b/>
                <w:bCs/>
                <w:color w:val="auto"/>
                <w:sz w:val="22"/>
                <w:szCs w:val="22"/>
                <w:highlight w:val="none"/>
              </w:rPr>
            </w:pPr>
          </w:p>
        </w:tc>
        <w:tc>
          <w:tcPr>
            <w:tcW w:w="1984" w:type="dxa"/>
            <w:vAlign w:val="center"/>
          </w:tcPr>
          <w:p w14:paraId="1CA9AEE1">
            <w:pPr>
              <w:spacing w:line="380" w:lineRule="exact"/>
              <w:jc w:val="center"/>
              <w:rPr>
                <w:rFonts w:hint="eastAsia" w:ascii="宋体" w:hAnsi="宋体"/>
                <w:b/>
                <w:bCs/>
                <w:color w:val="auto"/>
                <w:sz w:val="22"/>
                <w:szCs w:val="22"/>
                <w:highlight w:val="none"/>
              </w:rPr>
            </w:pPr>
          </w:p>
        </w:tc>
        <w:tc>
          <w:tcPr>
            <w:tcW w:w="720" w:type="dxa"/>
            <w:vAlign w:val="center"/>
          </w:tcPr>
          <w:p w14:paraId="2A2A31D7">
            <w:pPr>
              <w:spacing w:line="380" w:lineRule="exact"/>
              <w:jc w:val="center"/>
              <w:rPr>
                <w:rFonts w:hint="eastAsia" w:ascii="宋体" w:hAnsi="宋体"/>
                <w:b/>
                <w:bCs/>
                <w:color w:val="auto"/>
                <w:sz w:val="22"/>
                <w:szCs w:val="22"/>
                <w:highlight w:val="none"/>
              </w:rPr>
            </w:pPr>
          </w:p>
        </w:tc>
        <w:tc>
          <w:tcPr>
            <w:tcW w:w="1123" w:type="dxa"/>
            <w:vAlign w:val="center"/>
          </w:tcPr>
          <w:p w14:paraId="213E87D8">
            <w:pPr>
              <w:spacing w:line="380" w:lineRule="exact"/>
              <w:jc w:val="center"/>
              <w:rPr>
                <w:rFonts w:hint="eastAsia" w:ascii="宋体" w:hAnsi="宋体"/>
                <w:b/>
                <w:bCs/>
                <w:color w:val="auto"/>
                <w:sz w:val="22"/>
                <w:szCs w:val="22"/>
                <w:highlight w:val="none"/>
              </w:rPr>
            </w:pPr>
          </w:p>
        </w:tc>
        <w:tc>
          <w:tcPr>
            <w:tcW w:w="1134" w:type="dxa"/>
            <w:vAlign w:val="center"/>
          </w:tcPr>
          <w:p w14:paraId="171BD2B2">
            <w:pPr>
              <w:spacing w:line="380" w:lineRule="exact"/>
              <w:jc w:val="center"/>
              <w:rPr>
                <w:rFonts w:hint="eastAsia" w:ascii="宋体" w:hAnsi="宋体"/>
                <w:b/>
                <w:bCs/>
                <w:color w:val="auto"/>
                <w:sz w:val="22"/>
                <w:szCs w:val="22"/>
                <w:highlight w:val="none"/>
              </w:rPr>
            </w:pPr>
          </w:p>
        </w:tc>
        <w:tc>
          <w:tcPr>
            <w:tcW w:w="1727" w:type="dxa"/>
            <w:vAlign w:val="center"/>
          </w:tcPr>
          <w:p w14:paraId="355A8385">
            <w:pPr>
              <w:spacing w:line="380" w:lineRule="exact"/>
              <w:jc w:val="center"/>
              <w:rPr>
                <w:rFonts w:hint="eastAsia" w:ascii="宋体" w:hAnsi="宋体"/>
                <w:b/>
                <w:bCs/>
                <w:color w:val="auto"/>
                <w:sz w:val="22"/>
                <w:szCs w:val="22"/>
                <w:highlight w:val="none"/>
              </w:rPr>
            </w:pPr>
          </w:p>
        </w:tc>
      </w:tr>
      <w:tr w14:paraId="44A7C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4FFE0CE2">
            <w:pPr>
              <w:spacing w:line="380" w:lineRule="exact"/>
              <w:jc w:val="center"/>
              <w:rPr>
                <w:rFonts w:hint="eastAsia" w:ascii="宋体" w:hAnsi="宋体"/>
                <w:b/>
                <w:bCs/>
                <w:color w:val="auto"/>
                <w:sz w:val="22"/>
                <w:szCs w:val="22"/>
                <w:highlight w:val="none"/>
              </w:rPr>
            </w:pPr>
          </w:p>
        </w:tc>
        <w:tc>
          <w:tcPr>
            <w:tcW w:w="2192" w:type="dxa"/>
            <w:vAlign w:val="center"/>
          </w:tcPr>
          <w:p w14:paraId="13A3E373">
            <w:pPr>
              <w:spacing w:line="380" w:lineRule="exact"/>
              <w:jc w:val="center"/>
              <w:rPr>
                <w:rFonts w:hint="eastAsia" w:ascii="宋体" w:hAnsi="宋体"/>
                <w:b/>
                <w:bCs/>
                <w:color w:val="auto"/>
                <w:sz w:val="22"/>
                <w:szCs w:val="22"/>
                <w:highlight w:val="none"/>
              </w:rPr>
            </w:pPr>
          </w:p>
        </w:tc>
        <w:tc>
          <w:tcPr>
            <w:tcW w:w="1984" w:type="dxa"/>
            <w:vAlign w:val="center"/>
          </w:tcPr>
          <w:p w14:paraId="6C6D08C4">
            <w:pPr>
              <w:spacing w:line="380" w:lineRule="exact"/>
              <w:jc w:val="center"/>
              <w:rPr>
                <w:rFonts w:hint="eastAsia" w:ascii="宋体" w:hAnsi="宋体"/>
                <w:b/>
                <w:bCs/>
                <w:color w:val="auto"/>
                <w:sz w:val="22"/>
                <w:szCs w:val="22"/>
                <w:highlight w:val="none"/>
              </w:rPr>
            </w:pPr>
          </w:p>
        </w:tc>
        <w:tc>
          <w:tcPr>
            <w:tcW w:w="720" w:type="dxa"/>
            <w:vAlign w:val="center"/>
          </w:tcPr>
          <w:p w14:paraId="2177B869">
            <w:pPr>
              <w:spacing w:line="380" w:lineRule="exact"/>
              <w:jc w:val="center"/>
              <w:rPr>
                <w:rFonts w:hint="eastAsia" w:ascii="宋体" w:hAnsi="宋体"/>
                <w:b/>
                <w:bCs/>
                <w:color w:val="auto"/>
                <w:sz w:val="22"/>
                <w:szCs w:val="22"/>
                <w:highlight w:val="none"/>
              </w:rPr>
            </w:pPr>
          </w:p>
        </w:tc>
        <w:tc>
          <w:tcPr>
            <w:tcW w:w="1123" w:type="dxa"/>
            <w:vAlign w:val="center"/>
          </w:tcPr>
          <w:p w14:paraId="05AC7F56">
            <w:pPr>
              <w:spacing w:line="380" w:lineRule="exact"/>
              <w:jc w:val="center"/>
              <w:rPr>
                <w:rFonts w:hint="eastAsia" w:ascii="宋体" w:hAnsi="宋体"/>
                <w:b/>
                <w:bCs/>
                <w:color w:val="auto"/>
                <w:sz w:val="22"/>
                <w:szCs w:val="22"/>
                <w:highlight w:val="none"/>
              </w:rPr>
            </w:pPr>
          </w:p>
        </w:tc>
        <w:tc>
          <w:tcPr>
            <w:tcW w:w="1134" w:type="dxa"/>
            <w:vAlign w:val="center"/>
          </w:tcPr>
          <w:p w14:paraId="1C3B03BD">
            <w:pPr>
              <w:spacing w:line="380" w:lineRule="exact"/>
              <w:jc w:val="center"/>
              <w:rPr>
                <w:rFonts w:hint="eastAsia" w:ascii="宋体" w:hAnsi="宋体"/>
                <w:b/>
                <w:bCs/>
                <w:color w:val="auto"/>
                <w:sz w:val="22"/>
                <w:szCs w:val="22"/>
                <w:highlight w:val="none"/>
              </w:rPr>
            </w:pPr>
          </w:p>
        </w:tc>
        <w:tc>
          <w:tcPr>
            <w:tcW w:w="1727" w:type="dxa"/>
            <w:vAlign w:val="center"/>
          </w:tcPr>
          <w:p w14:paraId="2FCB5057">
            <w:pPr>
              <w:spacing w:line="380" w:lineRule="exact"/>
              <w:jc w:val="center"/>
              <w:rPr>
                <w:rFonts w:hint="eastAsia" w:ascii="宋体" w:hAnsi="宋体"/>
                <w:b/>
                <w:bCs/>
                <w:color w:val="auto"/>
                <w:sz w:val="22"/>
                <w:szCs w:val="22"/>
                <w:highlight w:val="none"/>
              </w:rPr>
            </w:pPr>
          </w:p>
        </w:tc>
      </w:tr>
      <w:tr w14:paraId="6661D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5CC7A802">
            <w:pPr>
              <w:spacing w:line="380" w:lineRule="exact"/>
              <w:jc w:val="center"/>
              <w:rPr>
                <w:rFonts w:hint="eastAsia" w:ascii="宋体" w:hAnsi="宋体"/>
                <w:b/>
                <w:bCs/>
                <w:color w:val="auto"/>
                <w:sz w:val="22"/>
                <w:szCs w:val="22"/>
                <w:highlight w:val="none"/>
              </w:rPr>
            </w:pPr>
          </w:p>
        </w:tc>
        <w:tc>
          <w:tcPr>
            <w:tcW w:w="2192" w:type="dxa"/>
            <w:vAlign w:val="center"/>
          </w:tcPr>
          <w:p w14:paraId="0BF90C86">
            <w:pPr>
              <w:spacing w:line="380" w:lineRule="exact"/>
              <w:jc w:val="center"/>
              <w:rPr>
                <w:rFonts w:hint="eastAsia" w:ascii="宋体" w:hAnsi="宋体"/>
                <w:b/>
                <w:bCs/>
                <w:color w:val="auto"/>
                <w:sz w:val="22"/>
                <w:szCs w:val="22"/>
                <w:highlight w:val="none"/>
              </w:rPr>
            </w:pPr>
          </w:p>
        </w:tc>
        <w:tc>
          <w:tcPr>
            <w:tcW w:w="1984" w:type="dxa"/>
            <w:vAlign w:val="center"/>
          </w:tcPr>
          <w:p w14:paraId="5870E34B">
            <w:pPr>
              <w:spacing w:line="380" w:lineRule="exact"/>
              <w:jc w:val="center"/>
              <w:rPr>
                <w:rFonts w:hint="eastAsia" w:ascii="宋体" w:hAnsi="宋体"/>
                <w:b/>
                <w:bCs/>
                <w:color w:val="auto"/>
                <w:sz w:val="22"/>
                <w:szCs w:val="22"/>
                <w:highlight w:val="none"/>
              </w:rPr>
            </w:pPr>
          </w:p>
        </w:tc>
        <w:tc>
          <w:tcPr>
            <w:tcW w:w="720" w:type="dxa"/>
            <w:vAlign w:val="center"/>
          </w:tcPr>
          <w:p w14:paraId="493A7C5E">
            <w:pPr>
              <w:spacing w:line="380" w:lineRule="exact"/>
              <w:jc w:val="center"/>
              <w:rPr>
                <w:rFonts w:hint="eastAsia" w:ascii="宋体" w:hAnsi="宋体"/>
                <w:b/>
                <w:bCs/>
                <w:color w:val="auto"/>
                <w:sz w:val="22"/>
                <w:szCs w:val="22"/>
                <w:highlight w:val="none"/>
              </w:rPr>
            </w:pPr>
          </w:p>
        </w:tc>
        <w:tc>
          <w:tcPr>
            <w:tcW w:w="1123" w:type="dxa"/>
            <w:vAlign w:val="center"/>
          </w:tcPr>
          <w:p w14:paraId="18292843">
            <w:pPr>
              <w:spacing w:line="380" w:lineRule="exact"/>
              <w:jc w:val="center"/>
              <w:rPr>
                <w:rFonts w:hint="eastAsia" w:ascii="宋体" w:hAnsi="宋体"/>
                <w:b/>
                <w:bCs/>
                <w:color w:val="auto"/>
                <w:sz w:val="22"/>
                <w:szCs w:val="22"/>
                <w:highlight w:val="none"/>
              </w:rPr>
            </w:pPr>
          </w:p>
        </w:tc>
        <w:tc>
          <w:tcPr>
            <w:tcW w:w="1134" w:type="dxa"/>
            <w:vAlign w:val="center"/>
          </w:tcPr>
          <w:p w14:paraId="394E750C">
            <w:pPr>
              <w:spacing w:line="380" w:lineRule="exact"/>
              <w:jc w:val="center"/>
              <w:rPr>
                <w:rFonts w:hint="eastAsia" w:ascii="宋体" w:hAnsi="宋体"/>
                <w:b/>
                <w:bCs/>
                <w:color w:val="auto"/>
                <w:sz w:val="22"/>
                <w:szCs w:val="22"/>
                <w:highlight w:val="none"/>
              </w:rPr>
            </w:pPr>
          </w:p>
        </w:tc>
        <w:tc>
          <w:tcPr>
            <w:tcW w:w="1727" w:type="dxa"/>
            <w:vAlign w:val="center"/>
          </w:tcPr>
          <w:p w14:paraId="23742A98">
            <w:pPr>
              <w:spacing w:line="380" w:lineRule="exact"/>
              <w:jc w:val="center"/>
              <w:rPr>
                <w:rFonts w:hint="eastAsia" w:ascii="宋体" w:hAnsi="宋体"/>
                <w:b/>
                <w:bCs/>
                <w:color w:val="auto"/>
                <w:sz w:val="22"/>
                <w:szCs w:val="22"/>
                <w:highlight w:val="none"/>
              </w:rPr>
            </w:pPr>
          </w:p>
        </w:tc>
      </w:tr>
      <w:tr w14:paraId="3492C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14:paraId="1FC6AEB6">
            <w:pPr>
              <w:spacing w:line="380" w:lineRule="exact"/>
              <w:jc w:val="center"/>
              <w:rPr>
                <w:rFonts w:hint="eastAsia" w:ascii="宋体" w:hAnsi="宋体"/>
                <w:b/>
                <w:bCs/>
                <w:color w:val="auto"/>
                <w:sz w:val="22"/>
                <w:szCs w:val="22"/>
                <w:highlight w:val="none"/>
              </w:rPr>
            </w:pPr>
          </w:p>
        </w:tc>
        <w:tc>
          <w:tcPr>
            <w:tcW w:w="2192" w:type="dxa"/>
            <w:vAlign w:val="center"/>
          </w:tcPr>
          <w:p w14:paraId="0B0AAD21">
            <w:pPr>
              <w:spacing w:line="380" w:lineRule="exact"/>
              <w:jc w:val="center"/>
              <w:rPr>
                <w:rFonts w:hint="eastAsia" w:ascii="宋体" w:hAnsi="宋体"/>
                <w:b/>
                <w:bCs/>
                <w:color w:val="auto"/>
                <w:sz w:val="22"/>
                <w:szCs w:val="22"/>
                <w:highlight w:val="none"/>
              </w:rPr>
            </w:pPr>
          </w:p>
        </w:tc>
        <w:tc>
          <w:tcPr>
            <w:tcW w:w="1984" w:type="dxa"/>
            <w:vAlign w:val="center"/>
          </w:tcPr>
          <w:p w14:paraId="05141411">
            <w:pPr>
              <w:spacing w:line="380" w:lineRule="exact"/>
              <w:jc w:val="center"/>
              <w:rPr>
                <w:rFonts w:hint="eastAsia" w:ascii="宋体" w:hAnsi="宋体"/>
                <w:b/>
                <w:bCs/>
                <w:color w:val="auto"/>
                <w:sz w:val="22"/>
                <w:szCs w:val="22"/>
                <w:highlight w:val="none"/>
              </w:rPr>
            </w:pPr>
          </w:p>
        </w:tc>
        <w:tc>
          <w:tcPr>
            <w:tcW w:w="720" w:type="dxa"/>
            <w:vAlign w:val="center"/>
          </w:tcPr>
          <w:p w14:paraId="5B2B7B59">
            <w:pPr>
              <w:spacing w:line="380" w:lineRule="exact"/>
              <w:jc w:val="center"/>
              <w:rPr>
                <w:rFonts w:hint="eastAsia" w:ascii="宋体" w:hAnsi="宋体"/>
                <w:b/>
                <w:bCs/>
                <w:color w:val="auto"/>
                <w:sz w:val="22"/>
                <w:szCs w:val="22"/>
                <w:highlight w:val="none"/>
              </w:rPr>
            </w:pPr>
          </w:p>
        </w:tc>
        <w:tc>
          <w:tcPr>
            <w:tcW w:w="1123" w:type="dxa"/>
            <w:vAlign w:val="center"/>
          </w:tcPr>
          <w:p w14:paraId="6B9BF97C">
            <w:pPr>
              <w:spacing w:line="380" w:lineRule="exact"/>
              <w:jc w:val="center"/>
              <w:rPr>
                <w:rFonts w:hint="eastAsia" w:ascii="宋体" w:hAnsi="宋体"/>
                <w:b/>
                <w:bCs/>
                <w:color w:val="auto"/>
                <w:sz w:val="22"/>
                <w:szCs w:val="22"/>
                <w:highlight w:val="none"/>
              </w:rPr>
            </w:pPr>
          </w:p>
        </w:tc>
        <w:tc>
          <w:tcPr>
            <w:tcW w:w="1134" w:type="dxa"/>
            <w:vAlign w:val="center"/>
          </w:tcPr>
          <w:p w14:paraId="7E1F9498">
            <w:pPr>
              <w:spacing w:line="380" w:lineRule="exact"/>
              <w:jc w:val="center"/>
              <w:rPr>
                <w:rFonts w:hint="eastAsia" w:ascii="宋体" w:hAnsi="宋体"/>
                <w:b/>
                <w:bCs/>
                <w:color w:val="auto"/>
                <w:sz w:val="22"/>
                <w:szCs w:val="22"/>
                <w:highlight w:val="none"/>
              </w:rPr>
            </w:pPr>
          </w:p>
        </w:tc>
        <w:tc>
          <w:tcPr>
            <w:tcW w:w="1727" w:type="dxa"/>
            <w:vAlign w:val="center"/>
          </w:tcPr>
          <w:p w14:paraId="51BEBF7D">
            <w:pPr>
              <w:spacing w:line="380" w:lineRule="exact"/>
              <w:jc w:val="center"/>
              <w:rPr>
                <w:rFonts w:hint="eastAsia" w:ascii="宋体" w:hAnsi="宋体"/>
                <w:b/>
                <w:bCs/>
                <w:color w:val="auto"/>
                <w:sz w:val="22"/>
                <w:szCs w:val="22"/>
                <w:highlight w:val="none"/>
              </w:rPr>
            </w:pPr>
          </w:p>
        </w:tc>
      </w:tr>
    </w:tbl>
    <w:p w14:paraId="4F3560B5">
      <w:pPr>
        <w:spacing w:line="440" w:lineRule="exact"/>
        <w:ind w:left="866" w:hanging="866" w:hangingChars="392"/>
        <w:rPr>
          <w:rFonts w:hint="eastAsia" w:ascii="宋体" w:hAnsi="宋体"/>
          <w:b/>
          <w:color w:val="auto"/>
          <w:sz w:val="22"/>
          <w:szCs w:val="22"/>
          <w:highlight w:val="none"/>
        </w:rPr>
      </w:pPr>
      <w:r>
        <w:rPr>
          <w:rFonts w:hint="eastAsia" w:ascii="宋体" w:hAnsi="宋体"/>
          <w:b/>
          <w:bCs/>
          <w:color w:val="auto"/>
          <w:sz w:val="22"/>
          <w:szCs w:val="22"/>
          <w:highlight w:val="none"/>
        </w:rPr>
        <w:t>注：</w:t>
      </w:r>
      <w:r>
        <w:rPr>
          <w:rFonts w:hint="eastAsia" w:ascii="宋体" w:hAnsi="宋体"/>
          <w:b/>
          <w:color w:val="auto"/>
          <w:sz w:val="22"/>
          <w:szCs w:val="22"/>
          <w:highlight w:val="none"/>
        </w:rPr>
        <w:t>根据评分细则的要求提供相关材料。</w:t>
      </w:r>
    </w:p>
    <w:p w14:paraId="0E910066">
      <w:pPr>
        <w:spacing w:line="440" w:lineRule="exact"/>
        <w:rPr>
          <w:rFonts w:hint="eastAsia" w:ascii="宋体" w:hAnsi="宋体"/>
          <w:color w:val="auto"/>
          <w:sz w:val="22"/>
          <w:szCs w:val="22"/>
          <w:highlight w:val="none"/>
        </w:rPr>
      </w:pPr>
    </w:p>
    <w:p w14:paraId="1A3BB228">
      <w:pPr>
        <w:spacing w:line="440" w:lineRule="exact"/>
        <w:rPr>
          <w:rFonts w:hint="eastAsia" w:ascii="宋体" w:hAnsi="宋体"/>
          <w:color w:val="auto"/>
          <w:sz w:val="22"/>
          <w:szCs w:val="22"/>
          <w:highlight w:val="none"/>
        </w:rPr>
      </w:pPr>
    </w:p>
    <w:p w14:paraId="746FBB73">
      <w:pPr>
        <w:spacing w:line="440" w:lineRule="exact"/>
        <w:ind w:firstLine="4400" w:firstLineChars="2000"/>
        <w:rPr>
          <w:rFonts w:hint="eastAsia"/>
          <w:color w:val="auto"/>
          <w:sz w:val="22"/>
          <w:szCs w:val="22"/>
          <w:highlight w:val="none"/>
        </w:rPr>
      </w:pPr>
      <w:r>
        <w:rPr>
          <w:rFonts w:hint="eastAsia"/>
          <w:color w:val="auto"/>
          <w:sz w:val="22"/>
          <w:szCs w:val="22"/>
          <w:highlight w:val="none"/>
        </w:rPr>
        <w:t>磋商供应商全称</w:t>
      </w:r>
      <w:r>
        <w:rPr>
          <w:rFonts w:hint="eastAsia" w:ascii="宋体" w:hAnsi="宋体" w:cs="宋体"/>
          <w:color w:val="auto"/>
          <w:sz w:val="22"/>
          <w:szCs w:val="22"/>
          <w:highlight w:val="none"/>
        </w:rPr>
        <w:t>（电子签名/公章）</w:t>
      </w:r>
      <w:r>
        <w:rPr>
          <w:rFonts w:hint="eastAsia"/>
          <w:color w:val="auto"/>
          <w:sz w:val="22"/>
          <w:szCs w:val="22"/>
          <w:highlight w:val="none"/>
        </w:rPr>
        <w:t>：</w:t>
      </w:r>
    </w:p>
    <w:p w14:paraId="57595256">
      <w:pPr>
        <w:spacing w:line="440" w:lineRule="exact"/>
        <w:ind w:firstLine="4400" w:firstLineChars="2000"/>
        <w:rPr>
          <w:rFonts w:hint="eastAsia"/>
          <w:color w:val="auto"/>
          <w:sz w:val="22"/>
          <w:szCs w:val="22"/>
          <w:highlight w:val="none"/>
        </w:rPr>
      </w:pPr>
      <w:r>
        <w:rPr>
          <w:rFonts w:hint="eastAsia"/>
          <w:color w:val="auto"/>
          <w:sz w:val="22"/>
          <w:szCs w:val="22"/>
          <w:highlight w:val="none"/>
        </w:rPr>
        <w:t xml:space="preserve">日期：     年    月    日  </w:t>
      </w:r>
    </w:p>
    <w:p w14:paraId="337F4615">
      <w:pPr>
        <w:spacing w:line="440" w:lineRule="exact"/>
        <w:rPr>
          <w:rFonts w:ascii="宋体" w:hAnsi="宋体"/>
          <w:color w:val="auto"/>
          <w:highlight w:val="none"/>
        </w:rPr>
      </w:pPr>
    </w:p>
    <w:p w14:paraId="6E452AA9">
      <w:pPr>
        <w:spacing w:line="440" w:lineRule="exact"/>
        <w:rPr>
          <w:rFonts w:ascii="宋体" w:hAnsi="宋体"/>
          <w:color w:val="auto"/>
          <w:highlight w:val="none"/>
        </w:rPr>
      </w:pPr>
    </w:p>
    <w:p w14:paraId="1D8180E2">
      <w:pPr>
        <w:spacing w:line="440" w:lineRule="exact"/>
        <w:rPr>
          <w:rFonts w:hint="eastAsia" w:ascii="宋体" w:hAnsi="宋体"/>
          <w:color w:val="auto"/>
          <w:highlight w:val="none"/>
        </w:rPr>
      </w:pPr>
    </w:p>
    <w:p w14:paraId="46DE1249">
      <w:pPr>
        <w:spacing w:line="440" w:lineRule="exact"/>
        <w:rPr>
          <w:rFonts w:ascii="宋体" w:hAnsi="宋体"/>
          <w:color w:val="auto"/>
          <w:highlight w:val="none"/>
        </w:rPr>
      </w:pPr>
    </w:p>
    <w:p w14:paraId="2037620B">
      <w:pPr>
        <w:pStyle w:val="5"/>
        <w:spacing w:line="440" w:lineRule="exact"/>
        <w:rPr>
          <w:rFonts w:ascii="黑体" w:hAnsi="宋体"/>
          <w:color w:val="auto"/>
          <w:sz w:val="24"/>
          <w:szCs w:val="24"/>
          <w:highlight w:val="none"/>
        </w:rPr>
      </w:pPr>
      <w:bookmarkStart w:id="108" w:name="_Toc10560"/>
      <w:bookmarkStart w:id="109" w:name="_Toc524273184"/>
      <w:bookmarkStart w:id="110" w:name="_Toc20456"/>
      <w:bookmarkStart w:id="111" w:name="_Toc37343483"/>
      <w:bookmarkStart w:id="112" w:name="_Toc1390"/>
      <w:r>
        <w:rPr>
          <w:rFonts w:ascii="黑体" w:hAnsi="宋体"/>
          <w:color w:val="auto"/>
          <w:sz w:val="24"/>
          <w:szCs w:val="24"/>
          <w:highlight w:val="none"/>
        </w:rPr>
        <w:t>附件</w:t>
      </w:r>
      <w:r>
        <w:rPr>
          <w:rFonts w:hint="eastAsia" w:ascii="黑体" w:hAnsi="宋体"/>
          <w:color w:val="auto"/>
          <w:sz w:val="24"/>
          <w:szCs w:val="24"/>
          <w:highlight w:val="none"/>
        </w:rPr>
        <w:t>1</w:t>
      </w:r>
      <w:r>
        <w:rPr>
          <w:rFonts w:hint="eastAsia" w:ascii="黑体" w:hAnsi="宋体"/>
          <w:color w:val="auto"/>
          <w:sz w:val="24"/>
          <w:szCs w:val="24"/>
          <w:highlight w:val="none"/>
          <w:lang w:val="en-US" w:eastAsia="zh-CN"/>
        </w:rPr>
        <w:t>4</w:t>
      </w:r>
      <w:r>
        <w:rPr>
          <w:rFonts w:hint="eastAsia" w:ascii="黑体" w:hAnsi="宋体"/>
          <w:color w:val="auto"/>
          <w:sz w:val="24"/>
          <w:szCs w:val="24"/>
          <w:highlight w:val="none"/>
        </w:rPr>
        <w:t xml:space="preserve"> 政府采购政策功能相关说明</w:t>
      </w:r>
      <w:bookmarkEnd w:id="108"/>
      <w:bookmarkEnd w:id="109"/>
      <w:bookmarkEnd w:id="110"/>
      <w:bookmarkEnd w:id="111"/>
      <w:bookmarkEnd w:id="112"/>
    </w:p>
    <w:p w14:paraId="57240E50">
      <w:pPr>
        <w:spacing w:line="440" w:lineRule="exact"/>
        <w:ind w:left="708" w:hanging="708" w:hangingChars="294"/>
        <w:jc w:val="center"/>
        <w:rPr>
          <w:rFonts w:ascii="宋体" w:hAnsi="宋体" w:cs="宋体"/>
          <w:b/>
          <w:color w:val="auto"/>
          <w:sz w:val="24"/>
          <w:highlight w:val="none"/>
        </w:rPr>
      </w:pPr>
      <w:r>
        <w:rPr>
          <w:rFonts w:hint="eastAsia" w:ascii="宋体" w:hAnsi="宋体" w:cs="宋体"/>
          <w:b/>
          <w:color w:val="auto"/>
          <w:sz w:val="24"/>
          <w:highlight w:val="none"/>
        </w:rPr>
        <w:t>（1）小、微企业（含监狱企业、残疾人福利性单位）扶持政策说明</w:t>
      </w:r>
    </w:p>
    <w:p w14:paraId="73EEABDC">
      <w:pPr>
        <w:spacing w:line="440" w:lineRule="atLeast"/>
        <w:jc w:val="left"/>
        <w:rPr>
          <w:rFonts w:ascii="宋体" w:hAnsi="宋体"/>
          <w:color w:val="auto"/>
          <w:kern w:val="0"/>
          <w:sz w:val="22"/>
          <w:highlight w:val="none"/>
        </w:rPr>
      </w:pPr>
      <w:r>
        <w:rPr>
          <w:rFonts w:ascii="宋体" w:hAnsi="宋体"/>
          <w:color w:val="auto"/>
          <w:kern w:val="0"/>
          <w:sz w:val="22"/>
          <w:highlight w:val="none"/>
        </w:rPr>
        <w:t xml:space="preserve">1.   </w:t>
      </w:r>
      <w:r>
        <w:rPr>
          <w:rFonts w:hint="eastAsia" w:ascii="宋体" w:hAnsi="宋体"/>
          <w:color w:val="auto"/>
          <w:kern w:val="0"/>
          <w:sz w:val="22"/>
          <w:highlight w:val="none"/>
        </w:rPr>
        <w:t>文件依据</w:t>
      </w:r>
    </w:p>
    <w:p w14:paraId="25DF6381">
      <w:pPr>
        <w:spacing w:line="440" w:lineRule="atLeast"/>
        <w:jc w:val="left"/>
        <w:rPr>
          <w:rFonts w:hint="eastAsia" w:ascii="宋体" w:hAnsi="宋体"/>
          <w:color w:val="auto"/>
          <w:kern w:val="0"/>
          <w:sz w:val="22"/>
          <w:highlight w:val="none"/>
        </w:rPr>
      </w:pPr>
      <w:r>
        <w:rPr>
          <w:rFonts w:hint="eastAsia" w:ascii="宋体" w:hAnsi="宋体"/>
          <w:color w:val="auto"/>
          <w:kern w:val="0"/>
          <w:sz w:val="22"/>
          <w:highlight w:val="none"/>
        </w:rPr>
        <w:t>（1）关于印发《政府采购促进中小企业发展暂行办法》的通知（财库〔2020〕46号）</w:t>
      </w:r>
    </w:p>
    <w:p w14:paraId="3073EB92">
      <w:pPr>
        <w:spacing w:line="440" w:lineRule="atLeast"/>
        <w:jc w:val="left"/>
        <w:rPr>
          <w:rFonts w:ascii="宋体" w:hAnsi="宋体"/>
          <w:color w:val="auto"/>
          <w:kern w:val="0"/>
          <w:sz w:val="22"/>
          <w:highlight w:val="none"/>
        </w:rPr>
      </w:pPr>
      <w:r>
        <w:rPr>
          <w:rFonts w:hint="eastAsia" w:ascii="宋体" w:hAnsi="宋体"/>
          <w:color w:val="auto"/>
          <w:kern w:val="0"/>
          <w:sz w:val="22"/>
          <w:highlight w:val="none"/>
        </w:rPr>
        <w:t>（4）《工业和信息化部、国家统计局、国家发展和改革委员会、财政部关于印发中小企业划型标准规定的通知》（</w:t>
      </w:r>
      <w:r>
        <w:rPr>
          <w:rFonts w:ascii="宋体" w:hAnsi="宋体"/>
          <w:color w:val="auto"/>
          <w:kern w:val="0"/>
          <w:sz w:val="22"/>
          <w:highlight w:val="none"/>
        </w:rPr>
        <w:t>工信部联企业[2011]300号</w:t>
      </w:r>
      <w:r>
        <w:rPr>
          <w:rFonts w:hint="eastAsia" w:ascii="宋体" w:hAnsi="宋体"/>
          <w:color w:val="auto"/>
          <w:kern w:val="0"/>
          <w:sz w:val="22"/>
          <w:highlight w:val="none"/>
        </w:rPr>
        <w:t>）</w:t>
      </w:r>
    </w:p>
    <w:p w14:paraId="6DEEB2AA">
      <w:pPr>
        <w:spacing w:line="440" w:lineRule="atLeast"/>
        <w:jc w:val="left"/>
        <w:rPr>
          <w:rFonts w:ascii="宋体" w:hAnsi="宋体"/>
          <w:color w:val="auto"/>
          <w:kern w:val="0"/>
          <w:sz w:val="22"/>
          <w:highlight w:val="none"/>
        </w:rPr>
      </w:pPr>
      <w:r>
        <w:rPr>
          <w:rFonts w:hint="eastAsia" w:ascii="宋体" w:hAnsi="宋体"/>
          <w:color w:val="auto"/>
          <w:kern w:val="0"/>
          <w:sz w:val="22"/>
          <w:highlight w:val="none"/>
        </w:rPr>
        <w:t>（</w:t>
      </w:r>
      <w:r>
        <w:rPr>
          <w:rFonts w:ascii="宋体" w:hAnsi="宋体"/>
          <w:color w:val="auto"/>
          <w:kern w:val="0"/>
          <w:sz w:val="22"/>
          <w:highlight w:val="none"/>
        </w:rPr>
        <w:t>3</w:t>
      </w:r>
      <w:r>
        <w:rPr>
          <w:rFonts w:hint="eastAsia" w:ascii="宋体" w:hAnsi="宋体"/>
          <w:color w:val="auto"/>
          <w:kern w:val="0"/>
          <w:sz w:val="22"/>
          <w:highlight w:val="none"/>
        </w:rPr>
        <w:t>）财政部、司法部《关于政府采购支持监狱企业发展有关问题的通知》（财库〔2014〕68号）</w:t>
      </w:r>
    </w:p>
    <w:p w14:paraId="47617DBF">
      <w:pPr>
        <w:spacing w:line="440" w:lineRule="atLeast"/>
        <w:jc w:val="left"/>
        <w:rPr>
          <w:rFonts w:ascii="宋体" w:hAnsi="宋体"/>
          <w:color w:val="auto"/>
          <w:kern w:val="0"/>
          <w:sz w:val="22"/>
          <w:highlight w:val="none"/>
        </w:rPr>
      </w:pPr>
      <w:r>
        <w:rPr>
          <w:rFonts w:hint="eastAsia" w:ascii="宋体" w:hAnsi="宋体"/>
          <w:color w:val="auto"/>
          <w:kern w:val="0"/>
          <w:sz w:val="22"/>
          <w:highlight w:val="none"/>
        </w:rPr>
        <w:t>（</w:t>
      </w:r>
      <w:r>
        <w:rPr>
          <w:rFonts w:ascii="宋体" w:hAnsi="宋体"/>
          <w:color w:val="auto"/>
          <w:kern w:val="0"/>
          <w:sz w:val="22"/>
          <w:highlight w:val="none"/>
        </w:rPr>
        <w:t>4</w:t>
      </w:r>
      <w:r>
        <w:rPr>
          <w:rFonts w:hint="eastAsia" w:ascii="宋体" w:hAnsi="宋体"/>
          <w:color w:val="auto"/>
          <w:kern w:val="0"/>
          <w:sz w:val="22"/>
          <w:highlight w:val="none"/>
        </w:rPr>
        <w:t>）《财政部 民政部 中国残疾人联合会关于促进残疾人就业政府采购政策的通知》（财库〔2017〕 141号）</w:t>
      </w:r>
    </w:p>
    <w:p w14:paraId="2C985A6B">
      <w:pPr>
        <w:spacing w:line="440" w:lineRule="atLeast"/>
        <w:jc w:val="left"/>
        <w:rPr>
          <w:rFonts w:ascii="宋体" w:hAnsi="宋体"/>
          <w:color w:val="auto"/>
          <w:kern w:val="0"/>
          <w:sz w:val="22"/>
          <w:highlight w:val="none"/>
        </w:rPr>
      </w:pPr>
      <w:r>
        <w:rPr>
          <w:rFonts w:ascii="宋体" w:hAnsi="宋体"/>
          <w:color w:val="auto"/>
          <w:kern w:val="0"/>
          <w:sz w:val="22"/>
          <w:highlight w:val="none"/>
        </w:rPr>
        <w:t xml:space="preserve">2.   </w:t>
      </w:r>
      <w:r>
        <w:rPr>
          <w:rFonts w:hint="eastAsia" w:ascii="宋体" w:hAnsi="宋体"/>
          <w:color w:val="auto"/>
          <w:kern w:val="0"/>
          <w:sz w:val="22"/>
          <w:highlight w:val="none"/>
        </w:rPr>
        <w:t>享受小微企业价格折扣应具备的条件与价格折扣比例</w:t>
      </w:r>
      <w:r>
        <w:rPr>
          <w:rFonts w:hint="eastAsia" w:ascii="宋体" w:hAnsi="宋体"/>
          <w:color w:val="auto"/>
          <w:kern w:val="0"/>
          <w:sz w:val="22"/>
          <w:highlight w:val="none"/>
          <w:lang w:eastAsia="zh-CN"/>
        </w:rPr>
        <w:t>（详见磋商供应商须知前附表）</w:t>
      </w:r>
      <w:r>
        <w:rPr>
          <w:rFonts w:hint="eastAsia" w:ascii="宋体" w:hAnsi="宋体"/>
          <w:color w:val="auto"/>
          <w:kern w:val="0"/>
          <w:sz w:val="22"/>
          <w:highlight w:val="none"/>
        </w:rPr>
        <w:t>：</w:t>
      </w:r>
    </w:p>
    <w:p w14:paraId="0D0053FA">
      <w:pPr>
        <w:spacing w:line="440" w:lineRule="atLeast"/>
        <w:jc w:val="left"/>
        <w:rPr>
          <w:rFonts w:ascii="宋体" w:hAnsi="宋体"/>
          <w:b/>
          <w:color w:val="auto"/>
          <w:kern w:val="0"/>
          <w:sz w:val="22"/>
          <w:highlight w:val="none"/>
        </w:rPr>
      </w:pPr>
      <w:r>
        <w:rPr>
          <w:rFonts w:hint="eastAsia" w:ascii="宋体" w:hAnsi="宋体"/>
          <w:b/>
          <w:color w:val="auto"/>
          <w:kern w:val="0"/>
          <w:sz w:val="22"/>
          <w:highlight w:val="none"/>
        </w:rPr>
        <w:t>（1）符合中小企业划分标准；</w:t>
      </w:r>
    </w:p>
    <w:p w14:paraId="486C5566">
      <w:pPr>
        <w:spacing w:line="440" w:lineRule="atLeast"/>
        <w:jc w:val="left"/>
        <w:rPr>
          <w:rFonts w:ascii="宋体" w:hAnsi="宋体"/>
          <w:b/>
          <w:color w:val="auto"/>
          <w:kern w:val="0"/>
          <w:sz w:val="22"/>
          <w:highlight w:val="none"/>
        </w:rPr>
      </w:pPr>
      <w:r>
        <w:rPr>
          <w:rFonts w:ascii="宋体" w:hAnsi="宋体"/>
          <w:b/>
          <w:color w:val="auto"/>
          <w:kern w:val="0"/>
          <w:sz w:val="22"/>
          <w:highlight w:val="none"/>
        </w:rPr>
        <w:t>（</w:t>
      </w:r>
      <w:r>
        <w:rPr>
          <w:rFonts w:hint="eastAsia" w:ascii="宋体" w:hAnsi="宋体"/>
          <w:b/>
          <w:color w:val="auto"/>
          <w:kern w:val="0"/>
          <w:sz w:val="22"/>
          <w:highlight w:val="none"/>
        </w:rPr>
        <w:t>2</w:t>
      </w:r>
      <w:r>
        <w:rPr>
          <w:rFonts w:ascii="宋体" w:hAnsi="宋体"/>
          <w:b/>
          <w:color w:val="auto"/>
          <w:kern w:val="0"/>
          <w:sz w:val="22"/>
          <w:highlight w:val="none"/>
        </w:rPr>
        <w:t>）在货物采购项目中，货物由中小企业制造，即货物由中小企业生产且使用该中小企业商号或者注册商标；</w:t>
      </w:r>
    </w:p>
    <w:p w14:paraId="60446686">
      <w:pPr>
        <w:spacing w:line="440" w:lineRule="atLeast"/>
        <w:jc w:val="left"/>
        <w:rPr>
          <w:rFonts w:ascii="宋体" w:hAnsi="宋体"/>
          <w:b/>
          <w:color w:val="auto"/>
          <w:kern w:val="0"/>
          <w:sz w:val="22"/>
          <w:highlight w:val="none"/>
        </w:rPr>
      </w:pPr>
      <w:r>
        <w:rPr>
          <w:rFonts w:ascii="宋体" w:hAnsi="宋体"/>
          <w:b/>
          <w:color w:val="auto"/>
          <w:kern w:val="0"/>
          <w:sz w:val="22"/>
          <w:highlight w:val="none"/>
        </w:rPr>
        <w:t>（</w:t>
      </w:r>
      <w:r>
        <w:rPr>
          <w:rFonts w:hint="eastAsia" w:ascii="宋体" w:hAnsi="宋体"/>
          <w:b/>
          <w:color w:val="auto"/>
          <w:kern w:val="0"/>
          <w:sz w:val="22"/>
          <w:highlight w:val="none"/>
        </w:rPr>
        <w:t>3</w:t>
      </w:r>
      <w:r>
        <w:rPr>
          <w:rFonts w:ascii="宋体" w:hAnsi="宋体"/>
          <w:b/>
          <w:color w:val="auto"/>
          <w:kern w:val="0"/>
          <w:sz w:val="22"/>
          <w:highlight w:val="none"/>
        </w:rPr>
        <w:t>）在工程采购项目中，工程由中小企业承建，即工程施工单位为中小企业；</w:t>
      </w:r>
    </w:p>
    <w:p w14:paraId="42D805A2">
      <w:pPr>
        <w:spacing w:line="440" w:lineRule="atLeast"/>
        <w:jc w:val="left"/>
        <w:rPr>
          <w:rFonts w:ascii="宋体" w:hAnsi="宋体"/>
          <w:b/>
          <w:color w:val="auto"/>
          <w:kern w:val="0"/>
          <w:sz w:val="22"/>
          <w:highlight w:val="none"/>
        </w:rPr>
      </w:pPr>
      <w:r>
        <w:rPr>
          <w:rFonts w:ascii="宋体" w:hAnsi="宋体"/>
          <w:b/>
          <w:color w:val="auto"/>
          <w:kern w:val="0"/>
          <w:sz w:val="22"/>
          <w:highlight w:val="none"/>
        </w:rPr>
        <w:t>（</w:t>
      </w:r>
      <w:r>
        <w:rPr>
          <w:rFonts w:hint="eastAsia" w:ascii="宋体" w:hAnsi="宋体"/>
          <w:b/>
          <w:color w:val="auto"/>
          <w:kern w:val="0"/>
          <w:sz w:val="22"/>
          <w:highlight w:val="none"/>
        </w:rPr>
        <w:t>4</w:t>
      </w:r>
      <w:r>
        <w:rPr>
          <w:rFonts w:ascii="宋体" w:hAnsi="宋体"/>
          <w:b/>
          <w:color w:val="auto"/>
          <w:kern w:val="0"/>
          <w:sz w:val="22"/>
          <w:highlight w:val="none"/>
        </w:rPr>
        <w:t>）在服务采购项目中，服务由中小企业承接，即</w:t>
      </w:r>
      <w:r>
        <w:rPr>
          <w:rFonts w:hint="eastAsia" w:ascii="宋体" w:hAnsi="宋体"/>
          <w:b/>
          <w:color w:val="auto"/>
          <w:kern w:val="0"/>
          <w:sz w:val="22"/>
          <w:highlight w:val="none"/>
        </w:rPr>
        <w:t>提供</w:t>
      </w:r>
      <w:r>
        <w:rPr>
          <w:rFonts w:ascii="宋体" w:hAnsi="宋体"/>
          <w:b/>
          <w:color w:val="auto"/>
          <w:kern w:val="0"/>
          <w:sz w:val="22"/>
          <w:highlight w:val="none"/>
        </w:rPr>
        <w:t>服务的人员为中小企业依照《中华人民共和国劳动合同法》订立劳动合同的从业人员。</w:t>
      </w:r>
    </w:p>
    <w:p w14:paraId="180C1EEF">
      <w:pPr>
        <w:spacing w:line="440" w:lineRule="atLeast"/>
        <w:jc w:val="left"/>
        <w:rPr>
          <w:rFonts w:ascii="宋体" w:hAnsi="宋体"/>
          <w:b/>
          <w:color w:val="auto"/>
          <w:kern w:val="0"/>
          <w:sz w:val="22"/>
          <w:highlight w:val="none"/>
        </w:rPr>
      </w:pPr>
      <w:r>
        <w:rPr>
          <w:rFonts w:hint="eastAsia" w:ascii="宋体" w:hAnsi="宋体"/>
          <w:b/>
          <w:color w:val="auto"/>
          <w:kern w:val="0"/>
          <w:sz w:val="22"/>
          <w:highlight w:val="none"/>
        </w:rPr>
        <w:t>（5）</w:t>
      </w:r>
      <w:r>
        <w:rPr>
          <w:rFonts w:ascii="宋体" w:hAnsi="宋体"/>
          <w:b/>
          <w:color w:val="auto"/>
          <w:kern w:val="0"/>
          <w:sz w:val="22"/>
          <w:highlight w:val="none"/>
        </w:rPr>
        <w:t>在货物采购项目中，供应商提供的货物既有中小企业制造货物，也有大型企业制造货物的，不享受本办法规定的中小企业扶持政策。</w:t>
      </w:r>
    </w:p>
    <w:p w14:paraId="7190A379">
      <w:pPr>
        <w:spacing w:line="440" w:lineRule="atLeast"/>
        <w:jc w:val="left"/>
        <w:rPr>
          <w:rFonts w:ascii="宋体" w:hAnsi="宋体"/>
          <w:b/>
          <w:color w:val="auto"/>
          <w:kern w:val="0"/>
          <w:sz w:val="22"/>
          <w:highlight w:val="none"/>
        </w:rPr>
      </w:pPr>
      <w:r>
        <w:rPr>
          <w:rFonts w:hint="eastAsia" w:ascii="宋体" w:hAnsi="宋体"/>
          <w:b/>
          <w:color w:val="auto"/>
          <w:kern w:val="0"/>
          <w:sz w:val="22"/>
          <w:highlight w:val="none"/>
        </w:rPr>
        <w:t>（6）</w:t>
      </w:r>
      <w:r>
        <w:rPr>
          <w:rFonts w:ascii="宋体" w:hAnsi="宋体"/>
          <w:b/>
          <w:color w:val="auto"/>
          <w:kern w:val="0"/>
          <w:sz w:val="22"/>
          <w:highlight w:val="none"/>
        </w:rPr>
        <w:t>以联合体形式参加政府采购活动，联合体各方均为中小企业的，联合体视同中小企业。其中，联合体各方均为小微企业的，联合体视同小微企业。</w:t>
      </w:r>
    </w:p>
    <w:p w14:paraId="2A3FFA4A">
      <w:pPr>
        <w:spacing w:line="440" w:lineRule="atLeast"/>
        <w:jc w:val="left"/>
        <w:rPr>
          <w:rFonts w:ascii="宋体" w:hAnsi="宋体"/>
          <w:color w:val="auto"/>
          <w:kern w:val="0"/>
          <w:sz w:val="22"/>
          <w:highlight w:val="none"/>
        </w:rPr>
      </w:pPr>
      <w:r>
        <w:rPr>
          <w:rFonts w:ascii="宋体" w:hAnsi="宋体"/>
          <w:color w:val="auto"/>
          <w:kern w:val="0"/>
          <w:sz w:val="22"/>
          <w:highlight w:val="none"/>
        </w:rPr>
        <w:t xml:space="preserve">3.   </w:t>
      </w:r>
      <w:r>
        <w:rPr>
          <w:rFonts w:hint="eastAsia" w:ascii="宋体" w:hAnsi="宋体"/>
          <w:color w:val="auto"/>
          <w:kern w:val="0"/>
          <w:sz w:val="22"/>
          <w:highlight w:val="none"/>
          <w:u w:val="single"/>
        </w:rPr>
        <w:t>享受小微企业价格折扣应提供以下证明材料（资格文件中）</w:t>
      </w:r>
      <w:r>
        <w:rPr>
          <w:rFonts w:hint="eastAsia" w:ascii="宋体" w:hAnsi="宋体"/>
          <w:color w:val="auto"/>
          <w:kern w:val="0"/>
          <w:sz w:val="22"/>
          <w:highlight w:val="none"/>
        </w:rPr>
        <w:t>：</w:t>
      </w:r>
    </w:p>
    <w:p w14:paraId="53379F1E">
      <w:pPr>
        <w:spacing w:line="440" w:lineRule="exact"/>
        <w:ind w:firstLine="440" w:firstLineChars="200"/>
        <w:jc w:val="left"/>
        <w:rPr>
          <w:rFonts w:hint="eastAsia" w:ascii="宋体" w:hAnsi="宋体"/>
          <w:color w:val="auto"/>
          <w:kern w:val="0"/>
          <w:sz w:val="22"/>
          <w:highlight w:val="none"/>
        </w:rPr>
      </w:pPr>
      <w:r>
        <w:rPr>
          <w:rFonts w:hint="eastAsia" w:ascii="宋体" w:hAnsi="宋体"/>
          <w:color w:val="auto"/>
          <w:kern w:val="0"/>
          <w:sz w:val="22"/>
          <w:highlight w:val="none"/>
        </w:rPr>
        <w:t>《中小企业声明函》（加盖供应商公章，格式见附件1）</w:t>
      </w:r>
    </w:p>
    <w:p w14:paraId="048792CA">
      <w:pPr>
        <w:spacing w:line="440" w:lineRule="atLeast"/>
        <w:ind w:left="550" w:hanging="550" w:hangingChars="250"/>
        <w:jc w:val="left"/>
        <w:rPr>
          <w:rFonts w:ascii="宋体" w:hAnsi="宋体"/>
          <w:color w:val="auto"/>
          <w:kern w:val="0"/>
          <w:sz w:val="22"/>
          <w:highlight w:val="none"/>
        </w:rPr>
      </w:pPr>
      <w:r>
        <w:rPr>
          <w:rFonts w:ascii="宋体" w:hAnsi="宋体"/>
          <w:color w:val="auto"/>
          <w:kern w:val="0"/>
          <w:sz w:val="22"/>
          <w:highlight w:val="none"/>
        </w:rPr>
        <w:t>4</w:t>
      </w:r>
      <w:r>
        <w:rPr>
          <w:rFonts w:hint="eastAsia" w:ascii="宋体" w:hAnsi="宋体"/>
          <w:color w:val="auto"/>
          <w:kern w:val="0"/>
          <w:sz w:val="22"/>
          <w:highlight w:val="none"/>
        </w:rPr>
        <w:t>.   享受监狱企业价格折扣应提供以下证明材料（</w:t>
      </w:r>
      <w:r>
        <w:rPr>
          <w:rFonts w:hint="eastAsia" w:ascii="宋体" w:hAnsi="宋体"/>
          <w:color w:val="auto"/>
          <w:kern w:val="0"/>
          <w:sz w:val="22"/>
          <w:highlight w:val="none"/>
          <w:u w:val="single"/>
        </w:rPr>
        <w:t>资格文件中，不提供的不享受价格折扣）</w:t>
      </w:r>
      <w:r>
        <w:rPr>
          <w:rFonts w:hint="eastAsia" w:ascii="宋体" w:hAnsi="宋体"/>
          <w:color w:val="auto"/>
          <w:kern w:val="0"/>
          <w:sz w:val="22"/>
          <w:highlight w:val="none"/>
        </w:rPr>
        <w:t>：</w:t>
      </w:r>
    </w:p>
    <w:p w14:paraId="669AA294">
      <w:pPr>
        <w:spacing w:line="440" w:lineRule="atLeast"/>
        <w:ind w:left="550" w:hanging="550" w:hangingChars="250"/>
        <w:jc w:val="left"/>
        <w:rPr>
          <w:rFonts w:ascii="宋体" w:hAnsi="宋体"/>
          <w:color w:val="auto"/>
          <w:kern w:val="0"/>
          <w:sz w:val="22"/>
          <w:highlight w:val="none"/>
        </w:rPr>
      </w:pPr>
      <w:r>
        <w:rPr>
          <w:rFonts w:hint="eastAsia" w:ascii="宋体" w:hAnsi="宋体"/>
          <w:color w:val="auto"/>
          <w:kern w:val="0"/>
          <w:sz w:val="22"/>
          <w:highlight w:val="none"/>
        </w:rPr>
        <w:t>（</w:t>
      </w:r>
      <w:r>
        <w:rPr>
          <w:rFonts w:ascii="宋体" w:hAnsi="宋体"/>
          <w:color w:val="auto"/>
          <w:kern w:val="0"/>
          <w:sz w:val="22"/>
          <w:highlight w:val="none"/>
        </w:rPr>
        <w:t>1</w:t>
      </w:r>
      <w:r>
        <w:rPr>
          <w:rFonts w:hint="eastAsia" w:ascii="宋体" w:hAnsi="宋体"/>
          <w:color w:val="auto"/>
          <w:kern w:val="0"/>
          <w:sz w:val="22"/>
          <w:highlight w:val="none"/>
        </w:rPr>
        <w:t>）</w:t>
      </w:r>
      <w:r>
        <w:rPr>
          <w:rFonts w:ascii="宋体" w:hAnsi="宋体"/>
          <w:color w:val="auto"/>
          <w:kern w:val="0"/>
          <w:sz w:val="22"/>
          <w:highlight w:val="none"/>
        </w:rPr>
        <w:t>监狱企业参加政府采购活动时，应当提供由省级以上监狱管理局、戒毒管理局(含新疆生产建设兵团)出具的属于监狱企业的证明文件</w:t>
      </w:r>
      <w:r>
        <w:rPr>
          <w:rFonts w:hint="eastAsia" w:ascii="宋体" w:hAnsi="宋体"/>
          <w:color w:val="auto"/>
          <w:kern w:val="0"/>
          <w:sz w:val="22"/>
          <w:highlight w:val="none"/>
        </w:rPr>
        <w:t>（加盖供应商公章）</w:t>
      </w:r>
      <w:r>
        <w:rPr>
          <w:rFonts w:ascii="宋体" w:hAnsi="宋体"/>
          <w:color w:val="auto"/>
          <w:kern w:val="0"/>
          <w:sz w:val="22"/>
          <w:highlight w:val="none"/>
        </w:rPr>
        <w:t>。在政府采购活动中，监狱企业视同小型、微型企业，享受评审中价格扣除政策</w:t>
      </w:r>
      <w:r>
        <w:rPr>
          <w:rFonts w:hint="eastAsia" w:ascii="宋体" w:hAnsi="宋体"/>
          <w:color w:val="auto"/>
          <w:kern w:val="0"/>
          <w:sz w:val="22"/>
          <w:highlight w:val="none"/>
        </w:rPr>
        <w:t>。</w:t>
      </w:r>
    </w:p>
    <w:p w14:paraId="524B8FF4">
      <w:pPr>
        <w:spacing w:line="440" w:lineRule="atLeast"/>
        <w:ind w:left="550" w:hanging="550" w:hangingChars="250"/>
        <w:jc w:val="left"/>
        <w:rPr>
          <w:rFonts w:ascii="宋体" w:hAnsi="宋体"/>
          <w:color w:val="auto"/>
          <w:kern w:val="0"/>
          <w:sz w:val="22"/>
          <w:highlight w:val="none"/>
        </w:rPr>
      </w:pPr>
      <w:r>
        <w:rPr>
          <w:rFonts w:ascii="宋体" w:hAnsi="宋体"/>
          <w:color w:val="auto"/>
          <w:kern w:val="0"/>
          <w:sz w:val="22"/>
          <w:highlight w:val="none"/>
        </w:rPr>
        <w:t xml:space="preserve">5.   </w:t>
      </w:r>
      <w:r>
        <w:rPr>
          <w:rFonts w:hint="eastAsia" w:ascii="宋体" w:hAnsi="宋体"/>
          <w:color w:val="auto"/>
          <w:kern w:val="0"/>
          <w:sz w:val="22"/>
          <w:highlight w:val="none"/>
          <w:u w:val="single"/>
        </w:rPr>
        <w:t>享受残疾人福利性单位格折扣应提供以下证明材料（资格文件中，不提供的不享受价格折扣）</w:t>
      </w:r>
      <w:r>
        <w:rPr>
          <w:rFonts w:hint="eastAsia" w:ascii="宋体" w:hAnsi="宋体"/>
          <w:color w:val="auto"/>
          <w:kern w:val="0"/>
          <w:sz w:val="22"/>
          <w:highlight w:val="none"/>
        </w:rPr>
        <w:t>：</w:t>
      </w:r>
    </w:p>
    <w:p w14:paraId="3B0B1D3D">
      <w:pPr>
        <w:spacing w:line="440" w:lineRule="atLeast"/>
        <w:jc w:val="left"/>
        <w:rPr>
          <w:rFonts w:hint="eastAsia"/>
          <w:color w:val="auto"/>
          <w:highlight w:val="none"/>
        </w:rPr>
      </w:pPr>
      <w:r>
        <w:rPr>
          <w:rFonts w:hint="eastAsia" w:ascii="宋体" w:hAnsi="宋体"/>
          <w:color w:val="auto"/>
          <w:kern w:val="0"/>
          <w:sz w:val="22"/>
          <w:highlight w:val="none"/>
        </w:rPr>
        <w:t>（</w:t>
      </w:r>
      <w:r>
        <w:rPr>
          <w:rFonts w:ascii="宋体" w:hAnsi="宋体"/>
          <w:color w:val="auto"/>
          <w:kern w:val="0"/>
          <w:sz w:val="22"/>
          <w:highlight w:val="none"/>
        </w:rPr>
        <w:t>1</w:t>
      </w:r>
      <w:r>
        <w:rPr>
          <w:rFonts w:hint="eastAsia" w:ascii="宋体" w:hAnsi="宋体"/>
          <w:color w:val="auto"/>
          <w:kern w:val="0"/>
          <w:sz w:val="22"/>
          <w:highlight w:val="none"/>
        </w:rPr>
        <w:t>）残疾人福利性单位声明函（加盖供应商公章，格式见附件2）。</w:t>
      </w:r>
    </w:p>
    <w:p w14:paraId="3A6669F1">
      <w:pPr>
        <w:spacing w:line="440" w:lineRule="atLeast"/>
        <w:rPr>
          <w:rFonts w:ascii="宋体" w:hAnsi="宋体"/>
          <w:color w:val="auto"/>
          <w:kern w:val="0"/>
          <w:sz w:val="22"/>
          <w:highlight w:val="none"/>
        </w:rPr>
      </w:pPr>
      <w:r>
        <w:rPr>
          <w:rFonts w:ascii="宋体" w:hAnsi="宋体"/>
          <w:color w:val="auto"/>
          <w:kern w:val="0"/>
          <w:sz w:val="22"/>
          <w:highlight w:val="none"/>
        </w:rPr>
        <w:br w:type="page"/>
      </w:r>
      <w:r>
        <w:rPr>
          <w:rFonts w:hint="eastAsia" w:ascii="宋体" w:hAnsi="宋体"/>
          <w:color w:val="auto"/>
          <w:kern w:val="0"/>
          <w:sz w:val="22"/>
          <w:highlight w:val="none"/>
        </w:rPr>
        <w:t>附件1：</w:t>
      </w:r>
    </w:p>
    <w:p w14:paraId="58224EC3">
      <w:pPr>
        <w:pStyle w:val="3"/>
        <w:spacing w:line="440" w:lineRule="exact"/>
        <w:jc w:val="center"/>
        <w:rPr>
          <w:rFonts w:ascii="宋体" w:hAnsi="宋体"/>
          <w:b/>
          <w:bCs/>
          <w:color w:val="auto"/>
          <w:sz w:val="24"/>
          <w:highlight w:val="none"/>
        </w:rPr>
      </w:pPr>
      <w:r>
        <w:rPr>
          <w:rFonts w:ascii="宋体" w:hAnsi="宋体"/>
          <w:b/>
          <w:bCs/>
          <w:color w:val="auto"/>
          <w:sz w:val="24"/>
          <w:highlight w:val="none"/>
        </w:rPr>
        <w:t>中小企业声明函（工程、服务）</w:t>
      </w:r>
    </w:p>
    <w:p w14:paraId="1DC0478C">
      <w:pPr>
        <w:pStyle w:val="3"/>
        <w:spacing w:before="5" w:line="440" w:lineRule="exact"/>
        <w:rPr>
          <w:rFonts w:ascii="宋体" w:hAnsi="宋体"/>
          <w:b/>
          <w:color w:val="auto"/>
          <w:sz w:val="22"/>
          <w:szCs w:val="22"/>
          <w:highlight w:val="none"/>
        </w:rPr>
      </w:pPr>
    </w:p>
    <w:p w14:paraId="0F7AD867">
      <w:pPr>
        <w:pStyle w:val="3"/>
        <w:spacing w:line="480" w:lineRule="exact"/>
        <w:ind w:right="-1" w:firstLine="440" w:firstLineChars="200"/>
        <w:rPr>
          <w:rFonts w:ascii="宋体" w:hAnsi="宋体"/>
          <w:color w:val="auto"/>
          <w:sz w:val="22"/>
          <w:szCs w:val="22"/>
          <w:highlight w:val="none"/>
        </w:rPr>
      </w:pPr>
      <w:r>
        <w:rPr>
          <w:rFonts w:ascii="宋体" w:hAnsi="宋体"/>
          <w:color w:val="auto"/>
          <w:sz w:val="22"/>
          <w:szCs w:val="22"/>
          <w:highlight w:val="none"/>
        </w:rPr>
        <w:t>本公司（联合体）郑重声明，根据《政府采购促进中小企业发展管理办法》（财库</w:t>
      </w:r>
      <w:r>
        <w:rPr>
          <w:rFonts w:hint="eastAsia" w:ascii="宋体" w:hAnsi="宋体"/>
          <w:color w:val="auto"/>
          <w:sz w:val="22"/>
          <w:szCs w:val="22"/>
          <w:highlight w:val="none"/>
        </w:rPr>
        <w:t>﹝</w:t>
      </w:r>
      <w:r>
        <w:rPr>
          <w:rFonts w:ascii="宋体" w:hAnsi="宋体"/>
          <w:color w:val="auto"/>
          <w:sz w:val="22"/>
          <w:szCs w:val="22"/>
          <w:highlight w:val="none"/>
        </w:rPr>
        <w:t>2020</w:t>
      </w:r>
      <w:r>
        <w:rPr>
          <w:rFonts w:hint="eastAsia" w:ascii="宋体" w:hAnsi="宋体"/>
          <w:color w:val="auto"/>
          <w:sz w:val="22"/>
          <w:szCs w:val="22"/>
          <w:highlight w:val="none"/>
        </w:rPr>
        <w:t>﹞</w:t>
      </w:r>
      <w:r>
        <w:rPr>
          <w:rFonts w:ascii="宋体" w:hAnsi="宋体"/>
          <w:color w:val="auto"/>
          <w:sz w:val="22"/>
          <w:szCs w:val="22"/>
          <w:highlight w:val="none"/>
        </w:rPr>
        <w:t>46号）的规定，本公司（联合体）参加</w:t>
      </w:r>
      <w:r>
        <w:rPr>
          <w:rFonts w:ascii="宋体" w:hAnsi="宋体"/>
          <w:color w:val="auto"/>
          <w:sz w:val="22"/>
          <w:szCs w:val="22"/>
          <w:highlight w:val="none"/>
          <w:u w:val="single"/>
        </w:rPr>
        <w:t>（单位名称）</w:t>
      </w:r>
      <w:r>
        <w:rPr>
          <w:rFonts w:ascii="宋体" w:hAnsi="宋体"/>
          <w:color w:val="auto"/>
          <w:sz w:val="22"/>
          <w:szCs w:val="22"/>
          <w:highlight w:val="none"/>
        </w:rPr>
        <w:t>的</w:t>
      </w:r>
      <w:r>
        <w:rPr>
          <w:rFonts w:ascii="宋体" w:hAnsi="宋体"/>
          <w:color w:val="auto"/>
          <w:sz w:val="22"/>
          <w:szCs w:val="22"/>
          <w:highlight w:val="none"/>
          <w:u w:val="single"/>
        </w:rPr>
        <w:t>（项目名称）</w:t>
      </w:r>
      <w:r>
        <w:rPr>
          <w:rFonts w:ascii="宋体" w:hAnsi="宋体"/>
          <w:color w:val="auto"/>
          <w:sz w:val="22"/>
          <w:szCs w:val="22"/>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3C8C09B7">
      <w:pPr>
        <w:pStyle w:val="67"/>
        <w:tabs>
          <w:tab w:val="left" w:pos="1025"/>
        </w:tabs>
        <w:spacing w:line="480" w:lineRule="exact"/>
        <w:ind w:firstLine="440"/>
        <w:rPr>
          <w:rFonts w:ascii="宋体" w:hAnsi="宋体"/>
          <w:color w:val="auto"/>
          <w:sz w:val="22"/>
          <w:highlight w:val="none"/>
        </w:rPr>
      </w:pPr>
      <w:r>
        <w:rPr>
          <w:rFonts w:hint="eastAsia" w:ascii="宋体" w:hAnsi="宋体"/>
          <w:color w:val="auto"/>
          <w:sz w:val="22"/>
          <w:highlight w:val="none"/>
        </w:rPr>
        <w:t>1</w:t>
      </w:r>
      <w:r>
        <w:rPr>
          <w:rFonts w:ascii="宋体" w:hAnsi="宋体"/>
          <w:color w:val="auto"/>
          <w:sz w:val="22"/>
          <w:highlight w:val="none"/>
        </w:rPr>
        <w:t>.</w:t>
      </w:r>
      <w:r>
        <w:rPr>
          <w:rFonts w:ascii="宋体" w:hAnsi="宋体"/>
          <w:color w:val="auto"/>
          <w:sz w:val="22"/>
          <w:highlight w:val="none"/>
          <w:u w:val="single"/>
        </w:rPr>
        <w:t>（</w:t>
      </w:r>
      <w:r>
        <w:rPr>
          <w:rFonts w:hint="eastAsia" w:ascii="宋体" w:hAnsi="宋体"/>
          <w:color w:val="auto"/>
          <w:sz w:val="22"/>
          <w:highlight w:val="none"/>
          <w:u w:val="single"/>
          <w:lang w:eastAsia="zh-CN"/>
        </w:rPr>
        <w:t>温州市综合行政执法局2*630kVA配电室增容改造工程</w:t>
      </w:r>
      <w:r>
        <w:rPr>
          <w:rFonts w:ascii="宋体" w:hAnsi="宋体"/>
          <w:color w:val="auto"/>
          <w:sz w:val="22"/>
          <w:highlight w:val="none"/>
          <w:u w:val="single"/>
        </w:rPr>
        <w:t>）</w:t>
      </w:r>
      <w:r>
        <w:rPr>
          <w:rFonts w:ascii="宋体" w:hAnsi="宋体"/>
          <w:color w:val="auto"/>
          <w:sz w:val="22"/>
          <w:highlight w:val="none"/>
        </w:rPr>
        <w:t>，属于（</w:t>
      </w:r>
      <w:r>
        <w:rPr>
          <w:rFonts w:hint="eastAsia" w:ascii="宋体" w:hAnsi="宋体"/>
          <w:color w:val="auto"/>
          <w:sz w:val="22"/>
          <w:highlight w:val="none"/>
          <w:u w:val="single"/>
        </w:rPr>
        <w:t>建筑业</w:t>
      </w:r>
      <w:r>
        <w:rPr>
          <w:rFonts w:ascii="宋体" w:hAnsi="宋体"/>
          <w:color w:val="auto"/>
          <w:sz w:val="22"/>
          <w:highlight w:val="none"/>
        </w:rPr>
        <w:t>）；承建（承接）企业为</w:t>
      </w:r>
      <w:r>
        <w:rPr>
          <w:rFonts w:ascii="宋体" w:hAnsi="宋体"/>
          <w:color w:val="auto"/>
          <w:sz w:val="22"/>
          <w:highlight w:val="none"/>
          <w:u w:val="single"/>
        </w:rPr>
        <w:t>（企业名称）</w:t>
      </w:r>
      <w:r>
        <w:rPr>
          <w:rFonts w:ascii="宋体" w:hAnsi="宋体"/>
          <w:color w:val="auto"/>
          <w:sz w:val="22"/>
          <w:highlight w:val="none"/>
        </w:rPr>
        <w:t>，从业人员</w:t>
      </w:r>
      <w:r>
        <w:rPr>
          <w:rFonts w:ascii="宋体" w:hAnsi="宋体"/>
          <w:color w:val="auto"/>
          <w:sz w:val="22"/>
          <w:highlight w:val="none"/>
          <w:u w:val="single"/>
        </w:rPr>
        <w:t xml:space="preserve">  </w:t>
      </w:r>
      <w:r>
        <w:rPr>
          <w:rFonts w:ascii="宋体" w:hAnsi="宋体"/>
          <w:color w:val="auto"/>
          <w:sz w:val="22"/>
          <w:highlight w:val="none"/>
          <w:u w:val="single"/>
        </w:rPr>
        <w:tab/>
      </w:r>
      <w:r>
        <w:rPr>
          <w:rFonts w:ascii="宋体" w:hAnsi="宋体"/>
          <w:color w:val="auto"/>
          <w:sz w:val="22"/>
          <w:highlight w:val="none"/>
        </w:rPr>
        <w:t>人，营业收入为</w:t>
      </w:r>
      <w:r>
        <w:rPr>
          <w:rFonts w:ascii="宋体" w:hAnsi="宋体"/>
          <w:color w:val="auto"/>
          <w:sz w:val="22"/>
          <w:highlight w:val="none"/>
          <w:u w:val="single"/>
        </w:rPr>
        <w:t xml:space="preserve"> </w:t>
      </w:r>
      <w:r>
        <w:rPr>
          <w:rFonts w:ascii="宋体" w:hAnsi="宋体"/>
          <w:color w:val="auto"/>
          <w:sz w:val="22"/>
          <w:highlight w:val="none"/>
          <w:u w:val="single"/>
        </w:rPr>
        <w:tab/>
      </w:r>
      <w:r>
        <w:rPr>
          <w:rFonts w:ascii="宋体" w:hAnsi="宋体"/>
          <w:color w:val="auto"/>
          <w:sz w:val="22"/>
          <w:highlight w:val="none"/>
        </w:rPr>
        <w:t>万元，资产总额为</w:t>
      </w:r>
      <w:r>
        <w:rPr>
          <w:rFonts w:ascii="宋体" w:hAnsi="宋体"/>
          <w:color w:val="auto"/>
          <w:sz w:val="22"/>
          <w:highlight w:val="none"/>
          <w:u w:val="single"/>
        </w:rPr>
        <w:t xml:space="preserve"> </w:t>
      </w:r>
      <w:r>
        <w:rPr>
          <w:rFonts w:ascii="宋体" w:hAnsi="宋体"/>
          <w:color w:val="auto"/>
          <w:sz w:val="22"/>
          <w:highlight w:val="none"/>
          <w:u w:val="single"/>
        </w:rPr>
        <w:tab/>
      </w:r>
      <w:r>
        <w:rPr>
          <w:rFonts w:ascii="宋体" w:hAnsi="宋体"/>
          <w:color w:val="auto"/>
          <w:sz w:val="22"/>
          <w:highlight w:val="none"/>
        </w:rPr>
        <w:t>万元，属于</w:t>
      </w:r>
      <w:r>
        <w:rPr>
          <w:rFonts w:ascii="宋体" w:hAnsi="宋体"/>
          <w:color w:val="auto"/>
          <w:sz w:val="22"/>
          <w:highlight w:val="none"/>
          <w:u w:val="single"/>
        </w:rPr>
        <w:t>（中型企业、小型企业、微型企业）</w:t>
      </w:r>
      <w:r>
        <w:rPr>
          <w:rFonts w:ascii="宋体" w:hAnsi="宋体"/>
          <w:color w:val="auto"/>
          <w:sz w:val="22"/>
          <w:highlight w:val="none"/>
        </w:rPr>
        <w:t>；</w:t>
      </w:r>
    </w:p>
    <w:p w14:paraId="45A6CDF6">
      <w:pPr>
        <w:pStyle w:val="67"/>
        <w:tabs>
          <w:tab w:val="left" w:pos="1243"/>
          <w:tab w:val="left" w:pos="1806"/>
          <w:tab w:val="left" w:pos="5005"/>
          <w:tab w:val="left" w:pos="7213"/>
        </w:tabs>
        <w:spacing w:line="480" w:lineRule="exact"/>
        <w:ind w:right="258" w:firstLine="440"/>
        <w:rPr>
          <w:rFonts w:ascii="宋体" w:hAnsi="宋体"/>
          <w:color w:val="auto"/>
          <w:sz w:val="22"/>
          <w:highlight w:val="none"/>
        </w:rPr>
      </w:pPr>
      <w:r>
        <w:rPr>
          <w:rFonts w:hint="eastAsia" w:ascii="宋体" w:hAnsi="宋体"/>
          <w:color w:val="auto"/>
          <w:sz w:val="22"/>
          <w:highlight w:val="none"/>
        </w:rPr>
        <w:t>2</w:t>
      </w:r>
      <w:r>
        <w:rPr>
          <w:rFonts w:ascii="宋体" w:hAnsi="宋体"/>
          <w:color w:val="auto"/>
          <w:sz w:val="22"/>
          <w:highlight w:val="none"/>
        </w:rPr>
        <w:t>.</w:t>
      </w:r>
      <w:r>
        <w:rPr>
          <w:rFonts w:ascii="宋体" w:hAnsi="宋体"/>
          <w:color w:val="auto"/>
          <w:sz w:val="22"/>
          <w:highlight w:val="none"/>
          <w:u w:val="single"/>
        </w:rPr>
        <w:t>（标的名称）</w:t>
      </w:r>
      <w:r>
        <w:rPr>
          <w:rFonts w:ascii="宋体" w:hAnsi="宋体"/>
          <w:color w:val="auto"/>
          <w:sz w:val="22"/>
          <w:highlight w:val="none"/>
        </w:rPr>
        <w:t>，属于</w:t>
      </w:r>
      <w:r>
        <w:rPr>
          <w:rFonts w:ascii="宋体" w:hAnsi="宋体"/>
          <w:color w:val="auto"/>
          <w:sz w:val="22"/>
          <w:highlight w:val="none"/>
          <w:u w:val="single"/>
        </w:rPr>
        <w:t>（采购文件中明确的所属行业）</w:t>
      </w:r>
      <w:r>
        <w:rPr>
          <w:rFonts w:ascii="宋体" w:hAnsi="宋体"/>
          <w:color w:val="auto"/>
          <w:sz w:val="22"/>
          <w:highlight w:val="none"/>
        </w:rPr>
        <w:t>；承建（承接）企业为</w:t>
      </w:r>
      <w:r>
        <w:rPr>
          <w:rFonts w:ascii="宋体" w:hAnsi="宋体"/>
          <w:color w:val="auto"/>
          <w:sz w:val="22"/>
          <w:highlight w:val="none"/>
          <w:u w:val="single"/>
        </w:rPr>
        <w:t>（企业名称）</w:t>
      </w:r>
      <w:r>
        <w:rPr>
          <w:rFonts w:ascii="宋体" w:hAnsi="宋体"/>
          <w:color w:val="auto"/>
          <w:sz w:val="22"/>
          <w:highlight w:val="none"/>
        </w:rPr>
        <w:t>，从业人员</w:t>
      </w:r>
      <w:r>
        <w:rPr>
          <w:rFonts w:ascii="宋体" w:hAnsi="宋体"/>
          <w:color w:val="auto"/>
          <w:sz w:val="22"/>
          <w:highlight w:val="none"/>
          <w:u w:val="single"/>
        </w:rPr>
        <w:t xml:space="preserve"> </w:t>
      </w:r>
      <w:r>
        <w:rPr>
          <w:rFonts w:ascii="宋体" w:hAnsi="宋体"/>
          <w:color w:val="auto"/>
          <w:sz w:val="22"/>
          <w:highlight w:val="none"/>
          <w:u w:val="single"/>
        </w:rPr>
        <w:tab/>
      </w:r>
      <w:r>
        <w:rPr>
          <w:rFonts w:ascii="宋体" w:hAnsi="宋体"/>
          <w:color w:val="auto"/>
          <w:sz w:val="22"/>
          <w:highlight w:val="none"/>
        </w:rPr>
        <w:t>人，营业收入为</w:t>
      </w:r>
      <w:r>
        <w:rPr>
          <w:rFonts w:ascii="宋体" w:hAnsi="宋体"/>
          <w:color w:val="auto"/>
          <w:sz w:val="22"/>
          <w:highlight w:val="none"/>
          <w:u w:val="single"/>
        </w:rPr>
        <w:t xml:space="preserve"> </w:t>
      </w:r>
      <w:r>
        <w:rPr>
          <w:rFonts w:hint="eastAsia" w:ascii="宋体" w:hAnsi="宋体"/>
          <w:color w:val="auto"/>
          <w:sz w:val="22"/>
          <w:highlight w:val="none"/>
          <w:u w:val="single"/>
        </w:rPr>
        <w:t xml:space="preserve">  </w:t>
      </w:r>
      <w:r>
        <w:rPr>
          <w:rFonts w:ascii="宋体" w:hAnsi="宋体"/>
          <w:color w:val="auto"/>
          <w:sz w:val="22"/>
          <w:highlight w:val="none"/>
        </w:rPr>
        <w:t>万元，资产总额为</w:t>
      </w:r>
      <w:r>
        <w:rPr>
          <w:rFonts w:ascii="宋体" w:hAnsi="宋体"/>
          <w:color w:val="auto"/>
          <w:sz w:val="22"/>
          <w:highlight w:val="none"/>
          <w:u w:val="single"/>
        </w:rPr>
        <w:t xml:space="preserve">    </w:t>
      </w:r>
      <w:r>
        <w:rPr>
          <w:rFonts w:ascii="宋体" w:hAnsi="宋体"/>
          <w:color w:val="auto"/>
          <w:sz w:val="22"/>
          <w:highlight w:val="none"/>
        </w:rPr>
        <w:t>万元，属于</w:t>
      </w:r>
      <w:r>
        <w:rPr>
          <w:rFonts w:ascii="宋体" w:hAnsi="宋体"/>
          <w:color w:val="auto"/>
          <w:sz w:val="22"/>
          <w:highlight w:val="none"/>
          <w:u w:val="single"/>
        </w:rPr>
        <w:t>（中型企业、小型企业、微型企业）</w:t>
      </w:r>
      <w:r>
        <w:rPr>
          <w:rFonts w:ascii="宋体" w:hAnsi="宋体"/>
          <w:color w:val="auto"/>
          <w:sz w:val="22"/>
          <w:highlight w:val="none"/>
        </w:rPr>
        <w:t>；</w:t>
      </w:r>
    </w:p>
    <w:p w14:paraId="7761104E">
      <w:pPr>
        <w:pStyle w:val="3"/>
        <w:spacing w:before="11" w:line="480" w:lineRule="exact"/>
        <w:ind w:left="860"/>
        <w:rPr>
          <w:rFonts w:ascii="宋体" w:hAnsi="宋体"/>
          <w:color w:val="auto"/>
          <w:sz w:val="22"/>
          <w:szCs w:val="22"/>
          <w:highlight w:val="none"/>
        </w:rPr>
      </w:pPr>
      <w:r>
        <w:rPr>
          <w:rFonts w:ascii="宋体" w:hAnsi="宋体"/>
          <w:color w:val="auto"/>
          <w:sz w:val="22"/>
          <w:szCs w:val="22"/>
          <w:highlight w:val="none"/>
        </w:rPr>
        <w:t>……</w:t>
      </w:r>
    </w:p>
    <w:p w14:paraId="5B74F2B3">
      <w:pPr>
        <w:pStyle w:val="3"/>
        <w:spacing w:before="108" w:line="480" w:lineRule="exact"/>
        <w:ind w:right="417" w:firstLine="645"/>
        <w:rPr>
          <w:rFonts w:ascii="宋体" w:hAnsi="宋体"/>
          <w:color w:val="auto"/>
          <w:sz w:val="22"/>
          <w:szCs w:val="22"/>
          <w:highlight w:val="none"/>
        </w:rPr>
      </w:pPr>
      <w:r>
        <w:rPr>
          <w:rFonts w:ascii="宋体" w:hAnsi="宋体"/>
          <w:color w:val="auto"/>
          <w:sz w:val="22"/>
          <w:szCs w:val="22"/>
          <w:highlight w:val="none"/>
        </w:rPr>
        <w:t>以上企业，不属于大企业的分支机构，不存在控股股东为大企业的情形，也不存在与大企业的负责人为同一人的情形。</w:t>
      </w:r>
    </w:p>
    <w:p w14:paraId="1B9FE9C9">
      <w:pPr>
        <w:pStyle w:val="3"/>
        <w:spacing w:line="480" w:lineRule="exact"/>
        <w:ind w:right="375" w:firstLine="860"/>
        <w:rPr>
          <w:rFonts w:ascii="宋体" w:hAnsi="宋体"/>
          <w:color w:val="auto"/>
          <w:sz w:val="22"/>
          <w:szCs w:val="22"/>
          <w:highlight w:val="none"/>
        </w:rPr>
      </w:pPr>
      <w:r>
        <w:rPr>
          <w:rFonts w:ascii="宋体" w:hAnsi="宋体"/>
          <w:color w:val="auto"/>
          <w:sz w:val="22"/>
          <w:szCs w:val="22"/>
          <w:highlight w:val="none"/>
        </w:rPr>
        <w:t>本企业对上述声明内容的真实性负责。如有虚假，将依法承担相应责任。</w:t>
      </w:r>
    </w:p>
    <w:p w14:paraId="3CD76481">
      <w:pPr>
        <w:pStyle w:val="3"/>
        <w:spacing w:before="29" w:line="480" w:lineRule="exact"/>
        <w:ind w:left="4060" w:right="2166"/>
        <w:rPr>
          <w:rFonts w:ascii="宋体" w:hAnsi="宋体"/>
          <w:color w:val="auto"/>
          <w:sz w:val="22"/>
          <w:szCs w:val="22"/>
          <w:highlight w:val="none"/>
        </w:rPr>
      </w:pPr>
    </w:p>
    <w:p w14:paraId="2237C498">
      <w:pPr>
        <w:pStyle w:val="3"/>
        <w:spacing w:before="29" w:line="480" w:lineRule="exact"/>
        <w:ind w:left="4060" w:right="2166"/>
        <w:rPr>
          <w:rFonts w:ascii="宋体" w:hAnsi="宋体"/>
          <w:color w:val="auto"/>
          <w:sz w:val="22"/>
          <w:szCs w:val="22"/>
          <w:highlight w:val="none"/>
        </w:rPr>
      </w:pPr>
      <w:r>
        <w:rPr>
          <w:rFonts w:ascii="宋体" w:hAnsi="宋体"/>
          <w:color w:val="auto"/>
          <w:sz w:val="22"/>
          <w:szCs w:val="22"/>
          <w:highlight w:val="none"/>
        </w:rPr>
        <w:t>企业名称（盖章）：</w:t>
      </w:r>
    </w:p>
    <w:p w14:paraId="548C9641">
      <w:pPr>
        <w:pStyle w:val="3"/>
        <w:spacing w:before="29" w:line="480" w:lineRule="exact"/>
        <w:ind w:left="4060" w:right="2166"/>
        <w:rPr>
          <w:rFonts w:ascii="宋体" w:hAnsi="宋体"/>
          <w:color w:val="auto"/>
          <w:sz w:val="22"/>
          <w:szCs w:val="22"/>
          <w:highlight w:val="none"/>
        </w:rPr>
      </w:pPr>
      <w:r>
        <w:rPr>
          <w:rFonts w:ascii="宋体" w:hAnsi="宋体"/>
          <w:color w:val="auto"/>
          <w:sz w:val="22"/>
          <w:szCs w:val="22"/>
          <w:highlight w:val="none"/>
        </w:rPr>
        <w:t>日期：</w:t>
      </w:r>
    </w:p>
    <w:p w14:paraId="6381E09C">
      <w:pPr>
        <w:pStyle w:val="34"/>
        <w:shd w:val="clear" w:color="auto" w:fill="FFFFFF"/>
        <w:spacing w:before="0" w:after="240" w:line="480" w:lineRule="exact"/>
        <w:rPr>
          <w:rFonts w:ascii="Arial" w:hAnsi="Arial" w:cs="Arial"/>
          <w:color w:val="auto"/>
          <w:sz w:val="22"/>
          <w:szCs w:val="22"/>
          <w:highlight w:val="none"/>
        </w:rPr>
      </w:pPr>
    </w:p>
    <w:p w14:paraId="162A7A8A">
      <w:pPr>
        <w:pStyle w:val="34"/>
        <w:shd w:val="clear" w:color="auto" w:fill="FFFFFF"/>
        <w:spacing w:before="0" w:after="240" w:line="480" w:lineRule="exact"/>
        <w:rPr>
          <w:rFonts w:ascii="Arial" w:hAnsi="Arial" w:cs="Arial"/>
          <w:color w:val="auto"/>
          <w:szCs w:val="21"/>
          <w:highlight w:val="none"/>
        </w:rPr>
      </w:pPr>
    </w:p>
    <w:p w14:paraId="6A669BC3">
      <w:pPr>
        <w:pStyle w:val="34"/>
        <w:shd w:val="clear" w:color="auto" w:fill="FFFFFF"/>
        <w:spacing w:before="0" w:after="240" w:line="480" w:lineRule="exact"/>
        <w:rPr>
          <w:rFonts w:ascii="Arial" w:hAnsi="Arial" w:cs="Arial"/>
          <w:color w:val="auto"/>
          <w:szCs w:val="21"/>
          <w:highlight w:val="none"/>
        </w:rPr>
      </w:pPr>
    </w:p>
    <w:p w14:paraId="45115959">
      <w:pPr>
        <w:pStyle w:val="34"/>
        <w:shd w:val="clear" w:color="auto" w:fill="FFFFFF"/>
        <w:spacing w:before="0" w:after="240" w:line="480" w:lineRule="exact"/>
        <w:rPr>
          <w:rFonts w:ascii="Arial" w:hAnsi="Arial" w:cs="Arial"/>
          <w:color w:val="auto"/>
          <w:szCs w:val="21"/>
          <w:highlight w:val="none"/>
        </w:rPr>
      </w:pPr>
    </w:p>
    <w:p w14:paraId="3A734F4E">
      <w:pPr>
        <w:spacing w:line="440" w:lineRule="exact"/>
        <w:rPr>
          <w:rFonts w:hint="eastAsia" w:ascii="宋体" w:hAnsi="宋体"/>
          <w:color w:val="auto"/>
          <w:highlight w:val="none"/>
        </w:rPr>
      </w:pPr>
      <w:r>
        <w:rPr>
          <w:rFonts w:hint="eastAsia" w:ascii="宋体" w:hAnsi="宋体"/>
          <w:color w:val="auto"/>
          <w:highlight w:val="none"/>
        </w:rPr>
        <w:t>说明：</w:t>
      </w:r>
    </w:p>
    <w:p w14:paraId="59CE3C02">
      <w:pPr>
        <w:spacing w:line="440" w:lineRule="exact"/>
        <w:rPr>
          <w:rFonts w:ascii="宋体" w:hAnsi="宋体"/>
          <w:color w:val="auto"/>
          <w:highlight w:val="none"/>
        </w:rPr>
      </w:pPr>
      <w:r>
        <w:rPr>
          <w:rFonts w:hint="eastAsia" w:ascii="宋体" w:hAnsi="宋体"/>
          <w:color w:val="auto"/>
          <w:highlight w:val="none"/>
        </w:rPr>
        <w:t>从业人员、营业收入、资产总额填报上一年度数据，无上一年度数据的新成立企业可不填报。</w:t>
      </w:r>
    </w:p>
    <w:p w14:paraId="7882FFC8">
      <w:pPr>
        <w:spacing w:line="440" w:lineRule="exact"/>
        <w:rPr>
          <w:rFonts w:hint="eastAsia" w:ascii="宋体" w:hAnsi="宋体"/>
          <w:color w:val="auto"/>
          <w:kern w:val="0"/>
          <w:sz w:val="22"/>
          <w:highlight w:val="none"/>
        </w:rPr>
      </w:pPr>
    </w:p>
    <w:p w14:paraId="77EEFE3D">
      <w:pPr>
        <w:spacing w:line="440" w:lineRule="exact"/>
        <w:rPr>
          <w:rFonts w:hint="eastAsia" w:ascii="宋体" w:hAnsi="宋体"/>
          <w:color w:val="auto"/>
          <w:kern w:val="0"/>
          <w:sz w:val="22"/>
          <w:highlight w:val="none"/>
        </w:rPr>
      </w:pPr>
    </w:p>
    <w:p w14:paraId="52FBF86A">
      <w:pPr>
        <w:spacing w:line="440" w:lineRule="exact"/>
        <w:rPr>
          <w:rFonts w:ascii="宋体" w:hAnsi="宋体"/>
          <w:color w:val="auto"/>
          <w:kern w:val="0"/>
          <w:sz w:val="22"/>
          <w:highlight w:val="none"/>
        </w:rPr>
      </w:pPr>
      <w:r>
        <w:rPr>
          <w:rFonts w:hint="eastAsia" w:ascii="宋体" w:hAnsi="宋体"/>
          <w:color w:val="auto"/>
          <w:kern w:val="0"/>
          <w:sz w:val="22"/>
          <w:highlight w:val="none"/>
        </w:rPr>
        <w:t>附件2：</w:t>
      </w:r>
    </w:p>
    <w:p w14:paraId="52C80016">
      <w:pPr>
        <w:spacing w:line="380" w:lineRule="exact"/>
        <w:jc w:val="center"/>
        <w:rPr>
          <w:rFonts w:ascii="宋体" w:hAnsi="宋体" w:cs="宋体"/>
          <w:b/>
          <w:color w:val="auto"/>
          <w:sz w:val="24"/>
          <w:highlight w:val="none"/>
        </w:rPr>
      </w:pPr>
      <w:r>
        <w:rPr>
          <w:rFonts w:hint="eastAsia" w:ascii="宋体" w:hAnsi="宋体" w:cs="宋体"/>
          <w:b/>
          <w:color w:val="auto"/>
          <w:sz w:val="24"/>
          <w:highlight w:val="none"/>
        </w:rPr>
        <w:t>残疾人福利性单位声明函</w:t>
      </w:r>
    </w:p>
    <w:p w14:paraId="7CDA5729">
      <w:pPr>
        <w:spacing w:line="588" w:lineRule="exact"/>
        <w:rPr>
          <w:rFonts w:ascii="新宋体" w:hAnsi="新宋体" w:eastAsia="新宋体"/>
          <w:b/>
          <w:color w:val="auto"/>
          <w:spacing w:val="6"/>
          <w:sz w:val="30"/>
          <w:szCs w:val="30"/>
          <w:highlight w:val="none"/>
        </w:rPr>
      </w:pPr>
    </w:p>
    <w:p w14:paraId="5839D5F8">
      <w:pPr>
        <w:spacing w:line="588"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本单位郑重声明，根据《财政部民政部中国残疾人联合会关于促进残疾人就业政府采购政策的通知》（财库〔2017〕141号）的规定，本单位为符合条件的残疾人福利性单位，且本单位参加</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单位的</w:t>
      </w:r>
      <w:r>
        <w:rPr>
          <w:rFonts w:hint="eastAsia" w:ascii="宋体" w:hAnsi="宋体" w:cs="宋体"/>
          <w:color w:val="auto"/>
          <w:kern w:val="0"/>
          <w:sz w:val="22"/>
          <w:szCs w:val="22"/>
          <w:highlight w:val="none"/>
          <w:u w:val="single"/>
        </w:rPr>
        <w:t xml:space="preserve">      </w:t>
      </w:r>
      <w:r>
        <w:rPr>
          <w:rFonts w:hint="eastAsia" w:ascii="宋体" w:hAnsi="宋体" w:cs="宋体"/>
          <w:color w:val="auto"/>
          <w:kern w:val="0"/>
          <w:sz w:val="22"/>
          <w:szCs w:val="22"/>
          <w:highlight w:val="none"/>
        </w:rPr>
        <w:t>项目（编号：</w:t>
      </w:r>
      <w:r>
        <w:rPr>
          <w:rFonts w:ascii="宋体" w:hAnsi="宋体"/>
          <w:color w:val="auto"/>
          <w:highlight w:val="none"/>
          <w:u w:val="single"/>
        </w:rPr>
        <w:t xml:space="preserve"> </w:t>
      </w:r>
      <w:r>
        <w:rPr>
          <w:rFonts w:ascii="宋体" w:hAnsi="宋体"/>
          <w:color w:val="auto"/>
          <w:highlight w:val="none"/>
          <w:u w:val="single"/>
        </w:rPr>
        <w:tab/>
      </w:r>
      <w:r>
        <w:rPr>
          <w:rFonts w:hint="eastAsia" w:ascii="宋体" w:hAnsi="宋体"/>
          <w:color w:val="auto"/>
          <w:highlight w:val="none"/>
          <w:u w:val="single"/>
        </w:rPr>
        <w:t xml:space="preserve">     </w:t>
      </w:r>
      <w:r>
        <w:rPr>
          <w:rFonts w:hint="eastAsia" w:ascii="宋体" w:hAnsi="宋体" w:cs="宋体"/>
          <w:color w:val="auto"/>
          <w:kern w:val="0"/>
          <w:sz w:val="22"/>
          <w:szCs w:val="22"/>
          <w:highlight w:val="none"/>
        </w:rPr>
        <w:t>）采购活动提供本单位制造的货物，或者提供其他残疾人福利性单位制造的货物（不包括使用非残疾人福利性单位注册商标的货物）。</w:t>
      </w:r>
    </w:p>
    <w:p w14:paraId="401FCFB9">
      <w:pPr>
        <w:spacing w:line="588"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本单位对上述声明的真实性负责。如有虚假，将依法承担相应责任。</w:t>
      </w:r>
    </w:p>
    <w:p w14:paraId="7204C617">
      <w:pPr>
        <w:spacing w:line="588" w:lineRule="exact"/>
        <w:ind w:firstLine="440" w:firstLineChars="200"/>
        <w:rPr>
          <w:rFonts w:ascii="宋体" w:hAnsi="宋体" w:cs="宋体"/>
          <w:color w:val="auto"/>
          <w:kern w:val="0"/>
          <w:sz w:val="22"/>
          <w:szCs w:val="22"/>
          <w:highlight w:val="none"/>
        </w:rPr>
      </w:pPr>
    </w:p>
    <w:p w14:paraId="11DC5B69">
      <w:pPr>
        <w:spacing w:line="588" w:lineRule="exact"/>
        <w:ind w:firstLine="440" w:firstLineChars="200"/>
        <w:rPr>
          <w:rFonts w:ascii="宋体" w:hAnsi="宋体" w:cs="宋体"/>
          <w:color w:val="auto"/>
          <w:kern w:val="0"/>
          <w:sz w:val="22"/>
          <w:szCs w:val="22"/>
          <w:highlight w:val="none"/>
        </w:rPr>
      </w:pPr>
    </w:p>
    <w:p w14:paraId="3F652329">
      <w:pPr>
        <w:tabs>
          <w:tab w:val="left" w:pos="4860"/>
        </w:tabs>
        <w:spacing w:line="588" w:lineRule="exact"/>
        <w:ind w:right="1560" w:firstLine="440" w:firstLineChars="200"/>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供应商名称（盖章）：</w:t>
      </w:r>
    </w:p>
    <w:p w14:paraId="0EBB37F5">
      <w:pPr>
        <w:widowControl/>
        <w:adjustRightInd w:val="0"/>
        <w:snapToGrid w:val="0"/>
        <w:spacing w:line="400" w:lineRule="exact"/>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 xml:space="preserve">                                    </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 xml:space="preserve">        日  期：  </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 xml:space="preserve">  年 </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 xml:space="preserve"> 月 </w:t>
      </w:r>
      <w:r>
        <w:rPr>
          <w:rFonts w:ascii="宋体" w:hAnsi="宋体" w:cs="宋体"/>
          <w:color w:val="auto"/>
          <w:kern w:val="0"/>
          <w:sz w:val="22"/>
          <w:szCs w:val="22"/>
          <w:highlight w:val="none"/>
        </w:rPr>
        <w:t xml:space="preserve">   </w:t>
      </w:r>
      <w:r>
        <w:rPr>
          <w:rFonts w:hint="eastAsia" w:ascii="宋体" w:hAnsi="宋体" w:cs="宋体"/>
          <w:color w:val="auto"/>
          <w:kern w:val="0"/>
          <w:sz w:val="22"/>
          <w:szCs w:val="22"/>
          <w:highlight w:val="none"/>
        </w:rPr>
        <w:t xml:space="preserve"> 日</w:t>
      </w:r>
    </w:p>
    <w:p w14:paraId="21C0FC28">
      <w:pPr>
        <w:pStyle w:val="3"/>
        <w:rPr>
          <w:color w:val="auto"/>
          <w:highlight w:val="none"/>
        </w:rPr>
      </w:pPr>
    </w:p>
    <w:p w14:paraId="1B36BEA4">
      <w:pPr>
        <w:pStyle w:val="3"/>
        <w:rPr>
          <w:rFonts w:hint="eastAsia"/>
          <w:color w:val="auto"/>
          <w:highlight w:val="none"/>
        </w:rPr>
      </w:pPr>
    </w:p>
    <w:p w14:paraId="14D67413">
      <w:pPr>
        <w:spacing w:line="588" w:lineRule="exact"/>
        <w:rPr>
          <w:rFonts w:ascii="宋体" w:hAnsi="宋体" w:cs="宋体"/>
          <w:color w:val="auto"/>
          <w:kern w:val="0"/>
          <w:sz w:val="22"/>
          <w:szCs w:val="22"/>
          <w:highlight w:val="none"/>
        </w:rPr>
      </w:pPr>
      <w:r>
        <w:rPr>
          <w:rFonts w:hint="eastAsia" w:ascii="宋体" w:hAnsi="宋体" w:cs="宋体"/>
          <w:color w:val="auto"/>
          <w:kern w:val="0"/>
          <w:sz w:val="22"/>
          <w:szCs w:val="22"/>
          <w:highlight w:val="none"/>
        </w:rPr>
        <w:t>备注说明：</w:t>
      </w:r>
    </w:p>
    <w:p w14:paraId="7E22AEF4">
      <w:pPr>
        <w:spacing w:line="588" w:lineRule="exact"/>
        <w:ind w:firstLine="440" w:firstLineChars="200"/>
        <w:rPr>
          <w:rFonts w:ascii="宋体" w:hAnsi="宋体" w:cs="宋体"/>
          <w:color w:val="auto"/>
          <w:kern w:val="0"/>
          <w:sz w:val="22"/>
          <w:szCs w:val="22"/>
          <w:highlight w:val="none"/>
        </w:rPr>
      </w:pPr>
      <w:r>
        <w:rPr>
          <w:rFonts w:hint="eastAsia" w:ascii="宋体" w:hAnsi="宋体" w:cs="宋体"/>
          <w:color w:val="auto"/>
          <w:kern w:val="0"/>
          <w:sz w:val="22"/>
          <w:szCs w:val="22"/>
          <w:highlight w:val="none"/>
        </w:rPr>
        <w:t>1、如中标，将在中标公告中将此残疾人福利性单位声明函予以公示，接受社会监督；</w:t>
      </w:r>
    </w:p>
    <w:p w14:paraId="508C0AB9">
      <w:pPr>
        <w:spacing w:line="588" w:lineRule="exact"/>
        <w:ind w:firstLine="440" w:firstLineChars="200"/>
        <w:rPr>
          <w:rFonts w:ascii="宋体" w:hAnsi="宋体" w:cs="宋体"/>
          <w:color w:val="auto"/>
          <w:kern w:val="0"/>
          <w:sz w:val="22"/>
          <w:szCs w:val="22"/>
          <w:highlight w:val="none"/>
        </w:rPr>
      </w:pPr>
      <w:r>
        <w:rPr>
          <w:rFonts w:ascii="宋体" w:hAnsi="宋体" w:cs="宋体"/>
          <w:color w:val="auto"/>
          <w:kern w:val="0"/>
          <w:sz w:val="22"/>
          <w:szCs w:val="22"/>
          <w:highlight w:val="none"/>
        </w:rPr>
        <w:t>2</w:t>
      </w:r>
      <w:r>
        <w:rPr>
          <w:rFonts w:hint="eastAsia" w:ascii="宋体" w:hAnsi="宋体" w:cs="宋体"/>
          <w:color w:val="auto"/>
          <w:kern w:val="0"/>
          <w:sz w:val="22"/>
          <w:szCs w:val="22"/>
          <w:highlight w:val="none"/>
        </w:rPr>
        <w:t>、供应商提供的《残疾人福利性单位声明函》与事实不符的，依照《政府采购法》第七十七条第一款的规定追究法律责任。</w:t>
      </w:r>
    </w:p>
    <w:p w14:paraId="1365B7D1">
      <w:pPr>
        <w:pStyle w:val="3"/>
        <w:rPr>
          <w:color w:val="auto"/>
          <w:highlight w:val="none"/>
        </w:rPr>
      </w:pPr>
    </w:p>
    <w:p w14:paraId="7CAA2327">
      <w:pPr>
        <w:pStyle w:val="3"/>
        <w:rPr>
          <w:color w:val="auto"/>
          <w:highlight w:val="none"/>
        </w:rPr>
      </w:pPr>
    </w:p>
    <w:p w14:paraId="79720592">
      <w:pPr>
        <w:pStyle w:val="3"/>
        <w:rPr>
          <w:rFonts w:hint="eastAsia"/>
          <w:color w:val="auto"/>
          <w:highlight w:val="none"/>
        </w:rPr>
      </w:pPr>
    </w:p>
    <w:p w14:paraId="4A3E5BC5">
      <w:pPr>
        <w:spacing w:line="440" w:lineRule="exact"/>
        <w:ind w:left="708" w:hanging="708" w:hangingChars="294"/>
        <w:jc w:val="center"/>
        <w:rPr>
          <w:rFonts w:hint="eastAsia" w:ascii="宋体" w:hAnsi="宋体" w:cs="宋体"/>
          <w:b/>
          <w:color w:val="auto"/>
          <w:sz w:val="24"/>
          <w:highlight w:val="none"/>
        </w:rPr>
      </w:pPr>
      <w:r>
        <w:rPr>
          <w:rFonts w:ascii="宋体" w:hAnsi="宋体" w:cs="宋体"/>
          <w:b/>
          <w:color w:val="auto"/>
          <w:sz w:val="24"/>
          <w:highlight w:val="none"/>
        </w:rPr>
        <w:br w:type="page"/>
      </w:r>
      <w:r>
        <w:rPr>
          <w:rFonts w:hint="eastAsia" w:ascii="宋体" w:hAnsi="宋体" w:cs="宋体"/>
          <w:b/>
          <w:color w:val="auto"/>
          <w:sz w:val="24"/>
          <w:highlight w:val="none"/>
        </w:rPr>
        <w:t>（2）节能、环保产品优先（强制）采购政策说明</w:t>
      </w:r>
    </w:p>
    <w:p w14:paraId="1F6ADC80">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1、政策依据</w:t>
      </w:r>
    </w:p>
    <w:p w14:paraId="67D5914D">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（一）《国务院办公厅关于建立政府强制采购节能产品制度的通知》(国办发[2007]51号)</w:t>
      </w:r>
    </w:p>
    <w:p w14:paraId="5D6593C3">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（二）财政部、发展改革委发布的《节能产品政府采购实施意见》(财库[2004]185号)</w:t>
      </w:r>
    </w:p>
    <w:p w14:paraId="12C27686">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（三）财政部、原环保总局印发的《环境标志产品政府采购实施的意见》（财库 [2006]90号）</w:t>
      </w:r>
    </w:p>
    <w:p w14:paraId="64D58EE2">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（四）关于调整优化节能产品、环境标志产品政府采购执行机制的通知（财库〔2019〕9号）</w:t>
      </w:r>
    </w:p>
    <w:p w14:paraId="5F03ADC6">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（五）关于印发环境标志产品政府采购品目清单的通知（财库〔2019〕18号）</w:t>
      </w:r>
    </w:p>
    <w:p w14:paraId="31D431CA">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（六）关于印发节能产品政府采购品目清单的通知（财库〔2019〕19号）</w:t>
      </w:r>
    </w:p>
    <w:p w14:paraId="21D6AB82">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（七）市场监管总局关于发布参与实施政府采购节能产品、环境标志产品认证机构名录的公告（2019年第16号）</w:t>
      </w:r>
    </w:p>
    <w:p w14:paraId="717D036A">
      <w:pPr>
        <w:spacing w:line="440" w:lineRule="exact"/>
        <w:rPr>
          <w:rFonts w:ascii="宋体" w:hAnsi="宋体" w:cs="宋体"/>
          <w:color w:val="auto"/>
          <w:sz w:val="22"/>
          <w:szCs w:val="22"/>
          <w:highlight w:val="none"/>
        </w:rPr>
      </w:pPr>
      <w:r>
        <w:rPr>
          <w:rFonts w:hint="eastAsia" w:ascii="宋体" w:hAnsi="宋体" w:cs="宋体"/>
          <w:color w:val="auto"/>
          <w:sz w:val="22"/>
          <w:szCs w:val="22"/>
          <w:highlight w:val="none"/>
        </w:rPr>
        <w:t>2、供应商投标货物属于节能、环保优先（强制）采购范围的，须提供相关证明材料。</w:t>
      </w:r>
    </w:p>
    <w:p w14:paraId="2E2F753A">
      <w:pPr>
        <w:pStyle w:val="3"/>
        <w:rPr>
          <w:color w:val="auto"/>
          <w:highlight w:val="none"/>
        </w:rPr>
      </w:pPr>
    </w:p>
    <w:p w14:paraId="187C682D">
      <w:pPr>
        <w:spacing w:line="380" w:lineRule="exact"/>
        <w:jc w:val="left"/>
        <w:rPr>
          <w:rFonts w:ascii="宋体" w:hAnsi="宋体"/>
          <w:color w:val="auto"/>
          <w:kern w:val="0"/>
          <w:sz w:val="22"/>
          <w:highlight w:val="none"/>
        </w:rPr>
      </w:pPr>
      <w:r>
        <w:rPr>
          <w:color w:val="auto"/>
          <w:highlight w:val="none"/>
        </w:rPr>
        <w:br w:type="page"/>
      </w:r>
      <w:r>
        <w:rPr>
          <w:rFonts w:hint="eastAsia" w:ascii="宋体" w:hAnsi="宋体"/>
          <w:color w:val="auto"/>
          <w:kern w:val="0"/>
          <w:sz w:val="22"/>
          <w:highlight w:val="none"/>
        </w:rPr>
        <w:t>附件2：</w:t>
      </w:r>
    </w:p>
    <w:p w14:paraId="4509C4F5">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节能环保产品声明函</w:t>
      </w:r>
    </w:p>
    <w:p w14:paraId="0E72894F">
      <w:pPr>
        <w:autoSpaceDE w:val="0"/>
        <w:autoSpaceDN w:val="0"/>
        <w:adjustRightInd w:val="0"/>
        <w:spacing w:line="460" w:lineRule="atLeast"/>
        <w:jc w:val="center"/>
        <w:rPr>
          <w:rFonts w:ascii="宋体" w:hAnsi="宋体"/>
          <w:color w:val="auto"/>
          <w:kern w:val="0"/>
          <w:sz w:val="36"/>
          <w:szCs w:val="20"/>
          <w:highlight w:val="none"/>
          <w:lang w:val="zh-CN"/>
        </w:rPr>
      </w:pPr>
      <w:r>
        <w:rPr>
          <w:rFonts w:hint="eastAsia" w:ascii="宋体" w:hAnsi="宋体"/>
          <w:color w:val="auto"/>
          <w:kern w:val="0"/>
          <w:sz w:val="22"/>
          <w:highlight w:val="none"/>
        </w:rPr>
        <w:t>（如有则提供）</w:t>
      </w:r>
    </w:p>
    <w:p w14:paraId="09B48D63">
      <w:pPr>
        <w:spacing w:line="460" w:lineRule="atLeast"/>
        <w:ind w:firstLine="440" w:firstLineChars="200"/>
        <w:rPr>
          <w:rFonts w:ascii="宋体" w:hAnsi="宋体"/>
          <w:color w:val="auto"/>
          <w:kern w:val="0"/>
          <w:sz w:val="22"/>
          <w:highlight w:val="none"/>
        </w:rPr>
      </w:pPr>
      <w:r>
        <w:rPr>
          <w:rFonts w:hint="eastAsia" w:ascii="宋体" w:hAnsi="宋体"/>
          <w:color w:val="auto"/>
          <w:kern w:val="0"/>
          <w:sz w:val="22"/>
          <w:highlight w:val="none"/>
        </w:rPr>
        <w:t>本公司郑重声明，根据《节能产品政府采购实施意见》（财库〔2004〕185号，不含该期清单）、《关于环境标志产品政府采购实施的意见》（财库〔2006〕90号，不含该期清单）、《关于调整优化节能产品、环境标志产品政府采购执行机制的通知》（财库〔</w:t>
      </w:r>
      <w:r>
        <w:rPr>
          <w:rFonts w:ascii="宋体" w:hAnsi="宋体"/>
          <w:color w:val="auto"/>
          <w:kern w:val="0"/>
          <w:sz w:val="22"/>
          <w:highlight w:val="none"/>
        </w:rPr>
        <w:t>2019〕9号）</w:t>
      </w:r>
      <w:r>
        <w:rPr>
          <w:rFonts w:hint="eastAsia" w:ascii="宋体" w:hAnsi="宋体"/>
          <w:color w:val="auto"/>
          <w:kern w:val="0"/>
          <w:sz w:val="22"/>
          <w:highlight w:val="none"/>
        </w:rPr>
        <w:t>、《关于印发节能产品政府采购品目清单的通知》（财库〔</w:t>
      </w:r>
      <w:r>
        <w:rPr>
          <w:rFonts w:ascii="宋体" w:hAnsi="宋体"/>
          <w:color w:val="auto"/>
          <w:kern w:val="0"/>
          <w:sz w:val="22"/>
          <w:highlight w:val="none"/>
        </w:rPr>
        <w:t>2019〕19号）</w:t>
      </w:r>
      <w:r>
        <w:rPr>
          <w:rFonts w:hint="eastAsia" w:ascii="宋体" w:hAnsi="宋体"/>
          <w:color w:val="auto"/>
          <w:kern w:val="0"/>
          <w:sz w:val="22"/>
          <w:highlight w:val="none"/>
        </w:rPr>
        <w:t>、《关于印发环境标志产品政府采购品目清单的通知》（财库〔</w:t>
      </w:r>
      <w:r>
        <w:rPr>
          <w:rFonts w:ascii="宋体" w:hAnsi="宋体"/>
          <w:color w:val="auto"/>
          <w:kern w:val="0"/>
          <w:sz w:val="22"/>
          <w:highlight w:val="none"/>
        </w:rPr>
        <w:t>2019〕18号）</w:t>
      </w:r>
      <w:r>
        <w:rPr>
          <w:rFonts w:hint="eastAsia" w:ascii="宋体" w:hAnsi="宋体"/>
          <w:color w:val="auto"/>
          <w:kern w:val="0"/>
          <w:sz w:val="22"/>
          <w:highlight w:val="none"/>
        </w:rPr>
        <w:t>的规定，本公司声明如下：</w:t>
      </w:r>
    </w:p>
    <w:p w14:paraId="5FE4F1F6">
      <w:pPr>
        <w:spacing w:line="460" w:lineRule="atLeast"/>
        <w:ind w:firstLine="440" w:firstLineChars="200"/>
        <w:rPr>
          <w:rFonts w:ascii="宋体" w:hAnsi="宋体"/>
          <w:color w:val="auto"/>
          <w:kern w:val="0"/>
          <w:sz w:val="22"/>
          <w:highlight w:val="none"/>
        </w:rPr>
      </w:pPr>
      <w:r>
        <w:rPr>
          <w:rFonts w:hint="eastAsia" w:ascii="宋体" w:hAnsi="宋体"/>
          <w:color w:val="auto"/>
          <w:kern w:val="0"/>
          <w:sz w:val="22"/>
          <w:highlight w:val="none"/>
        </w:rPr>
        <w:t>1.本公司参加</w:t>
      </w:r>
      <w:r>
        <w:rPr>
          <w:rFonts w:hint="eastAsia" w:ascii="宋体" w:hAnsi="宋体"/>
          <w:color w:val="auto"/>
          <w:kern w:val="0"/>
          <w:sz w:val="22"/>
          <w:highlight w:val="none"/>
          <w:u w:val="single"/>
        </w:rPr>
        <w:t>（采购项目名称，项目编号）</w:t>
      </w:r>
      <w:r>
        <w:rPr>
          <w:rFonts w:hint="eastAsia" w:ascii="宋体" w:hAnsi="宋体"/>
          <w:color w:val="auto"/>
          <w:kern w:val="0"/>
          <w:sz w:val="22"/>
          <w:highlight w:val="none"/>
        </w:rPr>
        <w:t>的采购活动提供的产品已列入《节能产品政府采购品目清单》。</w:t>
      </w:r>
    </w:p>
    <w:p w14:paraId="0FB697FC">
      <w:pPr>
        <w:spacing w:line="460" w:lineRule="atLeast"/>
        <w:ind w:firstLine="440" w:firstLineChars="200"/>
        <w:rPr>
          <w:rFonts w:ascii="宋体" w:hAnsi="宋体"/>
          <w:color w:val="auto"/>
          <w:kern w:val="0"/>
          <w:sz w:val="22"/>
          <w:highlight w:val="none"/>
        </w:rPr>
      </w:pPr>
      <w:r>
        <w:rPr>
          <w:rFonts w:hint="eastAsia" w:ascii="宋体" w:hAnsi="宋体"/>
          <w:color w:val="auto"/>
          <w:kern w:val="0"/>
          <w:sz w:val="22"/>
          <w:highlight w:val="none"/>
        </w:rPr>
        <w:t>2.本公司参加</w:t>
      </w:r>
      <w:r>
        <w:rPr>
          <w:rFonts w:hint="eastAsia" w:ascii="宋体" w:hAnsi="宋体"/>
          <w:color w:val="auto"/>
          <w:kern w:val="0"/>
          <w:sz w:val="22"/>
          <w:highlight w:val="none"/>
          <w:u w:val="single"/>
        </w:rPr>
        <w:t>（采购项目名称，项目编号）</w:t>
      </w:r>
      <w:r>
        <w:rPr>
          <w:rFonts w:hint="eastAsia" w:ascii="宋体" w:hAnsi="宋体"/>
          <w:color w:val="auto"/>
          <w:kern w:val="0"/>
          <w:sz w:val="22"/>
          <w:highlight w:val="none"/>
        </w:rPr>
        <w:t>的采购活动提供的产品已列入《环境标志产品政府采购品目清单》。</w:t>
      </w:r>
    </w:p>
    <w:p w14:paraId="241CE045">
      <w:pPr>
        <w:spacing w:line="460" w:lineRule="atLeast"/>
        <w:ind w:firstLine="440" w:firstLineChars="200"/>
        <w:rPr>
          <w:rFonts w:ascii="宋体" w:hAnsi="宋体"/>
          <w:color w:val="auto"/>
          <w:kern w:val="0"/>
          <w:sz w:val="22"/>
          <w:highlight w:val="none"/>
        </w:rPr>
      </w:pPr>
      <w:r>
        <w:rPr>
          <w:rFonts w:hint="eastAsia" w:ascii="宋体" w:hAnsi="宋体"/>
          <w:color w:val="auto"/>
          <w:kern w:val="0"/>
          <w:sz w:val="22"/>
          <w:highlight w:val="none"/>
        </w:rPr>
        <w:t>本公司对上述声明的真实性负责。如有虚假，将依法承担相应法律责任。</w:t>
      </w:r>
    </w:p>
    <w:p w14:paraId="7E0425C1">
      <w:pPr>
        <w:spacing w:line="460" w:lineRule="atLeast"/>
        <w:rPr>
          <w:rFonts w:ascii="宋体" w:hAnsi="宋体"/>
          <w:color w:val="auto"/>
          <w:kern w:val="0"/>
          <w:sz w:val="22"/>
          <w:highlight w:val="none"/>
        </w:rPr>
      </w:pPr>
    </w:p>
    <w:p w14:paraId="6740F210">
      <w:pPr>
        <w:pStyle w:val="3"/>
        <w:rPr>
          <w:rFonts w:hint="eastAsia"/>
          <w:color w:val="auto"/>
          <w:highlight w:val="none"/>
        </w:rPr>
      </w:pPr>
    </w:p>
    <w:p w14:paraId="30E1E770">
      <w:pPr>
        <w:autoSpaceDE w:val="0"/>
        <w:autoSpaceDN w:val="0"/>
        <w:adjustRightInd w:val="0"/>
        <w:spacing w:line="460" w:lineRule="atLeast"/>
        <w:rPr>
          <w:rFonts w:ascii="宋体" w:hAnsi="宋体" w:cs="Arial"/>
          <w:color w:val="auto"/>
          <w:kern w:val="0"/>
          <w:sz w:val="22"/>
          <w:szCs w:val="20"/>
          <w:highlight w:val="none"/>
          <w:lang w:val="zh-CN"/>
        </w:rPr>
      </w:pPr>
      <w:r>
        <w:rPr>
          <w:rFonts w:hint="eastAsia" w:ascii="宋体" w:hAnsi="宋体" w:cs="Arial"/>
          <w:color w:val="auto"/>
          <w:kern w:val="0"/>
          <w:sz w:val="22"/>
          <w:szCs w:val="20"/>
          <w:highlight w:val="none"/>
        </w:rPr>
        <w:t>磋商</w:t>
      </w:r>
      <w:r>
        <w:rPr>
          <w:rFonts w:hint="eastAsia" w:ascii="宋体" w:hAnsi="宋体" w:cs="Arial"/>
          <w:color w:val="auto"/>
          <w:kern w:val="0"/>
          <w:sz w:val="22"/>
          <w:szCs w:val="20"/>
          <w:highlight w:val="none"/>
          <w:lang w:val="zh-CN"/>
        </w:rPr>
        <w:t xml:space="preserve">供应商盖章：        </w:t>
      </w:r>
    </w:p>
    <w:p w14:paraId="77B3D6C6">
      <w:pPr>
        <w:spacing w:line="460" w:lineRule="atLeast"/>
        <w:rPr>
          <w:rFonts w:ascii="宋体" w:hAnsi="宋体"/>
          <w:color w:val="auto"/>
          <w:kern w:val="0"/>
          <w:sz w:val="28"/>
          <w:szCs w:val="28"/>
          <w:highlight w:val="none"/>
        </w:rPr>
      </w:pPr>
      <w:r>
        <w:rPr>
          <w:rFonts w:hint="eastAsia" w:ascii="宋体" w:hAnsi="宋体"/>
          <w:color w:val="auto"/>
          <w:kern w:val="0"/>
          <w:sz w:val="22"/>
          <w:highlight w:val="none"/>
        </w:rPr>
        <w:t xml:space="preserve">日 期：                  </w:t>
      </w:r>
    </w:p>
    <w:p w14:paraId="237FEBEB">
      <w:pPr>
        <w:spacing w:line="380" w:lineRule="exact"/>
        <w:jc w:val="left"/>
        <w:rPr>
          <w:rFonts w:ascii="宋体" w:hAnsi="宋体"/>
          <w:color w:val="auto"/>
          <w:kern w:val="0"/>
          <w:sz w:val="22"/>
          <w:highlight w:val="none"/>
        </w:rPr>
      </w:pPr>
      <w:r>
        <w:rPr>
          <w:rFonts w:ascii="宋体" w:hAnsi="宋体"/>
          <w:color w:val="auto"/>
          <w:kern w:val="0"/>
          <w:sz w:val="28"/>
          <w:szCs w:val="28"/>
          <w:highlight w:val="none"/>
        </w:rPr>
        <w:br w:type="page"/>
      </w:r>
      <w:r>
        <w:rPr>
          <w:rFonts w:hint="eastAsia" w:ascii="宋体" w:hAnsi="宋体"/>
          <w:color w:val="auto"/>
          <w:kern w:val="0"/>
          <w:sz w:val="22"/>
          <w:highlight w:val="none"/>
        </w:rPr>
        <w:t>附件</w:t>
      </w:r>
      <w:r>
        <w:rPr>
          <w:rFonts w:ascii="宋体" w:hAnsi="宋体"/>
          <w:color w:val="auto"/>
          <w:kern w:val="0"/>
          <w:sz w:val="22"/>
          <w:highlight w:val="none"/>
        </w:rPr>
        <w:t>2</w:t>
      </w:r>
      <w:r>
        <w:rPr>
          <w:rFonts w:hint="eastAsia" w:ascii="宋体" w:hAnsi="宋体"/>
          <w:color w:val="auto"/>
          <w:kern w:val="0"/>
          <w:sz w:val="22"/>
          <w:highlight w:val="none"/>
        </w:rPr>
        <w:t>：</w:t>
      </w:r>
    </w:p>
    <w:p w14:paraId="2FFA8DC0">
      <w:pPr>
        <w:spacing w:line="360" w:lineRule="auto"/>
        <w:jc w:val="center"/>
        <w:rPr>
          <w:rFonts w:ascii="宋体" w:hAnsi="宋体"/>
          <w:b/>
          <w:bCs/>
          <w:color w:val="auto"/>
          <w:kern w:val="0"/>
          <w:sz w:val="24"/>
          <w:highlight w:val="none"/>
        </w:rPr>
      </w:pPr>
      <w:r>
        <w:rPr>
          <w:rFonts w:hint="eastAsia" w:ascii="宋体" w:hAnsi="宋体"/>
          <w:b/>
          <w:bCs/>
          <w:color w:val="auto"/>
          <w:kern w:val="0"/>
          <w:sz w:val="24"/>
          <w:highlight w:val="none"/>
        </w:rPr>
        <w:t>节能（环保）产品清单</w:t>
      </w:r>
    </w:p>
    <w:p w14:paraId="637C7097">
      <w:pPr>
        <w:autoSpaceDE w:val="0"/>
        <w:autoSpaceDN w:val="0"/>
        <w:adjustRightInd w:val="0"/>
        <w:spacing w:line="460" w:lineRule="atLeast"/>
        <w:jc w:val="center"/>
        <w:rPr>
          <w:rFonts w:ascii="宋体" w:hAnsi="宋体"/>
          <w:color w:val="auto"/>
          <w:kern w:val="0"/>
          <w:sz w:val="22"/>
          <w:highlight w:val="none"/>
        </w:rPr>
      </w:pPr>
      <w:r>
        <w:rPr>
          <w:rFonts w:hint="eastAsia" w:ascii="宋体" w:hAnsi="宋体"/>
          <w:color w:val="auto"/>
          <w:kern w:val="0"/>
          <w:sz w:val="22"/>
          <w:highlight w:val="none"/>
        </w:rPr>
        <w:t>（如有则提供）</w:t>
      </w:r>
    </w:p>
    <w:p w14:paraId="2E6A0D33">
      <w:pPr>
        <w:pStyle w:val="3"/>
        <w:rPr>
          <w:rFonts w:hint="eastAsia"/>
          <w:color w:val="auto"/>
          <w:highlight w:val="none"/>
        </w:rPr>
      </w:pPr>
    </w:p>
    <w:p w14:paraId="035D3A6D">
      <w:pPr>
        <w:rPr>
          <w:rFonts w:ascii="宋体" w:hAnsi="宋体"/>
          <w:color w:val="auto"/>
          <w:kern w:val="0"/>
          <w:sz w:val="22"/>
          <w:highlight w:val="none"/>
        </w:rPr>
      </w:pPr>
      <w:r>
        <w:rPr>
          <w:rFonts w:hint="eastAsia" w:ascii="宋体" w:hAnsi="宋体"/>
          <w:color w:val="auto"/>
          <w:kern w:val="0"/>
          <w:sz w:val="22"/>
          <w:highlight w:val="none"/>
        </w:rPr>
        <w:t>（1）投标产品中已列入《节能产品政府采购品目清单》明细</w:t>
      </w:r>
    </w:p>
    <w:tbl>
      <w:tblPr>
        <w:tblStyle w:val="38"/>
        <w:tblW w:w="959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37"/>
      </w:tblGrid>
      <w:tr w14:paraId="3D518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5DDCE4E5">
            <w:pPr>
              <w:spacing w:line="460" w:lineRule="exact"/>
              <w:jc w:val="center"/>
              <w:rPr>
                <w:rFonts w:ascii="宋体" w:hAnsi="宋体"/>
                <w:color w:val="auto"/>
                <w:kern w:val="0"/>
                <w:sz w:val="22"/>
                <w:szCs w:val="20"/>
                <w:highlight w:val="none"/>
              </w:rPr>
            </w:pPr>
            <w:r>
              <w:rPr>
                <w:rFonts w:hint="eastAsia" w:ascii="宋体" w:hAnsi="宋体"/>
                <w:color w:val="auto"/>
                <w:kern w:val="0"/>
                <w:sz w:val="22"/>
                <w:szCs w:val="20"/>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79D9FF01">
            <w:pPr>
              <w:spacing w:line="460" w:lineRule="exact"/>
              <w:jc w:val="center"/>
              <w:rPr>
                <w:rFonts w:ascii="宋体" w:hAnsi="宋体"/>
                <w:color w:val="auto"/>
                <w:kern w:val="0"/>
                <w:sz w:val="22"/>
                <w:szCs w:val="20"/>
                <w:highlight w:val="none"/>
              </w:rPr>
            </w:pPr>
            <w:r>
              <w:rPr>
                <w:rFonts w:hint="eastAsia" w:ascii="宋体" w:hAnsi="宋体"/>
                <w:color w:val="auto"/>
                <w:kern w:val="0"/>
                <w:sz w:val="22"/>
                <w:szCs w:val="20"/>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49AF10BF">
            <w:pPr>
              <w:spacing w:line="460" w:lineRule="exact"/>
              <w:jc w:val="center"/>
              <w:rPr>
                <w:rFonts w:ascii="宋体" w:hAnsi="宋体"/>
                <w:color w:val="auto"/>
                <w:kern w:val="0"/>
                <w:sz w:val="22"/>
                <w:szCs w:val="20"/>
                <w:highlight w:val="none"/>
              </w:rPr>
            </w:pPr>
            <w:r>
              <w:rPr>
                <w:rFonts w:hint="eastAsia" w:ascii="宋体" w:hAnsi="宋体"/>
                <w:color w:val="auto"/>
                <w:kern w:val="0"/>
                <w:sz w:val="22"/>
                <w:szCs w:val="20"/>
                <w:highlight w:val="none"/>
              </w:rPr>
              <w:t>产品名称、</w:t>
            </w:r>
          </w:p>
          <w:p w14:paraId="63E5318D">
            <w:pPr>
              <w:spacing w:line="460" w:lineRule="exact"/>
              <w:jc w:val="center"/>
              <w:rPr>
                <w:rFonts w:ascii="宋体" w:hAnsi="宋体"/>
                <w:color w:val="auto"/>
                <w:kern w:val="0"/>
                <w:sz w:val="22"/>
                <w:szCs w:val="20"/>
                <w:highlight w:val="none"/>
              </w:rPr>
            </w:pPr>
            <w:r>
              <w:rPr>
                <w:rFonts w:hint="eastAsia" w:ascii="宋体" w:hAnsi="宋体"/>
                <w:color w:val="auto"/>
                <w:kern w:val="0"/>
                <w:sz w:val="22"/>
                <w:szCs w:val="20"/>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2F9B2BDC">
            <w:pPr>
              <w:spacing w:line="460" w:lineRule="exact"/>
              <w:jc w:val="center"/>
              <w:rPr>
                <w:rFonts w:ascii="宋体" w:hAnsi="宋体"/>
                <w:color w:val="auto"/>
                <w:kern w:val="0"/>
                <w:sz w:val="22"/>
                <w:szCs w:val="20"/>
                <w:highlight w:val="none"/>
              </w:rPr>
            </w:pPr>
            <w:r>
              <w:rPr>
                <w:rFonts w:hint="eastAsia" w:ascii="宋体" w:hAnsi="宋体"/>
                <w:color w:val="auto"/>
                <w:kern w:val="0"/>
                <w:sz w:val="22"/>
                <w:szCs w:val="20"/>
                <w:highlight w:val="none"/>
              </w:rPr>
              <w:t>节字标志认证证书号</w:t>
            </w:r>
          </w:p>
        </w:tc>
        <w:tc>
          <w:tcPr>
            <w:tcW w:w="1559" w:type="dxa"/>
            <w:tcBorders>
              <w:top w:val="single" w:color="auto" w:sz="4" w:space="0"/>
              <w:left w:val="single" w:color="auto" w:sz="4" w:space="0"/>
              <w:bottom w:val="single" w:color="auto" w:sz="4" w:space="0"/>
              <w:right w:val="single" w:color="auto" w:sz="4" w:space="0"/>
            </w:tcBorders>
            <w:vAlign w:val="center"/>
          </w:tcPr>
          <w:p w14:paraId="037D2A6E">
            <w:pPr>
              <w:spacing w:line="460" w:lineRule="exact"/>
              <w:jc w:val="center"/>
              <w:rPr>
                <w:rFonts w:ascii="宋体" w:hAnsi="宋体"/>
                <w:color w:val="auto"/>
                <w:kern w:val="0"/>
                <w:sz w:val="22"/>
                <w:szCs w:val="20"/>
                <w:highlight w:val="none"/>
              </w:rPr>
            </w:pPr>
            <w:r>
              <w:rPr>
                <w:rFonts w:hint="eastAsia" w:ascii="宋体" w:hAnsi="宋体"/>
                <w:color w:val="auto"/>
                <w:kern w:val="0"/>
                <w:sz w:val="22"/>
                <w:szCs w:val="20"/>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2E1584DA">
            <w:pPr>
              <w:spacing w:line="460" w:lineRule="exact"/>
              <w:jc w:val="center"/>
              <w:rPr>
                <w:rFonts w:ascii="宋体" w:hAnsi="宋体"/>
                <w:color w:val="auto"/>
                <w:kern w:val="0"/>
                <w:sz w:val="22"/>
                <w:szCs w:val="20"/>
                <w:highlight w:val="none"/>
              </w:rPr>
            </w:pPr>
            <w:r>
              <w:rPr>
                <w:rFonts w:hint="eastAsia" w:ascii="宋体" w:hAnsi="宋体"/>
                <w:color w:val="auto"/>
                <w:kern w:val="0"/>
                <w:sz w:val="22"/>
                <w:szCs w:val="20"/>
                <w:highlight w:val="none"/>
              </w:rPr>
              <w:t>依据的标准</w:t>
            </w:r>
          </w:p>
        </w:tc>
        <w:tc>
          <w:tcPr>
            <w:tcW w:w="1937" w:type="dxa"/>
            <w:tcBorders>
              <w:top w:val="single" w:color="auto" w:sz="4" w:space="0"/>
              <w:left w:val="single" w:color="auto" w:sz="4" w:space="0"/>
              <w:bottom w:val="single" w:color="auto" w:sz="4" w:space="0"/>
              <w:right w:val="single" w:color="auto" w:sz="4" w:space="0"/>
            </w:tcBorders>
            <w:vAlign w:val="center"/>
          </w:tcPr>
          <w:p w14:paraId="7F05A10C">
            <w:pPr>
              <w:spacing w:line="460" w:lineRule="exact"/>
              <w:jc w:val="center"/>
              <w:rPr>
                <w:rFonts w:ascii="宋体" w:hAnsi="宋体"/>
                <w:color w:val="auto"/>
                <w:kern w:val="0"/>
                <w:sz w:val="22"/>
                <w:szCs w:val="20"/>
                <w:highlight w:val="none"/>
              </w:rPr>
            </w:pPr>
            <w:r>
              <w:rPr>
                <w:rFonts w:ascii="宋体" w:hAnsi="宋体"/>
                <w:color w:val="auto"/>
                <w:kern w:val="0"/>
                <w:sz w:val="22"/>
                <w:szCs w:val="20"/>
                <w:highlight w:val="none"/>
              </w:rPr>
              <w:t>认证机构名称</w:t>
            </w:r>
          </w:p>
        </w:tc>
      </w:tr>
      <w:tr w14:paraId="6476F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05F3053F">
            <w:pPr>
              <w:spacing w:line="460" w:lineRule="exact"/>
              <w:rPr>
                <w:rFonts w:ascii="宋体" w:hAnsi="宋体"/>
                <w:color w:val="auto"/>
                <w:kern w:val="0"/>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09600CB0">
            <w:pPr>
              <w:spacing w:line="460" w:lineRule="exact"/>
              <w:rPr>
                <w:rFonts w:ascii="宋体" w:hAnsi="宋体"/>
                <w:color w:val="auto"/>
                <w:kern w:val="0"/>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4544384C">
            <w:pPr>
              <w:spacing w:line="460" w:lineRule="exact"/>
              <w:rPr>
                <w:rFonts w:ascii="宋体" w:hAnsi="宋体"/>
                <w:color w:val="auto"/>
                <w:kern w:val="0"/>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E519FA9">
            <w:pPr>
              <w:spacing w:line="460" w:lineRule="exact"/>
              <w:rPr>
                <w:rFonts w:ascii="宋体" w:hAnsi="宋体"/>
                <w:color w:val="auto"/>
                <w:kern w:val="0"/>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22E8F457">
            <w:pPr>
              <w:spacing w:line="460" w:lineRule="exact"/>
              <w:rPr>
                <w:rFonts w:ascii="宋体" w:hAnsi="宋体"/>
                <w:color w:val="auto"/>
                <w:kern w:val="0"/>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0A9FE15E">
            <w:pPr>
              <w:spacing w:line="460" w:lineRule="exact"/>
              <w:rPr>
                <w:rFonts w:ascii="宋体" w:hAnsi="宋体"/>
                <w:color w:val="auto"/>
                <w:kern w:val="0"/>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tcPr>
          <w:p w14:paraId="27CE8C9E">
            <w:pPr>
              <w:spacing w:line="460" w:lineRule="exact"/>
              <w:rPr>
                <w:rFonts w:ascii="宋体" w:hAnsi="宋体"/>
                <w:color w:val="auto"/>
                <w:kern w:val="0"/>
                <w:sz w:val="22"/>
                <w:szCs w:val="20"/>
                <w:highlight w:val="none"/>
              </w:rPr>
            </w:pPr>
          </w:p>
        </w:tc>
      </w:tr>
      <w:tr w14:paraId="1800C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146191C6">
            <w:pPr>
              <w:spacing w:line="460" w:lineRule="exact"/>
              <w:rPr>
                <w:rFonts w:ascii="宋体" w:hAnsi="宋体"/>
                <w:color w:val="auto"/>
                <w:kern w:val="0"/>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442D3500">
            <w:pPr>
              <w:spacing w:line="460" w:lineRule="exact"/>
              <w:rPr>
                <w:rFonts w:ascii="宋体" w:hAnsi="宋体"/>
                <w:color w:val="auto"/>
                <w:kern w:val="0"/>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5EF662A3">
            <w:pPr>
              <w:spacing w:line="460" w:lineRule="exact"/>
              <w:rPr>
                <w:rFonts w:ascii="宋体" w:hAnsi="宋体"/>
                <w:color w:val="auto"/>
                <w:kern w:val="0"/>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197EFDC0">
            <w:pPr>
              <w:spacing w:line="460" w:lineRule="exact"/>
              <w:rPr>
                <w:rFonts w:ascii="宋体" w:hAnsi="宋体"/>
                <w:color w:val="auto"/>
                <w:kern w:val="0"/>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63FE137F">
            <w:pPr>
              <w:spacing w:line="460" w:lineRule="exact"/>
              <w:rPr>
                <w:rFonts w:ascii="宋体" w:hAnsi="宋体"/>
                <w:color w:val="auto"/>
                <w:kern w:val="0"/>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612D77F5">
            <w:pPr>
              <w:spacing w:line="460" w:lineRule="exact"/>
              <w:rPr>
                <w:rFonts w:ascii="宋体" w:hAnsi="宋体"/>
                <w:color w:val="auto"/>
                <w:kern w:val="0"/>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tcPr>
          <w:p w14:paraId="0B32A9B7">
            <w:pPr>
              <w:spacing w:line="460" w:lineRule="exact"/>
              <w:rPr>
                <w:rFonts w:ascii="宋体" w:hAnsi="宋体"/>
                <w:color w:val="auto"/>
                <w:kern w:val="0"/>
                <w:sz w:val="22"/>
                <w:szCs w:val="20"/>
                <w:highlight w:val="none"/>
              </w:rPr>
            </w:pPr>
          </w:p>
        </w:tc>
      </w:tr>
      <w:tr w14:paraId="1E1DA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CD42AE9">
            <w:pPr>
              <w:spacing w:line="460" w:lineRule="exact"/>
              <w:rPr>
                <w:rFonts w:ascii="宋体" w:hAnsi="宋体"/>
                <w:color w:val="auto"/>
                <w:kern w:val="0"/>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2235AC7C">
            <w:pPr>
              <w:spacing w:line="460" w:lineRule="exact"/>
              <w:rPr>
                <w:rFonts w:ascii="宋体" w:hAnsi="宋体"/>
                <w:color w:val="auto"/>
                <w:kern w:val="0"/>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63A893E0">
            <w:pPr>
              <w:spacing w:line="460" w:lineRule="exact"/>
              <w:rPr>
                <w:rFonts w:ascii="宋体" w:hAnsi="宋体"/>
                <w:color w:val="auto"/>
                <w:kern w:val="0"/>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5EF9CEBC">
            <w:pPr>
              <w:spacing w:line="460" w:lineRule="exact"/>
              <w:rPr>
                <w:rFonts w:ascii="宋体" w:hAnsi="宋体"/>
                <w:color w:val="auto"/>
                <w:kern w:val="0"/>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0D0733C6">
            <w:pPr>
              <w:spacing w:line="460" w:lineRule="exact"/>
              <w:rPr>
                <w:rFonts w:ascii="宋体" w:hAnsi="宋体"/>
                <w:color w:val="auto"/>
                <w:kern w:val="0"/>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43AE1FBD">
            <w:pPr>
              <w:spacing w:line="460" w:lineRule="exact"/>
              <w:rPr>
                <w:rFonts w:ascii="宋体" w:hAnsi="宋体"/>
                <w:color w:val="auto"/>
                <w:kern w:val="0"/>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tcPr>
          <w:p w14:paraId="47D61160">
            <w:pPr>
              <w:spacing w:line="460" w:lineRule="exact"/>
              <w:rPr>
                <w:rFonts w:ascii="宋体" w:hAnsi="宋体"/>
                <w:color w:val="auto"/>
                <w:kern w:val="0"/>
                <w:sz w:val="22"/>
                <w:szCs w:val="20"/>
                <w:highlight w:val="none"/>
              </w:rPr>
            </w:pPr>
          </w:p>
        </w:tc>
      </w:tr>
      <w:tr w14:paraId="16D57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6FFD3BD5">
            <w:pPr>
              <w:spacing w:line="460" w:lineRule="exact"/>
              <w:rPr>
                <w:rFonts w:ascii="宋体" w:hAnsi="宋体"/>
                <w:color w:val="auto"/>
                <w:kern w:val="0"/>
                <w:sz w:val="22"/>
                <w:szCs w:val="20"/>
                <w:highlight w:val="none"/>
              </w:rPr>
            </w:pPr>
          </w:p>
          <w:p w14:paraId="52E82537">
            <w:pPr>
              <w:spacing w:line="460" w:lineRule="exact"/>
              <w:rPr>
                <w:rFonts w:ascii="宋体" w:hAnsi="宋体"/>
                <w:color w:val="auto"/>
                <w:kern w:val="0"/>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2B804B37">
            <w:pPr>
              <w:spacing w:line="460" w:lineRule="exact"/>
              <w:rPr>
                <w:rFonts w:ascii="宋体" w:hAnsi="宋体"/>
                <w:color w:val="auto"/>
                <w:kern w:val="0"/>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200C8E3E">
            <w:pPr>
              <w:spacing w:line="460" w:lineRule="exact"/>
              <w:rPr>
                <w:rFonts w:ascii="宋体" w:hAnsi="宋体"/>
                <w:color w:val="auto"/>
                <w:kern w:val="0"/>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4033A4E7">
            <w:pPr>
              <w:spacing w:line="460" w:lineRule="exact"/>
              <w:rPr>
                <w:rFonts w:ascii="宋体" w:hAnsi="宋体"/>
                <w:color w:val="auto"/>
                <w:kern w:val="0"/>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65690E06">
            <w:pPr>
              <w:spacing w:line="460" w:lineRule="exact"/>
              <w:rPr>
                <w:rFonts w:ascii="宋体" w:hAnsi="宋体"/>
                <w:color w:val="auto"/>
                <w:kern w:val="0"/>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532A34E3">
            <w:pPr>
              <w:spacing w:line="460" w:lineRule="exact"/>
              <w:rPr>
                <w:rFonts w:ascii="宋体" w:hAnsi="宋体"/>
                <w:color w:val="auto"/>
                <w:kern w:val="0"/>
                <w:sz w:val="22"/>
                <w:szCs w:val="20"/>
                <w:highlight w:val="none"/>
              </w:rPr>
            </w:pPr>
          </w:p>
        </w:tc>
        <w:tc>
          <w:tcPr>
            <w:tcW w:w="1937" w:type="dxa"/>
            <w:tcBorders>
              <w:top w:val="single" w:color="auto" w:sz="4" w:space="0"/>
              <w:left w:val="single" w:color="auto" w:sz="4" w:space="0"/>
              <w:bottom w:val="single" w:color="auto" w:sz="4" w:space="0"/>
              <w:right w:val="single" w:color="auto" w:sz="4" w:space="0"/>
            </w:tcBorders>
          </w:tcPr>
          <w:p w14:paraId="69370DFE">
            <w:pPr>
              <w:spacing w:line="460" w:lineRule="exact"/>
              <w:rPr>
                <w:rFonts w:ascii="宋体" w:hAnsi="宋体"/>
                <w:color w:val="auto"/>
                <w:kern w:val="0"/>
                <w:sz w:val="22"/>
                <w:szCs w:val="20"/>
                <w:highlight w:val="none"/>
              </w:rPr>
            </w:pPr>
          </w:p>
        </w:tc>
      </w:tr>
    </w:tbl>
    <w:p w14:paraId="5B31FB26">
      <w:pPr>
        <w:spacing w:line="460" w:lineRule="exact"/>
        <w:rPr>
          <w:rFonts w:ascii="宋体" w:hAnsi="宋体"/>
          <w:color w:val="auto"/>
          <w:kern w:val="0"/>
          <w:sz w:val="22"/>
          <w:highlight w:val="none"/>
        </w:rPr>
      </w:pPr>
      <w:r>
        <w:rPr>
          <w:rFonts w:hint="eastAsia" w:ascii="宋体" w:hAnsi="宋体"/>
          <w:color w:val="auto"/>
          <w:kern w:val="0"/>
          <w:sz w:val="22"/>
          <w:highlight w:val="none"/>
        </w:rPr>
        <w:t>（2）投标产品中已列入《环境标志产品政府采购品目清单》明细</w:t>
      </w:r>
    </w:p>
    <w:tbl>
      <w:tblPr>
        <w:tblStyle w:val="38"/>
        <w:tblW w:w="960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993"/>
        <w:gridCol w:w="1417"/>
        <w:gridCol w:w="1418"/>
        <w:gridCol w:w="1559"/>
        <w:gridCol w:w="1134"/>
        <w:gridCol w:w="1948"/>
      </w:tblGrid>
      <w:tr w14:paraId="2672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134" w:type="dxa"/>
            <w:tcBorders>
              <w:top w:val="single" w:color="auto" w:sz="4" w:space="0"/>
              <w:left w:val="single" w:color="auto" w:sz="4" w:space="0"/>
              <w:bottom w:val="single" w:color="auto" w:sz="4" w:space="0"/>
              <w:right w:val="single" w:color="auto" w:sz="4" w:space="0"/>
            </w:tcBorders>
            <w:vAlign w:val="center"/>
          </w:tcPr>
          <w:p w14:paraId="0AAB226D">
            <w:pPr>
              <w:spacing w:line="460" w:lineRule="exact"/>
              <w:jc w:val="center"/>
              <w:rPr>
                <w:rFonts w:ascii="宋体" w:hAnsi="宋体"/>
                <w:color w:val="auto"/>
                <w:kern w:val="0"/>
                <w:sz w:val="22"/>
                <w:szCs w:val="20"/>
                <w:highlight w:val="none"/>
              </w:rPr>
            </w:pPr>
            <w:r>
              <w:rPr>
                <w:rFonts w:hint="eastAsia" w:ascii="宋体" w:hAnsi="宋体"/>
                <w:color w:val="auto"/>
                <w:kern w:val="0"/>
                <w:sz w:val="22"/>
                <w:szCs w:val="20"/>
                <w:highlight w:val="none"/>
              </w:rPr>
              <w:t>制造商</w:t>
            </w:r>
          </w:p>
        </w:tc>
        <w:tc>
          <w:tcPr>
            <w:tcW w:w="993" w:type="dxa"/>
            <w:tcBorders>
              <w:top w:val="single" w:color="auto" w:sz="4" w:space="0"/>
              <w:left w:val="single" w:color="auto" w:sz="4" w:space="0"/>
              <w:bottom w:val="single" w:color="auto" w:sz="4" w:space="0"/>
              <w:right w:val="single" w:color="auto" w:sz="4" w:space="0"/>
            </w:tcBorders>
            <w:vAlign w:val="center"/>
          </w:tcPr>
          <w:p w14:paraId="4D63A5AC">
            <w:pPr>
              <w:spacing w:line="460" w:lineRule="exact"/>
              <w:jc w:val="center"/>
              <w:rPr>
                <w:rFonts w:ascii="宋体" w:hAnsi="宋体"/>
                <w:color w:val="auto"/>
                <w:kern w:val="0"/>
                <w:sz w:val="22"/>
                <w:szCs w:val="20"/>
                <w:highlight w:val="none"/>
              </w:rPr>
            </w:pPr>
            <w:r>
              <w:rPr>
                <w:rFonts w:hint="eastAsia" w:ascii="宋体" w:hAnsi="宋体"/>
                <w:color w:val="auto"/>
                <w:kern w:val="0"/>
                <w:sz w:val="22"/>
                <w:szCs w:val="20"/>
                <w:highlight w:val="none"/>
              </w:rPr>
              <w:t>品牌</w:t>
            </w:r>
          </w:p>
        </w:tc>
        <w:tc>
          <w:tcPr>
            <w:tcW w:w="1417" w:type="dxa"/>
            <w:tcBorders>
              <w:top w:val="single" w:color="auto" w:sz="4" w:space="0"/>
              <w:left w:val="single" w:color="auto" w:sz="4" w:space="0"/>
              <w:bottom w:val="single" w:color="auto" w:sz="4" w:space="0"/>
              <w:right w:val="single" w:color="auto" w:sz="4" w:space="0"/>
            </w:tcBorders>
            <w:vAlign w:val="center"/>
          </w:tcPr>
          <w:p w14:paraId="0B396D7E">
            <w:pPr>
              <w:spacing w:line="460" w:lineRule="exact"/>
              <w:jc w:val="center"/>
              <w:rPr>
                <w:rFonts w:ascii="宋体" w:hAnsi="宋体"/>
                <w:color w:val="auto"/>
                <w:kern w:val="0"/>
                <w:sz w:val="22"/>
                <w:szCs w:val="20"/>
                <w:highlight w:val="none"/>
              </w:rPr>
            </w:pPr>
            <w:r>
              <w:rPr>
                <w:rFonts w:hint="eastAsia" w:ascii="宋体" w:hAnsi="宋体"/>
                <w:color w:val="auto"/>
                <w:kern w:val="0"/>
                <w:sz w:val="22"/>
                <w:szCs w:val="20"/>
                <w:highlight w:val="none"/>
              </w:rPr>
              <w:t>产品名称、</w:t>
            </w:r>
          </w:p>
          <w:p w14:paraId="4755EB68">
            <w:pPr>
              <w:spacing w:line="460" w:lineRule="exact"/>
              <w:jc w:val="center"/>
              <w:rPr>
                <w:rFonts w:ascii="宋体" w:hAnsi="宋体"/>
                <w:color w:val="auto"/>
                <w:kern w:val="0"/>
                <w:sz w:val="22"/>
                <w:szCs w:val="20"/>
                <w:highlight w:val="none"/>
              </w:rPr>
            </w:pPr>
            <w:r>
              <w:rPr>
                <w:rFonts w:hint="eastAsia" w:ascii="宋体" w:hAnsi="宋体"/>
                <w:color w:val="auto"/>
                <w:kern w:val="0"/>
                <w:sz w:val="22"/>
                <w:szCs w:val="20"/>
                <w:highlight w:val="none"/>
              </w:rPr>
              <w:t>规格型号</w:t>
            </w:r>
          </w:p>
        </w:tc>
        <w:tc>
          <w:tcPr>
            <w:tcW w:w="1418" w:type="dxa"/>
            <w:tcBorders>
              <w:top w:val="single" w:color="auto" w:sz="4" w:space="0"/>
              <w:left w:val="single" w:color="auto" w:sz="4" w:space="0"/>
              <w:bottom w:val="single" w:color="auto" w:sz="4" w:space="0"/>
              <w:right w:val="single" w:color="auto" w:sz="4" w:space="0"/>
            </w:tcBorders>
            <w:vAlign w:val="center"/>
          </w:tcPr>
          <w:p w14:paraId="3B2B2227">
            <w:pPr>
              <w:spacing w:line="460" w:lineRule="exact"/>
              <w:jc w:val="center"/>
              <w:rPr>
                <w:rFonts w:ascii="宋体" w:hAnsi="宋体"/>
                <w:color w:val="auto"/>
                <w:kern w:val="0"/>
                <w:sz w:val="22"/>
                <w:szCs w:val="20"/>
                <w:highlight w:val="none"/>
              </w:rPr>
            </w:pPr>
            <w:r>
              <w:rPr>
                <w:rFonts w:hint="eastAsia" w:ascii="宋体" w:hAnsi="宋体"/>
                <w:color w:val="auto"/>
                <w:kern w:val="0"/>
                <w:sz w:val="22"/>
                <w:szCs w:val="20"/>
                <w:highlight w:val="none"/>
              </w:rPr>
              <w:t>中国环境标志认证证书编号</w:t>
            </w:r>
          </w:p>
        </w:tc>
        <w:tc>
          <w:tcPr>
            <w:tcW w:w="1559" w:type="dxa"/>
            <w:tcBorders>
              <w:top w:val="single" w:color="auto" w:sz="4" w:space="0"/>
              <w:left w:val="single" w:color="auto" w:sz="4" w:space="0"/>
              <w:bottom w:val="single" w:color="auto" w:sz="4" w:space="0"/>
              <w:right w:val="single" w:color="auto" w:sz="4" w:space="0"/>
            </w:tcBorders>
            <w:vAlign w:val="center"/>
          </w:tcPr>
          <w:p w14:paraId="4071CAB0">
            <w:pPr>
              <w:spacing w:line="460" w:lineRule="exact"/>
              <w:jc w:val="center"/>
              <w:rPr>
                <w:rFonts w:ascii="宋体" w:hAnsi="宋体"/>
                <w:color w:val="auto"/>
                <w:kern w:val="0"/>
                <w:sz w:val="22"/>
                <w:szCs w:val="20"/>
                <w:highlight w:val="none"/>
              </w:rPr>
            </w:pPr>
            <w:r>
              <w:rPr>
                <w:rFonts w:hint="eastAsia" w:ascii="宋体" w:hAnsi="宋体"/>
                <w:color w:val="auto"/>
                <w:kern w:val="0"/>
                <w:sz w:val="22"/>
                <w:szCs w:val="20"/>
                <w:highlight w:val="none"/>
              </w:rPr>
              <w:t>认证证书有效截止日期</w:t>
            </w:r>
          </w:p>
        </w:tc>
        <w:tc>
          <w:tcPr>
            <w:tcW w:w="1134" w:type="dxa"/>
            <w:tcBorders>
              <w:top w:val="single" w:color="auto" w:sz="4" w:space="0"/>
              <w:left w:val="single" w:color="auto" w:sz="4" w:space="0"/>
              <w:bottom w:val="single" w:color="auto" w:sz="4" w:space="0"/>
              <w:right w:val="single" w:color="auto" w:sz="4" w:space="0"/>
            </w:tcBorders>
            <w:vAlign w:val="center"/>
          </w:tcPr>
          <w:p w14:paraId="549ACEB3">
            <w:pPr>
              <w:spacing w:line="460" w:lineRule="exact"/>
              <w:jc w:val="center"/>
              <w:rPr>
                <w:rFonts w:ascii="宋体" w:hAnsi="宋体"/>
                <w:color w:val="auto"/>
                <w:kern w:val="0"/>
                <w:sz w:val="22"/>
                <w:szCs w:val="20"/>
                <w:highlight w:val="none"/>
              </w:rPr>
            </w:pPr>
            <w:r>
              <w:rPr>
                <w:rFonts w:hint="eastAsia" w:ascii="宋体" w:hAnsi="宋体"/>
                <w:color w:val="auto"/>
                <w:kern w:val="0"/>
                <w:sz w:val="22"/>
                <w:szCs w:val="20"/>
                <w:highlight w:val="none"/>
              </w:rPr>
              <w:t>依据的标准</w:t>
            </w:r>
          </w:p>
        </w:tc>
        <w:tc>
          <w:tcPr>
            <w:tcW w:w="1948" w:type="dxa"/>
            <w:tcBorders>
              <w:top w:val="single" w:color="auto" w:sz="4" w:space="0"/>
              <w:left w:val="single" w:color="auto" w:sz="4" w:space="0"/>
              <w:bottom w:val="single" w:color="auto" w:sz="4" w:space="0"/>
              <w:right w:val="single" w:color="auto" w:sz="4" w:space="0"/>
            </w:tcBorders>
            <w:vAlign w:val="center"/>
          </w:tcPr>
          <w:p w14:paraId="668CC931">
            <w:pPr>
              <w:spacing w:line="460" w:lineRule="exact"/>
              <w:jc w:val="center"/>
              <w:rPr>
                <w:rFonts w:ascii="宋体" w:hAnsi="宋体"/>
                <w:color w:val="auto"/>
                <w:kern w:val="0"/>
                <w:sz w:val="22"/>
                <w:szCs w:val="20"/>
                <w:highlight w:val="none"/>
              </w:rPr>
            </w:pPr>
            <w:r>
              <w:rPr>
                <w:rFonts w:ascii="宋体" w:hAnsi="宋体"/>
                <w:color w:val="auto"/>
                <w:kern w:val="0"/>
                <w:sz w:val="22"/>
                <w:szCs w:val="20"/>
                <w:highlight w:val="none"/>
              </w:rPr>
              <w:t>认证机构名称</w:t>
            </w:r>
          </w:p>
        </w:tc>
      </w:tr>
      <w:tr w14:paraId="730D7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9A1AA14">
            <w:pPr>
              <w:spacing w:line="460" w:lineRule="exact"/>
              <w:rPr>
                <w:rFonts w:ascii="宋体" w:hAnsi="宋体"/>
                <w:color w:val="auto"/>
                <w:kern w:val="0"/>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17C465D0">
            <w:pPr>
              <w:spacing w:line="460" w:lineRule="exact"/>
              <w:rPr>
                <w:rFonts w:ascii="宋体" w:hAnsi="宋体"/>
                <w:color w:val="auto"/>
                <w:kern w:val="0"/>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720E1924">
            <w:pPr>
              <w:spacing w:line="460" w:lineRule="exact"/>
              <w:rPr>
                <w:rFonts w:ascii="宋体" w:hAnsi="宋体"/>
                <w:color w:val="auto"/>
                <w:kern w:val="0"/>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7C90BD3F">
            <w:pPr>
              <w:spacing w:line="460" w:lineRule="exact"/>
              <w:rPr>
                <w:rFonts w:ascii="宋体" w:hAnsi="宋体"/>
                <w:color w:val="auto"/>
                <w:kern w:val="0"/>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08AC1DF5">
            <w:pPr>
              <w:spacing w:line="460" w:lineRule="exact"/>
              <w:rPr>
                <w:rFonts w:ascii="宋体" w:hAnsi="宋体"/>
                <w:color w:val="auto"/>
                <w:kern w:val="0"/>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51E0A0DD">
            <w:pPr>
              <w:spacing w:line="460" w:lineRule="exact"/>
              <w:rPr>
                <w:rFonts w:ascii="宋体" w:hAnsi="宋体"/>
                <w:color w:val="auto"/>
                <w:kern w:val="0"/>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tcPr>
          <w:p w14:paraId="7C1FB5D3">
            <w:pPr>
              <w:spacing w:line="460" w:lineRule="exact"/>
              <w:rPr>
                <w:rFonts w:ascii="宋体" w:hAnsi="宋体"/>
                <w:color w:val="auto"/>
                <w:kern w:val="0"/>
                <w:sz w:val="22"/>
                <w:szCs w:val="20"/>
                <w:highlight w:val="none"/>
              </w:rPr>
            </w:pPr>
          </w:p>
        </w:tc>
      </w:tr>
      <w:tr w14:paraId="088CB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2C8FD80F">
            <w:pPr>
              <w:spacing w:line="460" w:lineRule="exact"/>
              <w:rPr>
                <w:rFonts w:ascii="宋体" w:hAnsi="宋体"/>
                <w:color w:val="auto"/>
                <w:kern w:val="0"/>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0027064B">
            <w:pPr>
              <w:spacing w:line="460" w:lineRule="exact"/>
              <w:rPr>
                <w:rFonts w:ascii="宋体" w:hAnsi="宋体"/>
                <w:color w:val="auto"/>
                <w:kern w:val="0"/>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5D125AC5">
            <w:pPr>
              <w:spacing w:line="460" w:lineRule="exact"/>
              <w:rPr>
                <w:rFonts w:ascii="宋体" w:hAnsi="宋体"/>
                <w:color w:val="auto"/>
                <w:kern w:val="0"/>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B1A05A4">
            <w:pPr>
              <w:spacing w:line="460" w:lineRule="exact"/>
              <w:rPr>
                <w:rFonts w:ascii="宋体" w:hAnsi="宋体"/>
                <w:color w:val="auto"/>
                <w:kern w:val="0"/>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6D4DA5D8">
            <w:pPr>
              <w:spacing w:line="460" w:lineRule="exact"/>
              <w:rPr>
                <w:rFonts w:ascii="宋体" w:hAnsi="宋体"/>
                <w:color w:val="auto"/>
                <w:kern w:val="0"/>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44EA3123">
            <w:pPr>
              <w:spacing w:line="460" w:lineRule="exact"/>
              <w:rPr>
                <w:rFonts w:ascii="宋体" w:hAnsi="宋体"/>
                <w:color w:val="auto"/>
                <w:kern w:val="0"/>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tcPr>
          <w:p w14:paraId="24B3C552">
            <w:pPr>
              <w:spacing w:line="460" w:lineRule="exact"/>
              <w:rPr>
                <w:rFonts w:ascii="宋体" w:hAnsi="宋体"/>
                <w:color w:val="auto"/>
                <w:kern w:val="0"/>
                <w:sz w:val="22"/>
                <w:szCs w:val="20"/>
                <w:highlight w:val="none"/>
              </w:rPr>
            </w:pPr>
          </w:p>
        </w:tc>
      </w:tr>
      <w:tr w14:paraId="02943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64ECB03">
            <w:pPr>
              <w:spacing w:line="460" w:lineRule="exact"/>
              <w:rPr>
                <w:rFonts w:ascii="宋体" w:hAnsi="宋体"/>
                <w:color w:val="auto"/>
                <w:kern w:val="0"/>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4927D1AC">
            <w:pPr>
              <w:spacing w:line="460" w:lineRule="exact"/>
              <w:rPr>
                <w:rFonts w:ascii="宋体" w:hAnsi="宋体"/>
                <w:color w:val="auto"/>
                <w:kern w:val="0"/>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3348CA5C">
            <w:pPr>
              <w:spacing w:line="460" w:lineRule="exact"/>
              <w:rPr>
                <w:rFonts w:ascii="宋体" w:hAnsi="宋体"/>
                <w:color w:val="auto"/>
                <w:kern w:val="0"/>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357FB709">
            <w:pPr>
              <w:spacing w:line="460" w:lineRule="exact"/>
              <w:rPr>
                <w:rFonts w:ascii="宋体" w:hAnsi="宋体"/>
                <w:color w:val="auto"/>
                <w:kern w:val="0"/>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28F927E8">
            <w:pPr>
              <w:spacing w:line="460" w:lineRule="exact"/>
              <w:rPr>
                <w:rFonts w:ascii="宋体" w:hAnsi="宋体"/>
                <w:color w:val="auto"/>
                <w:kern w:val="0"/>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380C42A2">
            <w:pPr>
              <w:spacing w:line="460" w:lineRule="exact"/>
              <w:rPr>
                <w:rFonts w:ascii="宋体" w:hAnsi="宋体"/>
                <w:color w:val="auto"/>
                <w:kern w:val="0"/>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tcPr>
          <w:p w14:paraId="7C99D453">
            <w:pPr>
              <w:spacing w:line="460" w:lineRule="exact"/>
              <w:rPr>
                <w:rFonts w:ascii="宋体" w:hAnsi="宋体"/>
                <w:color w:val="auto"/>
                <w:kern w:val="0"/>
                <w:sz w:val="22"/>
                <w:szCs w:val="20"/>
                <w:highlight w:val="none"/>
              </w:rPr>
            </w:pPr>
          </w:p>
        </w:tc>
      </w:tr>
      <w:tr w14:paraId="4CAE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134" w:type="dxa"/>
            <w:tcBorders>
              <w:top w:val="single" w:color="auto" w:sz="4" w:space="0"/>
              <w:left w:val="single" w:color="auto" w:sz="4" w:space="0"/>
              <w:bottom w:val="single" w:color="auto" w:sz="4" w:space="0"/>
              <w:right w:val="single" w:color="auto" w:sz="4" w:space="0"/>
            </w:tcBorders>
          </w:tcPr>
          <w:p w14:paraId="7D09C08C">
            <w:pPr>
              <w:spacing w:line="460" w:lineRule="exact"/>
              <w:rPr>
                <w:rFonts w:ascii="宋体" w:hAnsi="宋体"/>
                <w:color w:val="auto"/>
                <w:kern w:val="0"/>
                <w:sz w:val="22"/>
                <w:szCs w:val="20"/>
                <w:highlight w:val="none"/>
              </w:rPr>
            </w:pPr>
          </w:p>
        </w:tc>
        <w:tc>
          <w:tcPr>
            <w:tcW w:w="993" w:type="dxa"/>
            <w:tcBorders>
              <w:top w:val="single" w:color="auto" w:sz="4" w:space="0"/>
              <w:left w:val="single" w:color="auto" w:sz="4" w:space="0"/>
              <w:bottom w:val="single" w:color="auto" w:sz="4" w:space="0"/>
              <w:right w:val="single" w:color="auto" w:sz="4" w:space="0"/>
            </w:tcBorders>
          </w:tcPr>
          <w:p w14:paraId="116286C1">
            <w:pPr>
              <w:spacing w:line="460" w:lineRule="exact"/>
              <w:rPr>
                <w:rFonts w:ascii="宋体" w:hAnsi="宋体"/>
                <w:color w:val="auto"/>
                <w:kern w:val="0"/>
                <w:sz w:val="22"/>
                <w:szCs w:val="20"/>
                <w:highlight w:val="none"/>
              </w:rPr>
            </w:pPr>
          </w:p>
        </w:tc>
        <w:tc>
          <w:tcPr>
            <w:tcW w:w="1417" w:type="dxa"/>
            <w:tcBorders>
              <w:top w:val="single" w:color="auto" w:sz="4" w:space="0"/>
              <w:left w:val="single" w:color="auto" w:sz="4" w:space="0"/>
              <w:bottom w:val="single" w:color="auto" w:sz="4" w:space="0"/>
              <w:right w:val="single" w:color="auto" w:sz="4" w:space="0"/>
            </w:tcBorders>
          </w:tcPr>
          <w:p w14:paraId="0A9B6466">
            <w:pPr>
              <w:spacing w:line="460" w:lineRule="exact"/>
              <w:rPr>
                <w:rFonts w:ascii="宋体" w:hAnsi="宋体"/>
                <w:color w:val="auto"/>
                <w:kern w:val="0"/>
                <w:sz w:val="22"/>
                <w:szCs w:val="20"/>
                <w:highlight w:val="none"/>
              </w:rPr>
            </w:pPr>
          </w:p>
        </w:tc>
        <w:tc>
          <w:tcPr>
            <w:tcW w:w="1418" w:type="dxa"/>
            <w:tcBorders>
              <w:top w:val="single" w:color="auto" w:sz="4" w:space="0"/>
              <w:left w:val="single" w:color="auto" w:sz="4" w:space="0"/>
              <w:bottom w:val="single" w:color="auto" w:sz="4" w:space="0"/>
              <w:right w:val="single" w:color="auto" w:sz="4" w:space="0"/>
            </w:tcBorders>
          </w:tcPr>
          <w:p w14:paraId="6A47CE65">
            <w:pPr>
              <w:spacing w:line="460" w:lineRule="exact"/>
              <w:rPr>
                <w:rFonts w:ascii="宋体" w:hAnsi="宋体"/>
                <w:color w:val="auto"/>
                <w:kern w:val="0"/>
                <w:sz w:val="22"/>
                <w:szCs w:val="20"/>
                <w:highlight w:val="none"/>
              </w:rPr>
            </w:pPr>
          </w:p>
        </w:tc>
        <w:tc>
          <w:tcPr>
            <w:tcW w:w="1559" w:type="dxa"/>
            <w:tcBorders>
              <w:top w:val="single" w:color="auto" w:sz="4" w:space="0"/>
              <w:left w:val="single" w:color="auto" w:sz="4" w:space="0"/>
              <w:bottom w:val="single" w:color="auto" w:sz="4" w:space="0"/>
              <w:right w:val="single" w:color="auto" w:sz="4" w:space="0"/>
            </w:tcBorders>
          </w:tcPr>
          <w:p w14:paraId="0BB27B65">
            <w:pPr>
              <w:spacing w:line="460" w:lineRule="exact"/>
              <w:rPr>
                <w:rFonts w:ascii="宋体" w:hAnsi="宋体"/>
                <w:color w:val="auto"/>
                <w:kern w:val="0"/>
                <w:sz w:val="22"/>
                <w:szCs w:val="20"/>
                <w:highlight w:val="none"/>
              </w:rPr>
            </w:pPr>
          </w:p>
        </w:tc>
        <w:tc>
          <w:tcPr>
            <w:tcW w:w="1134" w:type="dxa"/>
            <w:tcBorders>
              <w:top w:val="single" w:color="auto" w:sz="4" w:space="0"/>
              <w:left w:val="single" w:color="auto" w:sz="4" w:space="0"/>
              <w:bottom w:val="single" w:color="auto" w:sz="4" w:space="0"/>
              <w:right w:val="single" w:color="auto" w:sz="4" w:space="0"/>
            </w:tcBorders>
          </w:tcPr>
          <w:p w14:paraId="548DC89D">
            <w:pPr>
              <w:spacing w:line="460" w:lineRule="exact"/>
              <w:rPr>
                <w:rFonts w:ascii="宋体" w:hAnsi="宋体"/>
                <w:color w:val="auto"/>
                <w:kern w:val="0"/>
                <w:sz w:val="22"/>
                <w:szCs w:val="20"/>
                <w:highlight w:val="none"/>
              </w:rPr>
            </w:pPr>
          </w:p>
        </w:tc>
        <w:tc>
          <w:tcPr>
            <w:tcW w:w="1948" w:type="dxa"/>
            <w:tcBorders>
              <w:top w:val="single" w:color="auto" w:sz="4" w:space="0"/>
              <w:left w:val="single" w:color="auto" w:sz="4" w:space="0"/>
              <w:bottom w:val="single" w:color="auto" w:sz="4" w:space="0"/>
              <w:right w:val="single" w:color="auto" w:sz="4" w:space="0"/>
            </w:tcBorders>
          </w:tcPr>
          <w:p w14:paraId="2B282036">
            <w:pPr>
              <w:spacing w:line="460" w:lineRule="exact"/>
              <w:rPr>
                <w:rFonts w:ascii="宋体" w:hAnsi="宋体"/>
                <w:color w:val="auto"/>
                <w:kern w:val="0"/>
                <w:sz w:val="22"/>
                <w:szCs w:val="20"/>
                <w:highlight w:val="none"/>
              </w:rPr>
            </w:pPr>
          </w:p>
        </w:tc>
      </w:tr>
    </w:tbl>
    <w:p w14:paraId="26EDFB26">
      <w:pPr>
        <w:spacing w:line="460" w:lineRule="exact"/>
        <w:rPr>
          <w:rFonts w:ascii="宋体" w:hAnsi="宋体"/>
          <w:b/>
          <w:color w:val="auto"/>
          <w:kern w:val="0"/>
          <w:sz w:val="22"/>
          <w:highlight w:val="none"/>
        </w:rPr>
      </w:pPr>
      <w:r>
        <w:rPr>
          <w:rFonts w:hint="eastAsia" w:ascii="宋体" w:hAnsi="宋体"/>
          <w:b/>
          <w:color w:val="auto"/>
          <w:kern w:val="0"/>
          <w:sz w:val="22"/>
          <w:highlight w:val="none"/>
        </w:rPr>
        <w:t>说明：1、表后附所投相关产品对应的认证证书复印件（扫描件）；其中本次采购的产品属于政府强制采购节能产品范围的，磋商供应商必须选用符合要求的产品，否则按无效投标处理，具体品目见《关于印发节能产品政府采购品目清单的通知》（财库〔</w:t>
      </w:r>
      <w:r>
        <w:rPr>
          <w:rFonts w:ascii="宋体" w:hAnsi="宋体"/>
          <w:b/>
          <w:color w:val="auto"/>
          <w:kern w:val="0"/>
          <w:sz w:val="22"/>
          <w:highlight w:val="none"/>
        </w:rPr>
        <w:t>2019〕19号）</w:t>
      </w:r>
      <w:r>
        <w:rPr>
          <w:rFonts w:hint="eastAsia" w:ascii="宋体" w:hAnsi="宋体" w:cs="Arial"/>
          <w:b/>
          <w:color w:val="auto"/>
          <w:kern w:val="0"/>
          <w:sz w:val="22"/>
          <w:highlight w:val="none"/>
        </w:rPr>
        <w:t>。</w:t>
      </w:r>
      <w:r>
        <w:rPr>
          <w:rFonts w:hint="eastAsia" w:ascii="宋体" w:hAnsi="宋体" w:cs="Arial"/>
          <w:b/>
          <w:color w:val="auto"/>
          <w:kern w:val="0"/>
          <w:sz w:val="22"/>
          <w:szCs w:val="20"/>
          <w:highlight w:val="none"/>
        </w:rPr>
        <w:t>磋商响应文件中必须提供</w:t>
      </w:r>
      <w:r>
        <w:rPr>
          <w:rFonts w:ascii="宋体" w:hAnsi="宋体"/>
          <w:b/>
          <w:color w:val="auto"/>
          <w:kern w:val="0"/>
          <w:sz w:val="22"/>
          <w:highlight w:val="none"/>
        </w:rPr>
        <w:t>属于政府强制采购的节能产品</w:t>
      </w:r>
      <w:r>
        <w:rPr>
          <w:rFonts w:hint="eastAsia" w:ascii="宋体" w:hAnsi="宋体" w:cs="Arial"/>
          <w:b/>
          <w:color w:val="auto"/>
          <w:kern w:val="0"/>
          <w:sz w:val="22"/>
          <w:szCs w:val="20"/>
          <w:highlight w:val="none"/>
        </w:rPr>
        <w:t>的认证证书复印件或扫描件，否则不予认可。</w:t>
      </w:r>
    </w:p>
    <w:p w14:paraId="0E747B7D">
      <w:pPr>
        <w:spacing w:line="460" w:lineRule="exact"/>
        <w:rPr>
          <w:rFonts w:ascii="宋体" w:hAnsi="宋体"/>
          <w:b/>
          <w:color w:val="auto"/>
          <w:kern w:val="0"/>
          <w:sz w:val="22"/>
          <w:highlight w:val="none"/>
        </w:rPr>
      </w:pPr>
      <w:r>
        <w:rPr>
          <w:rFonts w:hint="eastAsia" w:ascii="宋体" w:hAnsi="宋体"/>
          <w:b/>
          <w:color w:val="auto"/>
          <w:kern w:val="0"/>
          <w:sz w:val="22"/>
          <w:highlight w:val="none"/>
        </w:rPr>
        <w:t>2、表格可以延续。</w:t>
      </w:r>
    </w:p>
    <w:p w14:paraId="12A95FD2">
      <w:pPr>
        <w:pStyle w:val="3"/>
        <w:rPr>
          <w:rFonts w:hint="eastAsia"/>
          <w:color w:val="auto"/>
          <w:highlight w:val="none"/>
        </w:rPr>
      </w:pPr>
    </w:p>
    <w:p w14:paraId="31721155">
      <w:pPr>
        <w:spacing w:line="440" w:lineRule="atLeast"/>
        <w:rPr>
          <w:rFonts w:ascii="宋体" w:hAnsi="宋体"/>
          <w:color w:val="auto"/>
          <w:kern w:val="0"/>
          <w:sz w:val="22"/>
          <w:highlight w:val="none"/>
        </w:rPr>
      </w:pPr>
      <w:r>
        <w:rPr>
          <w:rFonts w:hint="eastAsia" w:ascii="宋体" w:hAnsi="宋体"/>
          <w:color w:val="auto"/>
          <w:kern w:val="0"/>
          <w:sz w:val="22"/>
          <w:highlight w:val="none"/>
        </w:rPr>
        <w:t xml:space="preserve">供应商名称（盖章）：        </w:t>
      </w:r>
    </w:p>
    <w:p w14:paraId="519D8EC0">
      <w:pPr>
        <w:pStyle w:val="3"/>
        <w:rPr>
          <w:rFonts w:hint="eastAsia"/>
          <w:color w:val="auto"/>
          <w:highlight w:val="none"/>
        </w:rPr>
      </w:pPr>
      <w:r>
        <w:rPr>
          <w:rFonts w:hint="eastAsia" w:ascii="宋体" w:hAnsi="宋体"/>
          <w:color w:val="auto"/>
          <w:kern w:val="0"/>
          <w:sz w:val="22"/>
          <w:highlight w:val="none"/>
        </w:rPr>
        <w:t xml:space="preserve">日 期：     </w:t>
      </w:r>
    </w:p>
    <w:p w14:paraId="7F5D783E">
      <w:pPr>
        <w:pStyle w:val="4"/>
        <w:spacing w:line="560" w:lineRule="exact"/>
        <w:jc w:val="center"/>
        <w:rPr>
          <w:rFonts w:ascii="黑体" w:eastAsia="黑体"/>
          <w:color w:val="auto"/>
          <w:sz w:val="32"/>
          <w:szCs w:val="32"/>
          <w:highlight w:val="none"/>
        </w:rPr>
      </w:pPr>
      <w:r>
        <w:rPr>
          <w:rFonts w:hint="eastAsia" w:ascii="宋体" w:hAnsi="宋体" w:cs="宋体"/>
          <w:color w:val="auto"/>
          <w:sz w:val="22"/>
          <w:szCs w:val="22"/>
          <w:highlight w:val="none"/>
        </w:rPr>
        <w:br w:type="page"/>
      </w:r>
      <w:bookmarkStart w:id="113" w:name="_Toc13691"/>
      <w:bookmarkStart w:id="114" w:name="_Toc17928"/>
      <w:r>
        <w:rPr>
          <w:rFonts w:hint="eastAsia" w:ascii="黑体" w:eastAsia="黑体"/>
          <w:color w:val="auto"/>
          <w:sz w:val="32"/>
          <w:szCs w:val="32"/>
          <w:highlight w:val="none"/>
        </w:rPr>
        <w:t>第五部分  采购内容</w:t>
      </w:r>
      <w:bookmarkEnd w:id="113"/>
      <w:bookmarkEnd w:id="114"/>
    </w:p>
    <w:p w14:paraId="21FA23BF">
      <w:pPr>
        <w:pStyle w:val="63"/>
        <w:spacing w:line="440" w:lineRule="exact"/>
        <w:ind w:firstLine="0" w:firstLineChars="0"/>
        <w:rPr>
          <w:rFonts w:hint="eastAsia" w:ascii="宋体" w:hAnsi="宋体"/>
          <w:bCs/>
          <w:color w:val="auto"/>
          <w:sz w:val="22"/>
          <w:szCs w:val="22"/>
          <w:highlight w:val="none"/>
        </w:rPr>
      </w:pPr>
      <w:r>
        <w:rPr>
          <w:rFonts w:hint="eastAsia" w:ascii="宋体" w:hAnsi="宋体"/>
          <w:bCs/>
          <w:color w:val="auto"/>
          <w:sz w:val="22"/>
          <w:szCs w:val="22"/>
          <w:highlight w:val="none"/>
        </w:rPr>
        <w:t>一、项目概况</w:t>
      </w:r>
    </w:p>
    <w:p w14:paraId="4A119417">
      <w:pPr>
        <w:pStyle w:val="63"/>
        <w:spacing w:line="440" w:lineRule="exact"/>
        <w:ind w:firstLine="198" w:firstLineChars="90"/>
        <w:rPr>
          <w:rFonts w:hint="eastAsia" w:ascii="宋体" w:hAnsi="宋体"/>
          <w:b w:val="0"/>
          <w:color w:val="auto"/>
          <w:sz w:val="22"/>
          <w:szCs w:val="22"/>
          <w:highlight w:val="none"/>
        </w:rPr>
      </w:pPr>
      <w:r>
        <w:rPr>
          <w:rFonts w:hint="eastAsia" w:ascii="宋体" w:hAnsi="宋体"/>
          <w:b w:val="0"/>
          <w:color w:val="auto"/>
          <w:sz w:val="22"/>
          <w:szCs w:val="22"/>
          <w:highlight w:val="none"/>
        </w:rPr>
        <w:t>1、工程名称：</w:t>
      </w:r>
      <w:r>
        <w:rPr>
          <w:rFonts w:hint="eastAsia" w:ascii="宋体" w:hAnsi="宋体" w:cs="宋体"/>
          <w:b w:val="0"/>
          <w:color w:val="auto"/>
          <w:sz w:val="22"/>
          <w:szCs w:val="22"/>
          <w:highlight w:val="none"/>
          <w:lang w:eastAsia="zh-CN"/>
        </w:rPr>
        <w:t>温州市综合行政执法局2*630kVA配电室增容改造工程</w:t>
      </w:r>
      <w:r>
        <w:rPr>
          <w:rFonts w:hint="eastAsia" w:ascii="宋体" w:hAnsi="宋体"/>
          <w:b w:val="0"/>
          <w:color w:val="auto"/>
          <w:sz w:val="22"/>
          <w:szCs w:val="22"/>
          <w:highlight w:val="none"/>
        </w:rPr>
        <w:t>，具体以工程量清单及图纸为准。</w:t>
      </w:r>
    </w:p>
    <w:p w14:paraId="1EEE7A7D">
      <w:pPr>
        <w:pStyle w:val="63"/>
        <w:spacing w:line="440" w:lineRule="exact"/>
        <w:ind w:firstLine="198" w:firstLineChars="90"/>
        <w:rPr>
          <w:rFonts w:hint="eastAsia" w:ascii="宋体" w:hAnsi="宋体"/>
          <w:b w:val="0"/>
          <w:color w:val="auto"/>
          <w:sz w:val="22"/>
          <w:szCs w:val="22"/>
          <w:highlight w:val="none"/>
        </w:rPr>
      </w:pPr>
      <w:r>
        <w:rPr>
          <w:rFonts w:hint="eastAsia" w:ascii="宋体" w:hAnsi="宋体"/>
          <w:b w:val="0"/>
          <w:color w:val="auto"/>
          <w:sz w:val="22"/>
          <w:szCs w:val="22"/>
          <w:highlight w:val="none"/>
        </w:rPr>
        <w:t>2、工程地点：</w:t>
      </w:r>
      <w:r>
        <w:rPr>
          <w:rFonts w:hint="eastAsia" w:ascii="宋体" w:hAnsi="宋体"/>
          <w:b w:val="0"/>
          <w:color w:val="auto"/>
          <w:sz w:val="22"/>
          <w:szCs w:val="22"/>
          <w:highlight w:val="none"/>
          <w:lang w:eastAsia="zh-CN"/>
        </w:rPr>
        <w:t>温州市综合行政执法局一层配电房</w:t>
      </w:r>
    </w:p>
    <w:p w14:paraId="1F317D8E">
      <w:pPr>
        <w:pStyle w:val="63"/>
        <w:spacing w:line="440" w:lineRule="exact"/>
        <w:ind w:firstLine="0" w:firstLineChars="0"/>
        <w:rPr>
          <w:rFonts w:ascii="宋体" w:hAnsi="宋体"/>
          <w:bCs/>
          <w:color w:val="auto"/>
          <w:sz w:val="22"/>
          <w:szCs w:val="22"/>
          <w:highlight w:val="none"/>
        </w:rPr>
      </w:pPr>
      <w:r>
        <w:rPr>
          <w:rFonts w:hint="eastAsia" w:ascii="宋体" w:hAnsi="宋体"/>
          <w:bCs/>
          <w:color w:val="auto"/>
          <w:sz w:val="22"/>
          <w:szCs w:val="22"/>
          <w:highlight w:val="none"/>
        </w:rPr>
        <w:t>二、工程技术规范</w:t>
      </w:r>
    </w:p>
    <w:p w14:paraId="62C6F5A0">
      <w:pPr>
        <w:pStyle w:val="63"/>
        <w:spacing w:line="440" w:lineRule="exact"/>
        <w:ind w:firstLine="440"/>
        <w:rPr>
          <w:rFonts w:ascii="宋体" w:hAnsi="宋体"/>
          <w:b w:val="0"/>
          <w:color w:val="auto"/>
          <w:sz w:val="22"/>
          <w:szCs w:val="22"/>
          <w:highlight w:val="none"/>
        </w:rPr>
      </w:pPr>
      <w:r>
        <w:rPr>
          <w:rFonts w:hint="eastAsia" w:ascii="宋体" w:hAnsi="宋体"/>
          <w:b w:val="0"/>
          <w:color w:val="auto"/>
          <w:sz w:val="22"/>
          <w:szCs w:val="22"/>
          <w:highlight w:val="none"/>
        </w:rPr>
        <w:t>依据设计施工图纸和技术文件要求，本工程项目的材料、设备、施工必须达到现行中华人民共和国及省、市、行业的一切有关法规、规范的要求。</w:t>
      </w:r>
    </w:p>
    <w:p w14:paraId="7509E73F">
      <w:pPr>
        <w:pStyle w:val="63"/>
        <w:spacing w:line="440" w:lineRule="exact"/>
        <w:ind w:firstLine="0" w:firstLineChars="0"/>
        <w:rPr>
          <w:rFonts w:hint="eastAsia" w:ascii="宋体" w:hAnsi="宋体"/>
          <w:bCs/>
          <w:color w:val="auto"/>
          <w:sz w:val="22"/>
          <w:szCs w:val="22"/>
          <w:highlight w:val="none"/>
        </w:rPr>
      </w:pPr>
      <w:bookmarkStart w:id="115" w:name="_Toc153951946"/>
      <w:r>
        <w:rPr>
          <w:rFonts w:hint="eastAsia" w:ascii="宋体" w:hAnsi="宋体"/>
          <w:bCs/>
          <w:color w:val="auto"/>
          <w:sz w:val="22"/>
          <w:szCs w:val="22"/>
          <w:highlight w:val="none"/>
        </w:rPr>
        <w:t>二、主要材料（设备）</w:t>
      </w:r>
      <w:r>
        <w:rPr>
          <w:rFonts w:hint="eastAsia" w:ascii="宋体" w:hAnsi="宋体"/>
          <w:bCs/>
          <w:color w:val="auto"/>
          <w:sz w:val="22"/>
          <w:szCs w:val="22"/>
          <w:highlight w:val="none"/>
          <w:lang w:eastAsia="zh-CN"/>
        </w:rPr>
        <w:t>技术参数、</w:t>
      </w:r>
      <w:r>
        <w:rPr>
          <w:rFonts w:hint="eastAsia" w:ascii="宋体" w:hAnsi="宋体"/>
          <w:bCs/>
          <w:color w:val="auto"/>
          <w:sz w:val="22"/>
          <w:szCs w:val="22"/>
          <w:highlight w:val="none"/>
        </w:rPr>
        <w:t>推荐品牌表</w:t>
      </w:r>
    </w:p>
    <w:p w14:paraId="3221815B">
      <w:pPr>
        <w:spacing w:line="360" w:lineRule="exact"/>
        <w:ind w:firstLine="420" w:firstLineChars="200"/>
        <w:rPr>
          <w:rFonts w:hint="eastAsia" w:ascii="宋体" w:hAnsi="宋体" w:eastAsia="宋体" w:cs="宋体"/>
          <w:vanish/>
          <w:color w:val="auto"/>
          <w:szCs w:val="21"/>
          <w:highlight w:val="none"/>
        </w:rPr>
      </w:pPr>
      <w:r>
        <w:rPr>
          <w:rFonts w:hint="eastAsia" w:ascii="宋体" w:hAnsi="宋体" w:eastAsia="宋体" w:cs="宋体"/>
          <w:vanish/>
          <w:color w:val="auto"/>
          <w:szCs w:val="21"/>
          <w:highlight w:val="none"/>
        </w:rPr>
        <w:t>详见工程量清单编制说明</w:t>
      </w:r>
    </w:p>
    <w:p w14:paraId="43924E9F">
      <w:pPr>
        <w:pStyle w:val="63"/>
        <w:spacing w:line="440" w:lineRule="exact"/>
        <w:ind w:firstLine="198" w:firstLineChars="90"/>
        <w:rPr>
          <w:rFonts w:hint="eastAsia" w:ascii="宋体" w:hAnsi="宋体"/>
          <w:b w:val="0"/>
          <w:color w:val="auto"/>
          <w:sz w:val="22"/>
          <w:szCs w:val="22"/>
          <w:highlight w:val="none"/>
          <w:lang w:val="en-US" w:eastAsia="zh-CN"/>
        </w:rPr>
      </w:pPr>
      <w:r>
        <w:rPr>
          <w:rFonts w:hint="eastAsia" w:ascii="宋体" w:hAnsi="宋体"/>
          <w:b w:val="0"/>
          <w:color w:val="auto"/>
          <w:sz w:val="22"/>
          <w:szCs w:val="22"/>
          <w:highlight w:val="none"/>
          <w:lang w:val="en-US" w:eastAsia="zh-CN"/>
        </w:rPr>
        <w:t>1、采购人对材料设备无推荐品牌要求的，供应商必须在备注栏中明确品牌、型号。若供应商未列出，在施工期间，采购人可根据工程需要提出要求，供应商必须按照采购人的要求提供材料（设备），费用差价风险由投标人自行承担。未作特别要求的材料都必须采用中档以上品牌或国内外知名厂家生产，在采购前报采购人确认，未经采购人确认的，成交供应商不得使用，否则，成交供应商须按采购人要求返工并承担由此增加的费用和（或）延误的工期。</w:t>
      </w:r>
    </w:p>
    <w:p w14:paraId="335438DB">
      <w:pPr>
        <w:pStyle w:val="63"/>
        <w:spacing w:line="440" w:lineRule="exact"/>
        <w:ind w:firstLine="198" w:firstLineChars="90"/>
        <w:rPr>
          <w:rFonts w:hint="eastAsia" w:ascii="宋体" w:hAnsi="宋体"/>
          <w:b w:val="0"/>
          <w:color w:val="auto"/>
          <w:sz w:val="22"/>
          <w:szCs w:val="22"/>
          <w:highlight w:val="none"/>
          <w:lang w:val="en-US" w:eastAsia="zh-CN"/>
        </w:rPr>
      </w:pPr>
      <w:r>
        <w:rPr>
          <w:rFonts w:hint="eastAsia" w:ascii="宋体" w:hAnsi="宋体"/>
          <w:b w:val="0"/>
          <w:color w:val="auto"/>
          <w:sz w:val="22"/>
          <w:szCs w:val="22"/>
          <w:highlight w:val="none"/>
          <w:lang w:val="en-US" w:eastAsia="zh-CN"/>
        </w:rPr>
        <w:t>2、供应商因不可抗力因素</w:t>
      </w:r>
      <w:r>
        <w:rPr>
          <w:rFonts w:hint="eastAsia" w:ascii="宋体" w:hAnsi="宋体"/>
          <w:b w:val="0"/>
          <w:color w:val="auto"/>
          <w:sz w:val="22"/>
          <w:szCs w:val="22"/>
          <w:highlight w:val="none"/>
          <w:lang w:val="en-US" w:eastAsia="zh-CN"/>
        </w:rPr>
        <w:t>而更换的，须经采购人同意方可更换。在施工过程中，材料设备必须事先经发包人确认，无论材料设备如何变化，价格均不予调整，请投标人在报价时考虑此因素。</w:t>
      </w:r>
    </w:p>
    <w:p w14:paraId="740DDC5E">
      <w:pPr>
        <w:pStyle w:val="63"/>
        <w:spacing w:line="440" w:lineRule="exact"/>
        <w:ind w:firstLine="198" w:firstLineChars="90"/>
        <w:rPr>
          <w:rFonts w:hint="eastAsia" w:ascii="宋体" w:hAnsi="宋体"/>
          <w:b w:val="0"/>
          <w:color w:val="auto"/>
          <w:sz w:val="22"/>
          <w:szCs w:val="22"/>
          <w:highlight w:val="none"/>
          <w:lang w:val="en-US" w:eastAsia="zh-CN"/>
        </w:rPr>
      </w:pPr>
      <w:r>
        <w:rPr>
          <w:rFonts w:hint="eastAsia" w:ascii="宋体" w:hAnsi="宋体"/>
          <w:b w:val="0"/>
          <w:color w:val="auto"/>
          <w:sz w:val="22"/>
          <w:szCs w:val="22"/>
          <w:highlight w:val="none"/>
          <w:lang w:val="en-US" w:eastAsia="zh-CN"/>
        </w:rPr>
        <w:t>3、设备、材料必须为全新的未使用过的正品，如发现使用假冒伪劣或已经使用过的的设备材料的，需无条件立即更换，并视作承包人违约，根据违约条款进行相应的处罚；给造成采购人损失的，承担全部赔偿责任。</w:t>
      </w:r>
    </w:p>
    <w:p w14:paraId="0C6D685C">
      <w:pPr>
        <w:pStyle w:val="63"/>
        <w:spacing w:line="440" w:lineRule="exact"/>
        <w:ind w:firstLine="198" w:firstLineChars="90"/>
        <w:rPr>
          <w:rFonts w:hint="eastAsia" w:ascii="宋体" w:hAnsi="宋体"/>
          <w:b w:val="0"/>
          <w:color w:val="auto"/>
          <w:sz w:val="22"/>
          <w:szCs w:val="22"/>
          <w:highlight w:val="none"/>
          <w:lang w:val="en-US" w:eastAsia="zh-CN"/>
        </w:rPr>
      </w:pPr>
      <w:r>
        <w:rPr>
          <w:rFonts w:hint="eastAsia" w:ascii="宋体" w:hAnsi="宋体"/>
          <w:b w:val="0"/>
          <w:color w:val="auto"/>
          <w:sz w:val="22"/>
          <w:szCs w:val="22"/>
          <w:highlight w:val="none"/>
          <w:lang w:val="en-US" w:eastAsia="zh-CN"/>
        </w:rPr>
        <w:t>4、设备材料的质量保证</w:t>
      </w:r>
    </w:p>
    <w:p w14:paraId="1F6786C2">
      <w:pPr>
        <w:pStyle w:val="63"/>
        <w:spacing w:line="440" w:lineRule="exact"/>
        <w:ind w:firstLine="198" w:firstLineChars="90"/>
        <w:rPr>
          <w:rFonts w:hint="eastAsia" w:ascii="宋体" w:hAnsi="宋体"/>
          <w:b w:val="0"/>
          <w:color w:val="auto"/>
          <w:sz w:val="22"/>
          <w:szCs w:val="22"/>
          <w:highlight w:val="none"/>
          <w:lang w:val="en-US" w:eastAsia="zh-CN"/>
        </w:rPr>
      </w:pPr>
      <w:r>
        <w:rPr>
          <w:rFonts w:hint="eastAsia" w:ascii="宋体" w:hAnsi="宋体"/>
          <w:b w:val="0"/>
          <w:color w:val="auto"/>
          <w:sz w:val="22"/>
          <w:szCs w:val="22"/>
          <w:highlight w:val="none"/>
          <w:lang w:val="en-US" w:eastAsia="zh-CN"/>
        </w:rPr>
        <w:t>（1）在施工期间和质量保修期内，承包人对有缺陷的部位必须无偿地给予修正，并承担一切由此引起的对发包人或第三者的直接损失，除非该缺陷是由于人为破坏或合同规定的不可抗因素造成的损坏。</w:t>
      </w:r>
    </w:p>
    <w:p w14:paraId="2A0919E2">
      <w:pPr>
        <w:pStyle w:val="63"/>
        <w:spacing w:line="440" w:lineRule="exact"/>
        <w:ind w:firstLine="198" w:firstLineChars="90"/>
        <w:rPr>
          <w:rFonts w:hint="eastAsia" w:ascii="宋体" w:hAnsi="宋体"/>
          <w:b w:val="0"/>
          <w:color w:val="auto"/>
          <w:sz w:val="22"/>
          <w:szCs w:val="22"/>
          <w:highlight w:val="none"/>
          <w:lang w:val="en-US" w:eastAsia="zh-CN"/>
        </w:rPr>
      </w:pPr>
      <w:r>
        <w:rPr>
          <w:rFonts w:hint="eastAsia" w:ascii="宋体" w:hAnsi="宋体"/>
          <w:b w:val="0"/>
          <w:color w:val="auto"/>
          <w:sz w:val="22"/>
          <w:szCs w:val="22"/>
          <w:highlight w:val="none"/>
          <w:lang w:val="en-US" w:eastAsia="zh-CN"/>
        </w:rPr>
        <w:t>（2）承包人应对所选用的设备材料的技术满足度和质量负全部责任，其责任不因该品牌是否为发包人推荐减轻或更改。当承包人选定的产品质量达不到设计要求和采购文件要求的技术指标时，发包人保留更换的权利，且中标价不予调整。</w:t>
      </w:r>
    </w:p>
    <w:tbl>
      <w:tblPr>
        <w:tblStyle w:val="38"/>
        <w:tblW w:w="4995" w:type="pct"/>
        <w:tblInd w:w="0" w:type="dxa"/>
        <w:tblLayout w:type="autofit"/>
        <w:tblCellMar>
          <w:top w:w="0" w:type="dxa"/>
          <w:left w:w="108" w:type="dxa"/>
          <w:bottom w:w="0" w:type="dxa"/>
          <w:right w:w="108" w:type="dxa"/>
        </w:tblCellMar>
      </w:tblPr>
      <w:tblGrid>
        <w:gridCol w:w="746"/>
        <w:gridCol w:w="1997"/>
        <w:gridCol w:w="5730"/>
        <w:gridCol w:w="1371"/>
      </w:tblGrid>
      <w:tr w14:paraId="75BEF6BD">
        <w:tblPrEx>
          <w:tblCellMar>
            <w:top w:w="0" w:type="dxa"/>
            <w:left w:w="108" w:type="dxa"/>
            <w:bottom w:w="0" w:type="dxa"/>
            <w:right w:w="108" w:type="dxa"/>
          </w:tblCellMar>
        </w:tblPrEx>
        <w:trPr>
          <w:trHeight w:val="465"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EAE1BF">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序号</w:t>
            </w:r>
          </w:p>
        </w:tc>
        <w:tc>
          <w:tcPr>
            <w:tcW w:w="1014" w:type="pct"/>
            <w:tcBorders>
              <w:top w:val="single" w:color="000000" w:sz="4" w:space="0"/>
              <w:left w:val="nil"/>
              <w:bottom w:val="single" w:color="000000" w:sz="4" w:space="0"/>
              <w:right w:val="single" w:color="auto" w:sz="4" w:space="0"/>
            </w:tcBorders>
            <w:shd w:val="clear" w:color="auto" w:fill="FFFFFF"/>
            <w:vAlign w:val="center"/>
          </w:tcPr>
          <w:p w14:paraId="19CAB8B6">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highlight w:val="none"/>
              </w:rPr>
            </w:pPr>
            <w:r>
              <w:rPr>
                <w:rFonts w:hint="eastAsia" w:ascii="宋体" w:hAnsi="宋体" w:eastAsia="宋体" w:cs="宋体"/>
                <w:b/>
                <w:bCs/>
                <w:color w:val="auto"/>
                <w:kern w:val="0"/>
                <w:sz w:val="22"/>
                <w:szCs w:val="22"/>
                <w:highlight w:val="none"/>
              </w:rPr>
              <w:t>材料名称</w:t>
            </w:r>
          </w:p>
        </w:tc>
        <w:tc>
          <w:tcPr>
            <w:tcW w:w="2909" w:type="pct"/>
            <w:tcBorders>
              <w:top w:val="single" w:color="000000" w:sz="4" w:space="0"/>
              <w:left w:val="nil"/>
              <w:bottom w:val="single" w:color="000000" w:sz="4" w:space="0"/>
              <w:right w:val="single" w:color="000000" w:sz="4" w:space="0"/>
            </w:tcBorders>
            <w:shd w:val="clear" w:color="auto" w:fill="FFFFFF"/>
            <w:vAlign w:val="center"/>
          </w:tcPr>
          <w:p w14:paraId="40A0C871">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2"/>
                <w:szCs w:val="22"/>
                <w:highlight w:val="none"/>
              </w:rPr>
            </w:pPr>
            <w:r>
              <w:rPr>
                <w:rFonts w:hint="eastAsia" w:ascii="宋体" w:hAnsi="宋体" w:cs="宋体"/>
                <w:b/>
                <w:bCs/>
                <w:color w:val="auto"/>
                <w:kern w:val="0"/>
                <w:sz w:val="22"/>
                <w:szCs w:val="22"/>
                <w:highlight w:val="none"/>
                <w:lang w:val="en-US" w:eastAsia="zh-CN"/>
              </w:rPr>
              <w:t>推荐</w:t>
            </w:r>
            <w:r>
              <w:rPr>
                <w:rFonts w:hint="eastAsia" w:ascii="宋体" w:hAnsi="宋体" w:eastAsia="宋体" w:cs="宋体"/>
                <w:b/>
                <w:bCs/>
                <w:color w:val="auto"/>
                <w:kern w:val="0"/>
                <w:sz w:val="22"/>
                <w:szCs w:val="22"/>
                <w:highlight w:val="none"/>
              </w:rPr>
              <w:t>品牌/系列</w:t>
            </w:r>
          </w:p>
        </w:tc>
        <w:tc>
          <w:tcPr>
            <w:tcW w:w="696" w:type="pct"/>
            <w:tcBorders>
              <w:top w:val="single" w:color="auto" w:sz="4" w:space="0"/>
              <w:left w:val="single" w:color="auto" w:sz="4" w:space="0"/>
              <w:bottom w:val="single" w:color="auto" w:sz="4" w:space="0"/>
              <w:right w:val="single" w:color="auto" w:sz="4" w:space="0"/>
            </w:tcBorders>
            <w:shd w:val="clear" w:color="auto" w:fill="FFFFFF"/>
            <w:vAlign w:val="center"/>
          </w:tcPr>
          <w:p w14:paraId="78709D7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highlight w:val="none"/>
                <w:lang w:eastAsia="zh-CN"/>
              </w:rPr>
            </w:pPr>
            <w:r>
              <w:rPr>
                <w:rFonts w:hint="eastAsia" w:ascii="宋体" w:hAnsi="宋体" w:cs="宋体"/>
                <w:b/>
                <w:bCs/>
                <w:color w:val="auto"/>
                <w:kern w:val="0"/>
                <w:sz w:val="22"/>
                <w:szCs w:val="22"/>
                <w:highlight w:val="none"/>
                <w:lang w:val="en-US" w:eastAsia="zh-CN"/>
              </w:rPr>
              <w:t>备注</w:t>
            </w:r>
          </w:p>
        </w:tc>
      </w:tr>
      <w:tr w14:paraId="2B3BA946">
        <w:tblPrEx>
          <w:tblCellMar>
            <w:top w:w="0" w:type="dxa"/>
            <w:left w:w="108" w:type="dxa"/>
            <w:bottom w:w="0" w:type="dxa"/>
            <w:right w:w="108" w:type="dxa"/>
          </w:tblCellMar>
        </w:tblPrEx>
        <w:trPr>
          <w:trHeight w:val="465"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703542">
            <w:pPr>
              <w:spacing w:line="48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Cs/>
                <w:color w:val="auto"/>
                <w:sz w:val="24"/>
                <w:szCs w:val="24"/>
                <w:highlight w:val="none"/>
              </w:rPr>
              <w:t>1</w:t>
            </w:r>
          </w:p>
        </w:tc>
        <w:tc>
          <w:tcPr>
            <w:tcW w:w="1014" w:type="pct"/>
            <w:tcBorders>
              <w:top w:val="single" w:color="000000" w:sz="4" w:space="0"/>
              <w:left w:val="nil"/>
              <w:bottom w:val="single" w:color="000000" w:sz="4" w:space="0"/>
              <w:right w:val="single" w:color="auto" w:sz="4" w:space="0"/>
            </w:tcBorders>
            <w:shd w:val="clear" w:color="auto" w:fill="FFFFFF"/>
            <w:vAlign w:val="center"/>
          </w:tcPr>
          <w:p w14:paraId="58E39A8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highlight w:val="none"/>
              </w:rPr>
            </w:pPr>
            <w:r>
              <w:rPr>
                <w:rFonts w:hint="eastAsia" w:eastAsia="宋体" w:cs="宋体"/>
                <w:color w:val="auto"/>
                <w:kern w:val="0"/>
                <w:highlight w:val="none"/>
                <w:lang w:val="en-US" w:eastAsia="zh-CN"/>
              </w:rPr>
              <w:t>高压柜</w:t>
            </w:r>
          </w:p>
        </w:tc>
        <w:tc>
          <w:tcPr>
            <w:tcW w:w="2909" w:type="pct"/>
            <w:tcBorders>
              <w:top w:val="single" w:color="000000" w:sz="4" w:space="0"/>
              <w:left w:val="nil"/>
              <w:bottom w:val="single" w:color="000000" w:sz="4" w:space="0"/>
              <w:right w:val="single" w:color="000000" w:sz="4" w:space="0"/>
            </w:tcBorders>
            <w:shd w:val="clear" w:color="auto" w:fill="FFFFFF"/>
            <w:vAlign w:val="center"/>
          </w:tcPr>
          <w:p w14:paraId="62387A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highlight w:val="none"/>
              </w:rPr>
            </w:pPr>
            <w:r>
              <w:rPr>
                <w:rFonts w:hint="eastAsia" w:eastAsia="宋体" w:cs="宋体"/>
                <w:color w:val="auto"/>
                <w:kern w:val="0"/>
                <w:highlight w:val="none"/>
                <w:lang w:val="en-US" w:eastAsia="zh-CN"/>
              </w:rPr>
              <w:t>施耐德、西门子、ABB</w:t>
            </w:r>
          </w:p>
        </w:tc>
        <w:tc>
          <w:tcPr>
            <w:tcW w:w="696" w:type="pct"/>
            <w:tcBorders>
              <w:top w:val="single" w:color="auto" w:sz="4" w:space="0"/>
              <w:left w:val="single" w:color="auto" w:sz="4" w:space="0"/>
              <w:bottom w:val="single" w:color="auto" w:sz="4" w:space="0"/>
              <w:right w:val="single" w:color="auto" w:sz="4" w:space="0"/>
            </w:tcBorders>
            <w:shd w:val="clear" w:color="auto" w:fill="FFFFFF"/>
            <w:vAlign w:val="center"/>
          </w:tcPr>
          <w:p w14:paraId="5BF02CEA">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highlight w:val="none"/>
              </w:rPr>
            </w:pPr>
          </w:p>
        </w:tc>
      </w:tr>
      <w:tr w14:paraId="0B380759">
        <w:tblPrEx>
          <w:tblCellMar>
            <w:top w:w="0" w:type="dxa"/>
            <w:left w:w="108" w:type="dxa"/>
            <w:bottom w:w="0" w:type="dxa"/>
            <w:right w:w="108" w:type="dxa"/>
          </w:tblCellMar>
        </w:tblPrEx>
        <w:trPr>
          <w:trHeight w:val="465"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1CFF1B">
            <w:pPr>
              <w:spacing w:line="480" w:lineRule="exact"/>
              <w:jc w:val="center"/>
              <w:rPr>
                <w:rFonts w:hint="eastAsia" w:ascii="宋体" w:hAnsi="宋体" w:eastAsia="宋体" w:cs="宋体"/>
                <w:b/>
                <w:bCs/>
                <w:color w:val="auto"/>
                <w:kern w:val="0"/>
                <w:sz w:val="22"/>
                <w:szCs w:val="22"/>
                <w:highlight w:val="none"/>
              </w:rPr>
            </w:pPr>
            <w:r>
              <w:rPr>
                <w:rFonts w:hint="eastAsia" w:ascii="宋体" w:hAnsi="宋体" w:eastAsia="宋体" w:cs="宋体"/>
                <w:bCs/>
                <w:color w:val="auto"/>
                <w:sz w:val="24"/>
                <w:szCs w:val="24"/>
                <w:highlight w:val="none"/>
                <w:lang w:val="en-US" w:eastAsia="zh-CN"/>
              </w:rPr>
              <w:t>2</w:t>
            </w:r>
          </w:p>
        </w:tc>
        <w:tc>
          <w:tcPr>
            <w:tcW w:w="1014" w:type="pct"/>
            <w:tcBorders>
              <w:top w:val="single" w:color="000000" w:sz="4" w:space="0"/>
              <w:left w:val="nil"/>
              <w:bottom w:val="single" w:color="000000" w:sz="4" w:space="0"/>
              <w:right w:val="single" w:color="auto" w:sz="4" w:space="0"/>
            </w:tcBorders>
            <w:shd w:val="clear" w:color="auto" w:fill="FFFFFF"/>
            <w:vAlign w:val="center"/>
          </w:tcPr>
          <w:p w14:paraId="244628A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highlight w:val="none"/>
              </w:rPr>
            </w:pPr>
            <w:r>
              <w:rPr>
                <w:rFonts w:hint="eastAsia" w:eastAsia="宋体" w:cs="宋体"/>
                <w:color w:val="auto"/>
                <w:kern w:val="0"/>
                <w:highlight w:val="none"/>
                <w:lang w:val="en-US" w:eastAsia="zh-CN"/>
              </w:rPr>
              <w:t>低压柜</w:t>
            </w:r>
          </w:p>
        </w:tc>
        <w:tc>
          <w:tcPr>
            <w:tcW w:w="2909" w:type="pct"/>
            <w:tcBorders>
              <w:top w:val="single" w:color="000000" w:sz="4" w:space="0"/>
              <w:left w:val="nil"/>
              <w:bottom w:val="single" w:color="000000" w:sz="4" w:space="0"/>
              <w:right w:val="single" w:color="000000" w:sz="4" w:space="0"/>
            </w:tcBorders>
            <w:shd w:val="clear" w:color="auto" w:fill="FFFFFF"/>
            <w:vAlign w:val="center"/>
          </w:tcPr>
          <w:p w14:paraId="112AF04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highlight w:val="none"/>
              </w:rPr>
            </w:pPr>
            <w:r>
              <w:rPr>
                <w:rFonts w:hint="eastAsia" w:eastAsia="宋体" w:cs="宋体"/>
                <w:color w:val="auto"/>
                <w:kern w:val="0"/>
                <w:highlight w:val="none"/>
                <w:lang w:val="en-US" w:eastAsia="zh-CN"/>
              </w:rPr>
              <w:t>浙电变、杭电制造、新胜中压</w:t>
            </w:r>
          </w:p>
        </w:tc>
        <w:tc>
          <w:tcPr>
            <w:tcW w:w="696" w:type="pct"/>
            <w:tcBorders>
              <w:top w:val="single" w:color="auto" w:sz="4" w:space="0"/>
              <w:left w:val="single" w:color="auto" w:sz="4" w:space="0"/>
              <w:bottom w:val="single" w:color="auto" w:sz="4" w:space="0"/>
              <w:right w:val="single" w:color="auto" w:sz="4" w:space="0"/>
            </w:tcBorders>
            <w:shd w:val="clear" w:color="auto" w:fill="FFFFFF"/>
            <w:vAlign w:val="center"/>
          </w:tcPr>
          <w:p w14:paraId="0C26B703">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highlight w:val="none"/>
              </w:rPr>
            </w:pPr>
          </w:p>
        </w:tc>
      </w:tr>
      <w:tr w14:paraId="382C36B7">
        <w:tblPrEx>
          <w:tblCellMar>
            <w:top w:w="0" w:type="dxa"/>
            <w:left w:w="108" w:type="dxa"/>
            <w:bottom w:w="0" w:type="dxa"/>
            <w:right w:w="108" w:type="dxa"/>
          </w:tblCellMar>
        </w:tblPrEx>
        <w:trPr>
          <w:trHeight w:val="465"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9E155E">
            <w:pPr>
              <w:spacing w:line="480" w:lineRule="exact"/>
              <w:jc w:val="center"/>
              <w:rPr>
                <w:rFonts w:hint="eastAsia" w:ascii="宋体" w:hAnsi="宋体" w:eastAsia="宋体" w:cs="宋体"/>
                <w:b/>
                <w:bCs/>
                <w:color w:val="auto"/>
                <w:kern w:val="0"/>
                <w:sz w:val="22"/>
                <w:szCs w:val="22"/>
                <w:highlight w:val="none"/>
              </w:rPr>
            </w:pPr>
            <w:r>
              <w:rPr>
                <w:rFonts w:hint="eastAsia" w:eastAsia="宋体" w:cs="宋体"/>
                <w:bCs/>
                <w:color w:val="auto"/>
                <w:sz w:val="24"/>
                <w:szCs w:val="24"/>
                <w:highlight w:val="none"/>
                <w:lang w:val="en-US" w:eastAsia="zh-CN"/>
              </w:rPr>
              <w:t>3</w:t>
            </w:r>
          </w:p>
        </w:tc>
        <w:tc>
          <w:tcPr>
            <w:tcW w:w="1014" w:type="pct"/>
            <w:tcBorders>
              <w:top w:val="single" w:color="000000" w:sz="4" w:space="0"/>
              <w:left w:val="nil"/>
              <w:bottom w:val="single" w:color="000000" w:sz="4" w:space="0"/>
              <w:right w:val="single" w:color="auto" w:sz="4" w:space="0"/>
            </w:tcBorders>
            <w:shd w:val="clear" w:color="auto" w:fill="FFFFFF"/>
            <w:vAlign w:val="center"/>
          </w:tcPr>
          <w:p w14:paraId="5B3796A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highlight w:val="none"/>
              </w:rPr>
            </w:pPr>
            <w:r>
              <w:rPr>
                <w:rFonts w:hint="eastAsia" w:eastAsia="宋体" w:cs="宋体"/>
                <w:color w:val="auto"/>
                <w:kern w:val="0"/>
                <w:highlight w:val="none"/>
                <w:lang w:val="en-US" w:eastAsia="zh-CN"/>
              </w:rPr>
              <w:t>低压主要元器件</w:t>
            </w:r>
          </w:p>
        </w:tc>
        <w:tc>
          <w:tcPr>
            <w:tcW w:w="2909" w:type="pct"/>
            <w:tcBorders>
              <w:top w:val="single" w:color="000000" w:sz="4" w:space="0"/>
              <w:left w:val="nil"/>
              <w:bottom w:val="single" w:color="000000" w:sz="4" w:space="0"/>
              <w:right w:val="single" w:color="000000" w:sz="4" w:space="0"/>
            </w:tcBorders>
            <w:shd w:val="clear" w:color="auto" w:fill="FFFFFF"/>
            <w:vAlign w:val="center"/>
          </w:tcPr>
          <w:p w14:paraId="2C9E16B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highlight w:val="none"/>
              </w:rPr>
            </w:pPr>
            <w:r>
              <w:rPr>
                <w:rFonts w:hint="eastAsia" w:eastAsia="宋体" w:cs="宋体"/>
                <w:color w:val="auto"/>
                <w:kern w:val="0"/>
                <w:highlight w:val="none"/>
                <w:lang w:val="en-US" w:eastAsia="zh-CN"/>
              </w:rPr>
              <w:t>上海人民（上联）、常熟开关、上海良信</w:t>
            </w:r>
          </w:p>
        </w:tc>
        <w:tc>
          <w:tcPr>
            <w:tcW w:w="696" w:type="pct"/>
            <w:tcBorders>
              <w:top w:val="single" w:color="auto" w:sz="4" w:space="0"/>
              <w:left w:val="single" w:color="auto" w:sz="4" w:space="0"/>
              <w:bottom w:val="single" w:color="auto" w:sz="4" w:space="0"/>
              <w:right w:val="single" w:color="auto" w:sz="4" w:space="0"/>
            </w:tcBorders>
            <w:shd w:val="clear" w:color="auto" w:fill="FFFFFF"/>
            <w:vAlign w:val="center"/>
          </w:tcPr>
          <w:p w14:paraId="6539E0FC">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highlight w:val="none"/>
              </w:rPr>
            </w:pPr>
          </w:p>
        </w:tc>
      </w:tr>
      <w:tr w14:paraId="2D2B525A">
        <w:tblPrEx>
          <w:tblCellMar>
            <w:top w:w="0" w:type="dxa"/>
            <w:left w:w="108" w:type="dxa"/>
            <w:bottom w:w="0" w:type="dxa"/>
            <w:right w:w="108" w:type="dxa"/>
          </w:tblCellMar>
        </w:tblPrEx>
        <w:trPr>
          <w:trHeight w:val="465"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5B175E">
            <w:pPr>
              <w:spacing w:line="480" w:lineRule="exact"/>
              <w:jc w:val="center"/>
              <w:rPr>
                <w:rFonts w:hint="eastAsia" w:ascii="宋体" w:hAnsi="宋体" w:eastAsia="宋体" w:cs="宋体"/>
                <w:b/>
                <w:bCs/>
                <w:color w:val="auto"/>
                <w:kern w:val="0"/>
                <w:sz w:val="22"/>
                <w:szCs w:val="22"/>
                <w:highlight w:val="none"/>
              </w:rPr>
            </w:pPr>
            <w:r>
              <w:rPr>
                <w:rFonts w:hint="eastAsia" w:eastAsia="宋体" w:cs="宋体"/>
                <w:bCs/>
                <w:color w:val="auto"/>
                <w:sz w:val="24"/>
                <w:szCs w:val="24"/>
                <w:highlight w:val="none"/>
                <w:lang w:val="en-US" w:eastAsia="zh-CN"/>
              </w:rPr>
              <w:t>4</w:t>
            </w:r>
          </w:p>
        </w:tc>
        <w:tc>
          <w:tcPr>
            <w:tcW w:w="1014" w:type="pct"/>
            <w:tcBorders>
              <w:top w:val="single" w:color="000000" w:sz="4" w:space="0"/>
              <w:left w:val="nil"/>
              <w:bottom w:val="single" w:color="000000" w:sz="4" w:space="0"/>
              <w:right w:val="single" w:color="auto" w:sz="4" w:space="0"/>
            </w:tcBorders>
            <w:shd w:val="clear" w:color="auto" w:fill="FFFFFF"/>
            <w:vAlign w:val="center"/>
          </w:tcPr>
          <w:p w14:paraId="00DC21F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2"/>
                <w:szCs w:val="22"/>
                <w:highlight w:val="none"/>
              </w:rPr>
            </w:pPr>
            <w:r>
              <w:rPr>
                <w:rFonts w:hint="eastAsia" w:eastAsia="宋体" w:cs="宋体"/>
                <w:color w:val="auto"/>
                <w:kern w:val="0"/>
                <w:highlight w:val="none"/>
                <w:lang w:val="en-US" w:eastAsia="zh-CN"/>
              </w:rPr>
              <w:t>变压器</w:t>
            </w:r>
          </w:p>
        </w:tc>
        <w:tc>
          <w:tcPr>
            <w:tcW w:w="2909" w:type="pct"/>
            <w:tcBorders>
              <w:top w:val="single" w:color="000000" w:sz="4" w:space="0"/>
              <w:left w:val="nil"/>
              <w:bottom w:val="single" w:color="000000" w:sz="4" w:space="0"/>
              <w:right w:val="single" w:color="000000" w:sz="4" w:space="0"/>
            </w:tcBorders>
            <w:shd w:val="clear" w:color="auto" w:fill="FFFFFF"/>
            <w:vAlign w:val="center"/>
          </w:tcPr>
          <w:p w14:paraId="33CB632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highlight w:val="none"/>
              </w:rPr>
            </w:pPr>
            <w:r>
              <w:rPr>
                <w:rFonts w:hint="eastAsia" w:eastAsia="宋体" w:cs="宋体"/>
                <w:color w:val="auto"/>
                <w:kern w:val="0"/>
                <w:highlight w:val="none"/>
                <w:lang w:val="en-US" w:eastAsia="zh-CN"/>
              </w:rPr>
              <w:t>浙电变、杭电制造、新胜中压</w:t>
            </w:r>
          </w:p>
        </w:tc>
        <w:tc>
          <w:tcPr>
            <w:tcW w:w="696" w:type="pct"/>
            <w:tcBorders>
              <w:top w:val="single" w:color="auto" w:sz="4" w:space="0"/>
              <w:left w:val="single" w:color="auto" w:sz="4" w:space="0"/>
              <w:bottom w:val="single" w:color="auto" w:sz="4" w:space="0"/>
              <w:right w:val="single" w:color="auto" w:sz="4" w:space="0"/>
            </w:tcBorders>
            <w:shd w:val="clear" w:color="auto" w:fill="FFFFFF"/>
            <w:vAlign w:val="center"/>
          </w:tcPr>
          <w:p w14:paraId="55D3F1DD">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highlight w:val="none"/>
              </w:rPr>
            </w:pPr>
          </w:p>
        </w:tc>
      </w:tr>
      <w:tr w14:paraId="46BDD6B3">
        <w:tblPrEx>
          <w:tblCellMar>
            <w:top w:w="0" w:type="dxa"/>
            <w:left w:w="108" w:type="dxa"/>
            <w:bottom w:w="0" w:type="dxa"/>
            <w:right w:w="108" w:type="dxa"/>
          </w:tblCellMar>
        </w:tblPrEx>
        <w:trPr>
          <w:trHeight w:val="465"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D41CCCB">
            <w:pPr>
              <w:spacing w:line="360" w:lineRule="auto"/>
              <w:jc w:val="center"/>
              <w:rPr>
                <w:rFonts w:hint="eastAsia" w:ascii="宋体" w:hAnsi="宋体" w:eastAsia="宋体" w:cs="宋体"/>
                <w:b/>
                <w:bCs/>
                <w:color w:val="auto"/>
                <w:kern w:val="0"/>
                <w:sz w:val="22"/>
                <w:szCs w:val="22"/>
                <w:highlight w:val="none"/>
              </w:rPr>
            </w:pPr>
            <w:r>
              <w:rPr>
                <w:rFonts w:hint="eastAsia" w:eastAsia="宋体" w:cs="宋体"/>
                <w:bCs/>
                <w:color w:val="auto"/>
                <w:sz w:val="24"/>
                <w:szCs w:val="24"/>
                <w:highlight w:val="none"/>
                <w:lang w:val="en-US" w:eastAsia="zh-CN"/>
              </w:rPr>
              <w:t>5</w:t>
            </w:r>
          </w:p>
        </w:tc>
        <w:tc>
          <w:tcPr>
            <w:tcW w:w="1014" w:type="pct"/>
            <w:tcBorders>
              <w:top w:val="single" w:color="000000" w:sz="4" w:space="0"/>
              <w:left w:val="nil"/>
              <w:bottom w:val="single" w:color="000000" w:sz="4" w:space="0"/>
              <w:right w:val="single" w:color="auto" w:sz="4" w:space="0"/>
            </w:tcBorders>
            <w:shd w:val="clear" w:color="auto" w:fill="FFFFFF"/>
            <w:vAlign w:val="center"/>
          </w:tcPr>
          <w:p w14:paraId="34D536D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kern w:val="0"/>
                <w:sz w:val="22"/>
                <w:szCs w:val="22"/>
                <w:highlight w:val="none"/>
              </w:rPr>
            </w:pPr>
            <w:r>
              <w:rPr>
                <w:rFonts w:hint="eastAsia" w:eastAsia="宋体" w:cs="宋体"/>
                <w:color w:val="auto"/>
                <w:kern w:val="0"/>
                <w:highlight w:val="none"/>
                <w:lang w:val="en-US" w:eastAsia="zh-CN"/>
              </w:rPr>
              <w:t>电容及SVG</w:t>
            </w:r>
          </w:p>
        </w:tc>
        <w:tc>
          <w:tcPr>
            <w:tcW w:w="2909" w:type="pct"/>
            <w:tcBorders>
              <w:top w:val="single" w:color="000000" w:sz="4" w:space="0"/>
              <w:left w:val="nil"/>
              <w:bottom w:val="single" w:color="000000" w:sz="4" w:space="0"/>
              <w:right w:val="single" w:color="000000" w:sz="4" w:space="0"/>
            </w:tcBorders>
            <w:shd w:val="clear" w:color="auto" w:fill="FFFFFF"/>
            <w:vAlign w:val="center"/>
          </w:tcPr>
          <w:p w14:paraId="2953443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highlight w:val="none"/>
              </w:rPr>
            </w:pPr>
            <w:r>
              <w:rPr>
                <w:rFonts w:hint="eastAsia" w:eastAsia="宋体" w:cs="宋体"/>
                <w:color w:val="auto"/>
                <w:kern w:val="0"/>
                <w:highlight w:val="none"/>
                <w:lang w:val="en-US" w:eastAsia="zh-CN"/>
              </w:rPr>
              <w:t>南德电气、晟泰电气、亿德科技</w:t>
            </w:r>
          </w:p>
        </w:tc>
        <w:tc>
          <w:tcPr>
            <w:tcW w:w="696" w:type="pct"/>
            <w:tcBorders>
              <w:top w:val="single" w:color="auto" w:sz="4" w:space="0"/>
              <w:left w:val="single" w:color="auto" w:sz="4" w:space="0"/>
              <w:bottom w:val="single" w:color="auto" w:sz="4" w:space="0"/>
              <w:right w:val="single" w:color="auto" w:sz="4" w:space="0"/>
            </w:tcBorders>
            <w:shd w:val="clear" w:color="auto" w:fill="FFFFFF"/>
            <w:vAlign w:val="center"/>
          </w:tcPr>
          <w:p w14:paraId="3F104E70">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auto"/>
                <w:kern w:val="0"/>
                <w:sz w:val="22"/>
                <w:szCs w:val="22"/>
                <w:highlight w:val="none"/>
              </w:rPr>
            </w:pPr>
          </w:p>
        </w:tc>
      </w:tr>
      <w:tr w14:paraId="58A8BD05">
        <w:tblPrEx>
          <w:tblCellMar>
            <w:top w:w="0" w:type="dxa"/>
            <w:left w:w="108" w:type="dxa"/>
            <w:bottom w:w="0" w:type="dxa"/>
            <w:right w:w="108" w:type="dxa"/>
          </w:tblCellMar>
        </w:tblPrEx>
        <w:trPr>
          <w:trHeight w:val="465" w:hRule="atLeast"/>
        </w:trPr>
        <w:tc>
          <w:tcPr>
            <w:tcW w:w="37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58769D6">
            <w:pPr>
              <w:spacing w:line="360" w:lineRule="auto"/>
              <w:jc w:val="center"/>
              <w:rPr>
                <w:rFonts w:hint="eastAsia" w:ascii="宋体" w:hAnsi="宋体" w:eastAsia="宋体" w:cs="宋体"/>
                <w:b/>
                <w:bCs/>
                <w:color w:val="auto"/>
                <w:kern w:val="0"/>
                <w:sz w:val="22"/>
                <w:szCs w:val="22"/>
                <w:highlight w:val="none"/>
              </w:rPr>
            </w:pPr>
            <w:r>
              <w:rPr>
                <w:rFonts w:hint="eastAsia" w:eastAsia="宋体" w:cs="宋体"/>
                <w:bCs/>
                <w:color w:val="auto"/>
                <w:sz w:val="24"/>
                <w:szCs w:val="24"/>
                <w:highlight w:val="none"/>
                <w:lang w:val="en-US" w:eastAsia="zh-CN"/>
              </w:rPr>
              <w:t>6</w:t>
            </w:r>
          </w:p>
        </w:tc>
        <w:tc>
          <w:tcPr>
            <w:tcW w:w="1014" w:type="pct"/>
            <w:tcBorders>
              <w:top w:val="single" w:color="000000" w:sz="4" w:space="0"/>
              <w:left w:val="nil"/>
              <w:bottom w:val="single" w:color="000000" w:sz="4" w:space="0"/>
              <w:right w:val="single" w:color="auto" w:sz="4" w:space="0"/>
            </w:tcBorders>
            <w:shd w:val="clear" w:color="auto" w:fill="FFFFFF"/>
            <w:vAlign w:val="center"/>
          </w:tcPr>
          <w:p w14:paraId="01EAE5EE">
            <w:pPr>
              <w:keepNext/>
              <w:spacing w:line="520" w:lineRule="exact"/>
              <w:jc w:val="center"/>
              <w:rPr>
                <w:rFonts w:hint="eastAsia" w:ascii="宋体" w:hAnsi="宋体" w:eastAsia="宋体" w:cs="宋体"/>
                <w:color w:val="auto"/>
                <w:sz w:val="22"/>
                <w:szCs w:val="22"/>
                <w:highlight w:val="none"/>
              </w:rPr>
            </w:pPr>
            <w:r>
              <w:rPr>
                <w:rFonts w:hint="eastAsia" w:eastAsia="宋体" w:cs="Times New Roman"/>
                <w:color w:val="auto"/>
                <w:kern w:val="0"/>
                <w:highlight w:val="none"/>
                <w:lang w:val="en-US" w:eastAsia="zh-CN"/>
              </w:rPr>
              <w:t>桥架、母线</w:t>
            </w:r>
          </w:p>
        </w:tc>
        <w:tc>
          <w:tcPr>
            <w:tcW w:w="2909" w:type="pct"/>
            <w:tcBorders>
              <w:top w:val="single" w:color="000000" w:sz="4" w:space="0"/>
              <w:left w:val="nil"/>
              <w:bottom w:val="single" w:color="000000" w:sz="4" w:space="0"/>
              <w:right w:val="single" w:color="000000" w:sz="4" w:space="0"/>
            </w:tcBorders>
            <w:shd w:val="clear" w:color="auto" w:fill="FFFFFF"/>
            <w:vAlign w:val="center"/>
          </w:tcPr>
          <w:p w14:paraId="6118811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auto"/>
                <w:sz w:val="22"/>
                <w:szCs w:val="22"/>
                <w:highlight w:val="none"/>
              </w:rPr>
            </w:pPr>
            <w:r>
              <w:rPr>
                <w:rFonts w:hint="eastAsia" w:cs="宋体"/>
                <w:color w:val="auto"/>
                <w:kern w:val="0"/>
                <w:highlight w:val="none"/>
                <w:lang w:val="en-US" w:eastAsia="zh-CN"/>
              </w:rPr>
              <w:t>浙江桥母电气、正泰、乐清中建</w:t>
            </w:r>
          </w:p>
        </w:tc>
        <w:tc>
          <w:tcPr>
            <w:tcW w:w="696" w:type="pct"/>
            <w:tcBorders>
              <w:top w:val="single" w:color="auto" w:sz="4" w:space="0"/>
              <w:left w:val="single" w:color="auto" w:sz="4" w:space="0"/>
              <w:bottom w:val="single" w:color="auto" w:sz="4" w:space="0"/>
              <w:right w:val="single" w:color="auto" w:sz="4" w:space="0"/>
            </w:tcBorders>
            <w:shd w:val="clear" w:color="auto" w:fill="FFFFFF"/>
            <w:vAlign w:val="center"/>
          </w:tcPr>
          <w:p w14:paraId="727CDF77">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default" w:ascii="宋体" w:hAnsi="宋体" w:eastAsia="宋体" w:cs="宋体"/>
                <w:b/>
                <w:bCs/>
                <w:color w:val="auto"/>
                <w:kern w:val="0"/>
                <w:sz w:val="22"/>
                <w:szCs w:val="22"/>
                <w:highlight w:val="none"/>
                <w:lang w:val="en-US" w:eastAsia="zh-CN"/>
              </w:rPr>
            </w:pPr>
          </w:p>
        </w:tc>
      </w:tr>
    </w:tbl>
    <w:p w14:paraId="48379E0D">
      <w:pPr>
        <w:pStyle w:val="63"/>
        <w:spacing w:line="440" w:lineRule="exact"/>
        <w:ind w:firstLine="198" w:firstLineChars="90"/>
        <w:rPr>
          <w:rFonts w:hint="eastAsia" w:ascii="宋体" w:hAnsi="宋体"/>
          <w:b w:val="0"/>
          <w:color w:val="auto"/>
          <w:sz w:val="22"/>
          <w:szCs w:val="22"/>
          <w:highlight w:val="none"/>
          <w:u w:val="single"/>
          <w:lang w:val="en-US" w:eastAsia="zh-CN"/>
        </w:rPr>
      </w:pPr>
      <w:r>
        <w:rPr>
          <w:rFonts w:hint="eastAsia" w:ascii="宋体" w:hAnsi="宋体"/>
          <w:b w:val="0"/>
          <w:color w:val="auto"/>
          <w:sz w:val="22"/>
          <w:szCs w:val="22"/>
          <w:highlight w:val="none"/>
          <w:u w:val="single"/>
          <w:lang w:val="en-US" w:eastAsia="zh-CN"/>
        </w:rPr>
        <w:t>注：除采购文件明确的品牌外，欢迎其他能满足本项目技术需求且性能与所明确品牌相当的产品参加；投标时响应的品牌（包括未选或多选的）未达到所明确品牌技术需求、性能的，采购人将有权按照推荐品牌一览表中的品牌任选其一供施工使用，且投标报价不予调整。</w:t>
      </w:r>
    </w:p>
    <w:p w14:paraId="49A109B1">
      <w:pPr>
        <w:pStyle w:val="63"/>
        <w:spacing w:line="440" w:lineRule="exact"/>
        <w:ind w:firstLine="198" w:firstLineChars="90"/>
        <w:rPr>
          <w:rFonts w:hint="eastAsia" w:ascii="宋体" w:hAnsi="宋体"/>
          <w:b w:val="0"/>
          <w:color w:val="auto"/>
          <w:sz w:val="22"/>
          <w:szCs w:val="22"/>
          <w:highlight w:val="none"/>
          <w:u w:val="single"/>
          <w:lang w:val="en-US" w:eastAsia="zh-CN"/>
        </w:rPr>
      </w:pPr>
      <w:r>
        <w:rPr>
          <w:rFonts w:hint="eastAsia" w:ascii="宋体" w:hAnsi="宋体"/>
          <w:b w:val="0"/>
          <w:color w:val="auto"/>
          <w:sz w:val="22"/>
          <w:szCs w:val="22"/>
          <w:highlight w:val="none"/>
          <w:u w:val="single"/>
          <w:lang w:val="en-US" w:eastAsia="zh-CN"/>
        </w:rPr>
        <w:t>凡是招标文件注明规格、型号或相当于的厂家（品牌、产地）的材料，承包人必须按照招标文件要求优先采购和施工，若遇市场上已无备选品牌或相当于品牌产品销售时，必须经发包人同意后方可使用，否则由此引起的后果由承包人承担。若某设备材料的品牌与厂家存在同名时，以品牌为先。</w:t>
      </w:r>
    </w:p>
    <w:p w14:paraId="78689772">
      <w:pPr>
        <w:pStyle w:val="63"/>
        <w:spacing w:line="440" w:lineRule="exact"/>
        <w:ind w:firstLine="0" w:firstLineChars="0"/>
        <w:rPr>
          <w:rFonts w:hint="eastAsia"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三、工程管理要求</w:t>
      </w:r>
    </w:p>
    <w:p w14:paraId="35AB311A">
      <w:pPr>
        <w:pStyle w:val="63"/>
        <w:spacing w:line="440" w:lineRule="exact"/>
        <w:ind w:firstLine="198" w:firstLineChars="90"/>
        <w:rPr>
          <w:rFonts w:hint="eastAsia" w:ascii="宋体" w:hAnsi="宋体"/>
          <w:b w:val="0"/>
          <w:color w:val="auto"/>
          <w:sz w:val="22"/>
          <w:szCs w:val="22"/>
          <w:highlight w:val="none"/>
          <w:lang w:val="en-US" w:eastAsia="zh-CN"/>
        </w:rPr>
      </w:pPr>
      <w:r>
        <w:rPr>
          <w:rFonts w:hint="eastAsia" w:ascii="宋体" w:hAnsi="宋体"/>
          <w:b w:val="0"/>
          <w:color w:val="auto"/>
          <w:sz w:val="22"/>
          <w:szCs w:val="22"/>
          <w:highlight w:val="none"/>
          <w:lang w:val="en-US" w:eastAsia="zh-CN"/>
        </w:rPr>
        <w:t>1、 本工程发包范围内的工程项目，未经发包人同意一律不得分包。一经发现立即取消承包资格，作违约处理，并承担由此引起的一切经济损失。</w:t>
      </w:r>
    </w:p>
    <w:p w14:paraId="72540CEC">
      <w:pPr>
        <w:pStyle w:val="63"/>
        <w:spacing w:line="440" w:lineRule="exact"/>
        <w:ind w:firstLine="198" w:firstLineChars="90"/>
        <w:rPr>
          <w:rFonts w:hint="eastAsia" w:ascii="宋体" w:hAnsi="宋体"/>
          <w:b w:val="0"/>
          <w:color w:val="auto"/>
          <w:sz w:val="22"/>
          <w:szCs w:val="22"/>
          <w:highlight w:val="none"/>
          <w:lang w:val="en-US" w:eastAsia="zh-CN"/>
        </w:rPr>
      </w:pPr>
      <w:r>
        <w:rPr>
          <w:rFonts w:hint="eastAsia" w:ascii="宋体" w:hAnsi="宋体"/>
          <w:b w:val="0"/>
          <w:color w:val="auto"/>
          <w:sz w:val="22"/>
          <w:szCs w:val="22"/>
          <w:highlight w:val="none"/>
          <w:lang w:val="en-US" w:eastAsia="zh-CN"/>
        </w:rPr>
        <w:t>2、 承包人应严格按已确认设计图纸和施工技术方案组织施工，并无条件地接受发包人对施工质量的监督和管理。</w:t>
      </w:r>
    </w:p>
    <w:p w14:paraId="6189B3DA">
      <w:pPr>
        <w:pStyle w:val="63"/>
        <w:spacing w:line="440" w:lineRule="exact"/>
        <w:ind w:firstLine="198" w:firstLineChars="90"/>
        <w:rPr>
          <w:rFonts w:hint="eastAsia" w:ascii="宋体" w:hAnsi="宋体"/>
          <w:b w:val="0"/>
          <w:color w:val="auto"/>
          <w:sz w:val="22"/>
          <w:szCs w:val="22"/>
          <w:highlight w:val="none"/>
          <w:lang w:val="en-US" w:eastAsia="zh-CN"/>
        </w:rPr>
      </w:pPr>
      <w:r>
        <w:rPr>
          <w:rFonts w:hint="eastAsia" w:ascii="宋体" w:hAnsi="宋体"/>
          <w:b w:val="0"/>
          <w:color w:val="auto"/>
          <w:sz w:val="22"/>
          <w:szCs w:val="22"/>
          <w:highlight w:val="none"/>
          <w:lang w:val="en-US" w:eastAsia="zh-CN"/>
        </w:rPr>
        <w:t>3.供应商在磋商响应文件中的承诺的管理人员未经发包人同意，承包人不得调换和撤离，并按工程进度及时到位。发包人有权要求承包人撤换工作不负责任、管理不力、贻误工期和造成严重的安全事故和工程质量事故、违法乱纪的专业技术、管理人员直至技术负责人，直至发包人满意为止。如相应资质的专业技术人员未按要求到位，视作违约，发包人有权单方面终止合同。</w:t>
      </w:r>
    </w:p>
    <w:p w14:paraId="25F5CE60">
      <w:pPr>
        <w:pStyle w:val="63"/>
        <w:spacing w:line="440" w:lineRule="exact"/>
        <w:ind w:firstLine="198" w:firstLineChars="90"/>
        <w:rPr>
          <w:rFonts w:hint="eastAsia" w:ascii="宋体" w:hAnsi="宋体"/>
          <w:b w:val="0"/>
          <w:color w:val="auto"/>
          <w:sz w:val="22"/>
          <w:szCs w:val="22"/>
          <w:highlight w:val="none"/>
          <w:lang w:val="en-US" w:eastAsia="zh-CN"/>
        </w:rPr>
      </w:pPr>
      <w:r>
        <w:rPr>
          <w:rFonts w:hint="eastAsia" w:ascii="宋体" w:hAnsi="宋体"/>
          <w:b w:val="0"/>
          <w:color w:val="auto"/>
          <w:sz w:val="22"/>
          <w:szCs w:val="22"/>
          <w:highlight w:val="none"/>
          <w:lang w:val="en-US" w:eastAsia="zh-CN"/>
        </w:rPr>
        <w:t>4.项目经理、技术负责人到位率应在80％以上，其它管理人员到位率应在100％。</w:t>
      </w:r>
    </w:p>
    <w:p w14:paraId="0B2ED756">
      <w:pPr>
        <w:pStyle w:val="63"/>
        <w:spacing w:line="440" w:lineRule="exact"/>
        <w:ind w:firstLine="198" w:firstLineChars="90"/>
        <w:rPr>
          <w:rFonts w:hint="eastAsia" w:ascii="宋体" w:hAnsi="宋体"/>
          <w:b w:val="0"/>
          <w:color w:val="auto"/>
          <w:sz w:val="22"/>
          <w:szCs w:val="22"/>
          <w:highlight w:val="none"/>
          <w:lang w:val="en-US" w:eastAsia="zh-CN"/>
        </w:rPr>
      </w:pPr>
      <w:r>
        <w:rPr>
          <w:rFonts w:hint="eastAsia" w:ascii="宋体" w:hAnsi="宋体"/>
          <w:b w:val="0"/>
          <w:color w:val="auto"/>
          <w:sz w:val="22"/>
          <w:szCs w:val="22"/>
          <w:highlight w:val="none"/>
          <w:lang w:val="en-US" w:eastAsia="zh-CN"/>
        </w:rPr>
        <w:t>5.成交供应商在施工期间，应严格执行本市有关建设工程安全、文明施工的规定，由于管理不善引起政府有关部门罚款或责令停工整改等，其发生的费用或导致的损失应由成交供应商自行承担，在成交供应商整改前采购人保留因此而缓付工程进度款的权利，且采购人保留因此而缓付工程进度款的权利。</w:t>
      </w:r>
    </w:p>
    <w:p w14:paraId="3C41DF3A">
      <w:pPr>
        <w:pStyle w:val="63"/>
        <w:spacing w:line="440" w:lineRule="exact"/>
        <w:ind w:firstLine="198" w:firstLineChars="90"/>
        <w:rPr>
          <w:rFonts w:hint="eastAsia" w:ascii="宋体" w:hAnsi="宋体"/>
          <w:b w:val="0"/>
          <w:color w:val="auto"/>
          <w:sz w:val="22"/>
          <w:szCs w:val="22"/>
          <w:highlight w:val="none"/>
          <w:lang w:val="en-US" w:eastAsia="zh-CN"/>
        </w:rPr>
      </w:pPr>
      <w:r>
        <w:rPr>
          <w:rFonts w:hint="eastAsia" w:ascii="宋体" w:hAnsi="宋体"/>
          <w:b w:val="0"/>
          <w:color w:val="auto"/>
          <w:sz w:val="22"/>
          <w:szCs w:val="22"/>
          <w:highlight w:val="none"/>
          <w:lang w:val="en-US" w:eastAsia="zh-CN"/>
        </w:rPr>
        <w:t>6.采购人对文明施工的要求：按有关规定做好文明施工，保证施工场地清洁，符合环境卫生管理要求，承担自身原因造成的损失和罚款。</w:t>
      </w:r>
    </w:p>
    <w:p w14:paraId="32047BCC">
      <w:pPr>
        <w:pStyle w:val="63"/>
        <w:spacing w:line="440" w:lineRule="exact"/>
        <w:ind w:firstLine="0" w:firstLineChars="0"/>
        <w:rPr>
          <w:rFonts w:hint="eastAsia" w:ascii="宋体" w:hAnsi="宋体"/>
          <w:bCs/>
          <w:color w:val="auto"/>
          <w:sz w:val="22"/>
          <w:szCs w:val="22"/>
          <w:highlight w:val="none"/>
          <w:lang w:val="en-US" w:eastAsia="zh-CN"/>
        </w:rPr>
      </w:pPr>
      <w:r>
        <w:rPr>
          <w:rFonts w:hint="eastAsia" w:ascii="宋体" w:hAnsi="宋体"/>
          <w:bCs/>
          <w:color w:val="auto"/>
          <w:sz w:val="22"/>
          <w:szCs w:val="22"/>
          <w:highlight w:val="none"/>
          <w:lang w:val="en-US" w:eastAsia="zh-CN"/>
        </w:rPr>
        <w:t>四、验收要求</w:t>
      </w:r>
    </w:p>
    <w:p w14:paraId="6762A451">
      <w:pPr>
        <w:pStyle w:val="63"/>
        <w:spacing w:line="440" w:lineRule="exact"/>
        <w:ind w:firstLine="415" w:firstLineChars="189"/>
        <w:rPr>
          <w:rFonts w:hint="eastAsia" w:ascii="宋体" w:hAnsi="宋体"/>
          <w:b w:val="0"/>
          <w:color w:val="auto"/>
          <w:sz w:val="22"/>
          <w:szCs w:val="22"/>
          <w:highlight w:val="none"/>
          <w:lang w:val="en-US" w:eastAsia="zh-CN"/>
        </w:rPr>
      </w:pPr>
      <w:r>
        <w:rPr>
          <w:rFonts w:hint="eastAsia" w:ascii="宋体" w:hAnsi="宋体"/>
          <w:b w:val="0"/>
          <w:color w:val="auto"/>
          <w:sz w:val="22"/>
          <w:szCs w:val="22"/>
          <w:highlight w:val="none"/>
          <w:lang w:val="en-US" w:eastAsia="zh-CN"/>
        </w:rPr>
        <w:t>供应商按设计图纸进行施工，满足设计图纸的要求直至通过采购人组织的验收，验收过程中，如有不满足设计图纸、磋商文件规定要求及不符合国家相关规范要求的，由供应商负责整改，费用自理。</w:t>
      </w:r>
    </w:p>
    <w:p w14:paraId="0A5319AD">
      <w:pPr>
        <w:pStyle w:val="63"/>
        <w:spacing w:line="440" w:lineRule="exact"/>
        <w:ind w:firstLine="0" w:firstLineChars="0"/>
        <w:rPr>
          <w:rFonts w:ascii="宋体" w:hAnsi="宋体"/>
          <w:bCs/>
          <w:color w:val="auto"/>
          <w:sz w:val="22"/>
          <w:szCs w:val="22"/>
          <w:highlight w:val="none"/>
        </w:rPr>
      </w:pPr>
      <w:r>
        <w:rPr>
          <w:rFonts w:hint="eastAsia" w:ascii="宋体" w:hAnsi="宋体"/>
          <w:bCs/>
          <w:color w:val="auto"/>
          <w:sz w:val="22"/>
          <w:szCs w:val="22"/>
          <w:highlight w:val="none"/>
          <w:lang w:val="en-US" w:eastAsia="zh-CN"/>
        </w:rPr>
        <w:t>五</w:t>
      </w:r>
      <w:r>
        <w:rPr>
          <w:rFonts w:hint="eastAsia" w:ascii="宋体" w:hAnsi="宋体"/>
          <w:bCs/>
          <w:color w:val="auto"/>
          <w:sz w:val="22"/>
          <w:szCs w:val="22"/>
          <w:highlight w:val="none"/>
        </w:rPr>
        <w:t>、工期要求</w:t>
      </w:r>
      <w:bookmarkEnd w:id="115"/>
    </w:p>
    <w:p w14:paraId="227639F1">
      <w:pPr>
        <w:pStyle w:val="63"/>
        <w:spacing w:line="440" w:lineRule="exact"/>
        <w:ind w:firstLine="432"/>
        <w:rPr>
          <w:rFonts w:ascii="宋体" w:hAnsi="宋体"/>
          <w:b w:val="0"/>
          <w:color w:val="auto"/>
          <w:spacing w:val="-2"/>
          <w:sz w:val="22"/>
          <w:szCs w:val="22"/>
          <w:highlight w:val="none"/>
        </w:rPr>
      </w:pPr>
      <w:r>
        <w:rPr>
          <w:rFonts w:hint="eastAsia" w:ascii="宋体" w:hAnsi="宋体"/>
          <w:b w:val="0"/>
          <w:color w:val="auto"/>
          <w:spacing w:val="-2"/>
          <w:sz w:val="22"/>
          <w:szCs w:val="22"/>
          <w:highlight w:val="none"/>
        </w:rPr>
        <w:t>本工程工期：</w:t>
      </w:r>
      <w:r>
        <w:rPr>
          <w:rFonts w:hint="eastAsia" w:ascii="宋体" w:hAnsi="宋体"/>
          <w:bCs/>
          <w:color w:val="auto"/>
          <w:spacing w:val="-2"/>
          <w:sz w:val="22"/>
          <w:szCs w:val="22"/>
          <w:highlight w:val="none"/>
          <w:u w:val="single"/>
          <w:lang w:val="en-US" w:eastAsia="zh-CN"/>
        </w:rPr>
        <w:t>35</w:t>
      </w:r>
      <w:r>
        <w:rPr>
          <w:rFonts w:hint="eastAsia" w:ascii="宋体" w:hAnsi="宋体"/>
          <w:bCs/>
          <w:color w:val="auto"/>
          <w:spacing w:val="-2"/>
          <w:sz w:val="22"/>
          <w:szCs w:val="22"/>
          <w:highlight w:val="none"/>
          <w:u w:val="single"/>
        </w:rPr>
        <w:t>个日历天内完工</w:t>
      </w:r>
      <w:r>
        <w:rPr>
          <w:rFonts w:hint="eastAsia" w:ascii="宋体" w:hAnsi="宋体"/>
          <w:bCs/>
          <w:color w:val="auto"/>
          <w:spacing w:val="-2"/>
          <w:sz w:val="22"/>
          <w:szCs w:val="22"/>
          <w:highlight w:val="none"/>
          <w:u w:val="single"/>
          <w:lang w:eastAsia="zh-CN"/>
        </w:rPr>
        <w:t>（材料备货</w:t>
      </w:r>
      <w:r>
        <w:rPr>
          <w:rFonts w:hint="eastAsia" w:ascii="宋体" w:hAnsi="宋体"/>
          <w:bCs/>
          <w:color w:val="auto"/>
          <w:spacing w:val="-2"/>
          <w:sz w:val="22"/>
          <w:szCs w:val="22"/>
          <w:highlight w:val="none"/>
          <w:u w:val="single"/>
          <w:lang w:val="en-US" w:eastAsia="zh-CN"/>
        </w:rPr>
        <w:t>20</w:t>
      </w:r>
      <w:r>
        <w:rPr>
          <w:rFonts w:hint="eastAsia" w:ascii="宋体" w:hAnsi="宋体"/>
          <w:bCs/>
          <w:color w:val="auto"/>
          <w:spacing w:val="-2"/>
          <w:sz w:val="22"/>
          <w:szCs w:val="22"/>
          <w:highlight w:val="none"/>
          <w:u w:val="single"/>
        </w:rPr>
        <w:t>日历天</w:t>
      </w:r>
      <w:r>
        <w:rPr>
          <w:rFonts w:hint="eastAsia" w:ascii="宋体" w:hAnsi="宋体"/>
          <w:bCs/>
          <w:color w:val="auto"/>
          <w:spacing w:val="-2"/>
          <w:sz w:val="22"/>
          <w:szCs w:val="22"/>
          <w:highlight w:val="none"/>
          <w:u w:val="single"/>
          <w:lang w:eastAsia="zh-CN"/>
        </w:rPr>
        <w:t>，施工工期</w:t>
      </w:r>
      <w:r>
        <w:rPr>
          <w:rFonts w:hint="eastAsia" w:ascii="宋体" w:hAnsi="宋体"/>
          <w:bCs/>
          <w:color w:val="auto"/>
          <w:spacing w:val="-2"/>
          <w:sz w:val="22"/>
          <w:szCs w:val="22"/>
          <w:highlight w:val="none"/>
          <w:u w:val="single"/>
          <w:lang w:val="en-US" w:eastAsia="zh-CN"/>
        </w:rPr>
        <w:t>15</w:t>
      </w:r>
      <w:r>
        <w:rPr>
          <w:rFonts w:hint="eastAsia" w:ascii="宋体" w:hAnsi="宋体"/>
          <w:bCs/>
          <w:color w:val="auto"/>
          <w:spacing w:val="-2"/>
          <w:sz w:val="22"/>
          <w:szCs w:val="22"/>
          <w:highlight w:val="none"/>
          <w:u w:val="single"/>
        </w:rPr>
        <w:t>日历天</w:t>
      </w:r>
      <w:r>
        <w:rPr>
          <w:rFonts w:hint="eastAsia" w:ascii="宋体" w:hAnsi="宋体"/>
          <w:bCs/>
          <w:color w:val="auto"/>
          <w:spacing w:val="-2"/>
          <w:sz w:val="22"/>
          <w:szCs w:val="22"/>
          <w:highlight w:val="none"/>
          <w:u w:val="single"/>
          <w:lang w:eastAsia="zh-CN"/>
        </w:rPr>
        <w:t>）</w:t>
      </w:r>
      <w:r>
        <w:rPr>
          <w:rFonts w:hint="eastAsia" w:ascii="宋体" w:hAnsi="宋体"/>
          <w:bCs/>
          <w:color w:val="auto"/>
          <w:spacing w:val="-2"/>
          <w:sz w:val="22"/>
          <w:szCs w:val="22"/>
          <w:highlight w:val="none"/>
        </w:rPr>
        <w:t>，</w:t>
      </w:r>
      <w:r>
        <w:rPr>
          <w:rFonts w:hint="eastAsia" w:ascii="宋体" w:hAnsi="宋体"/>
          <w:b w:val="0"/>
          <w:color w:val="auto"/>
          <w:spacing w:val="-2"/>
          <w:sz w:val="22"/>
          <w:szCs w:val="22"/>
          <w:highlight w:val="none"/>
        </w:rPr>
        <w:t>工期应包括完成全部施工承包范围的工作内容。供应商可根据工程特点，结合企业自身实力，确定投标工期并制定施工网络进度计划，一旦确定成交供应商，投标工期将作为合同工期。</w:t>
      </w:r>
    </w:p>
    <w:p w14:paraId="3A5E8A18">
      <w:pPr>
        <w:pStyle w:val="63"/>
        <w:spacing w:line="440" w:lineRule="exact"/>
        <w:ind w:firstLine="0" w:firstLineChars="0"/>
        <w:rPr>
          <w:rFonts w:ascii="宋体" w:hAnsi="宋体"/>
          <w:bCs/>
          <w:color w:val="auto"/>
          <w:sz w:val="22"/>
          <w:szCs w:val="22"/>
          <w:highlight w:val="none"/>
        </w:rPr>
      </w:pPr>
      <w:bookmarkStart w:id="116" w:name="_Toc153951947"/>
      <w:r>
        <w:rPr>
          <w:rFonts w:hint="eastAsia" w:ascii="宋体" w:hAnsi="宋体"/>
          <w:bCs/>
          <w:color w:val="auto"/>
          <w:sz w:val="22"/>
          <w:szCs w:val="22"/>
          <w:highlight w:val="none"/>
          <w:lang w:val="en-US" w:eastAsia="zh-CN"/>
        </w:rPr>
        <w:t>六</w:t>
      </w:r>
      <w:r>
        <w:rPr>
          <w:rFonts w:hint="eastAsia" w:ascii="宋体" w:hAnsi="宋体"/>
          <w:bCs/>
          <w:color w:val="auto"/>
          <w:sz w:val="22"/>
          <w:szCs w:val="22"/>
          <w:highlight w:val="none"/>
        </w:rPr>
        <w:t>、工程质量要求</w:t>
      </w:r>
      <w:bookmarkEnd w:id="116"/>
    </w:p>
    <w:p w14:paraId="183E2D83">
      <w:pPr>
        <w:pStyle w:val="63"/>
        <w:spacing w:line="440" w:lineRule="exact"/>
        <w:ind w:firstLine="440"/>
        <w:rPr>
          <w:rFonts w:ascii="宋体" w:hAnsi="宋体"/>
          <w:b w:val="0"/>
          <w:color w:val="auto"/>
          <w:sz w:val="22"/>
          <w:szCs w:val="22"/>
          <w:highlight w:val="none"/>
        </w:rPr>
      </w:pPr>
      <w:r>
        <w:rPr>
          <w:rFonts w:hint="eastAsia" w:ascii="宋体" w:hAnsi="宋体"/>
          <w:b w:val="0"/>
          <w:color w:val="auto"/>
          <w:sz w:val="22"/>
          <w:szCs w:val="22"/>
          <w:highlight w:val="none"/>
        </w:rPr>
        <w:t>1、本工程质量等级要求为</w:t>
      </w:r>
      <w:r>
        <w:rPr>
          <w:rFonts w:hint="eastAsia" w:ascii="宋体" w:hAnsi="宋体"/>
          <w:b/>
          <w:bCs/>
          <w:color w:val="auto"/>
          <w:sz w:val="22"/>
          <w:szCs w:val="22"/>
          <w:highlight w:val="none"/>
          <w:u w:val="single"/>
          <w:lang w:val="en-US" w:eastAsia="zh-CN"/>
        </w:rPr>
        <w:t>供电部门验收</w:t>
      </w:r>
      <w:r>
        <w:rPr>
          <w:rFonts w:hint="eastAsia" w:ascii="宋体" w:hAnsi="宋体"/>
          <w:b/>
          <w:bCs/>
          <w:color w:val="auto"/>
          <w:sz w:val="22"/>
          <w:szCs w:val="22"/>
          <w:highlight w:val="none"/>
          <w:u w:val="single"/>
        </w:rPr>
        <w:t>合格</w:t>
      </w:r>
      <w:r>
        <w:rPr>
          <w:rFonts w:hint="eastAsia" w:ascii="宋体" w:hAnsi="宋体"/>
          <w:b/>
          <w:bCs/>
          <w:color w:val="auto"/>
          <w:sz w:val="22"/>
          <w:szCs w:val="22"/>
          <w:highlight w:val="none"/>
          <w:u w:val="single"/>
          <w:lang w:val="en-US" w:eastAsia="zh-CN"/>
        </w:rPr>
        <w:t>并通电</w:t>
      </w:r>
      <w:r>
        <w:rPr>
          <w:rFonts w:hint="eastAsia" w:ascii="宋体" w:hAnsi="宋体"/>
          <w:b w:val="0"/>
          <w:color w:val="auto"/>
          <w:sz w:val="22"/>
          <w:szCs w:val="22"/>
          <w:highlight w:val="none"/>
        </w:rPr>
        <w:t>。</w:t>
      </w:r>
    </w:p>
    <w:p w14:paraId="3041BEEA">
      <w:pPr>
        <w:pStyle w:val="63"/>
        <w:spacing w:line="440" w:lineRule="exact"/>
        <w:ind w:firstLine="440"/>
        <w:rPr>
          <w:rFonts w:ascii="宋体" w:hAnsi="宋体"/>
          <w:b w:val="0"/>
          <w:color w:val="auto"/>
          <w:sz w:val="22"/>
          <w:szCs w:val="22"/>
          <w:highlight w:val="none"/>
        </w:rPr>
      </w:pPr>
      <w:r>
        <w:rPr>
          <w:rFonts w:hint="eastAsia" w:ascii="宋体" w:hAnsi="宋体"/>
          <w:b w:val="0"/>
          <w:color w:val="auto"/>
          <w:sz w:val="22"/>
          <w:szCs w:val="22"/>
          <w:highlight w:val="none"/>
        </w:rPr>
        <w:t>2、承包人必须严格按合同条款、施工图纸及设计说明文件、施工验收规范、国家和省市的有关质量验收标准，精心组织施工，确保工程质量达到国家合格验收标准。供应商应详细编制施工方案，详细叙述关键部位的质量保证措施，并在响应文件中对质量目标进行承诺。</w:t>
      </w:r>
    </w:p>
    <w:p w14:paraId="67A8ADF6">
      <w:pPr>
        <w:pStyle w:val="63"/>
        <w:spacing w:line="440" w:lineRule="exact"/>
        <w:ind w:firstLine="440"/>
        <w:rPr>
          <w:rFonts w:hint="eastAsia" w:ascii="宋体" w:hAnsi="宋体"/>
          <w:b w:val="0"/>
          <w:color w:val="auto"/>
          <w:sz w:val="22"/>
          <w:szCs w:val="22"/>
          <w:highlight w:val="none"/>
        </w:rPr>
      </w:pPr>
      <w:r>
        <w:rPr>
          <w:rFonts w:hint="eastAsia" w:ascii="宋体" w:hAnsi="宋体"/>
          <w:b w:val="0"/>
          <w:color w:val="auto"/>
          <w:sz w:val="22"/>
          <w:szCs w:val="22"/>
          <w:highlight w:val="none"/>
        </w:rPr>
        <w:t>3、本工程质</w:t>
      </w:r>
      <w:r>
        <w:rPr>
          <w:rFonts w:hint="eastAsia" w:ascii="宋体" w:hAnsi="宋体" w:cs="Courier New"/>
          <w:b w:val="0"/>
          <w:color w:val="auto"/>
          <w:sz w:val="22"/>
          <w:szCs w:val="22"/>
          <w:highlight w:val="none"/>
        </w:rPr>
        <w:t>保期按《</w:t>
      </w:r>
      <w:r>
        <w:rPr>
          <w:rFonts w:hint="eastAsia" w:ascii="宋体" w:hAnsi="宋体"/>
          <w:b w:val="0"/>
          <w:color w:val="auto"/>
          <w:sz w:val="22"/>
          <w:szCs w:val="22"/>
          <w:highlight w:val="none"/>
        </w:rPr>
        <w:t>建筑工程质量管理条例》和《房屋建筑工程质量保修办法》执行。</w:t>
      </w:r>
    </w:p>
    <w:p w14:paraId="5F6A66E6">
      <w:pPr>
        <w:rPr>
          <w:rFonts w:hint="default" w:eastAsia="宋体"/>
          <w:color w:val="auto"/>
          <w:highlight w:val="none"/>
          <w:lang w:val="en-US" w:eastAsia="zh-CN"/>
        </w:rPr>
      </w:pPr>
    </w:p>
    <w:p w14:paraId="037C577B">
      <w:pPr>
        <w:pStyle w:val="4"/>
        <w:spacing w:line="560" w:lineRule="exact"/>
        <w:jc w:val="center"/>
        <w:rPr>
          <w:rFonts w:hint="eastAsia" w:ascii="黑体" w:eastAsia="黑体"/>
          <w:color w:val="auto"/>
          <w:sz w:val="32"/>
          <w:szCs w:val="32"/>
          <w:highlight w:val="none"/>
        </w:rPr>
      </w:pPr>
      <w:bookmarkStart w:id="117" w:name="_Toc434931551"/>
      <w:r>
        <w:rPr>
          <w:rFonts w:ascii="黑体" w:eastAsia="黑体"/>
          <w:color w:val="auto"/>
          <w:sz w:val="32"/>
          <w:szCs w:val="32"/>
          <w:highlight w:val="none"/>
        </w:rPr>
        <w:br w:type="page"/>
      </w:r>
      <w:bookmarkStart w:id="118" w:name="_Toc16173"/>
      <w:bookmarkStart w:id="119" w:name="_Toc22554"/>
      <w:r>
        <w:rPr>
          <w:rFonts w:hint="eastAsia" w:ascii="黑体" w:eastAsia="黑体"/>
          <w:color w:val="auto"/>
          <w:sz w:val="32"/>
          <w:szCs w:val="32"/>
          <w:highlight w:val="none"/>
        </w:rPr>
        <w:t>第六部分  磋商原则及方法</w:t>
      </w:r>
      <w:bookmarkEnd w:id="117"/>
      <w:bookmarkEnd w:id="118"/>
      <w:bookmarkEnd w:id="119"/>
    </w:p>
    <w:p w14:paraId="252094BB">
      <w:pPr>
        <w:spacing w:line="440" w:lineRule="exact"/>
        <w:ind w:left="548" w:leftChars="261"/>
        <w:rPr>
          <w:rFonts w:hint="eastAsia" w:ascii="宋体" w:hAnsi="宋体"/>
          <w:color w:val="auto"/>
          <w:sz w:val="22"/>
          <w:szCs w:val="22"/>
          <w:highlight w:val="none"/>
        </w:rPr>
      </w:pPr>
      <w:r>
        <w:rPr>
          <w:rFonts w:hint="eastAsia" w:ascii="宋体" w:hAnsi="宋体"/>
          <w:color w:val="auto"/>
          <w:sz w:val="22"/>
          <w:szCs w:val="22"/>
          <w:highlight w:val="none"/>
        </w:rPr>
        <w:t>根据《中华人民共和国政府采购法》、</w:t>
      </w:r>
      <w:r>
        <w:rPr>
          <w:rFonts w:ascii="宋体" w:hAnsi="宋体" w:cs="宋体"/>
          <w:color w:val="auto"/>
          <w:kern w:val="0"/>
          <w:sz w:val="22"/>
          <w:szCs w:val="22"/>
          <w:highlight w:val="none"/>
        </w:rPr>
        <w:t>《政府采购竞争性磋商采购方式管理暂行办法</w:t>
      </w:r>
      <w:r>
        <w:rPr>
          <w:rFonts w:hint="eastAsia" w:ascii="宋体" w:hAnsi="宋体" w:cs="宋体"/>
          <w:color w:val="auto"/>
          <w:kern w:val="0"/>
          <w:sz w:val="22"/>
          <w:szCs w:val="22"/>
          <w:highlight w:val="none"/>
        </w:rPr>
        <w:t>》</w:t>
      </w:r>
      <w:r>
        <w:rPr>
          <w:rFonts w:hint="eastAsia" w:ascii="宋体" w:hAnsi="宋体"/>
          <w:color w:val="auto"/>
          <w:sz w:val="22"/>
          <w:szCs w:val="22"/>
          <w:highlight w:val="none"/>
        </w:rPr>
        <w:t>等法律、法规制定本磋商原则和方法。</w:t>
      </w:r>
    </w:p>
    <w:p w14:paraId="6A80D3FC">
      <w:pPr>
        <w:spacing w:line="440" w:lineRule="exact"/>
        <w:rPr>
          <w:rFonts w:hint="eastAsia" w:ascii="宋体" w:hAnsi="宋体"/>
          <w:b/>
          <w:color w:val="auto"/>
          <w:sz w:val="22"/>
          <w:szCs w:val="22"/>
          <w:highlight w:val="none"/>
        </w:rPr>
      </w:pPr>
      <w:r>
        <w:rPr>
          <w:rFonts w:hint="eastAsia" w:ascii="宋体" w:hAnsi="宋体"/>
          <w:b/>
          <w:color w:val="auto"/>
          <w:sz w:val="22"/>
          <w:szCs w:val="22"/>
          <w:highlight w:val="none"/>
        </w:rPr>
        <w:t>一、 总  则</w:t>
      </w:r>
    </w:p>
    <w:p w14:paraId="73BAAB6F">
      <w:pPr>
        <w:spacing w:line="440" w:lineRule="exact"/>
        <w:ind w:left="548" w:leftChars="261"/>
        <w:rPr>
          <w:rFonts w:hint="eastAsia" w:ascii="宋体" w:hAnsi="宋体"/>
          <w:color w:val="auto"/>
          <w:sz w:val="22"/>
          <w:szCs w:val="22"/>
          <w:highlight w:val="none"/>
        </w:rPr>
      </w:pPr>
      <w:r>
        <w:rPr>
          <w:rFonts w:hint="eastAsia" w:ascii="宋体" w:hAnsi="宋体"/>
          <w:color w:val="auto"/>
          <w:sz w:val="22"/>
          <w:szCs w:val="22"/>
          <w:highlight w:val="none"/>
        </w:rPr>
        <w:t>评审工作遵循“公平、公正、科学、择优”原则和“诚实、信誉、效率”的服务原则。最大限度的保护采购人权益，严格按照磋商文件的要求，对响应文件进行综合评审。磋商供应商不得以任何方式干扰政府采购工作的进行，一经发现其响应文件将被拒绝。</w:t>
      </w:r>
    </w:p>
    <w:p w14:paraId="17B2190E">
      <w:pPr>
        <w:spacing w:line="440" w:lineRule="exact"/>
        <w:rPr>
          <w:rFonts w:hint="eastAsia" w:ascii="宋体" w:hAnsi="宋体"/>
          <w:b/>
          <w:color w:val="auto"/>
          <w:sz w:val="22"/>
          <w:szCs w:val="22"/>
          <w:highlight w:val="none"/>
        </w:rPr>
      </w:pPr>
      <w:r>
        <w:rPr>
          <w:rFonts w:hint="eastAsia" w:ascii="宋体" w:hAnsi="宋体"/>
          <w:b/>
          <w:color w:val="auto"/>
          <w:sz w:val="22"/>
          <w:szCs w:val="22"/>
          <w:highlight w:val="none"/>
        </w:rPr>
        <w:t>二、 磋商程序</w:t>
      </w:r>
    </w:p>
    <w:p w14:paraId="7155E704">
      <w:pPr>
        <w:spacing w:line="440" w:lineRule="exact"/>
        <w:ind w:left="550" w:hanging="550" w:hangingChars="250"/>
        <w:rPr>
          <w:rFonts w:ascii="宋体" w:hAnsi="宋体" w:cs="宋体"/>
          <w:color w:val="auto"/>
          <w:sz w:val="22"/>
          <w:szCs w:val="22"/>
          <w:highlight w:val="none"/>
        </w:rPr>
      </w:pPr>
      <w:r>
        <w:rPr>
          <w:rFonts w:ascii="宋体" w:hAnsi="宋体" w:cs="宋体"/>
          <w:color w:val="auto"/>
          <w:sz w:val="22"/>
          <w:szCs w:val="22"/>
          <w:highlight w:val="none"/>
        </w:rPr>
        <w:t xml:space="preserve">1.   </w:t>
      </w:r>
      <w:r>
        <w:rPr>
          <w:rFonts w:hint="eastAsia" w:ascii="宋体" w:hAnsi="宋体" w:cs="宋体"/>
          <w:color w:val="auto"/>
          <w:sz w:val="22"/>
          <w:szCs w:val="22"/>
          <w:highlight w:val="none"/>
        </w:rPr>
        <w:t>采购代理机构签收、开始解密磋商响应文件；</w:t>
      </w:r>
    </w:p>
    <w:p w14:paraId="58B4D0C0">
      <w:pPr>
        <w:spacing w:line="440" w:lineRule="exact"/>
        <w:ind w:left="550" w:hanging="550" w:hangingChars="250"/>
        <w:rPr>
          <w:rFonts w:hint="eastAsia" w:ascii="宋体" w:hAnsi="宋体" w:cs="宋体"/>
          <w:color w:val="auto"/>
          <w:sz w:val="22"/>
          <w:szCs w:val="22"/>
          <w:highlight w:val="none"/>
        </w:rPr>
      </w:pPr>
      <w:r>
        <w:rPr>
          <w:rFonts w:ascii="宋体" w:hAnsi="宋体" w:cs="宋体"/>
          <w:color w:val="auto"/>
          <w:sz w:val="22"/>
          <w:szCs w:val="22"/>
          <w:highlight w:val="none"/>
        </w:rPr>
        <w:t xml:space="preserve">2.   </w:t>
      </w:r>
      <w:r>
        <w:rPr>
          <w:rFonts w:hint="eastAsia" w:ascii="宋体" w:hAnsi="宋体" w:cs="宋体"/>
          <w:color w:val="auto"/>
          <w:sz w:val="22"/>
          <w:szCs w:val="22"/>
          <w:highlight w:val="none"/>
        </w:rPr>
        <w:t>磋商供应商解密磋商响应文件；</w:t>
      </w:r>
    </w:p>
    <w:p w14:paraId="1C090AF8">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3.   </w:t>
      </w:r>
      <w:r>
        <w:rPr>
          <w:rFonts w:hint="eastAsia" w:ascii="宋体" w:hAnsi="宋体" w:cs="宋体"/>
          <w:color w:val="auto"/>
          <w:sz w:val="22"/>
          <w:szCs w:val="22"/>
          <w:highlight w:val="none"/>
        </w:rPr>
        <w:t>采购代理机构结束解密磋商响应文件；</w:t>
      </w:r>
    </w:p>
    <w:p w14:paraId="7C09EF10">
      <w:pPr>
        <w:spacing w:line="440" w:lineRule="exact"/>
        <w:rPr>
          <w:rFonts w:hint="eastAsia" w:ascii="宋体" w:hAnsi="宋体" w:cs="宋体"/>
          <w:color w:val="auto"/>
          <w:sz w:val="22"/>
          <w:szCs w:val="22"/>
          <w:highlight w:val="none"/>
        </w:rPr>
      </w:pPr>
      <w:r>
        <w:rPr>
          <w:rFonts w:ascii="宋体" w:hAnsi="宋体" w:cs="宋体"/>
          <w:color w:val="auto"/>
          <w:sz w:val="22"/>
          <w:szCs w:val="22"/>
          <w:highlight w:val="none"/>
        </w:rPr>
        <w:t xml:space="preserve">4.   </w:t>
      </w:r>
      <w:r>
        <w:rPr>
          <w:rFonts w:hint="eastAsia" w:ascii="宋体" w:hAnsi="宋体" w:cs="宋体"/>
          <w:color w:val="auto"/>
          <w:sz w:val="22"/>
          <w:szCs w:val="22"/>
          <w:highlight w:val="none"/>
        </w:rPr>
        <w:t>采购代理机构或采购人在线资格性审查；</w:t>
      </w:r>
    </w:p>
    <w:p w14:paraId="2876AEB2">
      <w:pPr>
        <w:spacing w:line="440" w:lineRule="exact"/>
        <w:rPr>
          <w:rFonts w:ascii="宋体" w:hAnsi="宋体" w:cs="宋体"/>
          <w:color w:val="auto"/>
          <w:sz w:val="22"/>
          <w:szCs w:val="22"/>
          <w:highlight w:val="none"/>
        </w:rPr>
      </w:pPr>
      <w:r>
        <w:rPr>
          <w:rFonts w:ascii="宋体" w:hAnsi="宋体" w:cs="宋体"/>
          <w:color w:val="auto"/>
          <w:sz w:val="22"/>
          <w:szCs w:val="22"/>
          <w:highlight w:val="none"/>
        </w:rPr>
        <w:t xml:space="preserve">5.   </w:t>
      </w:r>
      <w:r>
        <w:rPr>
          <w:rFonts w:hint="eastAsia" w:ascii="宋体" w:hAnsi="宋体" w:cs="宋体"/>
          <w:color w:val="auto"/>
          <w:sz w:val="22"/>
          <w:szCs w:val="22"/>
          <w:highlight w:val="none"/>
        </w:rPr>
        <w:t>磋商小组在线符合性审查；</w:t>
      </w:r>
    </w:p>
    <w:p w14:paraId="6CF903FB">
      <w:pPr>
        <w:spacing w:line="440" w:lineRule="exact"/>
        <w:rPr>
          <w:rFonts w:ascii="宋体" w:hAnsi="宋体" w:cs="宋体"/>
          <w:color w:val="auto"/>
          <w:sz w:val="22"/>
          <w:szCs w:val="22"/>
          <w:highlight w:val="none"/>
        </w:rPr>
      </w:pPr>
      <w:r>
        <w:rPr>
          <w:rFonts w:ascii="宋体" w:hAnsi="宋体" w:cs="宋体"/>
          <w:color w:val="auto"/>
          <w:sz w:val="22"/>
          <w:szCs w:val="22"/>
          <w:highlight w:val="none"/>
        </w:rPr>
        <w:t>6</w:t>
      </w:r>
      <w:r>
        <w:rPr>
          <w:rFonts w:hint="eastAsia" w:ascii="宋体" w:hAnsi="宋体" w:cs="宋体"/>
          <w:color w:val="auto"/>
          <w:sz w:val="22"/>
          <w:szCs w:val="22"/>
          <w:highlight w:val="none"/>
        </w:rPr>
        <w:t>.</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开启第二轮报价；</w:t>
      </w:r>
    </w:p>
    <w:p w14:paraId="3A8D08C4">
      <w:pPr>
        <w:spacing w:line="440" w:lineRule="exact"/>
        <w:rPr>
          <w:rFonts w:hint="eastAsia" w:ascii="宋体" w:hAnsi="宋体" w:cs="宋体"/>
          <w:color w:val="auto"/>
          <w:sz w:val="22"/>
          <w:szCs w:val="22"/>
          <w:highlight w:val="none"/>
        </w:rPr>
      </w:pPr>
      <w:r>
        <w:rPr>
          <w:rFonts w:hint="eastAsia" w:ascii="宋体" w:hAnsi="宋体" w:cs="宋体"/>
          <w:color w:val="auto"/>
          <w:sz w:val="22"/>
          <w:szCs w:val="22"/>
          <w:highlight w:val="none"/>
        </w:rPr>
        <w:t>7.</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磋商小组对磋商响应文件进行综合评审；</w:t>
      </w:r>
    </w:p>
    <w:p w14:paraId="401F9EB4">
      <w:pPr>
        <w:spacing w:line="440" w:lineRule="exact"/>
        <w:rPr>
          <w:rFonts w:hint="eastAsia" w:ascii="宋体" w:hAnsi="宋体" w:cs="宋体"/>
          <w:color w:val="auto"/>
          <w:sz w:val="22"/>
          <w:szCs w:val="22"/>
          <w:highlight w:val="none"/>
        </w:rPr>
      </w:pPr>
      <w:r>
        <w:rPr>
          <w:rFonts w:ascii="宋体" w:hAnsi="宋体" w:cs="宋体"/>
          <w:color w:val="auto"/>
          <w:sz w:val="22"/>
          <w:szCs w:val="22"/>
          <w:highlight w:val="none"/>
        </w:rPr>
        <w:t xml:space="preserve">8. </w:t>
      </w:r>
      <w:r>
        <w:rPr>
          <w:rFonts w:hint="eastAsia" w:ascii="宋体" w:hAnsi="宋体" w:cs="宋体"/>
          <w:color w:val="auto"/>
          <w:sz w:val="22"/>
          <w:szCs w:val="22"/>
          <w:highlight w:val="none"/>
        </w:rPr>
        <w:t xml:space="preserve"> </w:t>
      </w:r>
      <w:r>
        <w:rPr>
          <w:rFonts w:ascii="宋体" w:hAnsi="宋体" w:cs="宋体"/>
          <w:color w:val="auto"/>
          <w:sz w:val="22"/>
          <w:szCs w:val="22"/>
          <w:highlight w:val="none"/>
        </w:rPr>
        <w:t xml:space="preserve"> </w:t>
      </w:r>
      <w:r>
        <w:rPr>
          <w:rFonts w:hint="eastAsia" w:ascii="宋体" w:hAnsi="宋体" w:cs="宋体"/>
          <w:color w:val="auto"/>
          <w:sz w:val="22"/>
          <w:szCs w:val="22"/>
          <w:highlight w:val="none"/>
        </w:rPr>
        <w:t>在系统上公布评审结果。</w:t>
      </w:r>
    </w:p>
    <w:p w14:paraId="45FD8D37">
      <w:pPr>
        <w:spacing w:line="440" w:lineRule="exact"/>
        <w:ind w:left="548" w:leftChars="261"/>
        <w:rPr>
          <w:rFonts w:hint="eastAsia" w:ascii="宋体" w:hAnsi="宋体" w:cs="宋体"/>
          <w:color w:val="auto"/>
          <w:sz w:val="22"/>
          <w:szCs w:val="22"/>
          <w:highlight w:val="none"/>
        </w:rPr>
      </w:pPr>
      <w:r>
        <w:rPr>
          <w:rFonts w:hint="eastAsia" w:ascii="宋体" w:hAnsi="宋体" w:cs="宋体"/>
          <w:color w:val="auto"/>
          <w:sz w:val="22"/>
          <w:szCs w:val="22"/>
          <w:highlight w:val="none"/>
        </w:rPr>
        <w:t>特别说明：政采云公司如对电子化开标及评审程序有调整的，按调整后的程序操作。</w:t>
      </w:r>
    </w:p>
    <w:p w14:paraId="0D98A8CE">
      <w:pPr>
        <w:spacing w:line="440" w:lineRule="exact"/>
        <w:rPr>
          <w:rFonts w:hint="eastAsia" w:ascii="宋体" w:hAnsi="宋体"/>
          <w:b/>
          <w:color w:val="auto"/>
          <w:sz w:val="22"/>
          <w:szCs w:val="22"/>
          <w:highlight w:val="none"/>
        </w:rPr>
      </w:pPr>
      <w:r>
        <w:rPr>
          <w:rFonts w:hint="eastAsia" w:ascii="宋体" w:hAnsi="宋体"/>
          <w:b/>
          <w:color w:val="auto"/>
          <w:sz w:val="22"/>
          <w:szCs w:val="22"/>
          <w:highlight w:val="none"/>
        </w:rPr>
        <w:t>三、 磋商办法</w:t>
      </w:r>
    </w:p>
    <w:p w14:paraId="59C37261">
      <w:pPr>
        <w:spacing w:line="440" w:lineRule="exact"/>
        <w:ind w:left="548" w:leftChars="261"/>
        <w:rPr>
          <w:rFonts w:hint="eastAsia" w:ascii="宋体" w:hAnsi="宋体"/>
          <w:color w:val="auto"/>
          <w:sz w:val="22"/>
          <w:szCs w:val="22"/>
          <w:highlight w:val="none"/>
        </w:rPr>
      </w:pPr>
      <w:r>
        <w:rPr>
          <w:rFonts w:hint="eastAsia" w:ascii="宋体" w:hAnsi="宋体"/>
          <w:color w:val="auto"/>
          <w:sz w:val="22"/>
          <w:szCs w:val="22"/>
          <w:highlight w:val="none"/>
        </w:rPr>
        <w:t>本次磋商采用综合评分法，总分100分，其中技术资信标</w:t>
      </w:r>
      <w:r>
        <w:rPr>
          <w:rFonts w:hint="eastAsia" w:ascii="宋体" w:hAnsi="宋体"/>
          <w:color w:val="auto"/>
          <w:sz w:val="22"/>
          <w:szCs w:val="22"/>
          <w:highlight w:val="none"/>
          <w:lang w:val="en-US" w:eastAsia="zh-CN"/>
        </w:rPr>
        <w:t>8</w:t>
      </w:r>
      <w:r>
        <w:rPr>
          <w:rFonts w:hint="eastAsia" w:ascii="宋体" w:hAnsi="宋体"/>
          <w:color w:val="auto"/>
          <w:sz w:val="22"/>
          <w:szCs w:val="22"/>
          <w:highlight w:val="none"/>
        </w:rPr>
        <w:t>0分（技术权值</w:t>
      </w:r>
      <w:r>
        <w:rPr>
          <w:rFonts w:hint="eastAsia" w:ascii="宋体" w:hAnsi="宋体"/>
          <w:color w:val="auto"/>
          <w:sz w:val="22"/>
          <w:szCs w:val="22"/>
          <w:highlight w:val="none"/>
          <w:lang w:val="en-US" w:eastAsia="zh-CN"/>
        </w:rPr>
        <w:t>8</w:t>
      </w:r>
      <w:r>
        <w:rPr>
          <w:rFonts w:hint="eastAsia" w:ascii="宋体" w:hAnsi="宋体"/>
          <w:color w:val="auto"/>
          <w:sz w:val="22"/>
          <w:szCs w:val="22"/>
          <w:highlight w:val="none"/>
        </w:rPr>
        <w:t>0%），价格</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0分（价格权值</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0%）。即最大限度地满足磋商文件实质性要求前提下，按照磋商文件中规定的各项评分内容评审后，以磋商总得分最高的磋商供应商，作为成交候选供应商。</w:t>
      </w:r>
    </w:p>
    <w:p w14:paraId="5C7619DB">
      <w:pPr>
        <w:pStyle w:val="3"/>
        <w:adjustRightInd w:val="0"/>
        <w:snapToGrid w:val="0"/>
        <w:spacing w:line="440" w:lineRule="exact"/>
        <w:rPr>
          <w:rFonts w:hint="eastAsia" w:ascii="宋体" w:hAnsi="宋体"/>
          <w:b/>
          <w:color w:val="auto"/>
          <w:sz w:val="22"/>
          <w:szCs w:val="22"/>
          <w:highlight w:val="none"/>
        </w:rPr>
      </w:pPr>
      <w:r>
        <w:rPr>
          <w:rFonts w:hint="eastAsia" w:ascii="宋体" w:hAnsi="宋体"/>
          <w:b/>
          <w:color w:val="auto"/>
          <w:sz w:val="22"/>
          <w:szCs w:val="22"/>
          <w:highlight w:val="none"/>
        </w:rPr>
        <w:t>四、 评分细则</w:t>
      </w:r>
    </w:p>
    <w:p w14:paraId="29AE1EA9">
      <w:pPr>
        <w:spacing w:line="440" w:lineRule="exact"/>
        <w:rPr>
          <w:rFonts w:hint="eastAsia" w:ascii="宋体" w:hAnsi="宋体"/>
          <w:color w:val="auto"/>
          <w:sz w:val="22"/>
          <w:szCs w:val="22"/>
          <w:highlight w:val="none"/>
        </w:rPr>
      </w:pPr>
      <w:r>
        <w:rPr>
          <w:rFonts w:ascii="宋体" w:hAnsi="宋体"/>
          <w:b/>
          <w:color w:val="auto"/>
          <w:sz w:val="22"/>
          <w:szCs w:val="22"/>
          <w:highlight w:val="none"/>
        </w:rPr>
        <w:t>1</w:t>
      </w:r>
      <w:r>
        <w:rPr>
          <w:rFonts w:hint="eastAsia" w:ascii="宋体" w:hAnsi="宋体"/>
          <w:b/>
          <w:color w:val="auto"/>
          <w:sz w:val="22"/>
          <w:szCs w:val="22"/>
          <w:highlight w:val="none"/>
        </w:rPr>
        <w:t xml:space="preserve">. </w:t>
      </w:r>
      <w:r>
        <w:rPr>
          <w:rFonts w:hint="eastAsia" w:ascii="宋体" w:hAnsi="宋体"/>
          <w:color w:val="auto"/>
          <w:sz w:val="22"/>
          <w:szCs w:val="22"/>
          <w:highlight w:val="none"/>
        </w:rPr>
        <w:t xml:space="preserve">  </w:t>
      </w:r>
      <w:r>
        <w:rPr>
          <w:rFonts w:hint="eastAsia" w:ascii="宋体" w:hAnsi="宋体"/>
          <w:b/>
          <w:color w:val="auto"/>
          <w:sz w:val="22"/>
          <w:szCs w:val="22"/>
          <w:highlight w:val="none"/>
        </w:rPr>
        <w:t>技术资信分的评定（</w:t>
      </w:r>
      <w:r>
        <w:rPr>
          <w:rFonts w:hint="eastAsia" w:ascii="宋体" w:hAnsi="宋体"/>
          <w:b/>
          <w:color w:val="auto"/>
          <w:sz w:val="22"/>
          <w:szCs w:val="22"/>
          <w:highlight w:val="none"/>
          <w:lang w:val="en-US" w:eastAsia="zh-CN"/>
        </w:rPr>
        <w:t>8</w:t>
      </w:r>
      <w:r>
        <w:rPr>
          <w:rFonts w:hint="eastAsia" w:ascii="宋体" w:hAnsi="宋体"/>
          <w:b/>
          <w:color w:val="auto"/>
          <w:sz w:val="22"/>
          <w:szCs w:val="22"/>
          <w:highlight w:val="none"/>
        </w:rPr>
        <w:t>0分）</w:t>
      </w:r>
    </w:p>
    <w:p w14:paraId="773DD030">
      <w:pPr>
        <w:spacing w:line="440" w:lineRule="exact"/>
        <w:ind w:left="540" w:leftChars="257"/>
        <w:rPr>
          <w:rFonts w:ascii="宋体" w:hAnsi="宋体"/>
          <w:color w:val="auto"/>
          <w:sz w:val="22"/>
          <w:szCs w:val="22"/>
          <w:highlight w:val="none"/>
        </w:rPr>
      </w:pPr>
      <w:r>
        <w:rPr>
          <w:rFonts w:ascii="宋体" w:hAnsi="宋体"/>
          <w:color w:val="auto"/>
          <w:sz w:val="22"/>
          <w:szCs w:val="22"/>
          <w:highlight w:val="none"/>
        </w:rPr>
        <w:t>各</w:t>
      </w:r>
      <w:r>
        <w:rPr>
          <w:rFonts w:hint="eastAsia" w:ascii="宋体" w:hAnsi="宋体"/>
          <w:color w:val="auto"/>
          <w:sz w:val="22"/>
          <w:szCs w:val="22"/>
          <w:highlight w:val="none"/>
        </w:rPr>
        <w:t>磋商小组</w:t>
      </w:r>
      <w:r>
        <w:rPr>
          <w:rFonts w:ascii="宋体" w:hAnsi="宋体"/>
          <w:color w:val="auto"/>
          <w:sz w:val="22"/>
          <w:szCs w:val="22"/>
          <w:highlight w:val="none"/>
        </w:rPr>
        <w:t>成员按下列评分内容进行评定，每人一张评分计算表，由磋商小组成员各自评定独立打分并记实名。如某张表的一项评分内容分值超过规定的范围，则该张表无效。磋商小组各成员对磋商供应商的</w:t>
      </w:r>
      <w:r>
        <w:rPr>
          <w:rFonts w:hint="eastAsia" w:ascii="宋体" w:hAnsi="宋体"/>
          <w:color w:val="auto"/>
          <w:sz w:val="22"/>
          <w:szCs w:val="22"/>
          <w:highlight w:val="none"/>
        </w:rPr>
        <w:t>各项评分内容评分的合计分</w:t>
      </w:r>
      <w:r>
        <w:rPr>
          <w:rFonts w:ascii="宋体" w:hAnsi="宋体"/>
          <w:color w:val="auto"/>
          <w:sz w:val="22"/>
          <w:szCs w:val="22"/>
          <w:highlight w:val="none"/>
        </w:rPr>
        <w:t>的算术平均值即为该磋商供应商技术最终得分（四舍五入，保留小数点后二位）。</w:t>
      </w:r>
    </w:p>
    <w:tbl>
      <w:tblPr>
        <w:tblStyle w:val="38"/>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5"/>
        <w:gridCol w:w="1528"/>
        <w:gridCol w:w="1133"/>
        <w:gridCol w:w="5903"/>
        <w:gridCol w:w="717"/>
      </w:tblGrid>
      <w:tr w14:paraId="17608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7" w:type="pct"/>
            <w:tcBorders>
              <w:top w:val="single" w:color="auto" w:sz="4" w:space="0"/>
              <w:left w:val="single" w:color="auto" w:sz="4" w:space="0"/>
              <w:bottom w:val="single" w:color="auto" w:sz="4" w:space="0"/>
              <w:right w:val="single" w:color="auto" w:sz="4" w:space="0"/>
            </w:tcBorders>
            <w:noWrap w:val="0"/>
            <w:vAlign w:val="center"/>
          </w:tcPr>
          <w:p w14:paraId="46BB42D1">
            <w:pPr>
              <w:jc w:val="center"/>
              <w:rPr>
                <w:rFonts w:ascii="宋体" w:hAnsi="宋体"/>
                <w:color w:val="auto"/>
                <w:sz w:val="22"/>
                <w:szCs w:val="22"/>
                <w:highlight w:val="none"/>
              </w:rPr>
            </w:pPr>
            <w:r>
              <w:rPr>
                <w:rFonts w:hint="eastAsia" w:ascii="宋体" w:hAnsi="宋体"/>
                <w:color w:val="auto"/>
                <w:sz w:val="22"/>
                <w:szCs w:val="22"/>
                <w:highlight w:val="none"/>
              </w:rPr>
              <w:t>序号</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212D09FA">
            <w:pPr>
              <w:jc w:val="center"/>
              <w:rPr>
                <w:rFonts w:ascii="宋体" w:hAnsi="宋体"/>
                <w:color w:val="auto"/>
                <w:sz w:val="22"/>
                <w:szCs w:val="22"/>
                <w:highlight w:val="none"/>
              </w:rPr>
            </w:pPr>
            <w:r>
              <w:rPr>
                <w:rFonts w:hint="eastAsia" w:ascii="宋体" w:hAnsi="宋体"/>
                <w:color w:val="auto"/>
                <w:sz w:val="22"/>
                <w:szCs w:val="22"/>
                <w:highlight w:val="none"/>
              </w:rPr>
              <w:t>评分项目</w:t>
            </w:r>
          </w:p>
        </w:tc>
        <w:tc>
          <w:tcPr>
            <w:tcW w:w="575" w:type="pct"/>
            <w:tcBorders>
              <w:top w:val="single" w:color="auto" w:sz="4" w:space="0"/>
              <w:left w:val="single" w:color="auto" w:sz="4" w:space="0"/>
              <w:bottom w:val="single" w:color="auto" w:sz="4" w:space="0"/>
              <w:right w:val="single" w:color="auto" w:sz="4" w:space="0"/>
            </w:tcBorders>
            <w:noWrap w:val="0"/>
            <w:vAlign w:val="center"/>
          </w:tcPr>
          <w:p w14:paraId="23FA7656">
            <w:pPr>
              <w:jc w:val="center"/>
              <w:rPr>
                <w:rFonts w:ascii="宋体" w:hAnsi="宋体"/>
                <w:color w:val="auto"/>
                <w:sz w:val="22"/>
                <w:szCs w:val="22"/>
                <w:highlight w:val="none"/>
              </w:rPr>
            </w:pPr>
            <w:r>
              <w:rPr>
                <w:rFonts w:hint="eastAsia" w:ascii="宋体" w:hAnsi="宋体"/>
                <w:color w:val="auto"/>
                <w:sz w:val="22"/>
                <w:szCs w:val="22"/>
                <w:highlight w:val="none"/>
              </w:rPr>
              <w:t>分值</w:t>
            </w:r>
          </w:p>
          <w:p w14:paraId="6722252A">
            <w:pPr>
              <w:jc w:val="center"/>
              <w:rPr>
                <w:rFonts w:ascii="宋体" w:hAnsi="宋体"/>
                <w:color w:val="auto"/>
                <w:sz w:val="22"/>
                <w:szCs w:val="22"/>
                <w:highlight w:val="none"/>
              </w:rPr>
            </w:pPr>
            <w:r>
              <w:rPr>
                <w:rFonts w:hint="eastAsia" w:ascii="宋体" w:hAnsi="宋体"/>
                <w:color w:val="auto"/>
                <w:sz w:val="22"/>
                <w:szCs w:val="22"/>
                <w:highlight w:val="none"/>
              </w:rPr>
              <w:t>范围</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256EA63A">
            <w:pPr>
              <w:jc w:val="center"/>
              <w:rPr>
                <w:rFonts w:ascii="宋体" w:hAnsi="宋体"/>
                <w:color w:val="auto"/>
                <w:sz w:val="22"/>
                <w:szCs w:val="22"/>
                <w:highlight w:val="none"/>
              </w:rPr>
            </w:pPr>
            <w:r>
              <w:rPr>
                <w:rFonts w:hint="eastAsia" w:ascii="宋体" w:hAnsi="宋体"/>
                <w:color w:val="auto"/>
                <w:sz w:val="22"/>
                <w:szCs w:val="22"/>
                <w:highlight w:val="none"/>
              </w:rPr>
              <w:t>评分要点及说明（评审因素）</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063F83DD">
            <w:pPr>
              <w:jc w:val="center"/>
              <w:rPr>
                <w:rFonts w:hint="eastAsia" w:ascii="宋体" w:hAnsi="宋体" w:eastAsia="宋体"/>
                <w:color w:val="auto"/>
                <w:sz w:val="22"/>
                <w:szCs w:val="22"/>
                <w:highlight w:val="none"/>
                <w:lang w:eastAsia="zh-CN"/>
              </w:rPr>
            </w:pPr>
            <w:r>
              <w:rPr>
                <w:rFonts w:hint="eastAsia" w:ascii="宋体" w:hAnsi="宋体"/>
                <w:color w:val="auto"/>
                <w:sz w:val="22"/>
                <w:szCs w:val="22"/>
                <w:highlight w:val="none"/>
                <w:lang w:eastAsia="zh-CN"/>
              </w:rPr>
              <w:t>备注</w:t>
            </w:r>
          </w:p>
        </w:tc>
      </w:tr>
      <w:tr w14:paraId="2355B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7" w:type="pct"/>
            <w:tcBorders>
              <w:top w:val="single" w:color="auto" w:sz="4" w:space="0"/>
              <w:left w:val="single" w:color="auto" w:sz="4" w:space="0"/>
              <w:right w:val="single" w:color="auto" w:sz="4" w:space="0"/>
            </w:tcBorders>
            <w:noWrap w:val="0"/>
            <w:vAlign w:val="center"/>
          </w:tcPr>
          <w:p w14:paraId="5C858FFD">
            <w:pPr>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1</w:t>
            </w:r>
          </w:p>
        </w:tc>
        <w:tc>
          <w:tcPr>
            <w:tcW w:w="776" w:type="pct"/>
            <w:tcBorders>
              <w:top w:val="single" w:color="auto" w:sz="4" w:space="0"/>
              <w:left w:val="single" w:color="auto" w:sz="4" w:space="0"/>
              <w:right w:val="single" w:color="auto" w:sz="4" w:space="0"/>
            </w:tcBorders>
            <w:noWrap w:val="0"/>
            <w:vAlign w:val="center"/>
          </w:tcPr>
          <w:p w14:paraId="01CEBD12">
            <w:pPr>
              <w:widowControl/>
              <w:snapToGrid w:val="0"/>
              <w:spacing w:line="240" w:lineRule="exact"/>
              <w:jc w:val="center"/>
              <w:rPr>
                <w:rFonts w:hint="eastAsia" w:ascii="宋体" w:hAnsi="宋体" w:cs="宋体"/>
                <w:color w:val="auto"/>
                <w:kern w:val="2"/>
                <w:sz w:val="22"/>
                <w:szCs w:val="22"/>
                <w:highlight w:val="none"/>
                <w:lang w:val="en-US" w:eastAsia="zh-CN" w:bidi="ar-SA"/>
              </w:rPr>
            </w:pPr>
            <w:r>
              <w:rPr>
                <w:rFonts w:hint="eastAsia" w:ascii="宋体" w:hAnsi="宋体" w:eastAsia="宋体" w:cs="Times New Roman"/>
                <w:color w:val="auto"/>
                <w:sz w:val="22"/>
                <w:szCs w:val="22"/>
                <w:highlight w:val="none"/>
                <w:lang w:eastAsia="zh-CN"/>
              </w:rPr>
              <w:t>供应商三标体系认证</w:t>
            </w:r>
          </w:p>
        </w:tc>
        <w:tc>
          <w:tcPr>
            <w:tcW w:w="575" w:type="pct"/>
            <w:tcBorders>
              <w:top w:val="single" w:color="auto" w:sz="4" w:space="0"/>
              <w:left w:val="single" w:color="auto" w:sz="4" w:space="0"/>
              <w:bottom w:val="single" w:color="auto" w:sz="4" w:space="0"/>
              <w:right w:val="single" w:color="auto" w:sz="4" w:space="0"/>
            </w:tcBorders>
            <w:noWrap w:val="0"/>
            <w:vAlign w:val="center"/>
          </w:tcPr>
          <w:p w14:paraId="520BE2B7">
            <w:pPr>
              <w:widowControl/>
              <w:snapToGrid w:val="0"/>
              <w:spacing w:line="240" w:lineRule="exact"/>
              <w:jc w:val="center"/>
              <w:rPr>
                <w:rFonts w:hint="eastAsia" w:ascii="宋体" w:hAnsi="宋体" w:eastAsia="宋体" w:cs="宋体"/>
                <w:bCs/>
                <w:color w:val="auto"/>
                <w:sz w:val="22"/>
                <w:szCs w:val="22"/>
                <w:highlight w:val="none"/>
              </w:rPr>
            </w:pPr>
            <w:r>
              <w:rPr>
                <w:rFonts w:hint="eastAsia" w:ascii="宋体" w:hAnsi="宋体" w:eastAsia="宋体" w:cs="Times New Roman"/>
                <w:color w:val="auto"/>
                <w:sz w:val="22"/>
                <w:szCs w:val="22"/>
                <w:highlight w:val="none"/>
              </w:rPr>
              <w:t>0-</w:t>
            </w:r>
            <w:r>
              <w:rPr>
                <w:rFonts w:hint="eastAsia" w:ascii="宋体" w:hAnsi="宋体" w:cs="Times New Roman"/>
                <w:color w:val="auto"/>
                <w:sz w:val="22"/>
                <w:szCs w:val="22"/>
                <w:highlight w:val="none"/>
                <w:lang w:val="en-US" w:eastAsia="zh-CN"/>
              </w:rPr>
              <w:t>6</w:t>
            </w:r>
            <w:r>
              <w:rPr>
                <w:rFonts w:hint="eastAsia" w:ascii="宋体" w:hAnsi="宋体" w:eastAsia="宋体" w:cs="Times New Roman"/>
                <w:color w:val="auto"/>
                <w:sz w:val="22"/>
                <w:szCs w:val="22"/>
                <w:highlight w:val="none"/>
              </w:rPr>
              <w:t>分</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1A719A0E">
            <w:pPr>
              <w:widowControl/>
              <w:snapToGrid w:val="0"/>
              <w:spacing w:line="240" w:lineRule="exact"/>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1、有效的质量管理体系认证证书的得</w:t>
            </w:r>
            <w:r>
              <w:rPr>
                <w:rFonts w:hint="eastAsia" w:ascii="宋体" w:hAnsi="宋体" w:cs="Times New Roman"/>
                <w:color w:val="auto"/>
                <w:sz w:val="22"/>
                <w:szCs w:val="22"/>
                <w:highlight w:val="none"/>
                <w:lang w:val="en-US" w:eastAsia="zh-CN"/>
              </w:rPr>
              <w:t>2</w:t>
            </w:r>
            <w:r>
              <w:rPr>
                <w:rFonts w:hint="eastAsia" w:ascii="宋体" w:hAnsi="宋体" w:eastAsia="宋体" w:cs="Times New Roman"/>
                <w:color w:val="auto"/>
                <w:sz w:val="22"/>
                <w:szCs w:val="22"/>
                <w:highlight w:val="none"/>
                <w:lang w:val="en-US" w:eastAsia="zh-CN"/>
              </w:rPr>
              <w:t>分；</w:t>
            </w:r>
          </w:p>
          <w:p w14:paraId="394AFC93">
            <w:pPr>
              <w:widowControl/>
              <w:snapToGrid w:val="0"/>
              <w:spacing w:line="240" w:lineRule="exact"/>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2、有效的环境管理体系认证证书的得</w:t>
            </w:r>
            <w:r>
              <w:rPr>
                <w:rFonts w:hint="eastAsia" w:ascii="宋体" w:hAnsi="宋体" w:cs="Times New Roman"/>
                <w:color w:val="auto"/>
                <w:sz w:val="22"/>
                <w:szCs w:val="22"/>
                <w:highlight w:val="none"/>
                <w:lang w:val="en-US" w:eastAsia="zh-CN"/>
              </w:rPr>
              <w:t>2</w:t>
            </w:r>
            <w:r>
              <w:rPr>
                <w:rFonts w:hint="eastAsia" w:ascii="宋体" w:hAnsi="宋体" w:eastAsia="宋体" w:cs="Times New Roman"/>
                <w:color w:val="auto"/>
                <w:sz w:val="22"/>
                <w:szCs w:val="22"/>
                <w:highlight w:val="none"/>
                <w:lang w:val="en-US" w:eastAsia="zh-CN"/>
              </w:rPr>
              <w:t>分；</w:t>
            </w:r>
          </w:p>
          <w:p w14:paraId="3F439D7A">
            <w:pPr>
              <w:widowControl/>
              <w:snapToGrid w:val="0"/>
              <w:spacing w:line="240" w:lineRule="exact"/>
              <w:rPr>
                <w:rFonts w:hint="eastAsia" w:ascii="宋体" w:hAnsi="宋体" w:eastAsia="宋体" w:cs="宋体"/>
                <w:color w:val="auto"/>
                <w:sz w:val="22"/>
                <w:szCs w:val="22"/>
                <w:highlight w:val="none"/>
                <w:lang w:eastAsia="zh-CN"/>
              </w:rPr>
            </w:pPr>
            <w:r>
              <w:rPr>
                <w:rFonts w:hint="eastAsia" w:ascii="宋体" w:hAnsi="宋体" w:eastAsia="宋体" w:cs="Times New Roman"/>
                <w:color w:val="auto"/>
                <w:sz w:val="22"/>
                <w:szCs w:val="22"/>
                <w:highlight w:val="none"/>
                <w:lang w:val="en-US" w:eastAsia="zh-CN"/>
              </w:rPr>
              <w:t>3、有效的职业健康安全管理体系认证证书的得</w:t>
            </w:r>
            <w:r>
              <w:rPr>
                <w:rFonts w:hint="eastAsia" w:ascii="宋体" w:hAnsi="宋体" w:cs="Times New Roman"/>
                <w:color w:val="auto"/>
                <w:sz w:val="22"/>
                <w:szCs w:val="22"/>
                <w:highlight w:val="none"/>
                <w:lang w:val="en-US" w:eastAsia="zh-CN"/>
              </w:rPr>
              <w:t>2</w:t>
            </w:r>
            <w:r>
              <w:rPr>
                <w:rFonts w:hint="eastAsia" w:ascii="宋体" w:hAnsi="宋体" w:eastAsia="宋体" w:cs="Times New Roman"/>
                <w:color w:val="auto"/>
                <w:sz w:val="22"/>
                <w:szCs w:val="22"/>
                <w:highlight w:val="none"/>
                <w:lang w:val="en-US" w:eastAsia="zh-CN"/>
              </w:rPr>
              <w:t>分。</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1D12413F">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客</w:t>
            </w:r>
          </w:p>
          <w:p w14:paraId="03E07F97">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17ADC44E">
            <w:pPr>
              <w:suppressAutoHyphens/>
              <w:adjustRightInd w:val="0"/>
              <w:snapToGrid w:val="0"/>
              <w:spacing w:line="320" w:lineRule="exact"/>
              <w:ind w:left="-35" w:leftChars="0" w:right="-38" w:rightChars="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分</w:t>
            </w:r>
          </w:p>
        </w:tc>
      </w:tr>
      <w:tr w14:paraId="706DC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87" w:type="pct"/>
            <w:tcBorders>
              <w:top w:val="single" w:color="auto" w:sz="4" w:space="0"/>
              <w:left w:val="single" w:color="auto" w:sz="4" w:space="0"/>
              <w:right w:val="single" w:color="auto" w:sz="4" w:space="0"/>
            </w:tcBorders>
            <w:noWrap w:val="0"/>
            <w:vAlign w:val="center"/>
          </w:tcPr>
          <w:p w14:paraId="02E8D768">
            <w:pPr>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2</w:t>
            </w:r>
          </w:p>
        </w:tc>
        <w:tc>
          <w:tcPr>
            <w:tcW w:w="776" w:type="pct"/>
            <w:tcBorders>
              <w:top w:val="single" w:color="auto" w:sz="4" w:space="0"/>
              <w:left w:val="single" w:color="auto" w:sz="4" w:space="0"/>
              <w:right w:val="single" w:color="auto" w:sz="4" w:space="0"/>
            </w:tcBorders>
            <w:noWrap w:val="0"/>
            <w:vAlign w:val="center"/>
          </w:tcPr>
          <w:p w14:paraId="139EF702">
            <w:pPr>
              <w:widowControl/>
              <w:snapToGrid w:val="0"/>
              <w:spacing w:line="240" w:lineRule="exact"/>
              <w:jc w:val="center"/>
              <w:rPr>
                <w:rFonts w:hint="eastAsia" w:ascii="宋体" w:hAnsi="宋体" w:cs="宋体"/>
                <w:color w:val="auto"/>
                <w:kern w:val="2"/>
                <w:sz w:val="22"/>
                <w:szCs w:val="22"/>
                <w:highlight w:val="none"/>
                <w:lang w:val="en-US" w:eastAsia="zh-CN" w:bidi="ar-SA"/>
              </w:rPr>
            </w:pPr>
            <w:r>
              <w:rPr>
                <w:rFonts w:hint="eastAsia" w:ascii="宋体" w:hAnsi="宋体" w:eastAsia="宋体" w:cs="Times New Roman"/>
                <w:color w:val="auto"/>
                <w:sz w:val="22"/>
                <w:szCs w:val="22"/>
                <w:highlight w:val="none"/>
                <w:lang w:eastAsia="zh-CN"/>
              </w:rPr>
              <w:t>企业</w:t>
            </w:r>
            <w:r>
              <w:rPr>
                <w:rFonts w:hint="eastAsia" w:ascii="宋体" w:hAnsi="宋体" w:cs="Times New Roman"/>
                <w:color w:val="auto"/>
                <w:sz w:val="22"/>
                <w:szCs w:val="22"/>
                <w:highlight w:val="none"/>
                <w:lang w:val="en-US" w:eastAsia="zh-CN"/>
              </w:rPr>
              <w:t>情况</w:t>
            </w:r>
          </w:p>
        </w:tc>
        <w:tc>
          <w:tcPr>
            <w:tcW w:w="575" w:type="pct"/>
            <w:tcBorders>
              <w:top w:val="single" w:color="auto" w:sz="4" w:space="0"/>
              <w:left w:val="single" w:color="auto" w:sz="4" w:space="0"/>
              <w:bottom w:val="single" w:color="auto" w:sz="4" w:space="0"/>
              <w:right w:val="single" w:color="auto" w:sz="4" w:space="0"/>
            </w:tcBorders>
            <w:noWrap w:val="0"/>
            <w:vAlign w:val="center"/>
          </w:tcPr>
          <w:p w14:paraId="75263BF6">
            <w:pPr>
              <w:widowControl/>
              <w:snapToGrid w:val="0"/>
              <w:spacing w:line="240" w:lineRule="exact"/>
              <w:jc w:val="center"/>
              <w:rPr>
                <w:rFonts w:hint="eastAsia" w:ascii="宋体" w:hAnsi="宋体" w:eastAsia="宋体" w:cs="宋体"/>
                <w:bCs/>
                <w:color w:val="auto"/>
                <w:sz w:val="22"/>
                <w:szCs w:val="22"/>
                <w:highlight w:val="none"/>
              </w:rPr>
            </w:pPr>
            <w:r>
              <w:rPr>
                <w:rFonts w:hint="eastAsia" w:ascii="宋体" w:hAnsi="宋体" w:eastAsia="宋体" w:cs="Times New Roman"/>
                <w:color w:val="auto"/>
                <w:sz w:val="22"/>
                <w:szCs w:val="22"/>
                <w:highlight w:val="none"/>
                <w:lang w:val="en-US" w:eastAsia="zh-CN"/>
              </w:rPr>
              <w:t>0-6分</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069FBCF2">
            <w:pPr>
              <w:widowControl/>
              <w:snapToGrid w:val="0"/>
              <w:spacing w:line="240" w:lineRule="exact"/>
              <w:rPr>
                <w:rFonts w:hint="eastAsia" w:ascii="宋体" w:hAnsi="宋体" w:eastAsia="宋体" w:cs="宋体"/>
                <w:color w:val="auto"/>
                <w:sz w:val="22"/>
                <w:szCs w:val="22"/>
                <w:highlight w:val="none"/>
                <w:lang w:eastAsia="zh-CN"/>
              </w:rPr>
            </w:pPr>
            <w:r>
              <w:rPr>
                <w:rFonts w:hint="eastAsia" w:ascii="宋体" w:hAnsi="宋体" w:cs="Times New Roman"/>
                <w:color w:val="auto"/>
                <w:sz w:val="22"/>
                <w:szCs w:val="22"/>
                <w:highlight w:val="none"/>
                <w:lang w:val="en-US" w:eastAsia="zh-CN"/>
              </w:rPr>
              <w:t>获得市级及以上奖项的每个得2分，各企业获奖总分满分为6分</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67B55DC6">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客</w:t>
            </w:r>
          </w:p>
          <w:p w14:paraId="79D2A941">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7F22B737">
            <w:pPr>
              <w:suppressAutoHyphens/>
              <w:adjustRightInd w:val="0"/>
              <w:snapToGrid w:val="0"/>
              <w:spacing w:line="320" w:lineRule="exact"/>
              <w:ind w:left="-35" w:leftChars="0" w:right="-38" w:rightChars="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分</w:t>
            </w:r>
          </w:p>
        </w:tc>
      </w:tr>
      <w:tr w14:paraId="39393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287" w:type="pct"/>
            <w:tcBorders>
              <w:top w:val="single" w:color="auto" w:sz="4" w:space="0"/>
              <w:left w:val="single" w:color="auto" w:sz="4" w:space="0"/>
              <w:right w:val="single" w:color="auto" w:sz="4" w:space="0"/>
            </w:tcBorders>
            <w:noWrap w:val="0"/>
            <w:vAlign w:val="center"/>
          </w:tcPr>
          <w:p w14:paraId="1DCB3741">
            <w:pPr>
              <w:jc w:val="center"/>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3</w:t>
            </w:r>
          </w:p>
        </w:tc>
        <w:tc>
          <w:tcPr>
            <w:tcW w:w="776" w:type="pct"/>
            <w:tcBorders>
              <w:top w:val="single" w:color="auto" w:sz="4" w:space="0"/>
              <w:left w:val="single" w:color="auto" w:sz="4" w:space="0"/>
              <w:right w:val="single" w:color="auto" w:sz="4" w:space="0"/>
            </w:tcBorders>
            <w:noWrap w:val="0"/>
            <w:vAlign w:val="center"/>
          </w:tcPr>
          <w:p w14:paraId="2ED1CACC">
            <w:pPr>
              <w:widowControl/>
              <w:snapToGrid w:val="0"/>
              <w:spacing w:line="240" w:lineRule="exact"/>
              <w:jc w:val="center"/>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rPr>
              <w:t>供应商类似配电安装工程业绩</w:t>
            </w:r>
          </w:p>
        </w:tc>
        <w:tc>
          <w:tcPr>
            <w:tcW w:w="575" w:type="pct"/>
            <w:tcBorders>
              <w:top w:val="single" w:color="auto" w:sz="4" w:space="0"/>
              <w:left w:val="single" w:color="auto" w:sz="4" w:space="0"/>
              <w:bottom w:val="single" w:color="auto" w:sz="4" w:space="0"/>
              <w:right w:val="single" w:color="auto" w:sz="4" w:space="0"/>
            </w:tcBorders>
            <w:noWrap w:val="0"/>
            <w:vAlign w:val="center"/>
          </w:tcPr>
          <w:p w14:paraId="65338A80">
            <w:pPr>
              <w:widowControl/>
              <w:snapToGrid w:val="0"/>
              <w:spacing w:line="240" w:lineRule="exact"/>
              <w:jc w:val="center"/>
              <w:rPr>
                <w:rFonts w:hint="eastAsia"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0-</w:t>
            </w:r>
            <w:r>
              <w:rPr>
                <w:rFonts w:hint="eastAsia" w:ascii="宋体" w:hAnsi="宋体" w:cs="Times New Roman"/>
                <w:color w:val="auto"/>
                <w:sz w:val="22"/>
                <w:szCs w:val="22"/>
                <w:highlight w:val="none"/>
                <w:lang w:val="en-US" w:eastAsia="zh-CN"/>
              </w:rPr>
              <w:t>1</w:t>
            </w:r>
            <w:r>
              <w:rPr>
                <w:rFonts w:hint="eastAsia" w:ascii="宋体" w:hAnsi="宋体" w:eastAsia="宋体" w:cs="Times New Roman"/>
                <w:color w:val="auto"/>
                <w:sz w:val="22"/>
                <w:szCs w:val="22"/>
                <w:highlight w:val="none"/>
                <w:lang w:val="en-US" w:eastAsia="zh-CN"/>
              </w:rPr>
              <w:t>分</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3B20B4B0">
            <w:pPr>
              <w:widowControl/>
              <w:snapToGrid w:val="0"/>
              <w:spacing w:line="240" w:lineRule="exact"/>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要求提供</w:t>
            </w:r>
            <w:r>
              <w:rPr>
                <w:rFonts w:hint="eastAsia" w:ascii="宋体" w:hAnsi="宋体" w:cs="Times New Roman"/>
                <w:color w:val="auto"/>
                <w:sz w:val="22"/>
                <w:szCs w:val="22"/>
                <w:highlight w:val="none"/>
                <w:lang w:val="en-US" w:eastAsia="zh-CN"/>
              </w:rPr>
              <w:t>2020</w:t>
            </w:r>
            <w:r>
              <w:rPr>
                <w:rFonts w:hint="eastAsia" w:ascii="宋体" w:hAnsi="宋体" w:eastAsia="宋体" w:cs="Times New Roman"/>
                <w:color w:val="auto"/>
                <w:sz w:val="22"/>
                <w:szCs w:val="22"/>
                <w:highlight w:val="none"/>
                <w:lang w:val="en-US" w:eastAsia="zh-CN"/>
              </w:rPr>
              <w:t>年1月1日至今</w:t>
            </w:r>
            <w:r>
              <w:rPr>
                <w:rFonts w:hint="eastAsia" w:ascii="宋体" w:hAnsi="宋体" w:eastAsia="宋体" w:cs="Times New Roman"/>
                <w:color w:val="auto"/>
                <w:sz w:val="22"/>
                <w:szCs w:val="22"/>
                <w:highlight w:val="none"/>
              </w:rPr>
              <w:t>类似配电安装工程，每个业绩得</w:t>
            </w:r>
            <w:r>
              <w:rPr>
                <w:rFonts w:hint="eastAsia" w:ascii="宋体" w:hAnsi="宋体" w:eastAsia="宋体" w:cs="Times New Roman"/>
                <w:color w:val="auto"/>
                <w:sz w:val="22"/>
                <w:szCs w:val="22"/>
                <w:highlight w:val="none"/>
                <w:lang w:val="en-US" w:eastAsia="zh-CN"/>
              </w:rPr>
              <w:t>0.5</w:t>
            </w:r>
            <w:r>
              <w:rPr>
                <w:rFonts w:hint="eastAsia" w:ascii="宋体" w:hAnsi="宋体" w:eastAsia="宋体" w:cs="Times New Roman"/>
                <w:color w:val="auto"/>
                <w:sz w:val="22"/>
                <w:szCs w:val="22"/>
                <w:highlight w:val="none"/>
              </w:rPr>
              <w:t>分，满分</w:t>
            </w:r>
            <w:r>
              <w:rPr>
                <w:rFonts w:hint="eastAsia" w:ascii="宋体" w:hAnsi="宋体" w:cs="Times New Roman"/>
                <w:color w:val="auto"/>
                <w:sz w:val="22"/>
                <w:szCs w:val="22"/>
                <w:highlight w:val="none"/>
                <w:lang w:val="en-US" w:eastAsia="zh-CN"/>
              </w:rPr>
              <w:t>1</w:t>
            </w:r>
            <w:r>
              <w:rPr>
                <w:rFonts w:hint="eastAsia" w:ascii="宋体" w:hAnsi="宋体" w:eastAsia="宋体" w:cs="Times New Roman"/>
                <w:color w:val="auto"/>
                <w:sz w:val="22"/>
                <w:szCs w:val="22"/>
                <w:highlight w:val="none"/>
              </w:rPr>
              <w:t>分。</w:t>
            </w:r>
          </w:p>
          <w:p w14:paraId="160A6A07">
            <w:pPr>
              <w:widowControl/>
              <w:snapToGrid w:val="0"/>
              <w:spacing w:line="240" w:lineRule="exact"/>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同时提供以下材料的类似项目业绩方可计分：</w:t>
            </w:r>
          </w:p>
          <w:p w14:paraId="05299CDD">
            <w:pPr>
              <w:widowControl/>
              <w:snapToGrid w:val="0"/>
              <w:spacing w:line="240" w:lineRule="exact"/>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1、提供合同或中标通知书扫描件</w:t>
            </w:r>
          </w:p>
          <w:p w14:paraId="4F0881FF">
            <w:pPr>
              <w:widowControl/>
              <w:snapToGrid w:val="0"/>
              <w:spacing w:line="240" w:lineRule="exact"/>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2、电力主管部门出具的竣工验收合格证明扫描件</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78DD515F">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客</w:t>
            </w:r>
          </w:p>
          <w:p w14:paraId="5476536A">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64BD1ED0">
            <w:pPr>
              <w:suppressAutoHyphens/>
              <w:adjustRightInd w:val="0"/>
              <w:snapToGrid w:val="0"/>
              <w:spacing w:line="320" w:lineRule="exact"/>
              <w:ind w:left="-35" w:leftChars="0" w:right="-38" w:rightChars="0"/>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分</w:t>
            </w:r>
          </w:p>
        </w:tc>
      </w:tr>
      <w:tr w14:paraId="1132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7" w:type="pct"/>
            <w:vMerge w:val="restart"/>
            <w:tcBorders>
              <w:top w:val="single" w:color="auto" w:sz="4" w:space="0"/>
              <w:left w:val="single" w:color="auto" w:sz="4" w:space="0"/>
              <w:right w:val="single" w:color="auto" w:sz="4" w:space="0"/>
            </w:tcBorders>
            <w:noWrap w:val="0"/>
            <w:vAlign w:val="center"/>
          </w:tcPr>
          <w:p w14:paraId="714F6EBA">
            <w:pPr>
              <w:jc w:val="center"/>
              <w:rPr>
                <w:rFonts w:hint="default"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4</w:t>
            </w:r>
          </w:p>
        </w:tc>
        <w:tc>
          <w:tcPr>
            <w:tcW w:w="776" w:type="pct"/>
            <w:vMerge w:val="restart"/>
            <w:tcBorders>
              <w:top w:val="single" w:color="auto" w:sz="4" w:space="0"/>
              <w:left w:val="single" w:color="auto" w:sz="4" w:space="0"/>
              <w:right w:val="single" w:color="auto" w:sz="4" w:space="0"/>
            </w:tcBorders>
            <w:noWrap w:val="0"/>
            <w:vAlign w:val="center"/>
          </w:tcPr>
          <w:p w14:paraId="5E28A02B">
            <w:pPr>
              <w:jc w:val="center"/>
              <w:rPr>
                <w:rFonts w:hint="eastAsia" w:ascii="宋体" w:hAnsi="宋体" w:cs="宋体"/>
                <w:color w:val="auto"/>
                <w:kern w:val="2"/>
                <w:sz w:val="22"/>
                <w:szCs w:val="22"/>
                <w:highlight w:val="none"/>
                <w:lang w:val="en-US" w:eastAsia="zh-CN" w:bidi="ar-SA"/>
              </w:rPr>
            </w:pPr>
            <w:r>
              <w:rPr>
                <w:rFonts w:hint="eastAsia" w:ascii="宋体" w:hAnsi="宋体" w:cs="宋体"/>
                <w:color w:val="auto"/>
                <w:kern w:val="2"/>
                <w:sz w:val="22"/>
                <w:szCs w:val="22"/>
                <w:highlight w:val="none"/>
                <w:lang w:val="en-US" w:eastAsia="zh-CN" w:bidi="ar-SA"/>
              </w:rPr>
              <w:t>项目总体实施方案</w:t>
            </w:r>
          </w:p>
        </w:tc>
        <w:tc>
          <w:tcPr>
            <w:tcW w:w="575" w:type="pct"/>
            <w:tcBorders>
              <w:top w:val="single" w:color="auto" w:sz="4" w:space="0"/>
              <w:left w:val="single" w:color="auto" w:sz="4" w:space="0"/>
              <w:bottom w:val="single" w:color="auto" w:sz="4" w:space="0"/>
              <w:right w:val="single" w:color="auto" w:sz="4" w:space="0"/>
            </w:tcBorders>
            <w:noWrap w:val="0"/>
            <w:vAlign w:val="center"/>
          </w:tcPr>
          <w:p w14:paraId="59D1EE49">
            <w:pPr>
              <w:suppressAutoHyphens/>
              <w:adjustRightInd w:val="0"/>
              <w:snapToGrid w:val="0"/>
              <w:spacing w:line="320" w:lineRule="exact"/>
              <w:ind w:left="-35" w:right="-38"/>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0-</w:t>
            </w:r>
            <w:r>
              <w:rPr>
                <w:rFonts w:hint="eastAsia" w:ascii="宋体" w:hAnsi="宋体" w:cs="宋体"/>
                <w:bCs/>
                <w:color w:val="auto"/>
                <w:sz w:val="22"/>
                <w:szCs w:val="22"/>
                <w:highlight w:val="none"/>
                <w:lang w:val="en-US" w:eastAsia="zh-CN"/>
              </w:rPr>
              <w:t>7</w:t>
            </w:r>
            <w:r>
              <w:rPr>
                <w:rFonts w:hint="eastAsia" w:ascii="宋体" w:hAnsi="宋体"/>
                <w:color w:val="auto"/>
                <w:sz w:val="22"/>
                <w:szCs w:val="22"/>
                <w:highlight w:val="none"/>
                <w:lang w:val="en-US" w:eastAsia="zh-CN"/>
              </w:rPr>
              <w:t>分</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57936378">
            <w:pPr>
              <w:suppressAutoHyphens/>
              <w:adjustRightInd w:val="0"/>
              <w:snapToGrid w:val="0"/>
              <w:spacing w:line="320" w:lineRule="exact"/>
              <w:ind w:left="-35" w:right="-38"/>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sz w:val="22"/>
                <w:szCs w:val="22"/>
                <w:highlight w:val="none"/>
                <w:lang w:eastAsia="zh-CN"/>
              </w:rPr>
              <w:t>针对本项目在</w:t>
            </w:r>
            <w:r>
              <w:rPr>
                <w:rFonts w:hint="eastAsia" w:ascii="宋体" w:hAnsi="宋体"/>
                <w:color w:val="auto"/>
                <w:sz w:val="22"/>
                <w:szCs w:val="22"/>
                <w:highlight w:val="none"/>
                <w:lang w:val="en-US" w:eastAsia="zh-CN"/>
              </w:rPr>
              <w:t>配电房</w:t>
            </w:r>
            <w:r>
              <w:rPr>
                <w:rFonts w:hint="eastAsia" w:ascii="宋体" w:hAnsi="宋体"/>
                <w:color w:val="auto"/>
                <w:sz w:val="22"/>
                <w:szCs w:val="22"/>
                <w:highlight w:val="none"/>
                <w:lang w:eastAsia="zh-CN"/>
              </w:rPr>
              <w:t>施工</w:t>
            </w:r>
            <w:r>
              <w:rPr>
                <w:rFonts w:hint="eastAsia" w:ascii="宋体" w:hAnsi="宋体" w:eastAsia="宋体" w:cs="宋体"/>
                <w:color w:val="auto"/>
                <w:sz w:val="22"/>
                <w:szCs w:val="22"/>
                <w:highlight w:val="none"/>
                <w:lang w:eastAsia="zh-CN"/>
              </w:rPr>
              <w:t>特点，制定项目的</w:t>
            </w:r>
            <w:r>
              <w:rPr>
                <w:rFonts w:hint="eastAsia" w:ascii="宋体" w:hAnsi="宋体" w:cs="宋体"/>
                <w:bCs/>
                <w:color w:val="auto"/>
                <w:sz w:val="22"/>
                <w:szCs w:val="22"/>
                <w:highlight w:val="none"/>
              </w:rPr>
              <w:t>施工总体布置、主要施工技术措施</w:t>
            </w:r>
            <w:r>
              <w:rPr>
                <w:rFonts w:hint="eastAsia" w:ascii="宋体" w:hAnsi="宋体" w:cs="宋体"/>
                <w:bCs/>
                <w:color w:val="auto"/>
                <w:sz w:val="22"/>
                <w:szCs w:val="22"/>
                <w:highlight w:val="none"/>
                <w:lang w:eastAsia="zh-CN"/>
              </w:rPr>
              <w:t>方案，由评委综合评分（</w:t>
            </w:r>
            <w:r>
              <w:rPr>
                <w:rFonts w:hint="eastAsia" w:ascii="宋体" w:hAnsi="宋体" w:cs="宋体"/>
                <w:bCs/>
                <w:color w:val="auto"/>
                <w:sz w:val="22"/>
                <w:szCs w:val="22"/>
                <w:highlight w:val="none"/>
                <w:lang w:val="en-US" w:eastAsia="zh-CN"/>
              </w:rPr>
              <w:t>评分范围：7,6,5,4,3,2,1,0</w:t>
            </w:r>
            <w:r>
              <w:rPr>
                <w:rFonts w:hint="eastAsia" w:ascii="宋体" w:hAnsi="宋体" w:cs="宋体"/>
                <w:bCs/>
                <w:color w:val="auto"/>
                <w:sz w:val="22"/>
                <w:szCs w:val="22"/>
                <w:highlight w:val="none"/>
                <w:lang w:eastAsia="zh-CN"/>
              </w:rPr>
              <w:t>）</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39D102ED">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w:t>
            </w:r>
          </w:p>
          <w:p w14:paraId="52FE7ECA">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7870F5C8">
            <w:pPr>
              <w:suppressAutoHyphens/>
              <w:adjustRightInd w:val="0"/>
              <w:snapToGrid w:val="0"/>
              <w:spacing w:line="320" w:lineRule="exact"/>
              <w:ind w:left="-35" w:right="-38"/>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分</w:t>
            </w:r>
          </w:p>
        </w:tc>
      </w:tr>
      <w:tr w14:paraId="6A55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jc w:val="center"/>
        </w:trPr>
        <w:tc>
          <w:tcPr>
            <w:tcW w:w="287" w:type="pct"/>
            <w:vMerge w:val="continue"/>
            <w:tcBorders>
              <w:left w:val="single" w:color="auto" w:sz="4" w:space="0"/>
              <w:right w:val="single" w:color="auto" w:sz="4" w:space="0"/>
            </w:tcBorders>
            <w:noWrap w:val="0"/>
            <w:vAlign w:val="center"/>
          </w:tcPr>
          <w:p w14:paraId="1242159F">
            <w:pPr>
              <w:jc w:val="center"/>
              <w:rPr>
                <w:rFonts w:hint="eastAsia" w:ascii="宋体" w:hAnsi="宋体" w:eastAsia="宋体"/>
                <w:color w:val="auto"/>
                <w:sz w:val="22"/>
                <w:szCs w:val="22"/>
                <w:highlight w:val="none"/>
                <w:lang w:val="en-US" w:eastAsia="zh-CN"/>
              </w:rPr>
            </w:pPr>
          </w:p>
        </w:tc>
        <w:tc>
          <w:tcPr>
            <w:tcW w:w="776" w:type="pct"/>
            <w:vMerge w:val="continue"/>
            <w:tcBorders>
              <w:left w:val="single" w:color="auto" w:sz="4" w:space="0"/>
              <w:right w:val="single" w:color="auto" w:sz="4" w:space="0"/>
            </w:tcBorders>
            <w:noWrap w:val="0"/>
            <w:vAlign w:val="center"/>
          </w:tcPr>
          <w:p w14:paraId="3D31E76F">
            <w:pPr>
              <w:jc w:val="center"/>
              <w:rPr>
                <w:rFonts w:hint="eastAsia" w:ascii="宋体" w:hAnsi="宋体" w:cs="宋体"/>
                <w:color w:val="auto"/>
                <w:kern w:val="2"/>
                <w:sz w:val="22"/>
                <w:szCs w:val="22"/>
                <w:highlight w:val="none"/>
                <w:lang w:val="en-US" w:eastAsia="zh-CN" w:bidi="ar-SA"/>
              </w:rPr>
            </w:pPr>
          </w:p>
        </w:tc>
        <w:tc>
          <w:tcPr>
            <w:tcW w:w="575" w:type="pct"/>
            <w:tcBorders>
              <w:top w:val="single" w:color="auto" w:sz="4" w:space="0"/>
              <w:left w:val="single" w:color="auto" w:sz="4" w:space="0"/>
              <w:bottom w:val="single" w:color="auto" w:sz="4" w:space="0"/>
              <w:right w:val="single" w:color="auto" w:sz="4" w:space="0"/>
            </w:tcBorders>
            <w:noWrap w:val="0"/>
            <w:vAlign w:val="center"/>
          </w:tcPr>
          <w:p w14:paraId="486A3B73">
            <w:pPr>
              <w:suppressAutoHyphens/>
              <w:adjustRightInd w:val="0"/>
              <w:snapToGrid w:val="0"/>
              <w:spacing w:line="320" w:lineRule="exact"/>
              <w:ind w:left="-35" w:right="-38"/>
              <w:jc w:val="center"/>
              <w:rPr>
                <w:rFonts w:hint="default" w:ascii="宋体" w:hAnsi="宋体" w:eastAsia="宋体" w:cs="宋体"/>
                <w:bCs/>
                <w:color w:val="auto"/>
                <w:sz w:val="22"/>
                <w:szCs w:val="22"/>
                <w:highlight w:val="none"/>
                <w:lang w:val="en-US"/>
              </w:rPr>
            </w:pPr>
            <w:r>
              <w:rPr>
                <w:rFonts w:hint="eastAsia" w:ascii="宋体" w:hAnsi="宋体" w:eastAsia="宋体" w:cs="宋体"/>
                <w:bCs/>
                <w:color w:val="auto"/>
                <w:sz w:val="22"/>
                <w:szCs w:val="22"/>
                <w:highlight w:val="none"/>
              </w:rPr>
              <w:t>0-</w:t>
            </w:r>
            <w:r>
              <w:rPr>
                <w:rFonts w:hint="eastAsia" w:ascii="宋体" w:hAnsi="宋体" w:cs="宋体"/>
                <w:bCs/>
                <w:color w:val="auto"/>
                <w:sz w:val="22"/>
                <w:szCs w:val="22"/>
                <w:highlight w:val="none"/>
                <w:lang w:val="en-US" w:eastAsia="zh-CN"/>
              </w:rPr>
              <w:t>7</w:t>
            </w:r>
            <w:r>
              <w:rPr>
                <w:rFonts w:hint="eastAsia" w:ascii="宋体" w:hAnsi="宋体"/>
                <w:color w:val="auto"/>
                <w:sz w:val="22"/>
                <w:szCs w:val="22"/>
                <w:highlight w:val="none"/>
                <w:lang w:val="en-US" w:eastAsia="zh-CN"/>
              </w:rPr>
              <w:t>分</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43D5767F">
            <w:pPr>
              <w:suppressAutoHyphens/>
              <w:adjustRightInd w:val="0"/>
              <w:snapToGrid w:val="0"/>
              <w:spacing w:line="320" w:lineRule="exact"/>
              <w:ind w:left="-35" w:right="-38"/>
              <w:rPr>
                <w:rFonts w:hint="eastAsia" w:ascii="宋体" w:hAnsi="宋体" w:eastAsia="宋体" w:cs="宋体"/>
                <w:color w:val="auto"/>
                <w:sz w:val="22"/>
                <w:szCs w:val="22"/>
                <w:highlight w:val="none"/>
                <w:lang w:eastAsia="zh-CN"/>
              </w:rPr>
            </w:pPr>
            <w:r>
              <w:rPr>
                <w:rFonts w:hint="eastAsia" w:ascii="宋体" w:hAnsi="宋体" w:cs="宋体"/>
                <w:bCs/>
                <w:color w:val="auto"/>
                <w:sz w:val="22"/>
                <w:szCs w:val="22"/>
                <w:highlight w:val="none"/>
              </w:rPr>
              <w:t>环境保护、文明施工措施</w:t>
            </w:r>
            <w:r>
              <w:rPr>
                <w:rFonts w:hint="eastAsia" w:ascii="宋体" w:hAnsi="宋体" w:cs="宋体"/>
                <w:bCs/>
                <w:color w:val="auto"/>
                <w:sz w:val="22"/>
                <w:szCs w:val="22"/>
                <w:highlight w:val="none"/>
                <w:lang w:eastAsia="zh-CN"/>
              </w:rPr>
              <w:t>方案，由评委综合评分（</w:t>
            </w:r>
            <w:r>
              <w:rPr>
                <w:rFonts w:hint="eastAsia" w:ascii="宋体" w:hAnsi="宋体" w:cs="宋体"/>
                <w:bCs/>
                <w:color w:val="auto"/>
                <w:sz w:val="22"/>
                <w:szCs w:val="22"/>
                <w:highlight w:val="none"/>
                <w:lang w:val="en-US" w:eastAsia="zh-CN"/>
              </w:rPr>
              <w:t>评分范围：7,6,5,4,3,2,1,0</w:t>
            </w:r>
            <w:r>
              <w:rPr>
                <w:rFonts w:hint="eastAsia" w:ascii="宋体" w:hAnsi="宋体" w:cs="宋体"/>
                <w:bCs/>
                <w:color w:val="auto"/>
                <w:sz w:val="22"/>
                <w:szCs w:val="22"/>
                <w:highlight w:val="none"/>
                <w:lang w:eastAsia="zh-CN"/>
              </w:rPr>
              <w:t>）</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1E70F334">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w:t>
            </w:r>
          </w:p>
          <w:p w14:paraId="3BEEEC13">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076F0199">
            <w:pPr>
              <w:suppressAutoHyphens/>
              <w:adjustRightInd w:val="0"/>
              <w:snapToGrid w:val="0"/>
              <w:spacing w:line="320" w:lineRule="exact"/>
              <w:ind w:left="-35" w:right="-38"/>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分</w:t>
            </w:r>
          </w:p>
        </w:tc>
      </w:tr>
      <w:tr w14:paraId="2899D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7" w:type="pct"/>
            <w:vMerge w:val="continue"/>
            <w:tcBorders>
              <w:left w:val="single" w:color="auto" w:sz="4" w:space="0"/>
              <w:right w:val="single" w:color="auto" w:sz="4" w:space="0"/>
            </w:tcBorders>
            <w:noWrap w:val="0"/>
            <w:vAlign w:val="center"/>
          </w:tcPr>
          <w:p w14:paraId="041925D8">
            <w:pPr>
              <w:jc w:val="center"/>
              <w:rPr>
                <w:rFonts w:hint="eastAsia" w:ascii="宋体" w:hAnsi="宋体" w:eastAsia="宋体"/>
                <w:color w:val="auto"/>
                <w:sz w:val="22"/>
                <w:szCs w:val="22"/>
                <w:highlight w:val="none"/>
                <w:lang w:val="en-US" w:eastAsia="zh-CN"/>
              </w:rPr>
            </w:pPr>
          </w:p>
        </w:tc>
        <w:tc>
          <w:tcPr>
            <w:tcW w:w="776" w:type="pct"/>
            <w:vMerge w:val="continue"/>
            <w:tcBorders>
              <w:left w:val="single" w:color="auto" w:sz="4" w:space="0"/>
              <w:right w:val="single" w:color="auto" w:sz="4" w:space="0"/>
            </w:tcBorders>
            <w:noWrap w:val="0"/>
            <w:vAlign w:val="center"/>
          </w:tcPr>
          <w:p w14:paraId="194DD99B">
            <w:pPr>
              <w:jc w:val="center"/>
              <w:rPr>
                <w:rFonts w:hint="eastAsia" w:ascii="宋体" w:hAnsi="宋体" w:cs="宋体"/>
                <w:color w:val="auto"/>
                <w:kern w:val="2"/>
                <w:sz w:val="22"/>
                <w:szCs w:val="22"/>
                <w:highlight w:val="none"/>
                <w:lang w:val="en-US" w:eastAsia="zh-CN" w:bidi="ar-SA"/>
              </w:rPr>
            </w:pPr>
          </w:p>
        </w:tc>
        <w:tc>
          <w:tcPr>
            <w:tcW w:w="575" w:type="pct"/>
            <w:tcBorders>
              <w:top w:val="single" w:color="auto" w:sz="4" w:space="0"/>
              <w:left w:val="single" w:color="auto" w:sz="4" w:space="0"/>
              <w:bottom w:val="single" w:color="auto" w:sz="4" w:space="0"/>
              <w:right w:val="single" w:color="auto" w:sz="4" w:space="0"/>
            </w:tcBorders>
            <w:noWrap w:val="0"/>
            <w:vAlign w:val="center"/>
          </w:tcPr>
          <w:p w14:paraId="47D5919D">
            <w:pPr>
              <w:suppressAutoHyphens/>
              <w:adjustRightInd w:val="0"/>
              <w:snapToGrid w:val="0"/>
              <w:spacing w:line="320" w:lineRule="exact"/>
              <w:ind w:left="-35" w:right="-38"/>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0-</w:t>
            </w:r>
            <w:r>
              <w:rPr>
                <w:rFonts w:hint="eastAsia" w:ascii="宋体" w:hAnsi="宋体" w:cs="宋体"/>
                <w:bCs/>
                <w:color w:val="auto"/>
                <w:sz w:val="22"/>
                <w:szCs w:val="22"/>
                <w:highlight w:val="none"/>
                <w:lang w:val="en-US" w:eastAsia="zh-CN"/>
              </w:rPr>
              <w:t>7</w:t>
            </w:r>
            <w:r>
              <w:rPr>
                <w:rFonts w:hint="eastAsia" w:ascii="宋体" w:hAnsi="宋体"/>
                <w:color w:val="auto"/>
                <w:sz w:val="22"/>
                <w:szCs w:val="22"/>
                <w:highlight w:val="none"/>
                <w:lang w:val="en-US" w:eastAsia="zh-CN"/>
              </w:rPr>
              <w:t>分</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7101B50D">
            <w:pPr>
              <w:suppressAutoHyphens/>
              <w:adjustRightInd w:val="0"/>
              <w:snapToGrid w:val="0"/>
              <w:spacing w:line="320" w:lineRule="exact"/>
              <w:ind w:left="-35" w:right="-38"/>
              <w:rPr>
                <w:rFonts w:hint="eastAsia" w:ascii="宋体" w:hAnsi="宋体" w:eastAsia="宋体" w:cs="宋体"/>
                <w:color w:val="auto"/>
                <w:sz w:val="22"/>
                <w:szCs w:val="22"/>
                <w:highlight w:val="none"/>
                <w:lang w:eastAsia="zh-CN"/>
              </w:rPr>
            </w:pPr>
            <w:r>
              <w:rPr>
                <w:rFonts w:hint="eastAsia" w:ascii="宋体" w:hAnsi="宋体" w:cs="宋体"/>
                <w:bCs/>
                <w:color w:val="auto"/>
                <w:sz w:val="22"/>
                <w:szCs w:val="22"/>
                <w:highlight w:val="none"/>
              </w:rPr>
              <w:t>安全保证体系，安全目标，安全方面的规章制度</w:t>
            </w:r>
            <w:r>
              <w:rPr>
                <w:rFonts w:hint="eastAsia" w:ascii="宋体" w:hAnsi="宋体" w:cs="宋体"/>
                <w:bCs/>
                <w:color w:val="auto"/>
                <w:sz w:val="22"/>
                <w:szCs w:val="22"/>
                <w:highlight w:val="none"/>
                <w:lang w:eastAsia="zh-CN"/>
              </w:rPr>
              <w:t>方案，由评委综合评分（</w:t>
            </w:r>
            <w:r>
              <w:rPr>
                <w:rFonts w:hint="eastAsia" w:ascii="宋体" w:hAnsi="宋体" w:cs="宋体"/>
                <w:bCs/>
                <w:color w:val="auto"/>
                <w:sz w:val="22"/>
                <w:szCs w:val="22"/>
                <w:highlight w:val="none"/>
                <w:lang w:val="en-US" w:eastAsia="zh-CN"/>
              </w:rPr>
              <w:t>评分范围：7,6,5,4,3,2,1,0</w:t>
            </w:r>
            <w:r>
              <w:rPr>
                <w:rFonts w:hint="eastAsia" w:ascii="宋体" w:hAnsi="宋体" w:cs="宋体"/>
                <w:bCs/>
                <w:color w:val="auto"/>
                <w:sz w:val="22"/>
                <w:szCs w:val="22"/>
                <w:highlight w:val="none"/>
                <w:lang w:eastAsia="zh-CN"/>
              </w:rPr>
              <w:t>）</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0F706939">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w:t>
            </w:r>
          </w:p>
          <w:p w14:paraId="40B108E9">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26D246E6">
            <w:pPr>
              <w:suppressAutoHyphens/>
              <w:adjustRightInd w:val="0"/>
              <w:snapToGrid w:val="0"/>
              <w:spacing w:line="320" w:lineRule="exact"/>
              <w:ind w:left="-35" w:right="-38"/>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分</w:t>
            </w:r>
          </w:p>
        </w:tc>
      </w:tr>
      <w:tr w14:paraId="020F1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7" w:type="pct"/>
            <w:vMerge w:val="continue"/>
            <w:tcBorders>
              <w:left w:val="single" w:color="auto" w:sz="4" w:space="0"/>
              <w:right w:val="single" w:color="auto" w:sz="4" w:space="0"/>
            </w:tcBorders>
            <w:noWrap w:val="0"/>
            <w:vAlign w:val="center"/>
          </w:tcPr>
          <w:p w14:paraId="5FA44A02">
            <w:pPr>
              <w:jc w:val="center"/>
              <w:rPr>
                <w:rFonts w:hint="eastAsia" w:ascii="宋体" w:hAnsi="宋体" w:eastAsia="宋体"/>
                <w:color w:val="auto"/>
                <w:sz w:val="22"/>
                <w:szCs w:val="22"/>
                <w:highlight w:val="none"/>
                <w:lang w:val="en-US" w:eastAsia="zh-CN"/>
              </w:rPr>
            </w:pPr>
          </w:p>
        </w:tc>
        <w:tc>
          <w:tcPr>
            <w:tcW w:w="776" w:type="pct"/>
            <w:vMerge w:val="continue"/>
            <w:tcBorders>
              <w:left w:val="single" w:color="auto" w:sz="4" w:space="0"/>
              <w:right w:val="single" w:color="auto" w:sz="4" w:space="0"/>
            </w:tcBorders>
            <w:noWrap w:val="0"/>
            <w:vAlign w:val="center"/>
          </w:tcPr>
          <w:p w14:paraId="39C65477">
            <w:pPr>
              <w:jc w:val="center"/>
              <w:rPr>
                <w:rFonts w:hint="eastAsia" w:ascii="宋体" w:hAnsi="宋体" w:cs="宋体"/>
                <w:color w:val="auto"/>
                <w:kern w:val="2"/>
                <w:sz w:val="22"/>
                <w:szCs w:val="22"/>
                <w:highlight w:val="none"/>
                <w:lang w:val="en-US" w:eastAsia="zh-CN" w:bidi="ar-SA"/>
              </w:rPr>
            </w:pPr>
          </w:p>
        </w:tc>
        <w:tc>
          <w:tcPr>
            <w:tcW w:w="575" w:type="pct"/>
            <w:tcBorders>
              <w:top w:val="single" w:color="auto" w:sz="4" w:space="0"/>
              <w:left w:val="single" w:color="auto" w:sz="4" w:space="0"/>
              <w:bottom w:val="single" w:color="auto" w:sz="4" w:space="0"/>
              <w:right w:val="single" w:color="auto" w:sz="4" w:space="0"/>
            </w:tcBorders>
            <w:noWrap w:val="0"/>
            <w:vAlign w:val="center"/>
          </w:tcPr>
          <w:p w14:paraId="2B36A9EB">
            <w:pPr>
              <w:suppressAutoHyphens/>
              <w:adjustRightInd w:val="0"/>
              <w:snapToGrid w:val="0"/>
              <w:spacing w:line="320" w:lineRule="exact"/>
              <w:ind w:left="-35" w:right="-38"/>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0-</w:t>
            </w:r>
            <w:r>
              <w:rPr>
                <w:rFonts w:hint="eastAsia" w:ascii="宋体" w:hAnsi="宋体" w:cs="宋体"/>
                <w:bCs/>
                <w:color w:val="auto"/>
                <w:sz w:val="22"/>
                <w:szCs w:val="22"/>
                <w:highlight w:val="none"/>
                <w:lang w:val="en-US" w:eastAsia="zh-CN"/>
              </w:rPr>
              <w:t>7</w:t>
            </w:r>
            <w:r>
              <w:rPr>
                <w:rFonts w:hint="eastAsia" w:ascii="宋体" w:hAnsi="宋体"/>
                <w:color w:val="auto"/>
                <w:sz w:val="22"/>
                <w:szCs w:val="22"/>
                <w:highlight w:val="none"/>
                <w:lang w:val="en-US" w:eastAsia="zh-CN"/>
              </w:rPr>
              <w:t>分</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3A051DAA">
            <w:pPr>
              <w:suppressAutoHyphens/>
              <w:adjustRightInd w:val="0"/>
              <w:snapToGrid w:val="0"/>
              <w:spacing w:line="320" w:lineRule="exact"/>
              <w:ind w:left="-35" w:right="-38"/>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进度工期目标、网络计划、主要施工机械及劳动力安排计划</w:t>
            </w:r>
            <w:r>
              <w:rPr>
                <w:rFonts w:hint="eastAsia" w:ascii="宋体" w:hAnsi="宋体" w:eastAsia="宋体" w:cs="宋体"/>
                <w:bCs/>
                <w:color w:val="auto"/>
                <w:sz w:val="22"/>
                <w:szCs w:val="22"/>
                <w:highlight w:val="none"/>
                <w:lang w:eastAsia="zh-CN"/>
              </w:rPr>
              <w:t>方案，由评委综合评分</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评分范围：7,6,5,4,3,2,1,0</w:t>
            </w:r>
            <w:r>
              <w:rPr>
                <w:rFonts w:hint="eastAsia" w:ascii="宋体" w:hAnsi="宋体" w:cs="宋体"/>
                <w:bCs/>
                <w:color w:val="auto"/>
                <w:sz w:val="22"/>
                <w:szCs w:val="22"/>
                <w:highlight w:val="none"/>
                <w:lang w:eastAsia="zh-CN"/>
              </w:rPr>
              <w:t>）</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06E2CC99">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w:t>
            </w:r>
          </w:p>
          <w:p w14:paraId="5DE1192C">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6BB2E7FE">
            <w:pPr>
              <w:suppressAutoHyphens/>
              <w:adjustRightInd w:val="0"/>
              <w:snapToGrid w:val="0"/>
              <w:spacing w:line="320" w:lineRule="exact"/>
              <w:ind w:left="-35" w:right="-38"/>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分</w:t>
            </w:r>
          </w:p>
        </w:tc>
      </w:tr>
      <w:tr w14:paraId="0CBA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7" w:type="pct"/>
            <w:tcBorders>
              <w:top w:val="single" w:color="auto" w:sz="4" w:space="0"/>
              <w:left w:val="single" w:color="auto" w:sz="4" w:space="0"/>
              <w:bottom w:val="single" w:color="auto" w:sz="4" w:space="0"/>
              <w:right w:val="single" w:color="auto" w:sz="4" w:space="0"/>
            </w:tcBorders>
            <w:noWrap w:val="0"/>
            <w:vAlign w:val="center"/>
          </w:tcPr>
          <w:p w14:paraId="52DCB9B2">
            <w:pPr>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5</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43D3AE70">
            <w:pPr>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应急预案</w:t>
            </w:r>
          </w:p>
        </w:tc>
        <w:tc>
          <w:tcPr>
            <w:tcW w:w="575" w:type="pct"/>
            <w:tcBorders>
              <w:top w:val="single" w:color="auto" w:sz="4" w:space="0"/>
              <w:left w:val="single" w:color="auto" w:sz="4" w:space="0"/>
              <w:bottom w:val="single" w:color="auto" w:sz="4" w:space="0"/>
              <w:right w:val="single" w:color="auto" w:sz="4" w:space="0"/>
            </w:tcBorders>
            <w:noWrap w:val="0"/>
            <w:vAlign w:val="center"/>
          </w:tcPr>
          <w:p w14:paraId="65790500">
            <w:pPr>
              <w:jc w:val="center"/>
              <w:rPr>
                <w:rFonts w:hint="eastAsia" w:ascii="宋体" w:hAnsi="宋体"/>
                <w:color w:val="auto"/>
                <w:kern w:val="2"/>
                <w:sz w:val="22"/>
                <w:szCs w:val="22"/>
                <w:highlight w:val="none"/>
                <w:lang w:val="en-US" w:eastAsia="zh-CN" w:bidi="ar-SA"/>
              </w:rPr>
            </w:pPr>
            <w:r>
              <w:rPr>
                <w:rFonts w:hint="eastAsia" w:ascii="宋体" w:hAnsi="宋体" w:eastAsia="宋体" w:cs="宋体"/>
                <w:bCs/>
                <w:color w:val="auto"/>
                <w:sz w:val="22"/>
                <w:szCs w:val="22"/>
                <w:highlight w:val="none"/>
              </w:rPr>
              <w:t>0-</w:t>
            </w:r>
            <w:r>
              <w:rPr>
                <w:rFonts w:hint="eastAsia" w:ascii="宋体" w:hAnsi="宋体" w:cs="宋体"/>
                <w:bCs/>
                <w:color w:val="auto"/>
                <w:sz w:val="22"/>
                <w:szCs w:val="22"/>
                <w:highlight w:val="none"/>
                <w:lang w:val="en-US" w:eastAsia="zh-CN"/>
              </w:rPr>
              <w:t>7</w:t>
            </w:r>
            <w:r>
              <w:rPr>
                <w:rFonts w:hint="eastAsia" w:ascii="宋体" w:hAnsi="宋体"/>
                <w:color w:val="auto"/>
                <w:sz w:val="22"/>
                <w:szCs w:val="22"/>
                <w:highlight w:val="none"/>
                <w:lang w:val="en-US" w:eastAsia="zh-CN"/>
              </w:rPr>
              <w:t>分</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0D420845">
            <w:pPr>
              <w:rPr>
                <w:rFonts w:hint="eastAsia" w:ascii="宋体" w:hAnsi="宋体" w:cs="宋体"/>
                <w:bCs/>
                <w:color w:val="auto"/>
                <w:sz w:val="22"/>
                <w:szCs w:val="22"/>
                <w:highlight w:val="none"/>
              </w:rPr>
            </w:pPr>
            <w:r>
              <w:rPr>
                <w:rFonts w:hint="eastAsia" w:ascii="宋体" w:hAnsi="宋体" w:cs="宋体"/>
                <w:bCs/>
                <w:color w:val="auto"/>
                <w:sz w:val="22"/>
                <w:szCs w:val="22"/>
                <w:highlight w:val="none"/>
                <w:lang w:val="en-US" w:eastAsia="zh-CN"/>
              </w:rPr>
              <w:t>投标人</w:t>
            </w:r>
            <w:r>
              <w:rPr>
                <w:rFonts w:hint="eastAsia" w:ascii="宋体" w:hAnsi="宋体" w:cs="宋体"/>
                <w:bCs/>
                <w:color w:val="auto"/>
                <w:sz w:val="22"/>
                <w:szCs w:val="22"/>
                <w:highlight w:val="none"/>
              </w:rPr>
              <w:t>对施工过程中突发事件的处理预案及承诺的紧急响应时间</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由</w:t>
            </w:r>
            <w:r>
              <w:rPr>
                <w:rFonts w:hint="eastAsia" w:ascii="宋体" w:hAnsi="宋体" w:cs="宋体"/>
                <w:bCs/>
                <w:color w:val="auto"/>
                <w:sz w:val="22"/>
                <w:szCs w:val="22"/>
                <w:highlight w:val="none"/>
                <w:lang w:val="en-US" w:eastAsia="zh-CN"/>
              </w:rPr>
              <w:t>评审</w:t>
            </w:r>
            <w:r>
              <w:rPr>
                <w:rFonts w:hint="eastAsia" w:ascii="宋体" w:hAnsi="宋体" w:cs="宋体"/>
                <w:bCs/>
                <w:color w:val="auto"/>
                <w:sz w:val="22"/>
                <w:szCs w:val="22"/>
                <w:highlight w:val="none"/>
              </w:rPr>
              <w:t>小组进行打分。（分值：</w:t>
            </w:r>
            <w:r>
              <w:rPr>
                <w:rFonts w:hint="eastAsia" w:ascii="宋体" w:hAnsi="宋体" w:cs="宋体"/>
                <w:bCs/>
                <w:color w:val="auto"/>
                <w:sz w:val="22"/>
                <w:szCs w:val="22"/>
                <w:highlight w:val="none"/>
                <w:lang w:val="en-US" w:eastAsia="zh-CN"/>
              </w:rPr>
              <w:t>7,6,5,4,3,2,1,0</w:t>
            </w:r>
            <w:r>
              <w:rPr>
                <w:rFonts w:hint="eastAsia" w:ascii="宋体" w:hAnsi="宋体" w:cs="宋体"/>
                <w:bCs/>
                <w:color w:val="auto"/>
                <w:sz w:val="22"/>
                <w:szCs w:val="22"/>
                <w:highlight w:val="none"/>
              </w:rPr>
              <w:t>）</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43A9BC9B">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w:t>
            </w:r>
          </w:p>
          <w:p w14:paraId="18CD6D02">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3A3E212E">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分</w:t>
            </w:r>
          </w:p>
        </w:tc>
      </w:tr>
      <w:tr w14:paraId="0868D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87" w:type="pct"/>
            <w:vMerge w:val="restart"/>
            <w:tcBorders>
              <w:top w:val="single" w:color="auto" w:sz="4" w:space="0"/>
              <w:left w:val="single" w:color="auto" w:sz="4" w:space="0"/>
              <w:right w:val="single" w:color="auto" w:sz="4" w:space="0"/>
            </w:tcBorders>
            <w:noWrap w:val="0"/>
            <w:vAlign w:val="center"/>
          </w:tcPr>
          <w:p w14:paraId="7C13DC25">
            <w:pPr>
              <w:jc w:val="center"/>
              <w:rPr>
                <w:rFonts w:hint="default" w:ascii="宋体" w:hAnsi="宋体" w:eastAsia="宋体"/>
                <w:color w:val="auto"/>
                <w:kern w:val="2"/>
                <w:sz w:val="22"/>
                <w:szCs w:val="22"/>
                <w:highlight w:val="none"/>
                <w:lang w:val="en-US" w:eastAsia="zh-CN" w:bidi="ar-SA"/>
              </w:rPr>
            </w:pPr>
            <w:r>
              <w:rPr>
                <w:rFonts w:hint="eastAsia" w:ascii="宋体" w:hAnsi="宋体"/>
                <w:color w:val="auto"/>
                <w:kern w:val="2"/>
                <w:sz w:val="22"/>
                <w:szCs w:val="22"/>
                <w:highlight w:val="none"/>
                <w:lang w:val="en-US" w:eastAsia="zh-CN" w:bidi="ar-SA"/>
              </w:rPr>
              <w:t>6</w:t>
            </w:r>
          </w:p>
        </w:tc>
        <w:tc>
          <w:tcPr>
            <w:tcW w:w="776" w:type="pct"/>
            <w:vMerge w:val="restart"/>
            <w:tcBorders>
              <w:top w:val="single" w:color="auto" w:sz="4" w:space="0"/>
              <w:left w:val="single" w:color="auto" w:sz="4" w:space="0"/>
              <w:right w:val="single" w:color="auto" w:sz="4" w:space="0"/>
            </w:tcBorders>
            <w:noWrap w:val="0"/>
            <w:vAlign w:val="center"/>
          </w:tcPr>
          <w:p w14:paraId="690FA3DD">
            <w:pPr>
              <w:jc w:val="center"/>
              <w:rPr>
                <w:rFonts w:hint="eastAsia" w:ascii="宋体" w:hAnsi="宋体"/>
                <w:color w:val="auto"/>
                <w:kern w:val="2"/>
                <w:sz w:val="22"/>
                <w:szCs w:val="22"/>
                <w:highlight w:val="none"/>
                <w:lang w:val="en-US" w:eastAsia="zh-CN" w:bidi="ar-SA"/>
              </w:rPr>
            </w:pPr>
            <w:r>
              <w:rPr>
                <w:rFonts w:hint="eastAsia" w:ascii="宋体" w:hAnsi="宋体" w:cs="宋体"/>
                <w:color w:val="auto"/>
                <w:sz w:val="22"/>
                <w:szCs w:val="22"/>
                <w:highlight w:val="none"/>
              </w:rPr>
              <w:t>材料设备选</w:t>
            </w:r>
            <w:r>
              <w:rPr>
                <w:rFonts w:hint="eastAsia" w:ascii="宋体" w:hAnsi="宋体" w:cs="宋体"/>
                <w:color w:val="auto"/>
                <w:sz w:val="22"/>
                <w:szCs w:val="22"/>
                <w:highlight w:val="none"/>
                <w:lang w:eastAsia="zh-CN"/>
              </w:rPr>
              <w:t>型</w:t>
            </w:r>
            <w:r>
              <w:rPr>
                <w:rFonts w:hint="eastAsia" w:ascii="宋体" w:hAnsi="宋体" w:cs="宋体"/>
                <w:color w:val="auto"/>
                <w:sz w:val="22"/>
                <w:szCs w:val="22"/>
                <w:highlight w:val="none"/>
              </w:rPr>
              <w:t>及配置情况</w:t>
            </w:r>
          </w:p>
        </w:tc>
        <w:tc>
          <w:tcPr>
            <w:tcW w:w="575" w:type="pct"/>
            <w:tcBorders>
              <w:top w:val="single" w:color="auto" w:sz="4" w:space="0"/>
              <w:left w:val="single" w:color="auto" w:sz="4" w:space="0"/>
              <w:bottom w:val="single" w:color="auto" w:sz="4" w:space="0"/>
              <w:right w:val="single" w:color="auto" w:sz="4" w:space="0"/>
            </w:tcBorders>
            <w:noWrap w:val="0"/>
            <w:vAlign w:val="center"/>
          </w:tcPr>
          <w:p w14:paraId="59C1F792">
            <w:pPr>
              <w:jc w:val="center"/>
              <w:rPr>
                <w:rFonts w:hint="eastAsia" w:ascii="宋体" w:hAnsi="宋体"/>
                <w:color w:val="auto"/>
                <w:kern w:val="2"/>
                <w:sz w:val="22"/>
                <w:szCs w:val="22"/>
                <w:highlight w:val="none"/>
                <w:lang w:val="en-US" w:eastAsia="zh-CN" w:bidi="ar-SA"/>
              </w:rPr>
            </w:pPr>
            <w:r>
              <w:rPr>
                <w:rFonts w:hint="eastAsia" w:ascii="宋体" w:hAnsi="宋体"/>
                <w:color w:val="auto"/>
                <w:sz w:val="22"/>
                <w:szCs w:val="22"/>
                <w:highlight w:val="none"/>
              </w:rPr>
              <w:t>0-</w:t>
            </w:r>
            <w:r>
              <w:rPr>
                <w:rFonts w:hint="eastAsia" w:ascii="宋体" w:hAnsi="宋体"/>
                <w:color w:val="auto"/>
                <w:sz w:val="22"/>
                <w:szCs w:val="22"/>
                <w:highlight w:val="none"/>
                <w:lang w:val="en-US" w:eastAsia="zh-CN"/>
              </w:rPr>
              <w:t>9分</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46676FA5">
            <w:pPr>
              <w:jc w:val="left"/>
              <w:rPr>
                <w:rFonts w:hint="default" w:ascii="宋体" w:hAnsi="宋体" w:eastAsia="宋体"/>
                <w:color w:val="auto"/>
                <w:kern w:val="2"/>
                <w:sz w:val="22"/>
                <w:szCs w:val="22"/>
                <w:highlight w:val="none"/>
                <w:lang w:val="en-US" w:eastAsia="zh-CN" w:bidi="ar-SA"/>
              </w:rPr>
            </w:pPr>
            <w:r>
              <w:rPr>
                <w:rFonts w:hint="eastAsia" w:ascii="宋体" w:hAnsi="宋体" w:cs="宋体"/>
                <w:color w:val="auto"/>
                <w:sz w:val="22"/>
                <w:szCs w:val="22"/>
                <w:highlight w:val="none"/>
                <w:lang w:eastAsia="zh-CN"/>
              </w:rPr>
              <w:t>高压柜</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评分范围：3,2,1,0</w:t>
            </w:r>
            <w:r>
              <w:rPr>
                <w:rFonts w:hint="eastAsia" w:ascii="宋体" w:hAnsi="宋体" w:cs="宋体"/>
                <w:bCs/>
                <w:color w:val="auto"/>
                <w:sz w:val="22"/>
                <w:szCs w:val="22"/>
                <w:highlight w:val="none"/>
                <w:lang w:eastAsia="zh-CN"/>
              </w:rPr>
              <w:t>）</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rPr>
              <w:t>低压柜</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评分范围：3,2,1,0</w:t>
            </w:r>
            <w:r>
              <w:rPr>
                <w:rFonts w:hint="eastAsia" w:ascii="宋体" w:hAnsi="宋体" w:cs="宋体"/>
                <w:bCs/>
                <w:color w:val="auto"/>
                <w:sz w:val="22"/>
                <w:szCs w:val="22"/>
                <w:highlight w:val="none"/>
                <w:lang w:eastAsia="zh-CN"/>
              </w:rPr>
              <w:t>）</w:t>
            </w:r>
            <w:r>
              <w:rPr>
                <w:rFonts w:hint="eastAsia" w:ascii="宋体" w:hAnsi="宋体" w:cs="宋体"/>
                <w:color w:val="auto"/>
                <w:sz w:val="22"/>
                <w:szCs w:val="22"/>
                <w:highlight w:val="none"/>
              </w:rPr>
              <w:t>、电容器</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评分范围：3，2,1,0</w:t>
            </w:r>
            <w:r>
              <w:rPr>
                <w:rFonts w:hint="eastAsia" w:ascii="宋体" w:hAnsi="宋体" w:cs="宋体"/>
                <w:bCs/>
                <w:color w:val="auto"/>
                <w:sz w:val="22"/>
                <w:szCs w:val="22"/>
                <w:highlight w:val="none"/>
                <w:lang w:eastAsia="zh-CN"/>
              </w:rPr>
              <w:t>）</w:t>
            </w:r>
            <w:r>
              <w:rPr>
                <w:rFonts w:hint="eastAsia" w:ascii="宋体" w:hAnsi="宋体" w:cs="宋体"/>
                <w:color w:val="auto"/>
                <w:sz w:val="22"/>
                <w:szCs w:val="22"/>
                <w:highlight w:val="none"/>
              </w:rPr>
              <w:t>选</w:t>
            </w:r>
            <w:r>
              <w:rPr>
                <w:rFonts w:hint="eastAsia" w:ascii="宋体" w:hAnsi="宋体" w:cs="宋体"/>
                <w:color w:val="auto"/>
                <w:sz w:val="22"/>
                <w:szCs w:val="22"/>
                <w:highlight w:val="none"/>
                <w:lang w:eastAsia="zh-CN"/>
              </w:rPr>
              <w:t>型</w:t>
            </w:r>
            <w:r>
              <w:rPr>
                <w:rFonts w:hint="eastAsia" w:ascii="宋体" w:hAnsi="宋体" w:cs="宋体"/>
                <w:color w:val="auto"/>
                <w:sz w:val="22"/>
                <w:szCs w:val="22"/>
                <w:highlight w:val="none"/>
              </w:rPr>
              <w:t>及配置情况</w:t>
            </w:r>
            <w:r>
              <w:rPr>
                <w:rFonts w:hint="eastAsia" w:ascii="宋体" w:hAnsi="宋体" w:cs="宋体"/>
                <w:color w:val="auto"/>
                <w:sz w:val="22"/>
                <w:szCs w:val="22"/>
                <w:highlight w:val="none"/>
                <w:lang w:eastAsia="zh-CN"/>
              </w:rPr>
              <w:t>，由评委根据各主要材料设备选型及配置的先进性、适用性综合评分，总分</w:t>
            </w:r>
            <w:r>
              <w:rPr>
                <w:rFonts w:hint="eastAsia" w:ascii="宋体" w:hAnsi="宋体" w:cs="宋体"/>
                <w:color w:val="auto"/>
                <w:sz w:val="22"/>
                <w:szCs w:val="22"/>
                <w:highlight w:val="none"/>
                <w:lang w:val="en-US" w:eastAsia="zh-CN"/>
              </w:rPr>
              <w:t>9分。</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4204A5CC">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w:t>
            </w:r>
          </w:p>
          <w:p w14:paraId="15E6D53B">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636F0D57">
            <w:pPr>
              <w:suppressAutoHyphens/>
              <w:adjustRightInd w:val="0"/>
              <w:snapToGrid w:val="0"/>
              <w:spacing w:line="320" w:lineRule="exact"/>
              <w:ind w:left="-35" w:right="-38"/>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分</w:t>
            </w:r>
          </w:p>
        </w:tc>
      </w:tr>
      <w:tr w14:paraId="380ED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7" w:type="pct"/>
            <w:vMerge w:val="continue"/>
            <w:tcBorders>
              <w:left w:val="single" w:color="auto" w:sz="4" w:space="0"/>
              <w:right w:val="single" w:color="auto" w:sz="4" w:space="0"/>
            </w:tcBorders>
            <w:noWrap w:val="0"/>
            <w:vAlign w:val="center"/>
          </w:tcPr>
          <w:p w14:paraId="70394175">
            <w:pPr>
              <w:jc w:val="center"/>
              <w:rPr>
                <w:rFonts w:hint="eastAsia" w:ascii="宋体" w:hAnsi="宋体" w:eastAsia="宋体"/>
                <w:color w:val="auto"/>
                <w:sz w:val="22"/>
                <w:szCs w:val="22"/>
                <w:highlight w:val="none"/>
                <w:lang w:eastAsia="zh-CN"/>
              </w:rPr>
            </w:pPr>
          </w:p>
        </w:tc>
        <w:tc>
          <w:tcPr>
            <w:tcW w:w="776" w:type="pct"/>
            <w:vMerge w:val="continue"/>
            <w:tcBorders>
              <w:left w:val="single" w:color="auto" w:sz="4" w:space="0"/>
              <w:right w:val="single" w:color="auto" w:sz="4" w:space="0"/>
            </w:tcBorders>
            <w:noWrap w:val="0"/>
            <w:vAlign w:val="center"/>
          </w:tcPr>
          <w:p w14:paraId="791FC579">
            <w:pPr>
              <w:jc w:val="center"/>
              <w:rPr>
                <w:rFonts w:hint="eastAsia" w:ascii="宋体" w:hAnsi="宋体"/>
                <w:color w:val="auto"/>
                <w:sz w:val="22"/>
                <w:szCs w:val="22"/>
                <w:highlight w:val="none"/>
              </w:rPr>
            </w:pPr>
          </w:p>
        </w:tc>
        <w:tc>
          <w:tcPr>
            <w:tcW w:w="575" w:type="pct"/>
            <w:tcBorders>
              <w:top w:val="single" w:color="auto" w:sz="4" w:space="0"/>
              <w:left w:val="single" w:color="auto" w:sz="4" w:space="0"/>
              <w:bottom w:val="single" w:color="auto" w:sz="4" w:space="0"/>
              <w:right w:val="single" w:color="auto" w:sz="4" w:space="0"/>
            </w:tcBorders>
            <w:noWrap w:val="0"/>
            <w:vAlign w:val="center"/>
          </w:tcPr>
          <w:p w14:paraId="4DBE489D">
            <w:pPr>
              <w:jc w:val="center"/>
              <w:rPr>
                <w:rFonts w:hint="eastAsia" w:ascii="宋体" w:hAnsi="宋体"/>
                <w:color w:val="auto"/>
                <w:sz w:val="22"/>
                <w:szCs w:val="22"/>
                <w:highlight w:val="none"/>
              </w:rPr>
            </w:pPr>
            <w:r>
              <w:rPr>
                <w:rFonts w:hint="eastAsia" w:ascii="宋体" w:hAnsi="宋体"/>
                <w:color w:val="auto"/>
                <w:sz w:val="22"/>
                <w:szCs w:val="22"/>
                <w:highlight w:val="none"/>
              </w:rPr>
              <w:t>0-</w:t>
            </w:r>
            <w:r>
              <w:rPr>
                <w:rFonts w:hint="eastAsia" w:ascii="宋体" w:hAnsi="宋体"/>
                <w:color w:val="auto"/>
                <w:sz w:val="22"/>
                <w:szCs w:val="22"/>
                <w:highlight w:val="none"/>
                <w:lang w:val="en-US" w:eastAsia="zh-CN"/>
              </w:rPr>
              <w:t>8分</w:t>
            </w:r>
          </w:p>
        </w:tc>
        <w:tc>
          <w:tcPr>
            <w:tcW w:w="2997" w:type="pct"/>
            <w:tcBorders>
              <w:top w:val="single" w:color="auto" w:sz="4" w:space="0"/>
              <w:left w:val="single" w:color="auto" w:sz="4" w:space="0"/>
              <w:right w:val="single" w:color="auto" w:sz="4" w:space="0"/>
            </w:tcBorders>
            <w:noWrap w:val="0"/>
            <w:vAlign w:val="center"/>
          </w:tcPr>
          <w:p w14:paraId="5BA22619">
            <w:pPr>
              <w:rPr>
                <w:rFonts w:hint="eastAsia" w:ascii="宋体" w:hAnsi="宋体"/>
                <w:color w:val="auto"/>
                <w:sz w:val="22"/>
                <w:szCs w:val="22"/>
                <w:highlight w:val="none"/>
              </w:rPr>
            </w:pPr>
            <w:r>
              <w:rPr>
                <w:rFonts w:hint="eastAsia" w:ascii="宋体" w:hAnsi="宋体" w:cs="宋体"/>
                <w:bCs/>
                <w:color w:val="auto"/>
                <w:sz w:val="22"/>
                <w:szCs w:val="22"/>
                <w:highlight w:val="none"/>
              </w:rPr>
              <w:t>变压器</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评分范围：4，3,2,1,0</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rPr>
              <w:t>、电力电缆</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评分范围,4，3,2,1,0</w:t>
            </w:r>
            <w:r>
              <w:rPr>
                <w:rFonts w:hint="eastAsia" w:ascii="宋体" w:hAnsi="宋体" w:cs="宋体"/>
                <w:bCs/>
                <w:color w:val="auto"/>
                <w:sz w:val="22"/>
                <w:szCs w:val="22"/>
                <w:highlight w:val="none"/>
                <w:lang w:eastAsia="zh-CN"/>
              </w:rPr>
              <w:t>）</w:t>
            </w:r>
            <w:r>
              <w:rPr>
                <w:rFonts w:hint="eastAsia" w:ascii="宋体" w:hAnsi="宋体" w:cs="宋体"/>
                <w:color w:val="auto"/>
                <w:sz w:val="22"/>
                <w:szCs w:val="22"/>
                <w:highlight w:val="none"/>
              </w:rPr>
              <w:t>选</w:t>
            </w:r>
            <w:r>
              <w:rPr>
                <w:rFonts w:hint="eastAsia" w:ascii="宋体" w:hAnsi="宋体" w:cs="宋体"/>
                <w:color w:val="auto"/>
                <w:sz w:val="22"/>
                <w:szCs w:val="22"/>
                <w:highlight w:val="none"/>
                <w:lang w:eastAsia="zh-CN"/>
              </w:rPr>
              <w:t>型</w:t>
            </w:r>
            <w:r>
              <w:rPr>
                <w:rFonts w:hint="eastAsia" w:ascii="宋体" w:hAnsi="宋体" w:cs="宋体"/>
                <w:color w:val="auto"/>
                <w:sz w:val="22"/>
                <w:szCs w:val="22"/>
                <w:highlight w:val="none"/>
              </w:rPr>
              <w:t>及及配置情况</w:t>
            </w:r>
            <w:r>
              <w:rPr>
                <w:rFonts w:hint="eastAsia" w:ascii="宋体" w:hAnsi="宋体" w:cs="宋体"/>
                <w:color w:val="auto"/>
                <w:sz w:val="22"/>
                <w:szCs w:val="22"/>
                <w:highlight w:val="none"/>
                <w:lang w:eastAsia="zh-CN"/>
              </w:rPr>
              <w:t>，由评委根据各主要材料设备选型及配置的先进性、适用性综合评分，总分</w:t>
            </w:r>
            <w:r>
              <w:rPr>
                <w:rFonts w:hint="eastAsia" w:ascii="宋体" w:hAnsi="宋体" w:cs="宋体"/>
                <w:color w:val="auto"/>
                <w:sz w:val="22"/>
                <w:szCs w:val="22"/>
                <w:highlight w:val="none"/>
                <w:lang w:val="en-US" w:eastAsia="zh-CN"/>
              </w:rPr>
              <w:t>8分。</w:t>
            </w:r>
          </w:p>
        </w:tc>
        <w:tc>
          <w:tcPr>
            <w:tcW w:w="364" w:type="pct"/>
            <w:tcBorders>
              <w:top w:val="single" w:color="auto" w:sz="4" w:space="0"/>
              <w:left w:val="single" w:color="auto" w:sz="4" w:space="0"/>
              <w:right w:val="single" w:color="auto" w:sz="4" w:space="0"/>
            </w:tcBorders>
            <w:noWrap w:val="0"/>
            <w:vAlign w:val="center"/>
          </w:tcPr>
          <w:p w14:paraId="1AF5F825">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w:t>
            </w:r>
          </w:p>
          <w:p w14:paraId="64C40F30">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203EA5D7">
            <w:pPr>
              <w:suppressAutoHyphens/>
              <w:adjustRightInd w:val="0"/>
              <w:snapToGrid w:val="0"/>
              <w:spacing w:line="320" w:lineRule="exact"/>
              <w:ind w:left="-35" w:right="-38"/>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分</w:t>
            </w:r>
          </w:p>
        </w:tc>
      </w:tr>
      <w:tr w14:paraId="532C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287" w:type="pct"/>
            <w:tcBorders>
              <w:top w:val="single" w:color="auto" w:sz="4" w:space="0"/>
              <w:left w:val="single" w:color="auto" w:sz="4" w:space="0"/>
              <w:bottom w:val="single" w:color="auto" w:sz="4" w:space="0"/>
              <w:right w:val="single" w:color="auto" w:sz="4" w:space="0"/>
            </w:tcBorders>
            <w:noWrap w:val="0"/>
            <w:vAlign w:val="center"/>
          </w:tcPr>
          <w:p w14:paraId="01003920">
            <w:pPr>
              <w:jc w:val="center"/>
              <w:rPr>
                <w:rFonts w:hint="eastAsia" w:ascii="宋体" w:hAnsi="宋体" w:eastAsia="宋体"/>
                <w:color w:val="auto"/>
                <w:sz w:val="22"/>
                <w:szCs w:val="22"/>
                <w:highlight w:val="none"/>
                <w:lang w:val="en-US" w:eastAsia="zh-CN"/>
              </w:rPr>
            </w:pPr>
            <w:r>
              <w:rPr>
                <w:rFonts w:hint="eastAsia" w:ascii="宋体" w:hAnsi="宋体"/>
                <w:color w:val="auto"/>
                <w:sz w:val="22"/>
                <w:szCs w:val="22"/>
                <w:highlight w:val="none"/>
                <w:lang w:val="en-US" w:eastAsia="zh-CN"/>
              </w:rPr>
              <w:t>7</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262989B8">
            <w:pPr>
              <w:widowControl/>
              <w:snapToGrid w:val="0"/>
              <w:spacing w:line="240" w:lineRule="exact"/>
              <w:jc w:val="center"/>
              <w:rPr>
                <w:rFonts w:hint="eastAsia" w:ascii="宋体" w:hAnsi="宋体" w:eastAsia="宋体" w:cs="Times New Roman"/>
                <w:color w:val="auto"/>
                <w:sz w:val="22"/>
                <w:szCs w:val="22"/>
                <w:highlight w:val="none"/>
                <w:lang w:eastAsia="zh-CN"/>
              </w:rPr>
            </w:pPr>
            <w:r>
              <w:rPr>
                <w:rFonts w:hint="eastAsia" w:ascii="宋体" w:hAnsi="宋体" w:eastAsia="宋体" w:cs="Times New Roman"/>
                <w:color w:val="auto"/>
                <w:sz w:val="22"/>
                <w:szCs w:val="22"/>
                <w:highlight w:val="none"/>
              </w:rPr>
              <w:t>配备与工程规模相适应的电气试验和继电保护作业人员</w:t>
            </w:r>
          </w:p>
        </w:tc>
        <w:tc>
          <w:tcPr>
            <w:tcW w:w="575" w:type="pct"/>
            <w:tcBorders>
              <w:top w:val="single" w:color="auto" w:sz="4" w:space="0"/>
              <w:left w:val="single" w:color="auto" w:sz="4" w:space="0"/>
              <w:bottom w:val="single" w:color="auto" w:sz="4" w:space="0"/>
              <w:right w:val="single" w:color="auto" w:sz="4" w:space="0"/>
            </w:tcBorders>
            <w:noWrap w:val="0"/>
            <w:vAlign w:val="center"/>
          </w:tcPr>
          <w:p w14:paraId="41C6BA9A">
            <w:pPr>
              <w:widowControl/>
              <w:snapToGrid w:val="0"/>
              <w:spacing w:line="240" w:lineRule="exact"/>
              <w:jc w:val="center"/>
              <w:rPr>
                <w:rFonts w:hint="default" w:ascii="宋体" w:hAnsi="宋体" w:eastAsia="宋体" w:cs="Times New Roman"/>
                <w:color w:val="auto"/>
                <w:sz w:val="22"/>
                <w:szCs w:val="22"/>
                <w:highlight w:val="none"/>
                <w:lang w:val="en-US" w:eastAsia="zh-CN"/>
              </w:rPr>
            </w:pPr>
            <w:r>
              <w:rPr>
                <w:rFonts w:hint="eastAsia" w:ascii="宋体" w:hAnsi="宋体" w:eastAsia="宋体" w:cs="Times New Roman"/>
                <w:color w:val="auto"/>
                <w:sz w:val="22"/>
                <w:szCs w:val="22"/>
                <w:highlight w:val="none"/>
                <w:lang w:val="en-US" w:eastAsia="zh-CN"/>
              </w:rPr>
              <w:t>0-</w:t>
            </w:r>
            <w:r>
              <w:rPr>
                <w:rFonts w:hint="eastAsia" w:ascii="宋体" w:hAnsi="宋体" w:eastAsia="宋体" w:cs="Times New Roman"/>
                <w:color w:val="auto"/>
                <w:sz w:val="22"/>
                <w:szCs w:val="22"/>
                <w:highlight w:val="none"/>
              </w:rPr>
              <w:t>4</w:t>
            </w:r>
            <w:r>
              <w:rPr>
                <w:rFonts w:hint="eastAsia" w:ascii="宋体" w:hAnsi="宋体" w:eastAsia="宋体" w:cs="Times New Roman"/>
                <w:color w:val="auto"/>
                <w:sz w:val="22"/>
                <w:szCs w:val="22"/>
                <w:highlight w:val="none"/>
                <w:lang w:val="en-US" w:eastAsia="zh-CN"/>
              </w:rPr>
              <w:t>分</w:t>
            </w:r>
          </w:p>
        </w:tc>
        <w:tc>
          <w:tcPr>
            <w:tcW w:w="2997" w:type="pct"/>
            <w:tcBorders>
              <w:top w:val="single" w:color="auto" w:sz="4" w:space="0"/>
              <w:left w:val="single" w:color="auto" w:sz="4" w:space="0"/>
              <w:right w:val="single" w:color="auto" w:sz="4" w:space="0"/>
            </w:tcBorders>
            <w:noWrap w:val="0"/>
            <w:vAlign w:val="center"/>
          </w:tcPr>
          <w:p w14:paraId="2CB63BF0">
            <w:pPr>
              <w:widowControl/>
              <w:snapToGrid w:val="0"/>
              <w:spacing w:line="240" w:lineRule="exact"/>
              <w:rPr>
                <w:rFonts w:hint="eastAsia" w:ascii="宋体" w:hAnsi="宋体" w:eastAsia="宋体" w:cs="Times New Roman"/>
                <w:color w:val="auto"/>
                <w:sz w:val="22"/>
                <w:szCs w:val="22"/>
                <w:highlight w:val="none"/>
              </w:rPr>
            </w:pPr>
            <w:r>
              <w:rPr>
                <w:rFonts w:hint="eastAsia" w:ascii="宋体" w:hAnsi="宋体" w:eastAsia="宋体" w:cs="Times New Roman"/>
                <w:color w:val="auto"/>
                <w:sz w:val="22"/>
                <w:szCs w:val="22"/>
                <w:highlight w:val="none"/>
              </w:rPr>
              <w:t>本工程至少需配备电气试验和继电保护作业人员各2名，需持有中华人民共和国特种作业操作证（需在有效期内）。并提供社保证明，证明为其公司员工，社保证明时间为开标日期前连续</w:t>
            </w:r>
            <w:r>
              <w:rPr>
                <w:rFonts w:hint="eastAsia" w:ascii="宋体" w:hAnsi="宋体" w:cs="Times New Roman"/>
                <w:color w:val="auto"/>
                <w:sz w:val="22"/>
                <w:szCs w:val="22"/>
                <w:highlight w:val="none"/>
                <w:lang w:val="en-US" w:eastAsia="zh-CN"/>
              </w:rPr>
              <w:t>三</w:t>
            </w:r>
            <w:r>
              <w:rPr>
                <w:rFonts w:hint="eastAsia" w:ascii="宋体" w:hAnsi="宋体" w:eastAsia="宋体" w:cs="Times New Roman"/>
                <w:color w:val="auto"/>
                <w:sz w:val="22"/>
                <w:szCs w:val="22"/>
                <w:highlight w:val="none"/>
              </w:rPr>
              <w:t>个月。（资料不齐全或不符1名人员扣1分）（注：操作证及社保证明提供不齐全均不得分 ）</w:t>
            </w:r>
          </w:p>
        </w:tc>
        <w:tc>
          <w:tcPr>
            <w:tcW w:w="364" w:type="pct"/>
            <w:tcBorders>
              <w:top w:val="single" w:color="auto" w:sz="4" w:space="0"/>
              <w:left w:val="single" w:color="auto" w:sz="4" w:space="0"/>
              <w:right w:val="single" w:color="auto" w:sz="4" w:space="0"/>
            </w:tcBorders>
            <w:noWrap w:val="0"/>
            <w:vAlign w:val="center"/>
          </w:tcPr>
          <w:p w14:paraId="7EB06693">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客</w:t>
            </w:r>
          </w:p>
          <w:p w14:paraId="469C1C78">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1A48F07A">
            <w:pPr>
              <w:suppressAutoHyphens/>
              <w:adjustRightInd w:val="0"/>
              <w:snapToGrid w:val="0"/>
              <w:spacing w:line="320" w:lineRule="exact"/>
              <w:ind w:left="-35" w:right="-38"/>
              <w:jc w:val="center"/>
              <w:rPr>
                <w:rFonts w:hint="default" w:ascii="宋体" w:hAnsi="宋体" w:eastAsia="宋体" w:cs="宋体"/>
                <w:color w:val="auto"/>
                <w:sz w:val="22"/>
                <w:szCs w:val="22"/>
                <w:highlight w:val="none"/>
                <w:lang w:val="en-US" w:eastAsia="zh-CN"/>
              </w:rPr>
            </w:pPr>
            <w:r>
              <w:rPr>
                <w:rFonts w:hint="eastAsia" w:ascii="宋体" w:hAnsi="宋体" w:cs="宋体"/>
                <w:color w:val="auto"/>
                <w:sz w:val="22"/>
                <w:szCs w:val="22"/>
                <w:highlight w:val="none"/>
                <w:lang w:val="en-US" w:eastAsia="zh-CN"/>
              </w:rPr>
              <w:t>分</w:t>
            </w:r>
          </w:p>
        </w:tc>
      </w:tr>
      <w:tr w14:paraId="03D37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7" w:type="pct"/>
            <w:tcBorders>
              <w:top w:val="single" w:color="auto" w:sz="4" w:space="0"/>
              <w:left w:val="single" w:color="auto" w:sz="4" w:space="0"/>
              <w:bottom w:val="single" w:color="auto" w:sz="4" w:space="0"/>
              <w:right w:val="single" w:color="auto" w:sz="4" w:space="0"/>
            </w:tcBorders>
            <w:noWrap w:val="0"/>
            <w:vAlign w:val="center"/>
          </w:tcPr>
          <w:p w14:paraId="361A1DBB">
            <w:pPr>
              <w:jc w:val="center"/>
              <w:rPr>
                <w:rFonts w:hint="eastAsia" w:ascii="宋体" w:hAnsi="宋体"/>
                <w:color w:val="auto"/>
                <w:kern w:val="2"/>
                <w:sz w:val="22"/>
                <w:szCs w:val="22"/>
                <w:highlight w:val="none"/>
                <w:lang w:val="en-US" w:eastAsia="zh-CN" w:bidi="ar-SA"/>
              </w:rPr>
            </w:pPr>
            <w:r>
              <w:rPr>
                <w:rFonts w:hint="eastAsia" w:ascii="宋体" w:hAnsi="宋体"/>
                <w:color w:val="auto"/>
                <w:sz w:val="22"/>
                <w:szCs w:val="22"/>
                <w:highlight w:val="none"/>
                <w:lang w:val="en-US" w:eastAsia="zh-CN"/>
              </w:rPr>
              <w:t>8</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028D8ECE">
            <w:pPr>
              <w:jc w:val="center"/>
              <w:rPr>
                <w:rFonts w:hint="eastAsia" w:ascii="宋体" w:hAnsi="宋体" w:eastAsia="宋体"/>
                <w:color w:val="auto"/>
                <w:kern w:val="2"/>
                <w:sz w:val="22"/>
                <w:szCs w:val="22"/>
                <w:highlight w:val="none"/>
                <w:lang w:val="en-US" w:eastAsia="zh-CN" w:bidi="ar-SA"/>
              </w:rPr>
            </w:pPr>
            <w:r>
              <w:rPr>
                <w:rFonts w:hint="eastAsia" w:ascii="宋体" w:hAnsi="宋体" w:cs="宋体"/>
                <w:bCs/>
                <w:color w:val="auto"/>
                <w:sz w:val="22"/>
                <w:szCs w:val="22"/>
                <w:highlight w:val="none"/>
              </w:rPr>
              <w:t>售后服务</w:t>
            </w:r>
            <w:r>
              <w:rPr>
                <w:rFonts w:hint="eastAsia" w:ascii="宋体" w:hAnsi="宋体" w:cs="宋体"/>
                <w:bCs/>
                <w:color w:val="auto"/>
                <w:sz w:val="22"/>
                <w:szCs w:val="22"/>
                <w:highlight w:val="none"/>
                <w:lang w:eastAsia="zh-CN"/>
              </w:rPr>
              <w:t>方案</w:t>
            </w:r>
          </w:p>
        </w:tc>
        <w:tc>
          <w:tcPr>
            <w:tcW w:w="575" w:type="pct"/>
            <w:tcBorders>
              <w:top w:val="single" w:color="auto" w:sz="4" w:space="0"/>
              <w:left w:val="single" w:color="auto" w:sz="4" w:space="0"/>
              <w:bottom w:val="single" w:color="auto" w:sz="4" w:space="0"/>
              <w:right w:val="single" w:color="auto" w:sz="4" w:space="0"/>
            </w:tcBorders>
            <w:noWrap w:val="0"/>
            <w:vAlign w:val="center"/>
          </w:tcPr>
          <w:p w14:paraId="1317F45F">
            <w:pPr>
              <w:suppressAutoHyphens/>
              <w:adjustRightInd w:val="0"/>
              <w:snapToGrid w:val="0"/>
              <w:spacing w:line="320" w:lineRule="exact"/>
              <w:ind w:left="-35" w:leftChars="0" w:right="-38" w:rightChars="0"/>
              <w:jc w:val="center"/>
              <w:rPr>
                <w:rFonts w:hint="eastAsia" w:ascii="宋体" w:hAnsi="宋体" w:eastAsia="宋体" w:cs="宋体"/>
                <w:bCs/>
                <w:color w:val="auto"/>
                <w:kern w:val="2"/>
                <w:sz w:val="22"/>
                <w:szCs w:val="22"/>
                <w:highlight w:val="none"/>
                <w:lang w:val="en-US" w:eastAsia="zh-CN" w:bidi="ar-SA"/>
              </w:rPr>
            </w:pPr>
            <w:r>
              <w:rPr>
                <w:rFonts w:hint="eastAsia" w:ascii="宋体" w:hAnsi="宋体" w:eastAsia="宋体" w:cs="宋体"/>
                <w:bCs/>
                <w:color w:val="auto"/>
                <w:sz w:val="22"/>
                <w:szCs w:val="22"/>
                <w:highlight w:val="none"/>
                <w:lang w:val="en-US" w:eastAsia="zh-CN"/>
              </w:rPr>
              <w:t>0-</w:t>
            </w:r>
            <w:r>
              <w:rPr>
                <w:rFonts w:hint="eastAsia" w:ascii="宋体" w:hAnsi="宋体" w:cs="宋体"/>
                <w:bCs/>
                <w:color w:val="auto"/>
                <w:sz w:val="22"/>
                <w:szCs w:val="22"/>
                <w:highlight w:val="none"/>
                <w:lang w:val="en-US" w:eastAsia="zh-CN"/>
              </w:rPr>
              <w:t>10</w:t>
            </w:r>
            <w:r>
              <w:rPr>
                <w:rFonts w:hint="eastAsia" w:ascii="宋体" w:hAnsi="宋体"/>
                <w:color w:val="auto"/>
                <w:sz w:val="22"/>
                <w:szCs w:val="22"/>
                <w:highlight w:val="none"/>
                <w:lang w:val="en-US" w:eastAsia="zh-CN"/>
              </w:rPr>
              <w:t>分</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4B46B094">
            <w:pPr>
              <w:suppressAutoHyphens/>
              <w:adjustRightInd w:val="0"/>
              <w:snapToGrid w:val="0"/>
              <w:spacing w:line="320" w:lineRule="exact"/>
              <w:ind w:left="-35" w:right="-38"/>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rPr>
              <w:t>根据投标人所提供售后服务承诺</w:t>
            </w:r>
            <w:r>
              <w:rPr>
                <w:rFonts w:hint="eastAsia" w:ascii="宋体" w:hAnsi="宋体" w:eastAsia="宋体" w:cs="宋体"/>
                <w:bCs/>
                <w:color w:val="auto"/>
                <w:sz w:val="22"/>
                <w:szCs w:val="22"/>
                <w:highlight w:val="none"/>
                <w:lang w:eastAsia="zh-CN"/>
              </w:rPr>
              <w:t>、服务措施、售后服务场所</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设备质保承诺函（格式自拟）</w:t>
            </w:r>
            <w:r>
              <w:rPr>
                <w:rFonts w:hint="eastAsia" w:ascii="宋体" w:hAnsi="宋体" w:eastAsia="宋体" w:cs="宋体"/>
                <w:bCs/>
                <w:color w:val="auto"/>
                <w:sz w:val="22"/>
                <w:szCs w:val="22"/>
                <w:highlight w:val="none"/>
                <w:lang w:eastAsia="zh-CN"/>
              </w:rPr>
              <w:t>情况，由评委根据售后方案及机构设置情况进行综合评分</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评分范围：5,4,3,2,1,0</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lang w:eastAsia="zh-CN"/>
              </w:rPr>
              <w:t>。</w:t>
            </w:r>
          </w:p>
          <w:p w14:paraId="70F94B92">
            <w:pPr>
              <w:suppressAutoHyphens/>
              <w:adjustRightInd w:val="0"/>
              <w:snapToGrid w:val="0"/>
              <w:spacing w:line="320" w:lineRule="exact"/>
              <w:ind w:left="-35" w:right="-38"/>
              <w:rPr>
                <w:rFonts w:hint="eastAsia" w:ascii="宋体" w:hAnsi="宋体" w:eastAsia="宋体" w:cs="宋体"/>
                <w:bCs/>
                <w:color w:val="auto"/>
                <w:sz w:val="22"/>
                <w:szCs w:val="22"/>
                <w:highlight w:val="none"/>
                <w:lang w:eastAsia="zh-CN"/>
              </w:rPr>
            </w:pPr>
            <w:r>
              <w:rPr>
                <w:rFonts w:hint="eastAsia" w:ascii="宋体" w:hAnsi="宋体" w:eastAsia="宋体" w:cs="宋体"/>
                <w:bCs/>
                <w:color w:val="auto"/>
                <w:sz w:val="22"/>
                <w:szCs w:val="22"/>
                <w:highlight w:val="none"/>
                <w:lang w:eastAsia="zh-CN"/>
              </w:rPr>
              <w:t>针对本项目售后服务</w:t>
            </w:r>
            <w:r>
              <w:rPr>
                <w:rFonts w:hint="eastAsia" w:ascii="宋体" w:hAnsi="宋体" w:eastAsia="宋体" w:cs="宋体"/>
                <w:bCs/>
                <w:color w:val="auto"/>
                <w:sz w:val="22"/>
                <w:szCs w:val="22"/>
                <w:highlight w:val="none"/>
              </w:rPr>
              <w:t>人员</w:t>
            </w:r>
            <w:r>
              <w:rPr>
                <w:rFonts w:hint="eastAsia" w:ascii="宋体" w:hAnsi="宋体" w:eastAsia="宋体" w:cs="宋体"/>
                <w:bCs/>
                <w:color w:val="auto"/>
                <w:sz w:val="22"/>
                <w:szCs w:val="22"/>
                <w:highlight w:val="none"/>
                <w:lang w:eastAsia="zh-CN"/>
              </w:rPr>
              <w:t>配置的电力、电气专业人员情况进行综合评分</w:t>
            </w:r>
            <w:r>
              <w:rPr>
                <w:rFonts w:hint="eastAsia" w:ascii="宋体" w:hAnsi="宋体" w:cs="宋体"/>
                <w:bCs/>
                <w:color w:val="auto"/>
                <w:sz w:val="22"/>
                <w:szCs w:val="22"/>
                <w:highlight w:val="none"/>
                <w:lang w:eastAsia="zh-CN"/>
              </w:rPr>
              <w:t>（</w:t>
            </w:r>
            <w:r>
              <w:rPr>
                <w:rFonts w:hint="eastAsia" w:ascii="宋体" w:hAnsi="宋体" w:cs="宋体"/>
                <w:bCs/>
                <w:color w:val="auto"/>
                <w:sz w:val="22"/>
                <w:szCs w:val="22"/>
                <w:highlight w:val="none"/>
                <w:lang w:val="en-US" w:eastAsia="zh-CN"/>
              </w:rPr>
              <w:t>评分范围：5,4,3,2,1,0</w:t>
            </w:r>
            <w:r>
              <w:rPr>
                <w:rFonts w:hint="eastAsia" w:ascii="宋体" w:hAnsi="宋体" w:cs="宋体"/>
                <w:bCs/>
                <w:color w:val="auto"/>
                <w:sz w:val="22"/>
                <w:szCs w:val="22"/>
                <w:highlight w:val="none"/>
                <w:lang w:eastAsia="zh-CN"/>
              </w:rPr>
              <w:t>）</w:t>
            </w:r>
            <w:r>
              <w:rPr>
                <w:rFonts w:hint="eastAsia" w:ascii="宋体" w:hAnsi="宋体" w:eastAsia="宋体" w:cs="宋体"/>
                <w:bCs/>
                <w:color w:val="auto"/>
                <w:sz w:val="22"/>
                <w:szCs w:val="22"/>
                <w:highlight w:val="none"/>
                <w:lang w:eastAsia="zh-CN"/>
              </w:rPr>
              <w:t>。</w:t>
            </w:r>
          </w:p>
          <w:p w14:paraId="1C8AAA49">
            <w:pPr>
              <w:suppressAutoHyphens/>
              <w:adjustRightInd w:val="0"/>
              <w:snapToGrid w:val="0"/>
              <w:spacing w:line="320" w:lineRule="exact"/>
              <w:ind w:left="-35" w:leftChars="0" w:right="-38" w:rightChars="0"/>
              <w:rPr>
                <w:rFonts w:hint="eastAsia"/>
                <w:color w:val="auto"/>
                <w:kern w:val="2"/>
                <w:sz w:val="22"/>
                <w:szCs w:val="22"/>
                <w:highlight w:val="none"/>
                <w:lang w:val="en-US" w:eastAsia="zh-CN" w:bidi="ar-SA"/>
              </w:rPr>
            </w:pPr>
            <w:r>
              <w:rPr>
                <w:rFonts w:hint="eastAsia" w:ascii="宋体" w:hAnsi="宋体" w:eastAsia="宋体" w:cs="宋体"/>
                <w:bCs/>
                <w:color w:val="auto"/>
                <w:sz w:val="22"/>
                <w:szCs w:val="22"/>
                <w:highlight w:val="none"/>
              </w:rPr>
              <w:t>（提供售后服务人员电力、电气中级及以上职称证书及社保证明，售后场所如为自有房产需提供房产证扫描件，如为租赁房产提供租赁合同扫描件及租赁场所房产证扫描件，提供不齐全的不得分）</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73EB3B82">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主</w:t>
            </w:r>
          </w:p>
          <w:p w14:paraId="600E7CD9">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74169959">
            <w:pPr>
              <w:suppressAutoHyphens/>
              <w:adjustRightInd w:val="0"/>
              <w:snapToGrid w:val="0"/>
              <w:spacing w:line="320" w:lineRule="exact"/>
              <w:ind w:left="-35" w:leftChars="0" w:right="-38" w:rightChars="0"/>
              <w:jc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分</w:t>
            </w:r>
          </w:p>
        </w:tc>
      </w:tr>
      <w:tr w14:paraId="7D6BB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7" w:type="pct"/>
            <w:tcBorders>
              <w:top w:val="single" w:color="auto" w:sz="4" w:space="0"/>
              <w:left w:val="single" w:color="auto" w:sz="4" w:space="0"/>
              <w:bottom w:val="single" w:color="auto" w:sz="4" w:space="0"/>
              <w:right w:val="single" w:color="auto" w:sz="4" w:space="0"/>
            </w:tcBorders>
            <w:noWrap w:val="0"/>
            <w:vAlign w:val="center"/>
          </w:tcPr>
          <w:p w14:paraId="671789E1">
            <w:pPr>
              <w:jc w:val="center"/>
              <w:rPr>
                <w:rFonts w:hint="default" w:ascii="宋体" w:hAnsi="宋体"/>
                <w:color w:val="auto"/>
                <w:sz w:val="22"/>
                <w:szCs w:val="22"/>
                <w:highlight w:val="none"/>
                <w:lang w:val="en-US" w:eastAsia="zh-CN"/>
              </w:rPr>
            </w:pPr>
            <w:r>
              <w:rPr>
                <w:rFonts w:hint="eastAsia" w:ascii="宋体" w:hAnsi="宋体"/>
                <w:color w:val="auto"/>
                <w:sz w:val="22"/>
                <w:szCs w:val="22"/>
                <w:highlight w:val="none"/>
                <w:lang w:val="en-US" w:eastAsia="zh-CN"/>
              </w:rPr>
              <w:t>9</w:t>
            </w:r>
          </w:p>
        </w:tc>
        <w:tc>
          <w:tcPr>
            <w:tcW w:w="776" w:type="pct"/>
            <w:tcBorders>
              <w:top w:val="single" w:color="auto" w:sz="4" w:space="0"/>
              <w:left w:val="single" w:color="auto" w:sz="4" w:space="0"/>
              <w:bottom w:val="single" w:color="auto" w:sz="4" w:space="0"/>
              <w:right w:val="single" w:color="auto" w:sz="4" w:space="0"/>
            </w:tcBorders>
            <w:noWrap w:val="0"/>
            <w:vAlign w:val="center"/>
          </w:tcPr>
          <w:p w14:paraId="1A195970">
            <w:pPr>
              <w:suppressAutoHyphens/>
              <w:adjustRightInd w:val="0"/>
              <w:snapToGrid w:val="0"/>
              <w:spacing w:line="320" w:lineRule="exact"/>
              <w:ind w:left="-35" w:leftChars="0" w:right="-38" w:rightChars="0"/>
              <w:jc w:val="center"/>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环境标志产品、节能产品评审</w:t>
            </w:r>
          </w:p>
        </w:tc>
        <w:tc>
          <w:tcPr>
            <w:tcW w:w="575" w:type="pct"/>
            <w:tcBorders>
              <w:top w:val="single" w:color="auto" w:sz="4" w:space="0"/>
              <w:left w:val="single" w:color="auto" w:sz="4" w:space="0"/>
              <w:bottom w:val="single" w:color="auto" w:sz="4" w:space="0"/>
              <w:right w:val="single" w:color="auto" w:sz="4" w:space="0"/>
            </w:tcBorders>
            <w:noWrap w:val="0"/>
            <w:vAlign w:val="center"/>
          </w:tcPr>
          <w:p w14:paraId="68E6ADDF">
            <w:pPr>
              <w:suppressAutoHyphens/>
              <w:adjustRightInd w:val="0"/>
              <w:snapToGrid w:val="0"/>
              <w:spacing w:line="320" w:lineRule="exact"/>
              <w:ind w:left="-35" w:leftChars="0" w:right="-38" w:rightChars="0"/>
              <w:jc w:val="center"/>
              <w:rPr>
                <w:rFonts w:hint="eastAsia" w:ascii="宋体" w:hAnsi="宋体" w:eastAsia="宋体" w:cs="宋体"/>
                <w:bCs/>
                <w:color w:val="auto"/>
                <w:sz w:val="22"/>
                <w:szCs w:val="22"/>
                <w:highlight w:val="none"/>
                <w:lang w:val="en-US" w:eastAsia="zh-CN"/>
              </w:rPr>
            </w:pPr>
            <w:r>
              <w:rPr>
                <w:rFonts w:hint="eastAsia" w:ascii="宋体" w:hAnsi="宋体" w:eastAsia="宋体" w:cs="宋体"/>
                <w:bCs/>
                <w:color w:val="auto"/>
                <w:sz w:val="22"/>
                <w:szCs w:val="22"/>
                <w:highlight w:val="none"/>
              </w:rPr>
              <w:t>0-</w:t>
            </w:r>
            <w:r>
              <w:rPr>
                <w:rFonts w:hint="eastAsia" w:ascii="宋体" w:hAnsi="宋体" w:cs="宋体"/>
                <w:bCs/>
                <w:color w:val="auto"/>
                <w:sz w:val="22"/>
                <w:szCs w:val="22"/>
                <w:highlight w:val="none"/>
                <w:lang w:val="en-US" w:eastAsia="zh-CN"/>
              </w:rPr>
              <w:t>1</w:t>
            </w:r>
            <w:r>
              <w:rPr>
                <w:rFonts w:hint="eastAsia" w:ascii="宋体" w:hAnsi="宋体" w:eastAsia="宋体" w:cs="宋体"/>
                <w:bCs/>
                <w:color w:val="auto"/>
                <w:sz w:val="22"/>
                <w:szCs w:val="22"/>
                <w:highlight w:val="none"/>
              </w:rPr>
              <w:t>分</w:t>
            </w:r>
          </w:p>
        </w:tc>
        <w:tc>
          <w:tcPr>
            <w:tcW w:w="2997" w:type="pct"/>
            <w:tcBorders>
              <w:top w:val="single" w:color="auto" w:sz="4" w:space="0"/>
              <w:left w:val="single" w:color="auto" w:sz="4" w:space="0"/>
              <w:bottom w:val="single" w:color="auto" w:sz="4" w:space="0"/>
              <w:right w:val="single" w:color="auto" w:sz="4" w:space="0"/>
            </w:tcBorders>
            <w:noWrap w:val="0"/>
            <w:vAlign w:val="center"/>
          </w:tcPr>
          <w:p w14:paraId="10F2519F">
            <w:pPr>
              <w:suppressAutoHyphens/>
              <w:adjustRightInd w:val="0"/>
              <w:snapToGrid w:val="0"/>
              <w:spacing w:line="320" w:lineRule="exact"/>
              <w:ind w:left="-35" w:leftChars="0" w:right="-38" w:right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1）供应商选择的主要材料若列入政府采购节能产品品目清单范围（列入强制采购节能产品清单目录的产品不计分）的加</w:t>
            </w:r>
            <w:r>
              <w:rPr>
                <w:rFonts w:hint="eastAsia" w:ascii="宋体" w:hAnsi="宋体" w:cs="宋体"/>
                <w:bCs/>
                <w:color w:val="auto"/>
                <w:sz w:val="22"/>
                <w:szCs w:val="22"/>
                <w:highlight w:val="none"/>
                <w:lang w:val="en-US" w:eastAsia="zh-CN"/>
              </w:rPr>
              <w:t>0.5</w:t>
            </w:r>
            <w:r>
              <w:rPr>
                <w:rFonts w:hint="eastAsia" w:ascii="宋体" w:hAnsi="宋体" w:eastAsia="宋体" w:cs="宋体"/>
                <w:bCs/>
                <w:color w:val="auto"/>
                <w:sz w:val="22"/>
                <w:szCs w:val="22"/>
                <w:highlight w:val="none"/>
              </w:rPr>
              <w:t>分。</w:t>
            </w:r>
          </w:p>
          <w:p w14:paraId="2BD32B9A">
            <w:pPr>
              <w:suppressAutoHyphens/>
              <w:adjustRightInd w:val="0"/>
              <w:snapToGrid w:val="0"/>
              <w:spacing w:line="320" w:lineRule="exact"/>
              <w:ind w:left="-35" w:leftChars="0" w:right="-38" w:right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2）供应商选择的主要材料若列入政府采购环境标志产品品目清单范围的加</w:t>
            </w:r>
            <w:r>
              <w:rPr>
                <w:rFonts w:hint="eastAsia" w:ascii="宋体" w:hAnsi="宋体" w:cs="宋体"/>
                <w:bCs/>
                <w:color w:val="auto"/>
                <w:sz w:val="22"/>
                <w:szCs w:val="22"/>
                <w:highlight w:val="none"/>
                <w:lang w:val="en-US" w:eastAsia="zh-CN"/>
              </w:rPr>
              <w:t>0.5</w:t>
            </w:r>
            <w:r>
              <w:rPr>
                <w:rFonts w:hint="eastAsia" w:ascii="宋体" w:hAnsi="宋体" w:eastAsia="宋体" w:cs="宋体"/>
                <w:bCs/>
                <w:color w:val="auto"/>
                <w:sz w:val="22"/>
                <w:szCs w:val="22"/>
                <w:highlight w:val="none"/>
              </w:rPr>
              <w:t>分。</w:t>
            </w:r>
          </w:p>
          <w:p w14:paraId="54E98F63">
            <w:pPr>
              <w:suppressAutoHyphens/>
              <w:adjustRightInd w:val="0"/>
              <w:snapToGrid w:val="0"/>
              <w:spacing w:line="320" w:lineRule="exact"/>
              <w:ind w:left="-35" w:leftChars="0" w:right="-38" w:rightChars="0"/>
              <w:rPr>
                <w:rFonts w:hint="eastAsia" w:ascii="宋体" w:hAnsi="宋体" w:eastAsia="宋体" w:cs="宋体"/>
                <w:bCs/>
                <w:color w:val="auto"/>
                <w:sz w:val="22"/>
                <w:szCs w:val="22"/>
                <w:highlight w:val="none"/>
              </w:rPr>
            </w:pPr>
            <w:r>
              <w:rPr>
                <w:rFonts w:hint="eastAsia" w:ascii="宋体" w:hAnsi="宋体" w:eastAsia="宋体" w:cs="宋体"/>
                <w:bCs/>
                <w:color w:val="auto"/>
                <w:sz w:val="22"/>
                <w:szCs w:val="22"/>
                <w:highlight w:val="none"/>
              </w:rPr>
              <w:t>应同时提供①该产品所在的节能产品（环境标志产品）政府采购品目清单所在页；②该产品国家确定的认证机构出具的、处于有效期之内的节能产品（环境标志产品）认证证书扫描件或中国政府采购网（www.ccgp.gov.cn）查询平台节能产品（环境标志产品）查询结果网页截图。</w:t>
            </w:r>
          </w:p>
        </w:tc>
        <w:tc>
          <w:tcPr>
            <w:tcW w:w="364" w:type="pct"/>
            <w:tcBorders>
              <w:top w:val="single" w:color="auto" w:sz="4" w:space="0"/>
              <w:left w:val="single" w:color="auto" w:sz="4" w:space="0"/>
              <w:bottom w:val="single" w:color="auto" w:sz="4" w:space="0"/>
              <w:right w:val="single" w:color="auto" w:sz="4" w:space="0"/>
            </w:tcBorders>
            <w:noWrap w:val="0"/>
            <w:vAlign w:val="center"/>
          </w:tcPr>
          <w:p w14:paraId="0E57408F">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客</w:t>
            </w:r>
          </w:p>
          <w:p w14:paraId="6CD00E0B">
            <w:pPr>
              <w:suppressAutoHyphens/>
              <w:adjustRightInd w:val="0"/>
              <w:snapToGrid w:val="0"/>
              <w:spacing w:line="320" w:lineRule="exact"/>
              <w:ind w:left="-35" w:right="-38"/>
              <w:jc w:val="center"/>
              <w:rPr>
                <w:rFonts w:hint="eastAsia"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观</w:t>
            </w:r>
          </w:p>
          <w:p w14:paraId="5F77D48C">
            <w:pPr>
              <w:suppressAutoHyphens/>
              <w:adjustRightInd w:val="0"/>
              <w:snapToGrid w:val="0"/>
              <w:spacing w:line="320" w:lineRule="exact"/>
              <w:ind w:left="-35" w:right="-38"/>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val="en-US" w:eastAsia="zh-CN"/>
              </w:rPr>
              <w:t>分</w:t>
            </w:r>
          </w:p>
        </w:tc>
      </w:tr>
    </w:tbl>
    <w:p w14:paraId="2BB9E6CB">
      <w:pPr>
        <w:spacing w:line="440" w:lineRule="exact"/>
        <w:rPr>
          <w:rFonts w:hint="eastAsia" w:ascii="宋体" w:hAnsi="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 xml:space="preserve">.   </w:t>
      </w:r>
      <w:r>
        <w:rPr>
          <w:rFonts w:hint="eastAsia" w:ascii="宋体" w:hAnsi="宋体"/>
          <w:b/>
          <w:color w:val="auto"/>
          <w:sz w:val="22"/>
          <w:szCs w:val="22"/>
          <w:highlight w:val="none"/>
        </w:rPr>
        <w:t>价格标的详细评审。</w:t>
      </w:r>
    </w:p>
    <w:p w14:paraId="7CA9609D">
      <w:pPr>
        <w:tabs>
          <w:tab w:val="left" w:pos="-180"/>
          <w:tab w:val="left" w:pos="180"/>
          <w:tab w:val="left" w:pos="360"/>
        </w:tabs>
        <w:spacing w:line="440" w:lineRule="exact"/>
        <w:ind w:left="539" w:hanging="539" w:hangingChars="245"/>
        <w:rPr>
          <w:rFonts w:hint="eastAsia" w:ascii="宋体" w:hAnsi="宋体" w:cs="宋体"/>
          <w:color w:val="auto"/>
          <w:sz w:val="22"/>
          <w:szCs w:val="22"/>
          <w:highlight w:val="none"/>
        </w:rPr>
      </w:pPr>
      <w:r>
        <w:rPr>
          <w:rFonts w:ascii="宋体" w:hAnsi="宋体"/>
          <w:color w:val="auto"/>
          <w:sz w:val="22"/>
          <w:szCs w:val="22"/>
          <w:highlight w:val="none"/>
        </w:rPr>
        <w:t>2</w:t>
      </w:r>
      <w:r>
        <w:rPr>
          <w:rFonts w:hint="eastAsia" w:ascii="宋体" w:hAnsi="宋体"/>
          <w:color w:val="auto"/>
          <w:sz w:val="22"/>
          <w:szCs w:val="22"/>
          <w:highlight w:val="none"/>
        </w:rPr>
        <w:t>.</w:t>
      </w:r>
      <w:r>
        <w:rPr>
          <w:rFonts w:ascii="宋体" w:hAnsi="宋体"/>
          <w:color w:val="auto"/>
          <w:sz w:val="22"/>
          <w:szCs w:val="22"/>
          <w:highlight w:val="none"/>
        </w:rPr>
        <w:t>1</w:t>
      </w:r>
      <w:r>
        <w:rPr>
          <w:rFonts w:hint="eastAsia" w:ascii="宋体" w:hAnsi="宋体"/>
          <w:color w:val="auto"/>
          <w:sz w:val="22"/>
          <w:szCs w:val="22"/>
          <w:highlight w:val="none"/>
        </w:rPr>
        <w:t xml:space="preserve">  </w:t>
      </w:r>
      <w:r>
        <w:rPr>
          <w:rFonts w:hint="eastAsia" w:ascii="宋体" w:hAnsi="宋体" w:cs="宋体"/>
          <w:color w:val="auto"/>
          <w:sz w:val="22"/>
          <w:szCs w:val="22"/>
          <w:highlight w:val="none"/>
          <w:u w:val="single"/>
        </w:rPr>
        <w:t>磋商小组对磋商报价进行详细评审时，出现下列问题时按下述原则进行修正，如磋商供应商拒绝对其作出的修正，则其磋商响应文件按无效标处理</w:t>
      </w:r>
      <w:r>
        <w:rPr>
          <w:rFonts w:hint="eastAsia" w:ascii="宋体" w:hAnsi="宋体" w:cs="宋体"/>
          <w:color w:val="auto"/>
          <w:sz w:val="22"/>
          <w:szCs w:val="22"/>
          <w:highlight w:val="none"/>
        </w:rPr>
        <w:t>：</w:t>
      </w:r>
    </w:p>
    <w:p w14:paraId="0555CE77">
      <w:pPr>
        <w:autoSpaceDE w:val="0"/>
        <w:autoSpaceDN w:val="0"/>
        <w:adjustRightInd w:val="0"/>
        <w:spacing w:line="440" w:lineRule="exact"/>
        <w:jc w:val="left"/>
        <w:rPr>
          <w:rFonts w:hint="eastAsia" w:ascii="宋体" w:hAnsi="宋体"/>
          <w:color w:val="auto"/>
          <w:sz w:val="22"/>
          <w:szCs w:val="22"/>
          <w:highlight w:val="none"/>
        </w:rPr>
      </w:pPr>
      <w:r>
        <w:rPr>
          <w:rFonts w:hint="eastAsia" w:ascii="宋体" w:hAnsi="宋体"/>
          <w:color w:val="auto"/>
          <w:sz w:val="22"/>
          <w:szCs w:val="22"/>
          <w:highlight w:val="none"/>
        </w:rPr>
        <w:t>（1）如果数字表示的金额和用文字表示的金额不一致时，应以文字表示的金额为准；</w:t>
      </w:r>
    </w:p>
    <w:p w14:paraId="0D0930DB">
      <w:pPr>
        <w:autoSpaceDE w:val="0"/>
        <w:autoSpaceDN w:val="0"/>
        <w:adjustRightInd w:val="0"/>
        <w:spacing w:line="440" w:lineRule="exact"/>
        <w:ind w:left="550" w:hanging="550" w:hangingChars="250"/>
        <w:jc w:val="left"/>
        <w:rPr>
          <w:rFonts w:hint="eastAsia" w:ascii="宋体" w:hAnsi="宋体"/>
          <w:color w:val="auto"/>
          <w:sz w:val="22"/>
          <w:szCs w:val="22"/>
          <w:highlight w:val="none"/>
        </w:rPr>
      </w:pPr>
      <w:r>
        <w:rPr>
          <w:rFonts w:hint="eastAsia" w:ascii="宋体" w:hAnsi="宋体"/>
          <w:color w:val="auto"/>
          <w:sz w:val="22"/>
          <w:szCs w:val="22"/>
          <w:highlight w:val="none"/>
        </w:rPr>
        <w:t>（2）当单价与数量的乘积与合价不一致时，以单价为准，除非磋商小组认为单价有明显的小数点错误，此时应以标出的合价为准，并修改单价；当单价出现明显错误时修正单价，并修改合价，其产生误差的绝对值同时加入累计计算偏差值（3%）范围；</w:t>
      </w:r>
    </w:p>
    <w:p w14:paraId="174C25E1">
      <w:pPr>
        <w:autoSpaceDE w:val="0"/>
        <w:autoSpaceDN w:val="0"/>
        <w:adjustRightInd w:val="0"/>
        <w:spacing w:line="440" w:lineRule="exact"/>
        <w:ind w:left="550" w:hanging="550" w:hangingChars="250"/>
        <w:jc w:val="left"/>
        <w:rPr>
          <w:rFonts w:hint="eastAsia" w:ascii="宋体" w:hAnsi="宋体"/>
          <w:color w:val="auto"/>
          <w:sz w:val="22"/>
          <w:szCs w:val="22"/>
          <w:highlight w:val="none"/>
        </w:rPr>
      </w:pPr>
      <w:r>
        <w:rPr>
          <w:rFonts w:hint="eastAsia" w:ascii="宋体" w:hAnsi="宋体"/>
          <w:color w:val="auto"/>
          <w:sz w:val="22"/>
          <w:szCs w:val="22"/>
          <w:highlight w:val="none"/>
        </w:rPr>
        <w:t>（3）合计累计金额与小计(合计)金额不一致的，以合计累计金额为准，并修改小计（合计）金额及总报价；</w:t>
      </w:r>
    </w:p>
    <w:p w14:paraId="03935FB4">
      <w:pPr>
        <w:autoSpaceDE w:val="0"/>
        <w:autoSpaceDN w:val="0"/>
        <w:adjustRightInd w:val="0"/>
        <w:spacing w:line="440" w:lineRule="exact"/>
        <w:ind w:left="550" w:hanging="550" w:hangingChars="250"/>
        <w:jc w:val="left"/>
        <w:rPr>
          <w:rFonts w:hint="eastAsia" w:ascii="宋体" w:hAnsi="宋体"/>
          <w:color w:val="auto"/>
          <w:sz w:val="22"/>
          <w:szCs w:val="22"/>
          <w:highlight w:val="none"/>
        </w:rPr>
      </w:pPr>
      <w:r>
        <w:rPr>
          <w:rFonts w:hint="eastAsia" w:ascii="宋体" w:hAnsi="宋体"/>
          <w:color w:val="auto"/>
          <w:sz w:val="22"/>
          <w:szCs w:val="22"/>
          <w:highlight w:val="none"/>
        </w:rPr>
        <w:t>（4）磋商响应函报价与磋商总价上的报价不一致的，以磋商函报价为准；</w:t>
      </w:r>
    </w:p>
    <w:p w14:paraId="4FCD85C2">
      <w:pPr>
        <w:autoSpaceDE w:val="0"/>
        <w:autoSpaceDN w:val="0"/>
        <w:adjustRightInd w:val="0"/>
        <w:spacing w:line="440" w:lineRule="exact"/>
        <w:jc w:val="left"/>
        <w:rPr>
          <w:rFonts w:hint="eastAsia" w:ascii="宋体" w:hAnsi="宋体"/>
          <w:color w:val="auto"/>
          <w:sz w:val="22"/>
          <w:szCs w:val="22"/>
          <w:highlight w:val="none"/>
        </w:rPr>
      </w:pPr>
      <w:r>
        <w:rPr>
          <w:rFonts w:hint="eastAsia" w:ascii="宋体" w:hAnsi="宋体"/>
          <w:color w:val="auto"/>
          <w:sz w:val="22"/>
          <w:szCs w:val="22"/>
          <w:highlight w:val="none"/>
        </w:rPr>
        <w:t>（5）正本与副本不一致的以正本为准。</w:t>
      </w:r>
    </w:p>
    <w:p w14:paraId="27624449">
      <w:pPr>
        <w:autoSpaceDE w:val="0"/>
        <w:autoSpaceDN w:val="0"/>
        <w:adjustRightInd w:val="0"/>
        <w:spacing w:line="440" w:lineRule="exact"/>
        <w:ind w:left="550" w:hanging="550" w:hangingChars="250"/>
        <w:jc w:val="left"/>
        <w:rPr>
          <w:rFonts w:hint="eastAsia" w:ascii="宋体" w:hAnsi="宋体"/>
          <w:color w:val="auto"/>
          <w:sz w:val="22"/>
          <w:szCs w:val="22"/>
          <w:highlight w:val="none"/>
          <w:u w:val="single"/>
        </w:rPr>
      </w:pPr>
      <w:r>
        <w:rPr>
          <w:rFonts w:ascii="宋体" w:hAnsi="宋体"/>
          <w:color w:val="auto"/>
          <w:sz w:val="22"/>
          <w:szCs w:val="22"/>
          <w:highlight w:val="none"/>
        </w:rPr>
        <w:t>2</w:t>
      </w:r>
      <w:r>
        <w:rPr>
          <w:rFonts w:hint="eastAsia" w:ascii="宋体" w:hAnsi="宋体"/>
          <w:color w:val="auto"/>
          <w:sz w:val="22"/>
          <w:szCs w:val="22"/>
          <w:highlight w:val="none"/>
        </w:rPr>
        <w:t>.</w:t>
      </w:r>
      <w:r>
        <w:rPr>
          <w:rFonts w:ascii="宋体" w:hAnsi="宋体"/>
          <w:color w:val="auto"/>
          <w:sz w:val="22"/>
          <w:szCs w:val="22"/>
          <w:highlight w:val="none"/>
        </w:rPr>
        <w:t>2</w:t>
      </w:r>
      <w:r>
        <w:rPr>
          <w:rFonts w:hint="eastAsia" w:ascii="宋体" w:hAnsi="宋体"/>
          <w:color w:val="auto"/>
          <w:sz w:val="22"/>
          <w:szCs w:val="22"/>
          <w:highlight w:val="none"/>
        </w:rPr>
        <w:t xml:space="preserve">  </w:t>
      </w:r>
      <w:r>
        <w:rPr>
          <w:rFonts w:hint="eastAsia" w:ascii="宋体" w:hAnsi="宋体"/>
          <w:color w:val="auto"/>
          <w:sz w:val="22"/>
          <w:szCs w:val="22"/>
          <w:highlight w:val="none"/>
          <w:u w:val="single"/>
        </w:rPr>
        <w:t>磋商小组在详细评审时，发现因磋商供应商原因造成磋商报价及其综合单价遗漏工程内容、工程数量、费用或发生算术错误等，累计磋商报价缺漏总额（冒算、多报费用不得抵消缺漏费用）占磋商报价3%（含3%）以上者，属于重大偏差，其磋商响应文件作无效标处理。小于3%时，则视为其已分配到其他项目中，</w:t>
      </w:r>
      <w:r>
        <w:rPr>
          <w:rFonts w:ascii="宋体" w:hAnsi="宋体"/>
          <w:color w:val="auto"/>
          <w:sz w:val="22"/>
          <w:szCs w:val="22"/>
          <w:highlight w:val="none"/>
          <w:u w:val="single"/>
        </w:rPr>
        <w:t>对磋商供应商报价不进行调整。</w:t>
      </w:r>
    </w:p>
    <w:p w14:paraId="5126232C">
      <w:pPr>
        <w:autoSpaceDE w:val="0"/>
        <w:autoSpaceDN w:val="0"/>
        <w:adjustRightInd w:val="0"/>
        <w:spacing w:line="440" w:lineRule="exact"/>
        <w:ind w:left="550" w:hanging="550" w:hangingChars="250"/>
        <w:jc w:val="left"/>
        <w:rPr>
          <w:rFonts w:hint="eastAsia" w:ascii="宋体" w:hAnsi="宋体"/>
          <w:color w:val="auto"/>
          <w:sz w:val="22"/>
          <w:szCs w:val="22"/>
          <w:highlight w:val="none"/>
        </w:rPr>
      </w:pPr>
      <w:r>
        <w:rPr>
          <w:rFonts w:ascii="宋体" w:hAnsi="宋体" w:cs="宋体"/>
          <w:color w:val="auto"/>
          <w:sz w:val="22"/>
          <w:szCs w:val="22"/>
          <w:highlight w:val="none"/>
        </w:rPr>
        <w:t>2.3</w:t>
      </w:r>
      <w:r>
        <w:rPr>
          <w:rFonts w:hint="eastAsia" w:ascii="宋体" w:hAnsi="宋体" w:cs="宋体"/>
          <w:color w:val="auto"/>
          <w:sz w:val="22"/>
          <w:szCs w:val="22"/>
          <w:highlight w:val="none"/>
        </w:rPr>
        <w:t xml:space="preserve">  对工程量清单漏项的计算原则是：漏项的工程量</w:t>
      </w:r>
      <w:r>
        <w:rPr>
          <w:rFonts w:hint="eastAsia" w:ascii="宋体" w:hAnsi="宋体"/>
          <w:color w:val="auto"/>
          <w:sz w:val="22"/>
          <w:szCs w:val="22"/>
          <w:highlight w:val="none"/>
        </w:rPr>
        <w:t>×</w:t>
      </w:r>
      <w:r>
        <w:rPr>
          <w:rFonts w:hint="eastAsia" w:ascii="宋体" w:hAnsi="宋体" w:cs="宋体"/>
          <w:color w:val="auto"/>
          <w:sz w:val="22"/>
          <w:szCs w:val="22"/>
          <w:highlight w:val="none"/>
        </w:rPr>
        <w:t>所有有效磋商供应商中该项综合单价最高报价后计取规费、</w:t>
      </w:r>
      <w:r>
        <w:rPr>
          <w:rFonts w:hint="eastAsia" w:ascii="宋体" w:hAnsi="宋体"/>
          <w:color w:val="auto"/>
          <w:sz w:val="22"/>
          <w:szCs w:val="22"/>
          <w:highlight w:val="none"/>
        </w:rPr>
        <w:t>税金、安全施工费、工伤保险费等</w:t>
      </w:r>
      <w:r>
        <w:rPr>
          <w:rFonts w:hint="eastAsia" w:ascii="宋体" w:hAnsi="宋体" w:cs="宋体"/>
          <w:color w:val="auto"/>
          <w:sz w:val="22"/>
          <w:szCs w:val="22"/>
          <w:highlight w:val="none"/>
        </w:rPr>
        <w:t>；对工程量清单变动的计算原则是：增加或减少的数量</w:t>
      </w:r>
      <w:r>
        <w:rPr>
          <w:rFonts w:hint="eastAsia" w:ascii="宋体" w:hAnsi="宋体"/>
          <w:color w:val="auto"/>
          <w:sz w:val="22"/>
          <w:szCs w:val="22"/>
          <w:highlight w:val="none"/>
        </w:rPr>
        <w:t>×</w:t>
      </w:r>
      <w:r>
        <w:rPr>
          <w:rFonts w:hint="eastAsia" w:ascii="宋体" w:hAnsi="宋体" w:cs="宋体"/>
          <w:color w:val="auto"/>
          <w:sz w:val="22"/>
          <w:szCs w:val="22"/>
          <w:highlight w:val="none"/>
        </w:rPr>
        <w:t>该项综合单价后计取</w:t>
      </w:r>
      <w:r>
        <w:rPr>
          <w:rFonts w:hint="eastAsia" w:ascii="宋体" w:hAnsi="宋体"/>
          <w:color w:val="auto"/>
          <w:sz w:val="22"/>
          <w:szCs w:val="22"/>
          <w:highlight w:val="none"/>
        </w:rPr>
        <w:t>规费、税金、安全施工费、工伤保险费等</w:t>
      </w:r>
      <w:r>
        <w:rPr>
          <w:rFonts w:hint="eastAsia" w:ascii="宋体" w:hAnsi="宋体" w:cs="宋体"/>
          <w:color w:val="auto"/>
          <w:sz w:val="22"/>
          <w:szCs w:val="22"/>
          <w:highlight w:val="none"/>
        </w:rPr>
        <w:t>。因磋商供应商原因造成磋商报价及其综合单价遗漏工程内容、工程数量、费用或发生算术错误累计缺漏总额之和小于磋商报价3%的，则视其已分配到其它工程量的报价中，对磋商供应商报价不进行调整。</w:t>
      </w:r>
    </w:p>
    <w:p w14:paraId="559FCA03">
      <w:pPr>
        <w:autoSpaceDE w:val="0"/>
        <w:autoSpaceDN w:val="0"/>
        <w:adjustRightInd w:val="0"/>
        <w:spacing w:line="440" w:lineRule="exact"/>
        <w:ind w:left="550" w:hanging="550" w:hangingChars="250"/>
        <w:jc w:val="left"/>
        <w:rPr>
          <w:rFonts w:hint="eastAsia" w:ascii="宋体" w:hAnsi="宋体"/>
          <w:color w:val="auto"/>
          <w:sz w:val="22"/>
          <w:szCs w:val="22"/>
          <w:highlight w:val="none"/>
        </w:rPr>
      </w:pPr>
      <w:r>
        <w:rPr>
          <w:rFonts w:ascii="宋体" w:hAnsi="宋体"/>
          <w:color w:val="auto"/>
          <w:sz w:val="22"/>
          <w:szCs w:val="22"/>
          <w:highlight w:val="none"/>
        </w:rPr>
        <w:t>2.4</w:t>
      </w:r>
      <w:r>
        <w:rPr>
          <w:rFonts w:hint="eastAsia" w:ascii="宋体" w:hAnsi="宋体"/>
          <w:color w:val="auto"/>
          <w:sz w:val="22"/>
          <w:szCs w:val="22"/>
          <w:highlight w:val="none"/>
        </w:rPr>
        <w:t xml:space="preserve">  凡磋商文件要求或工程造价组成应计算的费用而磋商供应商未报，且磋商响应文件中未阐明充分理由并提供足够证据者，均视为缺漏费用。</w:t>
      </w:r>
    </w:p>
    <w:p w14:paraId="2E6AFCEA">
      <w:pPr>
        <w:spacing w:line="440" w:lineRule="exact"/>
        <w:rPr>
          <w:rFonts w:ascii="宋体" w:hAnsi="宋体"/>
          <w:color w:val="auto"/>
          <w:sz w:val="22"/>
          <w:szCs w:val="22"/>
          <w:highlight w:val="none"/>
        </w:rPr>
      </w:pPr>
      <w:r>
        <w:rPr>
          <w:rFonts w:ascii="宋体" w:hAnsi="宋体"/>
          <w:color w:val="auto"/>
          <w:sz w:val="22"/>
          <w:szCs w:val="22"/>
          <w:highlight w:val="none"/>
        </w:rPr>
        <w:t>3</w:t>
      </w:r>
      <w:r>
        <w:rPr>
          <w:rFonts w:hint="eastAsia" w:ascii="宋体" w:hAnsi="宋体"/>
          <w:color w:val="auto"/>
          <w:sz w:val="22"/>
          <w:szCs w:val="22"/>
          <w:highlight w:val="none"/>
        </w:rPr>
        <w:t xml:space="preserve">.   </w:t>
      </w:r>
      <w:r>
        <w:rPr>
          <w:rFonts w:hint="eastAsia" w:ascii="宋体" w:hAnsi="宋体"/>
          <w:b/>
          <w:color w:val="auto"/>
          <w:sz w:val="22"/>
          <w:szCs w:val="22"/>
          <w:highlight w:val="none"/>
        </w:rPr>
        <w:t>价格评分（</w:t>
      </w:r>
      <w:r>
        <w:rPr>
          <w:rFonts w:hint="eastAsia" w:ascii="宋体" w:hAnsi="宋体"/>
          <w:b/>
          <w:color w:val="auto"/>
          <w:sz w:val="22"/>
          <w:szCs w:val="22"/>
          <w:highlight w:val="none"/>
          <w:lang w:val="en-US" w:eastAsia="zh-CN"/>
        </w:rPr>
        <w:t>2</w:t>
      </w:r>
      <w:r>
        <w:rPr>
          <w:rFonts w:hint="eastAsia" w:ascii="宋体" w:hAnsi="宋体"/>
          <w:b/>
          <w:color w:val="auto"/>
          <w:sz w:val="22"/>
          <w:szCs w:val="22"/>
          <w:highlight w:val="none"/>
        </w:rPr>
        <w:t>0分）</w:t>
      </w:r>
      <w:r>
        <w:rPr>
          <w:rFonts w:hint="eastAsia" w:ascii="宋体" w:hAnsi="宋体"/>
          <w:color w:val="auto"/>
          <w:sz w:val="22"/>
          <w:szCs w:val="22"/>
          <w:highlight w:val="none"/>
        </w:rPr>
        <w:t>：</w:t>
      </w:r>
    </w:p>
    <w:p w14:paraId="5B677DA1">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 xml:space="preserve"> </w:t>
      </w:r>
      <w:r>
        <w:rPr>
          <w:rFonts w:ascii="宋体" w:hAnsi="宋体"/>
          <w:color w:val="auto"/>
          <w:sz w:val="22"/>
          <w:szCs w:val="22"/>
          <w:highlight w:val="none"/>
        </w:rPr>
        <w:t xml:space="preserve">   </w:t>
      </w:r>
      <w:r>
        <w:rPr>
          <w:rFonts w:hint="eastAsia" w:ascii="宋体" w:hAnsi="宋体"/>
          <w:color w:val="auto"/>
          <w:sz w:val="22"/>
          <w:szCs w:val="22"/>
          <w:highlight w:val="none"/>
        </w:rPr>
        <w:t>满足竞争性磋商文件要求且最后报价最低的报价为评标基准价。</w:t>
      </w:r>
    </w:p>
    <w:p w14:paraId="1B48E603">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（1）有效磋商供应商的最后报价等于评标基准价时其价格分为满分</w:t>
      </w:r>
      <w:r>
        <w:rPr>
          <w:rFonts w:hint="eastAsia" w:ascii="宋体" w:hAnsi="宋体"/>
          <w:color w:val="auto"/>
          <w:sz w:val="22"/>
          <w:szCs w:val="22"/>
          <w:highlight w:val="none"/>
          <w:lang w:val="en-US" w:eastAsia="zh-CN"/>
        </w:rPr>
        <w:t>2</w:t>
      </w:r>
      <w:r>
        <w:rPr>
          <w:rFonts w:hint="eastAsia" w:ascii="宋体" w:hAnsi="宋体"/>
          <w:color w:val="auto"/>
          <w:sz w:val="22"/>
          <w:szCs w:val="22"/>
          <w:highlight w:val="none"/>
        </w:rPr>
        <w:t>0分；</w:t>
      </w:r>
    </w:p>
    <w:p w14:paraId="5EA58A65">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（2）其他磋商供应商的价格分按以下公式计算：</w:t>
      </w:r>
    </w:p>
    <w:p w14:paraId="0669AE44">
      <w:pPr>
        <w:spacing w:line="440" w:lineRule="exact"/>
        <w:ind w:left="548" w:leftChars="261"/>
        <w:rPr>
          <w:rFonts w:hint="eastAsia" w:ascii="宋体" w:hAnsi="宋体"/>
          <w:color w:val="auto"/>
          <w:sz w:val="22"/>
          <w:szCs w:val="22"/>
          <w:highlight w:val="none"/>
        </w:rPr>
      </w:pPr>
      <w:r>
        <w:rPr>
          <w:rFonts w:hint="eastAsia" w:ascii="宋体" w:hAnsi="宋体"/>
          <w:color w:val="auto"/>
          <w:sz w:val="22"/>
          <w:szCs w:val="22"/>
          <w:highlight w:val="none"/>
        </w:rPr>
        <w:t>得分=（评标基准价/磋商供应商最后报价）× 价格权值 ×100（四舍五入，保留小数点后2位）</w:t>
      </w:r>
    </w:p>
    <w:p w14:paraId="4275A210">
      <w:pPr>
        <w:spacing w:line="440" w:lineRule="exact"/>
        <w:ind w:left="548" w:leftChars="261"/>
        <w:rPr>
          <w:rFonts w:hint="eastAsia" w:ascii="宋体" w:hAnsi="宋体" w:eastAsia="宋体" w:cs="Times New Roman"/>
          <w:b/>
          <w:bCs/>
          <w:color w:val="auto"/>
          <w:sz w:val="22"/>
          <w:szCs w:val="22"/>
          <w:highlight w:val="none"/>
          <w:u w:val="single"/>
        </w:rPr>
      </w:pPr>
      <w:r>
        <w:rPr>
          <w:rFonts w:hint="eastAsia" w:ascii="宋体" w:hAnsi="宋体" w:eastAsia="宋体" w:cs="Times New Roman"/>
          <w:b/>
          <w:bCs/>
          <w:color w:val="auto"/>
          <w:sz w:val="22"/>
          <w:szCs w:val="22"/>
          <w:highlight w:val="none"/>
          <w:u w:val="single"/>
        </w:rPr>
        <w:t>▲符合</w:t>
      </w:r>
      <w:r>
        <w:rPr>
          <w:rFonts w:hint="eastAsia" w:ascii="宋体" w:hAnsi="宋体" w:eastAsia="宋体" w:cs="Times New Roman"/>
          <w:b/>
          <w:bCs/>
          <w:color w:val="auto"/>
          <w:sz w:val="22"/>
          <w:szCs w:val="22"/>
          <w:highlight w:val="none"/>
          <w:u w:val="single"/>
          <w:lang w:eastAsia="zh-CN"/>
        </w:rPr>
        <w:t>磋商</w:t>
      </w:r>
      <w:r>
        <w:rPr>
          <w:rFonts w:hint="eastAsia" w:ascii="宋体" w:hAnsi="宋体" w:eastAsia="宋体" w:cs="Times New Roman"/>
          <w:b/>
          <w:bCs/>
          <w:color w:val="auto"/>
          <w:sz w:val="22"/>
          <w:szCs w:val="22"/>
          <w:highlight w:val="none"/>
          <w:u w:val="single"/>
        </w:rPr>
        <w:t>文件规定的小、微企业（或监狱企业、残疾人福利单位），根据</w:t>
      </w:r>
      <w:r>
        <w:rPr>
          <w:rFonts w:hint="eastAsia" w:ascii="宋体" w:hAnsi="宋体" w:eastAsia="宋体" w:cs="Times New Roman"/>
          <w:b/>
          <w:bCs/>
          <w:color w:val="auto"/>
          <w:sz w:val="22"/>
          <w:szCs w:val="22"/>
          <w:highlight w:val="none"/>
          <w:u w:val="single"/>
          <w:lang w:eastAsia="zh-CN"/>
        </w:rPr>
        <w:t>磋商</w:t>
      </w:r>
      <w:r>
        <w:rPr>
          <w:rFonts w:hint="eastAsia" w:ascii="宋体" w:hAnsi="宋体" w:eastAsia="宋体" w:cs="Times New Roman"/>
          <w:b/>
          <w:bCs/>
          <w:color w:val="auto"/>
          <w:sz w:val="22"/>
          <w:szCs w:val="22"/>
          <w:highlight w:val="none"/>
          <w:u w:val="single"/>
        </w:rPr>
        <w:t>文件《政府采购政策功能相关说明》的相关规定给予政策扶持，采用政策扶持后的报价参与评审（中标价及合同价仍以其磋商供应商最后报价为准），如采购项目为专门面向中小企业采购的，不再执行价格评审优惠的扶持政策。</w:t>
      </w:r>
    </w:p>
    <w:p w14:paraId="26AEBCBB">
      <w:pPr>
        <w:spacing w:line="440" w:lineRule="exact"/>
        <w:rPr>
          <w:rFonts w:hint="eastAsia" w:ascii="宋体" w:hAnsi="宋体"/>
          <w:color w:val="auto"/>
          <w:sz w:val="22"/>
          <w:szCs w:val="22"/>
          <w:highlight w:val="none"/>
        </w:rPr>
      </w:pPr>
      <w:r>
        <w:rPr>
          <w:rFonts w:hint="eastAsia" w:ascii="宋体" w:hAnsi="宋体"/>
          <w:color w:val="auto"/>
          <w:sz w:val="22"/>
          <w:szCs w:val="22"/>
          <w:highlight w:val="none"/>
        </w:rPr>
        <w:t>（3）如磋商供应商报价超过采购预算</w:t>
      </w:r>
      <w:r>
        <w:rPr>
          <w:rFonts w:hint="eastAsia" w:ascii="宋体" w:hAnsi="宋体"/>
          <w:color w:val="auto"/>
          <w:sz w:val="22"/>
          <w:szCs w:val="22"/>
          <w:highlight w:val="none"/>
          <w:lang w:eastAsia="zh-CN"/>
        </w:rPr>
        <w:t>（或最高投标限价）</w:t>
      </w:r>
      <w:r>
        <w:rPr>
          <w:rFonts w:hint="eastAsia" w:ascii="宋体" w:hAnsi="宋体"/>
          <w:color w:val="auto"/>
          <w:sz w:val="22"/>
          <w:szCs w:val="22"/>
          <w:highlight w:val="none"/>
        </w:rPr>
        <w:t>，按无效标处理。</w:t>
      </w:r>
    </w:p>
    <w:p w14:paraId="637D3BD5">
      <w:pPr>
        <w:spacing w:line="460" w:lineRule="exact"/>
        <w:rPr>
          <w:rFonts w:hint="eastAsia" w:ascii="宋体" w:hAnsi="宋体"/>
          <w:color w:val="auto"/>
          <w:sz w:val="22"/>
          <w:szCs w:val="22"/>
          <w:highlight w:val="none"/>
        </w:rPr>
      </w:pPr>
      <w:r>
        <w:rPr>
          <w:rFonts w:ascii="宋体" w:hAnsi="宋体"/>
          <w:color w:val="auto"/>
          <w:sz w:val="22"/>
          <w:szCs w:val="22"/>
          <w:highlight w:val="none"/>
        </w:rPr>
        <w:t>4</w:t>
      </w:r>
      <w:r>
        <w:rPr>
          <w:rFonts w:hint="eastAsia" w:ascii="宋体" w:hAnsi="宋体"/>
          <w:color w:val="auto"/>
          <w:sz w:val="22"/>
          <w:szCs w:val="22"/>
          <w:highlight w:val="none"/>
        </w:rPr>
        <w:t>.</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有效磋商供应商的综合得分为技术资信分和价格分的总和。</w:t>
      </w:r>
    </w:p>
    <w:p w14:paraId="3A467CDA">
      <w:pPr>
        <w:spacing w:line="440" w:lineRule="exact"/>
        <w:ind w:left="550" w:hanging="550" w:hangingChars="250"/>
        <w:rPr>
          <w:rFonts w:hint="eastAsia" w:ascii="宋体" w:hAnsi="宋体"/>
          <w:color w:val="auto"/>
          <w:sz w:val="22"/>
          <w:szCs w:val="22"/>
          <w:highlight w:val="none"/>
        </w:rPr>
      </w:pPr>
      <w:r>
        <w:rPr>
          <w:rFonts w:ascii="宋体" w:hAnsi="宋体"/>
          <w:color w:val="auto"/>
          <w:sz w:val="22"/>
          <w:szCs w:val="22"/>
          <w:highlight w:val="none"/>
        </w:rPr>
        <w:t>5</w:t>
      </w:r>
      <w:r>
        <w:rPr>
          <w:rFonts w:hint="eastAsia" w:ascii="宋体" w:hAnsi="宋体"/>
          <w:color w:val="auto"/>
          <w:sz w:val="22"/>
          <w:szCs w:val="22"/>
          <w:highlight w:val="none"/>
        </w:rPr>
        <w:t>.</w:t>
      </w:r>
      <w:r>
        <w:rPr>
          <w:rFonts w:ascii="宋体" w:hAnsi="宋体"/>
          <w:color w:val="auto"/>
          <w:sz w:val="22"/>
          <w:szCs w:val="22"/>
          <w:highlight w:val="none"/>
        </w:rPr>
        <w:t xml:space="preserve"> </w:t>
      </w:r>
      <w:r>
        <w:rPr>
          <w:rFonts w:hint="eastAsia" w:ascii="宋体" w:hAnsi="宋体"/>
          <w:color w:val="auto"/>
          <w:sz w:val="22"/>
          <w:szCs w:val="22"/>
          <w:highlight w:val="none"/>
        </w:rPr>
        <w:t xml:space="preserve">  磋商小组按综合得分由高到低顺序排列，综合得分前三名的磋商供应商依次作为该项目第一、第二和第三成交候选供应商向采购人推荐，并提交评审报告（得分相同报价低的排序靠前；得分且报价相同的，技术指标优的排序靠前）。</w:t>
      </w:r>
    </w:p>
    <w:p w14:paraId="7E4A8E10">
      <w:pPr>
        <w:spacing w:line="440" w:lineRule="exact"/>
        <w:ind w:left="552" w:hanging="552" w:hangingChars="250"/>
        <w:rPr>
          <w:rFonts w:hint="eastAsia" w:ascii="宋体" w:hAnsi="宋体"/>
          <w:b/>
          <w:color w:val="auto"/>
          <w:sz w:val="22"/>
          <w:szCs w:val="22"/>
          <w:highlight w:val="none"/>
        </w:rPr>
      </w:pPr>
      <w:r>
        <w:rPr>
          <w:rFonts w:hint="eastAsia" w:ascii="宋体" w:hAnsi="宋体"/>
          <w:b/>
          <w:color w:val="auto"/>
          <w:sz w:val="22"/>
          <w:szCs w:val="22"/>
          <w:highlight w:val="none"/>
        </w:rPr>
        <w:t>五、 定标办法</w:t>
      </w:r>
    </w:p>
    <w:p w14:paraId="6B8C622B">
      <w:pPr>
        <w:spacing w:line="440" w:lineRule="exact"/>
        <w:ind w:left="548" w:leftChars="261"/>
        <w:rPr>
          <w:rFonts w:hint="eastAsia" w:ascii="宋体" w:hAnsi="宋体"/>
          <w:color w:val="auto"/>
          <w:sz w:val="22"/>
          <w:szCs w:val="22"/>
          <w:highlight w:val="none"/>
        </w:rPr>
      </w:pPr>
      <w:r>
        <w:rPr>
          <w:rFonts w:hint="eastAsia" w:ascii="宋体" w:hAnsi="宋体"/>
          <w:color w:val="auto"/>
          <w:sz w:val="22"/>
          <w:szCs w:val="22"/>
          <w:highlight w:val="none"/>
        </w:rPr>
        <w:t>本次招标由磋商小组直接确定成交供应商</w:t>
      </w:r>
      <w:r>
        <w:rPr>
          <w:rFonts w:ascii="宋体" w:hAnsi="宋体"/>
          <w:color w:val="auto"/>
          <w:sz w:val="22"/>
          <w:szCs w:val="22"/>
          <w:highlight w:val="none"/>
        </w:rPr>
        <w:t>。</w:t>
      </w:r>
      <w:r>
        <w:rPr>
          <w:rFonts w:hint="eastAsia" w:ascii="宋体" w:hAnsi="宋体"/>
          <w:color w:val="auto"/>
          <w:sz w:val="22"/>
          <w:szCs w:val="22"/>
          <w:highlight w:val="none"/>
        </w:rPr>
        <w:t>排名第一的成交侯选供应商因自身原因放弃成交或因不可抗力不能履行合同的；或磋商文件规定应当提交履约保证金而在规定的期限内未能提交的；或未能在规定时间内与采购人签订合同的；或经质疑，采购组织机构审查确认因排名第一的候选供应商在本次采购活动中存在违法违规行为或其他原因使质疑成立的，采购人可以直接确定排名第二的侯选供应商为成交供应商。以此类推至第三名。</w:t>
      </w:r>
    </w:p>
    <w:p w14:paraId="0379737C">
      <w:pPr>
        <w:spacing w:line="440" w:lineRule="exact"/>
        <w:rPr>
          <w:rFonts w:hint="eastAsia" w:ascii="宋体" w:hAnsi="宋体"/>
          <w:b/>
          <w:color w:val="auto"/>
          <w:sz w:val="22"/>
          <w:szCs w:val="22"/>
          <w:highlight w:val="none"/>
        </w:rPr>
      </w:pPr>
      <w:r>
        <w:rPr>
          <w:rFonts w:hint="eastAsia" w:ascii="宋体" w:hAnsi="宋体"/>
          <w:b/>
          <w:color w:val="auto"/>
          <w:sz w:val="22"/>
          <w:szCs w:val="22"/>
          <w:highlight w:val="none"/>
        </w:rPr>
        <w:t>六、 确定成交供应商</w:t>
      </w:r>
    </w:p>
    <w:p w14:paraId="029B686B">
      <w:pPr>
        <w:spacing w:line="440" w:lineRule="exact"/>
        <w:ind w:left="548" w:leftChars="261"/>
        <w:rPr>
          <w:rFonts w:hint="eastAsia" w:ascii="宋体" w:hAnsi="宋体"/>
          <w:color w:val="auto"/>
          <w:sz w:val="22"/>
          <w:szCs w:val="22"/>
          <w:highlight w:val="none"/>
        </w:rPr>
      </w:pPr>
      <w:r>
        <w:rPr>
          <w:rFonts w:hint="eastAsia" w:ascii="宋体" w:hAnsi="宋体"/>
          <w:color w:val="auto"/>
          <w:sz w:val="22"/>
          <w:szCs w:val="22"/>
          <w:highlight w:val="none"/>
        </w:rPr>
        <w:t>成交供应商经采购人确认后，成交结果在财政部门指定的政府采购信息发布媒体上公告并公布《中小企业声明函》，在发布成交公告的同时，招标采购单位将向成交供应商发出成交通知书。成交通知书对采购人和成交供应商具有同等法律效力。</w:t>
      </w:r>
    </w:p>
    <w:p w14:paraId="1944C077">
      <w:pPr>
        <w:pStyle w:val="3"/>
        <w:adjustRightInd w:val="0"/>
        <w:snapToGrid w:val="0"/>
        <w:spacing w:line="440" w:lineRule="exact"/>
        <w:rPr>
          <w:rFonts w:hint="eastAsia" w:ascii="宋体" w:hAnsi="宋体"/>
          <w:b/>
          <w:color w:val="auto"/>
          <w:sz w:val="22"/>
          <w:szCs w:val="22"/>
          <w:highlight w:val="none"/>
        </w:rPr>
      </w:pPr>
      <w:r>
        <w:rPr>
          <w:rFonts w:hint="eastAsia" w:ascii="宋体" w:hAnsi="宋体"/>
          <w:b/>
          <w:color w:val="auto"/>
          <w:sz w:val="22"/>
          <w:szCs w:val="22"/>
          <w:highlight w:val="none"/>
        </w:rPr>
        <w:t>七、 磋商供应商义务</w:t>
      </w:r>
    </w:p>
    <w:p w14:paraId="3F04547B">
      <w:pPr>
        <w:pStyle w:val="3"/>
        <w:adjustRightInd w:val="0"/>
        <w:snapToGrid w:val="0"/>
        <w:spacing w:line="440" w:lineRule="exact"/>
        <w:ind w:left="548" w:leftChars="261"/>
        <w:rPr>
          <w:rFonts w:hint="eastAsia" w:ascii="宋体" w:hAnsi="宋体"/>
          <w:color w:val="auto"/>
          <w:sz w:val="22"/>
          <w:szCs w:val="22"/>
          <w:highlight w:val="none"/>
        </w:rPr>
      </w:pPr>
      <w:r>
        <w:rPr>
          <w:rFonts w:hint="eastAsia"/>
          <w:color w:val="auto"/>
          <w:sz w:val="22"/>
          <w:szCs w:val="22"/>
          <w:highlight w:val="none"/>
        </w:rPr>
        <w:t>磋商供应商应随时接受磋商小组的询标，解答包括有关的商务、技术等问题。磋商结束，所有磋商资料归档备查。</w:t>
      </w:r>
    </w:p>
    <w:p w14:paraId="69A1DB77">
      <w:pPr>
        <w:pStyle w:val="3"/>
        <w:adjustRightInd w:val="0"/>
        <w:snapToGrid w:val="0"/>
        <w:spacing w:line="440" w:lineRule="exact"/>
        <w:ind w:left="546" w:leftChars="260"/>
        <w:rPr>
          <w:rFonts w:hint="eastAsia" w:ascii="宋体" w:hAnsi="宋体"/>
          <w:color w:val="auto"/>
          <w:sz w:val="22"/>
          <w:szCs w:val="22"/>
          <w:highlight w:val="none"/>
        </w:rPr>
      </w:pPr>
    </w:p>
    <w:sectPr>
      <w:footerReference r:id="rId6" w:type="first"/>
      <w:headerReference r:id="rId5" w:type="default"/>
      <w:pgSz w:w="11906" w:h="16838"/>
      <w:pgMar w:top="1134" w:right="1134" w:bottom="1134" w:left="113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宋黑简体">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MingLiU_HKSCS">
    <w:panose1 w:val="02020500000000000000"/>
    <w:charset w:val="88"/>
    <w:family w:val="roman"/>
    <w:pitch w:val="default"/>
    <w:sig w:usb0="A00002FF" w:usb1="38CFFCFA" w:usb2="00000016" w:usb3="00000000" w:csb0="00100001"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86960">
    <w:pPr>
      <w:pStyle w:val="25"/>
      <w:jc w:val="center"/>
    </w:pPr>
    <w:r>
      <w:fldChar w:fldCharType="begin"/>
    </w:r>
    <w:r>
      <w:instrText xml:space="preserve">PAGE   \* MERGEFORMAT</w:instrText>
    </w:r>
    <w:r>
      <w:fldChar w:fldCharType="separate"/>
    </w:r>
    <w:r>
      <w:rPr>
        <w:lang w:val="zh-CN" w:eastAsia="zh-CN"/>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DFFFF">
    <w:pPr>
      <w:pStyle w:val="25"/>
      <w:framePr w:wrap="around" w:vAnchor="text" w:hAnchor="margin" w:xAlign="right" w:y="1"/>
      <w:rPr>
        <w:rStyle w:val="42"/>
      </w:rPr>
    </w:pPr>
    <w:r>
      <w:fldChar w:fldCharType="begin"/>
    </w:r>
    <w:r>
      <w:rPr>
        <w:rStyle w:val="42"/>
      </w:rPr>
      <w:instrText xml:space="preserve">PAGE  </w:instrText>
    </w:r>
    <w:r>
      <w:fldChar w:fldCharType="separate"/>
    </w:r>
    <w:r>
      <w:rPr>
        <w:rStyle w:val="42"/>
        <w:lang w:val="en-US" w:eastAsia="zh-CN"/>
      </w:rPr>
      <w:t>58</w:t>
    </w:r>
    <w:r>
      <w:fldChar w:fldCharType="end"/>
    </w:r>
  </w:p>
  <w:p w14:paraId="632D0B67">
    <w:pPr>
      <w:pStyle w:val="2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7290C">
    <w:pPr>
      <w:pStyle w:val="25"/>
      <w:ind w:firstLine="2415" w:firstLineChars="1150"/>
    </w:pPr>
    <w:r>
      <w:rPr>
        <w:rFonts w:hint="eastAsia" w:ascii="仿宋_GB2312" w:eastAsia="仿宋_GB2312"/>
        <w:sz w:val="21"/>
        <w:szCs w:val="21"/>
      </w:rPr>
      <w:t xml:space="preserve">                                              评标原则及方法 </w:t>
    </w:r>
    <w:r>
      <w:rPr>
        <w:rFonts w:hint="eastAsia" w:ascii="仿宋_GB2312" w:eastAsia="仿宋_GB2312"/>
        <w:sz w:val="21"/>
        <w:szCs w:val="21"/>
      </w:rPr>
      <w:fldChar w:fldCharType="begin"/>
    </w:r>
    <w:r>
      <w:rPr>
        <w:rStyle w:val="42"/>
        <w:rFonts w:hint="eastAsia" w:ascii="仿宋_GB2312" w:eastAsia="仿宋_GB2312"/>
        <w:sz w:val="21"/>
        <w:szCs w:val="21"/>
      </w:rPr>
      <w:instrText xml:space="preserve"> PAGE </w:instrText>
    </w:r>
    <w:r>
      <w:rPr>
        <w:rFonts w:hint="eastAsia" w:ascii="仿宋_GB2312" w:eastAsia="仿宋_GB2312"/>
        <w:sz w:val="21"/>
        <w:szCs w:val="21"/>
      </w:rPr>
      <w:fldChar w:fldCharType="separate"/>
    </w:r>
    <w:r>
      <w:rPr>
        <w:rStyle w:val="42"/>
        <w:rFonts w:ascii="仿宋_GB2312" w:eastAsia="仿宋_GB2312"/>
        <w:sz w:val="21"/>
        <w:szCs w:val="21"/>
        <w:lang w:val="en-US" w:eastAsia="zh-CN"/>
      </w:rPr>
      <w:t>46</w:t>
    </w:r>
    <w:r>
      <w:rPr>
        <w:rFonts w:hint="eastAsia" w:ascii="仿宋_GB2312" w:eastAsia="仿宋_GB2312"/>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8FF76E">
    <w:pPr>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90227A"/>
    <w:multiLevelType w:val="multilevel"/>
    <w:tmpl w:val="3590227A"/>
    <w:lvl w:ilvl="0" w:tentative="0">
      <w:start w:val="1"/>
      <w:numFmt w:val="decimal"/>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1">
    <w:nsid w:val="50BC7635"/>
    <w:multiLevelType w:val="singleLevel"/>
    <w:tmpl w:val="50BC7635"/>
    <w:lvl w:ilvl="0" w:tentative="0">
      <w:start w:val="1"/>
      <w:numFmt w:val="none"/>
      <w:pStyle w:val="8"/>
      <w:lvlText w:val="3.1"/>
      <w:lvlJc w:val="left"/>
      <w:pPr>
        <w:tabs>
          <w:tab w:val="left" w:pos="1060"/>
        </w:tabs>
        <w:ind w:left="425" w:hanging="85"/>
      </w:pPr>
      <w:rPr>
        <w:rFonts w:hint="eastAsia" w:ascii="方正宋黑简体" w:eastAsia="方正宋黑简体"/>
        <w:b w:val="0"/>
        <w:i w:val="0"/>
        <w:sz w:val="32"/>
      </w:rPr>
    </w:lvl>
  </w:abstractNum>
  <w:abstractNum w:abstractNumId="2">
    <w:nsid w:val="555AA50B"/>
    <w:multiLevelType w:val="singleLevel"/>
    <w:tmpl w:val="555AA50B"/>
    <w:lvl w:ilvl="0" w:tentative="0">
      <w:start w:val="8"/>
      <w:numFmt w:val="decimal"/>
      <w:suff w:val="space"/>
      <w:lvlText w:val="%1."/>
      <w:lvlJc w:val="left"/>
    </w:lvl>
  </w:abstractNum>
  <w:abstractNum w:abstractNumId="3">
    <w:nsid w:val="55DC2298"/>
    <w:multiLevelType w:val="multilevel"/>
    <w:tmpl w:val="55DC2298"/>
    <w:lvl w:ilvl="0" w:tentative="0">
      <w:start w:val="1"/>
      <w:numFmt w:val="chineseCountingThousand"/>
      <w:pStyle w:val="35"/>
      <w:lvlText w:val="第%1章"/>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69BCBB5A"/>
    <w:multiLevelType w:val="singleLevel"/>
    <w:tmpl w:val="69BCBB5A"/>
    <w:lvl w:ilvl="0" w:tentative="0">
      <w:start w:val="1"/>
      <w:numFmt w:val="decimal"/>
      <w:lvlText w:val="%1."/>
      <w:lvlJc w:val="left"/>
      <w:pPr>
        <w:tabs>
          <w:tab w:val="left" w:pos="312"/>
        </w:tabs>
      </w:pPr>
    </w:lvl>
  </w:abstractNum>
  <w:abstractNum w:abstractNumId="5">
    <w:nsid w:val="79FB64D5"/>
    <w:multiLevelType w:val="multilevel"/>
    <w:tmpl w:val="79FB64D5"/>
    <w:lvl w:ilvl="0" w:tentative="0">
      <w:start w:val="1"/>
      <w:numFmt w:val="lowerLetter"/>
      <w:lvlText w:val="%1."/>
      <w:lvlJc w:val="left"/>
      <w:pPr>
        <w:tabs>
          <w:tab w:val="left" w:pos="1260"/>
        </w:tabs>
        <w:ind w:left="1260" w:hanging="420"/>
      </w:pPr>
      <w:rPr>
        <w:rFonts w:hint="eastAsia"/>
      </w:rPr>
    </w:lvl>
    <w:lvl w:ilvl="1" w:tentative="0">
      <w:start w:val="1"/>
      <w:numFmt w:val="lowerLetter"/>
      <w:lvlText w:val="%2."/>
      <w:lvlJc w:val="left"/>
      <w:pPr>
        <w:tabs>
          <w:tab w:val="left" w:pos="1260"/>
        </w:tabs>
        <w:ind w:left="1260" w:hanging="420"/>
      </w:pPr>
      <w:rPr>
        <w:rFonts w:hint="eastAsia"/>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jMzZiNzczYzc5OGExMjEyMDUxOGFjMjhhMmEwNzIifQ=="/>
  </w:docVars>
  <w:rsids>
    <w:rsidRoot w:val="00172A27"/>
    <w:rsid w:val="00000076"/>
    <w:rsid w:val="00002165"/>
    <w:rsid w:val="00002A0A"/>
    <w:rsid w:val="00003769"/>
    <w:rsid w:val="00005864"/>
    <w:rsid w:val="00007090"/>
    <w:rsid w:val="00010F5A"/>
    <w:rsid w:val="000117A4"/>
    <w:rsid w:val="00012A59"/>
    <w:rsid w:val="00013E86"/>
    <w:rsid w:val="00014184"/>
    <w:rsid w:val="00014717"/>
    <w:rsid w:val="00015E3D"/>
    <w:rsid w:val="00021023"/>
    <w:rsid w:val="00024719"/>
    <w:rsid w:val="000252F5"/>
    <w:rsid w:val="00027184"/>
    <w:rsid w:val="000315E1"/>
    <w:rsid w:val="000337EE"/>
    <w:rsid w:val="000363F8"/>
    <w:rsid w:val="00044A30"/>
    <w:rsid w:val="000461A2"/>
    <w:rsid w:val="00057A00"/>
    <w:rsid w:val="000614DE"/>
    <w:rsid w:val="000630A8"/>
    <w:rsid w:val="000654D2"/>
    <w:rsid w:val="000665D0"/>
    <w:rsid w:val="000672E5"/>
    <w:rsid w:val="00067350"/>
    <w:rsid w:val="00076B3D"/>
    <w:rsid w:val="00081D2E"/>
    <w:rsid w:val="00081EC5"/>
    <w:rsid w:val="000831C5"/>
    <w:rsid w:val="0008525E"/>
    <w:rsid w:val="000855C9"/>
    <w:rsid w:val="000856D6"/>
    <w:rsid w:val="00086E86"/>
    <w:rsid w:val="0008733C"/>
    <w:rsid w:val="00094909"/>
    <w:rsid w:val="00096134"/>
    <w:rsid w:val="00096419"/>
    <w:rsid w:val="00096D25"/>
    <w:rsid w:val="0009760E"/>
    <w:rsid w:val="000A0937"/>
    <w:rsid w:val="000A394C"/>
    <w:rsid w:val="000A3C8F"/>
    <w:rsid w:val="000B1E7E"/>
    <w:rsid w:val="000B207E"/>
    <w:rsid w:val="000B2265"/>
    <w:rsid w:val="000B2753"/>
    <w:rsid w:val="000B5D03"/>
    <w:rsid w:val="000C6140"/>
    <w:rsid w:val="000C728D"/>
    <w:rsid w:val="000C734A"/>
    <w:rsid w:val="000C76DB"/>
    <w:rsid w:val="000D0764"/>
    <w:rsid w:val="000D1874"/>
    <w:rsid w:val="000D4A37"/>
    <w:rsid w:val="000E132A"/>
    <w:rsid w:val="000E2D41"/>
    <w:rsid w:val="000E37ED"/>
    <w:rsid w:val="000F31DC"/>
    <w:rsid w:val="000F331F"/>
    <w:rsid w:val="000F546A"/>
    <w:rsid w:val="000F59EA"/>
    <w:rsid w:val="000F6E62"/>
    <w:rsid w:val="000F76FB"/>
    <w:rsid w:val="00100DC2"/>
    <w:rsid w:val="00101A99"/>
    <w:rsid w:val="00101F10"/>
    <w:rsid w:val="00102410"/>
    <w:rsid w:val="001029DD"/>
    <w:rsid w:val="00102C25"/>
    <w:rsid w:val="00103471"/>
    <w:rsid w:val="0010548F"/>
    <w:rsid w:val="0010751C"/>
    <w:rsid w:val="00114FF5"/>
    <w:rsid w:val="00116120"/>
    <w:rsid w:val="00116D79"/>
    <w:rsid w:val="001173EC"/>
    <w:rsid w:val="00121B8B"/>
    <w:rsid w:val="001248D1"/>
    <w:rsid w:val="001332A0"/>
    <w:rsid w:val="00135E2F"/>
    <w:rsid w:val="00136BEA"/>
    <w:rsid w:val="00136EBE"/>
    <w:rsid w:val="00137662"/>
    <w:rsid w:val="001405D5"/>
    <w:rsid w:val="00146677"/>
    <w:rsid w:val="00147793"/>
    <w:rsid w:val="00147C05"/>
    <w:rsid w:val="0015084B"/>
    <w:rsid w:val="00152EDD"/>
    <w:rsid w:val="00155F09"/>
    <w:rsid w:val="00160F84"/>
    <w:rsid w:val="0016139D"/>
    <w:rsid w:val="001653E5"/>
    <w:rsid w:val="00165A39"/>
    <w:rsid w:val="00173752"/>
    <w:rsid w:val="00175932"/>
    <w:rsid w:val="0017630D"/>
    <w:rsid w:val="001846D9"/>
    <w:rsid w:val="00190C3C"/>
    <w:rsid w:val="00192544"/>
    <w:rsid w:val="00194316"/>
    <w:rsid w:val="001944C4"/>
    <w:rsid w:val="001948F0"/>
    <w:rsid w:val="00196D39"/>
    <w:rsid w:val="001A03E8"/>
    <w:rsid w:val="001A1769"/>
    <w:rsid w:val="001A6810"/>
    <w:rsid w:val="001B1480"/>
    <w:rsid w:val="001B1D32"/>
    <w:rsid w:val="001B2FD8"/>
    <w:rsid w:val="001B5412"/>
    <w:rsid w:val="001B5882"/>
    <w:rsid w:val="001B6642"/>
    <w:rsid w:val="001C5583"/>
    <w:rsid w:val="001D277D"/>
    <w:rsid w:val="001D29FD"/>
    <w:rsid w:val="001D2A1D"/>
    <w:rsid w:val="001D33B8"/>
    <w:rsid w:val="001D385D"/>
    <w:rsid w:val="001D6917"/>
    <w:rsid w:val="001E11D0"/>
    <w:rsid w:val="001E29DD"/>
    <w:rsid w:val="001E4113"/>
    <w:rsid w:val="001E4313"/>
    <w:rsid w:val="001E43B8"/>
    <w:rsid w:val="001F203F"/>
    <w:rsid w:val="001F54FF"/>
    <w:rsid w:val="001F65AE"/>
    <w:rsid w:val="00204C17"/>
    <w:rsid w:val="00204DF6"/>
    <w:rsid w:val="00205A6A"/>
    <w:rsid w:val="00205EA9"/>
    <w:rsid w:val="00212022"/>
    <w:rsid w:val="00221DB0"/>
    <w:rsid w:val="0022452B"/>
    <w:rsid w:val="0022556B"/>
    <w:rsid w:val="002263F5"/>
    <w:rsid w:val="0023076B"/>
    <w:rsid w:val="00232D9D"/>
    <w:rsid w:val="0023685F"/>
    <w:rsid w:val="0024133B"/>
    <w:rsid w:val="00243B86"/>
    <w:rsid w:val="00267A69"/>
    <w:rsid w:val="00267AEE"/>
    <w:rsid w:val="00272BBE"/>
    <w:rsid w:val="00273F1B"/>
    <w:rsid w:val="0028148A"/>
    <w:rsid w:val="00282332"/>
    <w:rsid w:val="00283C0F"/>
    <w:rsid w:val="00286D5E"/>
    <w:rsid w:val="00286EA5"/>
    <w:rsid w:val="002A2AD7"/>
    <w:rsid w:val="002A4C89"/>
    <w:rsid w:val="002A5A18"/>
    <w:rsid w:val="002A767F"/>
    <w:rsid w:val="002B2BBD"/>
    <w:rsid w:val="002B6255"/>
    <w:rsid w:val="002B6BC6"/>
    <w:rsid w:val="002B7F31"/>
    <w:rsid w:val="002C3211"/>
    <w:rsid w:val="002C3F2C"/>
    <w:rsid w:val="002D2BA5"/>
    <w:rsid w:val="002F1F22"/>
    <w:rsid w:val="002F40F9"/>
    <w:rsid w:val="00303816"/>
    <w:rsid w:val="003040FB"/>
    <w:rsid w:val="0030447D"/>
    <w:rsid w:val="00310ADB"/>
    <w:rsid w:val="00312CF8"/>
    <w:rsid w:val="003149F5"/>
    <w:rsid w:val="00315BFD"/>
    <w:rsid w:val="003163D1"/>
    <w:rsid w:val="00316829"/>
    <w:rsid w:val="00317F01"/>
    <w:rsid w:val="0032123C"/>
    <w:rsid w:val="00322B25"/>
    <w:rsid w:val="00330213"/>
    <w:rsid w:val="00330C2D"/>
    <w:rsid w:val="00331FAE"/>
    <w:rsid w:val="0033314C"/>
    <w:rsid w:val="0033452F"/>
    <w:rsid w:val="00335CAB"/>
    <w:rsid w:val="003363CE"/>
    <w:rsid w:val="003457E8"/>
    <w:rsid w:val="00346AEF"/>
    <w:rsid w:val="00346C62"/>
    <w:rsid w:val="003502DD"/>
    <w:rsid w:val="00351F6F"/>
    <w:rsid w:val="00352305"/>
    <w:rsid w:val="00354A87"/>
    <w:rsid w:val="00361F6D"/>
    <w:rsid w:val="003634F8"/>
    <w:rsid w:val="00365870"/>
    <w:rsid w:val="00365D0C"/>
    <w:rsid w:val="003717F9"/>
    <w:rsid w:val="00371A92"/>
    <w:rsid w:val="00377A9E"/>
    <w:rsid w:val="00377C49"/>
    <w:rsid w:val="00381149"/>
    <w:rsid w:val="003839B3"/>
    <w:rsid w:val="00383F4C"/>
    <w:rsid w:val="00387A3A"/>
    <w:rsid w:val="00390BBB"/>
    <w:rsid w:val="0039147B"/>
    <w:rsid w:val="00392414"/>
    <w:rsid w:val="00393987"/>
    <w:rsid w:val="0039645E"/>
    <w:rsid w:val="003A0E00"/>
    <w:rsid w:val="003B027E"/>
    <w:rsid w:val="003B3DE6"/>
    <w:rsid w:val="003B4E0D"/>
    <w:rsid w:val="003B7C13"/>
    <w:rsid w:val="003B7D21"/>
    <w:rsid w:val="003C0581"/>
    <w:rsid w:val="003C0EAA"/>
    <w:rsid w:val="003C13E1"/>
    <w:rsid w:val="003C13F7"/>
    <w:rsid w:val="003C159E"/>
    <w:rsid w:val="003C5082"/>
    <w:rsid w:val="003C6FB7"/>
    <w:rsid w:val="003D288B"/>
    <w:rsid w:val="003D51A0"/>
    <w:rsid w:val="003E008C"/>
    <w:rsid w:val="003E67A7"/>
    <w:rsid w:val="003E7B90"/>
    <w:rsid w:val="003F18B5"/>
    <w:rsid w:val="003F1B65"/>
    <w:rsid w:val="003F3133"/>
    <w:rsid w:val="003F3CA3"/>
    <w:rsid w:val="003F3DCB"/>
    <w:rsid w:val="003F6656"/>
    <w:rsid w:val="003F76F0"/>
    <w:rsid w:val="00403962"/>
    <w:rsid w:val="00404E99"/>
    <w:rsid w:val="00406D76"/>
    <w:rsid w:val="00410A67"/>
    <w:rsid w:val="00413C20"/>
    <w:rsid w:val="00414ABC"/>
    <w:rsid w:val="00422E7D"/>
    <w:rsid w:val="00424910"/>
    <w:rsid w:val="0042589A"/>
    <w:rsid w:val="00426C42"/>
    <w:rsid w:val="00427E9B"/>
    <w:rsid w:val="004311A7"/>
    <w:rsid w:val="00433072"/>
    <w:rsid w:val="004349E8"/>
    <w:rsid w:val="0043657C"/>
    <w:rsid w:val="004374B3"/>
    <w:rsid w:val="0044048B"/>
    <w:rsid w:val="004437E4"/>
    <w:rsid w:val="00452D5B"/>
    <w:rsid w:val="00455E7D"/>
    <w:rsid w:val="00455F9E"/>
    <w:rsid w:val="004614C3"/>
    <w:rsid w:val="004704FB"/>
    <w:rsid w:val="004746F0"/>
    <w:rsid w:val="00476F96"/>
    <w:rsid w:val="00480A08"/>
    <w:rsid w:val="0048157B"/>
    <w:rsid w:val="00481B8B"/>
    <w:rsid w:val="00484760"/>
    <w:rsid w:val="00487A09"/>
    <w:rsid w:val="00491371"/>
    <w:rsid w:val="0049161E"/>
    <w:rsid w:val="00492420"/>
    <w:rsid w:val="004963CC"/>
    <w:rsid w:val="004A2CF3"/>
    <w:rsid w:val="004A5C19"/>
    <w:rsid w:val="004A6061"/>
    <w:rsid w:val="004A73FF"/>
    <w:rsid w:val="004B70AF"/>
    <w:rsid w:val="004C4EAA"/>
    <w:rsid w:val="004C68A8"/>
    <w:rsid w:val="004C7E91"/>
    <w:rsid w:val="004D1841"/>
    <w:rsid w:val="004D1C23"/>
    <w:rsid w:val="004D340C"/>
    <w:rsid w:val="004D3AB7"/>
    <w:rsid w:val="004D40B1"/>
    <w:rsid w:val="004E0E5A"/>
    <w:rsid w:val="004E6AC4"/>
    <w:rsid w:val="004E74E6"/>
    <w:rsid w:val="004E7711"/>
    <w:rsid w:val="004F0031"/>
    <w:rsid w:val="004F2288"/>
    <w:rsid w:val="004F3001"/>
    <w:rsid w:val="004F3E89"/>
    <w:rsid w:val="004F564A"/>
    <w:rsid w:val="004F5D4C"/>
    <w:rsid w:val="005013B0"/>
    <w:rsid w:val="0050164C"/>
    <w:rsid w:val="00501AE7"/>
    <w:rsid w:val="00502942"/>
    <w:rsid w:val="005068E6"/>
    <w:rsid w:val="005160A7"/>
    <w:rsid w:val="00521050"/>
    <w:rsid w:val="00522E75"/>
    <w:rsid w:val="00524707"/>
    <w:rsid w:val="0052554A"/>
    <w:rsid w:val="005271B8"/>
    <w:rsid w:val="005361DB"/>
    <w:rsid w:val="005402EC"/>
    <w:rsid w:val="00542FCA"/>
    <w:rsid w:val="00543699"/>
    <w:rsid w:val="00547DB5"/>
    <w:rsid w:val="0055245A"/>
    <w:rsid w:val="00552791"/>
    <w:rsid w:val="005532F5"/>
    <w:rsid w:val="00555009"/>
    <w:rsid w:val="00555657"/>
    <w:rsid w:val="00555E94"/>
    <w:rsid w:val="00557E22"/>
    <w:rsid w:val="00560D46"/>
    <w:rsid w:val="00565A84"/>
    <w:rsid w:val="00572540"/>
    <w:rsid w:val="00572F0E"/>
    <w:rsid w:val="005745B4"/>
    <w:rsid w:val="00583BE4"/>
    <w:rsid w:val="005855CF"/>
    <w:rsid w:val="00587C17"/>
    <w:rsid w:val="005912E5"/>
    <w:rsid w:val="005913FA"/>
    <w:rsid w:val="00593350"/>
    <w:rsid w:val="00596273"/>
    <w:rsid w:val="00596EA8"/>
    <w:rsid w:val="005A217B"/>
    <w:rsid w:val="005A795C"/>
    <w:rsid w:val="005B1169"/>
    <w:rsid w:val="005B5DC0"/>
    <w:rsid w:val="005C27D9"/>
    <w:rsid w:val="005C2D2D"/>
    <w:rsid w:val="005C32DB"/>
    <w:rsid w:val="005C395F"/>
    <w:rsid w:val="005C4CF2"/>
    <w:rsid w:val="005C6219"/>
    <w:rsid w:val="005D5C9E"/>
    <w:rsid w:val="005D7E94"/>
    <w:rsid w:val="005E126B"/>
    <w:rsid w:val="005E4F7E"/>
    <w:rsid w:val="005F23F6"/>
    <w:rsid w:val="006039D3"/>
    <w:rsid w:val="00607BFC"/>
    <w:rsid w:val="00611D98"/>
    <w:rsid w:val="00612661"/>
    <w:rsid w:val="0061337C"/>
    <w:rsid w:val="006159A6"/>
    <w:rsid w:val="00616721"/>
    <w:rsid w:val="00616EBC"/>
    <w:rsid w:val="006210A2"/>
    <w:rsid w:val="00623051"/>
    <w:rsid w:val="00623F3F"/>
    <w:rsid w:val="00624305"/>
    <w:rsid w:val="006244E6"/>
    <w:rsid w:val="0062783B"/>
    <w:rsid w:val="006300B8"/>
    <w:rsid w:val="006336CA"/>
    <w:rsid w:val="00635C1F"/>
    <w:rsid w:val="0064257E"/>
    <w:rsid w:val="0064264F"/>
    <w:rsid w:val="00645B9F"/>
    <w:rsid w:val="00650045"/>
    <w:rsid w:val="006505D1"/>
    <w:rsid w:val="00651875"/>
    <w:rsid w:val="0065548F"/>
    <w:rsid w:val="00656420"/>
    <w:rsid w:val="00662600"/>
    <w:rsid w:val="006629B8"/>
    <w:rsid w:val="00662BFC"/>
    <w:rsid w:val="0066529E"/>
    <w:rsid w:val="00666223"/>
    <w:rsid w:val="0066627E"/>
    <w:rsid w:val="006674F8"/>
    <w:rsid w:val="00670514"/>
    <w:rsid w:val="00680D68"/>
    <w:rsid w:val="006849CF"/>
    <w:rsid w:val="00691E9D"/>
    <w:rsid w:val="00692756"/>
    <w:rsid w:val="00694561"/>
    <w:rsid w:val="0069619E"/>
    <w:rsid w:val="00696201"/>
    <w:rsid w:val="00697E8B"/>
    <w:rsid w:val="006A0D24"/>
    <w:rsid w:val="006A37F8"/>
    <w:rsid w:val="006A509F"/>
    <w:rsid w:val="006A5C17"/>
    <w:rsid w:val="006B2D27"/>
    <w:rsid w:val="006B3723"/>
    <w:rsid w:val="006B5310"/>
    <w:rsid w:val="006B64B7"/>
    <w:rsid w:val="006B6699"/>
    <w:rsid w:val="006B7BBD"/>
    <w:rsid w:val="006C5BB1"/>
    <w:rsid w:val="006D30B1"/>
    <w:rsid w:val="006D6F07"/>
    <w:rsid w:val="006D7914"/>
    <w:rsid w:val="006E176C"/>
    <w:rsid w:val="006E1CEF"/>
    <w:rsid w:val="006E7900"/>
    <w:rsid w:val="006E7EC4"/>
    <w:rsid w:val="006F05E2"/>
    <w:rsid w:val="006F49C6"/>
    <w:rsid w:val="006F5361"/>
    <w:rsid w:val="006F690A"/>
    <w:rsid w:val="00701750"/>
    <w:rsid w:val="00702AF3"/>
    <w:rsid w:val="0070314A"/>
    <w:rsid w:val="00704958"/>
    <w:rsid w:val="007104AA"/>
    <w:rsid w:val="00710952"/>
    <w:rsid w:val="007232EF"/>
    <w:rsid w:val="007250FF"/>
    <w:rsid w:val="00725AE7"/>
    <w:rsid w:val="00725D96"/>
    <w:rsid w:val="0073452F"/>
    <w:rsid w:val="00735DC6"/>
    <w:rsid w:val="00736F1C"/>
    <w:rsid w:val="00741239"/>
    <w:rsid w:val="007440DB"/>
    <w:rsid w:val="0074427B"/>
    <w:rsid w:val="00745AF5"/>
    <w:rsid w:val="00751416"/>
    <w:rsid w:val="0075370A"/>
    <w:rsid w:val="0075590A"/>
    <w:rsid w:val="007560BB"/>
    <w:rsid w:val="007622CF"/>
    <w:rsid w:val="00762813"/>
    <w:rsid w:val="00762FDE"/>
    <w:rsid w:val="00765061"/>
    <w:rsid w:val="00767311"/>
    <w:rsid w:val="00767F80"/>
    <w:rsid w:val="007729E9"/>
    <w:rsid w:val="00772A2F"/>
    <w:rsid w:val="0077546D"/>
    <w:rsid w:val="00777E08"/>
    <w:rsid w:val="007812AC"/>
    <w:rsid w:val="007841E6"/>
    <w:rsid w:val="007875C6"/>
    <w:rsid w:val="00791497"/>
    <w:rsid w:val="007918DF"/>
    <w:rsid w:val="0079298C"/>
    <w:rsid w:val="007936AA"/>
    <w:rsid w:val="007953CB"/>
    <w:rsid w:val="00795B8E"/>
    <w:rsid w:val="007961F9"/>
    <w:rsid w:val="00796574"/>
    <w:rsid w:val="007A0ADC"/>
    <w:rsid w:val="007A45F3"/>
    <w:rsid w:val="007A78E8"/>
    <w:rsid w:val="007B25B2"/>
    <w:rsid w:val="007B34E7"/>
    <w:rsid w:val="007B417A"/>
    <w:rsid w:val="007B6B22"/>
    <w:rsid w:val="007C0D46"/>
    <w:rsid w:val="007C3EBB"/>
    <w:rsid w:val="007C3F9F"/>
    <w:rsid w:val="007C61BE"/>
    <w:rsid w:val="007C62B5"/>
    <w:rsid w:val="007C794F"/>
    <w:rsid w:val="007D0835"/>
    <w:rsid w:val="007D2D39"/>
    <w:rsid w:val="007E10F9"/>
    <w:rsid w:val="007E218E"/>
    <w:rsid w:val="007E31CB"/>
    <w:rsid w:val="007E3850"/>
    <w:rsid w:val="007E617A"/>
    <w:rsid w:val="007F273A"/>
    <w:rsid w:val="007F3509"/>
    <w:rsid w:val="007F508A"/>
    <w:rsid w:val="008027ED"/>
    <w:rsid w:val="0080368C"/>
    <w:rsid w:val="00806051"/>
    <w:rsid w:val="0081065B"/>
    <w:rsid w:val="008141D6"/>
    <w:rsid w:val="008172B3"/>
    <w:rsid w:val="00830D61"/>
    <w:rsid w:val="008311A3"/>
    <w:rsid w:val="008336B7"/>
    <w:rsid w:val="0083381B"/>
    <w:rsid w:val="00841C2D"/>
    <w:rsid w:val="00842E68"/>
    <w:rsid w:val="00844C4F"/>
    <w:rsid w:val="00845552"/>
    <w:rsid w:val="00845DCD"/>
    <w:rsid w:val="0084681C"/>
    <w:rsid w:val="00855682"/>
    <w:rsid w:val="00870908"/>
    <w:rsid w:val="008764D0"/>
    <w:rsid w:val="0087788C"/>
    <w:rsid w:val="00881B49"/>
    <w:rsid w:val="0088386C"/>
    <w:rsid w:val="00884226"/>
    <w:rsid w:val="00885985"/>
    <w:rsid w:val="00891B5D"/>
    <w:rsid w:val="008955F8"/>
    <w:rsid w:val="00895949"/>
    <w:rsid w:val="008A02F9"/>
    <w:rsid w:val="008A79D9"/>
    <w:rsid w:val="008B1AD9"/>
    <w:rsid w:val="008B1B7D"/>
    <w:rsid w:val="008B4ECF"/>
    <w:rsid w:val="008B54BB"/>
    <w:rsid w:val="008B6215"/>
    <w:rsid w:val="008C2141"/>
    <w:rsid w:val="008C285E"/>
    <w:rsid w:val="008C2891"/>
    <w:rsid w:val="008C3502"/>
    <w:rsid w:val="008C3A94"/>
    <w:rsid w:val="008C4E61"/>
    <w:rsid w:val="008D0D2B"/>
    <w:rsid w:val="008D1FB1"/>
    <w:rsid w:val="008D5074"/>
    <w:rsid w:val="008D5A47"/>
    <w:rsid w:val="008D60C2"/>
    <w:rsid w:val="008D6FB9"/>
    <w:rsid w:val="008E43BB"/>
    <w:rsid w:val="008E52F4"/>
    <w:rsid w:val="008E55FB"/>
    <w:rsid w:val="008E5B06"/>
    <w:rsid w:val="008E6045"/>
    <w:rsid w:val="008E6068"/>
    <w:rsid w:val="008F1B2F"/>
    <w:rsid w:val="008F26FD"/>
    <w:rsid w:val="008F4C70"/>
    <w:rsid w:val="008F7F3D"/>
    <w:rsid w:val="0090114A"/>
    <w:rsid w:val="00904342"/>
    <w:rsid w:val="009066DC"/>
    <w:rsid w:val="00907449"/>
    <w:rsid w:val="009124C5"/>
    <w:rsid w:val="00912E87"/>
    <w:rsid w:val="00915028"/>
    <w:rsid w:val="0091666E"/>
    <w:rsid w:val="00920224"/>
    <w:rsid w:val="0092285B"/>
    <w:rsid w:val="009229F7"/>
    <w:rsid w:val="00926774"/>
    <w:rsid w:val="00931769"/>
    <w:rsid w:val="00932675"/>
    <w:rsid w:val="00934FAB"/>
    <w:rsid w:val="00935306"/>
    <w:rsid w:val="00936055"/>
    <w:rsid w:val="00936F43"/>
    <w:rsid w:val="00937D5A"/>
    <w:rsid w:val="0094308F"/>
    <w:rsid w:val="00944EE9"/>
    <w:rsid w:val="00945EE8"/>
    <w:rsid w:val="009564E6"/>
    <w:rsid w:val="00956642"/>
    <w:rsid w:val="00957835"/>
    <w:rsid w:val="00960228"/>
    <w:rsid w:val="009613B9"/>
    <w:rsid w:val="00964E68"/>
    <w:rsid w:val="009726D8"/>
    <w:rsid w:val="00972FC3"/>
    <w:rsid w:val="009732A7"/>
    <w:rsid w:val="009749A6"/>
    <w:rsid w:val="009759A1"/>
    <w:rsid w:val="0098148E"/>
    <w:rsid w:val="0098232E"/>
    <w:rsid w:val="009824F8"/>
    <w:rsid w:val="00983B48"/>
    <w:rsid w:val="00984EBF"/>
    <w:rsid w:val="00991252"/>
    <w:rsid w:val="00993657"/>
    <w:rsid w:val="009943DE"/>
    <w:rsid w:val="00994973"/>
    <w:rsid w:val="009B11A0"/>
    <w:rsid w:val="009B3992"/>
    <w:rsid w:val="009B4910"/>
    <w:rsid w:val="009B7B6D"/>
    <w:rsid w:val="009C0520"/>
    <w:rsid w:val="009C1C59"/>
    <w:rsid w:val="009C3836"/>
    <w:rsid w:val="009C3F99"/>
    <w:rsid w:val="009C54CD"/>
    <w:rsid w:val="009D21C9"/>
    <w:rsid w:val="009D3E80"/>
    <w:rsid w:val="009D79D5"/>
    <w:rsid w:val="009E0A4D"/>
    <w:rsid w:val="009E1115"/>
    <w:rsid w:val="009E20AF"/>
    <w:rsid w:val="009E20B1"/>
    <w:rsid w:val="009E3A64"/>
    <w:rsid w:val="009E5B1B"/>
    <w:rsid w:val="009F065D"/>
    <w:rsid w:val="009F13BA"/>
    <w:rsid w:val="009F2B55"/>
    <w:rsid w:val="009F3EC3"/>
    <w:rsid w:val="009F6272"/>
    <w:rsid w:val="009F62F4"/>
    <w:rsid w:val="00A02751"/>
    <w:rsid w:val="00A02E1F"/>
    <w:rsid w:val="00A0316F"/>
    <w:rsid w:val="00A0684F"/>
    <w:rsid w:val="00A15273"/>
    <w:rsid w:val="00A15294"/>
    <w:rsid w:val="00A202CA"/>
    <w:rsid w:val="00A21D4A"/>
    <w:rsid w:val="00A26588"/>
    <w:rsid w:val="00A26E3A"/>
    <w:rsid w:val="00A26E58"/>
    <w:rsid w:val="00A31E60"/>
    <w:rsid w:val="00A31F38"/>
    <w:rsid w:val="00A33BE4"/>
    <w:rsid w:val="00A35619"/>
    <w:rsid w:val="00A411F2"/>
    <w:rsid w:val="00A41FB0"/>
    <w:rsid w:val="00A42C7E"/>
    <w:rsid w:val="00A438AE"/>
    <w:rsid w:val="00A44346"/>
    <w:rsid w:val="00A44F28"/>
    <w:rsid w:val="00A460FE"/>
    <w:rsid w:val="00A47970"/>
    <w:rsid w:val="00A5131F"/>
    <w:rsid w:val="00A53A0E"/>
    <w:rsid w:val="00A53AE7"/>
    <w:rsid w:val="00A53DD5"/>
    <w:rsid w:val="00A5688A"/>
    <w:rsid w:val="00A60B0C"/>
    <w:rsid w:val="00A61825"/>
    <w:rsid w:val="00A61BAB"/>
    <w:rsid w:val="00A67479"/>
    <w:rsid w:val="00A71753"/>
    <w:rsid w:val="00A75E05"/>
    <w:rsid w:val="00A76550"/>
    <w:rsid w:val="00A77E7D"/>
    <w:rsid w:val="00A80360"/>
    <w:rsid w:val="00A85526"/>
    <w:rsid w:val="00A85E67"/>
    <w:rsid w:val="00A87F91"/>
    <w:rsid w:val="00A90D50"/>
    <w:rsid w:val="00A90F7B"/>
    <w:rsid w:val="00AA26A8"/>
    <w:rsid w:val="00AA5DAB"/>
    <w:rsid w:val="00AB16E7"/>
    <w:rsid w:val="00AB2A4D"/>
    <w:rsid w:val="00AB41A0"/>
    <w:rsid w:val="00AC045F"/>
    <w:rsid w:val="00AC0E2B"/>
    <w:rsid w:val="00AC46E6"/>
    <w:rsid w:val="00AC6572"/>
    <w:rsid w:val="00AC7F27"/>
    <w:rsid w:val="00AD5370"/>
    <w:rsid w:val="00AD5B74"/>
    <w:rsid w:val="00AD6A37"/>
    <w:rsid w:val="00AE18EE"/>
    <w:rsid w:val="00AE1E73"/>
    <w:rsid w:val="00AE3DAB"/>
    <w:rsid w:val="00AE41DD"/>
    <w:rsid w:val="00AE55E8"/>
    <w:rsid w:val="00AF12B5"/>
    <w:rsid w:val="00AF549B"/>
    <w:rsid w:val="00B00B48"/>
    <w:rsid w:val="00B02715"/>
    <w:rsid w:val="00B04481"/>
    <w:rsid w:val="00B04A02"/>
    <w:rsid w:val="00B05F3B"/>
    <w:rsid w:val="00B06765"/>
    <w:rsid w:val="00B0760E"/>
    <w:rsid w:val="00B07C5B"/>
    <w:rsid w:val="00B1187A"/>
    <w:rsid w:val="00B12B16"/>
    <w:rsid w:val="00B170A1"/>
    <w:rsid w:val="00B17EF5"/>
    <w:rsid w:val="00B23BAB"/>
    <w:rsid w:val="00B244CD"/>
    <w:rsid w:val="00B24506"/>
    <w:rsid w:val="00B24CC6"/>
    <w:rsid w:val="00B2644C"/>
    <w:rsid w:val="00B276FB"/>
    <w:rsid w:val="00B319CF"/>
    <w:rsid w:val="00B331D9"/>
    <w:rsid w:val="00B3679C"/>
    <w:rsid w:val="00B40F50"/>
    <w:rsid w:val="00B41995"/>
    <w:rsid w:val="00B435D2"/>
    <w:rsid w:val="00B4621F"/>
    <w:rsid w:val="00B47F6B"/>
    <w:rsid w:val="00B51205"/>
    <w:rsid w:val="00B5153C"/>
    <w:rsid w:val="00B51804"/>
    <w:rsid w:val="00B53882"/>
    <w:rsid w:val="00B551EF"/>
    <w:rsid w:val="00B55C5E"/>
    <w:rsid w:val="00B56827"/>
    <w:rsid w:val="00B644E5"/>
    <w:rsid w:val="00B668D5"/>
    <w:rsid w:val="00B67301"/>
    <w:rsid w:val="00B7027E"/>
    <w:rsid w:val="00B75410"/>
    <w:rsid w:val="00B811F2"/>
    <w:rsid w:val="00B82BE0"/>
    <w:rsid w:val="00B8442C"/>
    <w:rsid w:val="00B90438"/>
    <w:rsid w:val="00B93437"/>
    <w:rsid w:val="00B93629"/>
    <w:rsid w:val="00BA024E"/>
    <w:rsid w:val="00BB4F9B"/>
    <w:rsid w:val="00BC6FEC"/>
    <w:rsid w:val="00BD0E4D"/>
    <w:rsid w:val="00BD4967"/>
    <w:rsid w:val="00BD4B1F"/>
    <w:rsid w:val="00BD5D51"/>
    <w:rsid w:val="00BD7119"/>
    <w:rsid w:val="00BE4687"/>
    <w:rsid w:val="00BE5F09"/>
    <w:rsid w:val="00BE7C4A"/>
    <w:rsid w:val="00BF06EB"/>
    <w:rsid w:val="00C018B6"/>
    <w:rsid w:val="00C06C45"/>
    <w:rsid w:val="00C07AAA"/>
    <w:rsid w:val="00C101A5"/>
    <w:rsid w:val="00C159D9"/>
    <w:rsid w:val="00C159DB"/>
    <w:rsid w:val="00C24037"/>
    <w:rsid w:val="00C24109"/>
    <w:rsid w:val="00C25215"/>
    <w:rsid w:val="00C2649A"/>
    <w:rsid w:val="00C33541"/>
    <w:rsid w:val="00C353C9"/>
    <w:rsid w:val="00C35841"/>
    <w:rsid w:val="00C37AB2"/>
    <w:rsid w:val="00C46158"/>
    <w:rsid w:val="00C470ED"/>
    <w:rsid w:val="00C47F29"/>
    <w:rsid w:val="00C655C7"/>
    <w:rsid w:val="00C65AA4"/>
    <w:rsid w:val="00C66EED"/>
    <w:rsid w:val="00C70F0A"/>
    <w:rsid w:val="00C7282C"/>
    <w:rsid w:val="00C73E08"/>
    <w:rsid w:val="00C74B4E"/>
    <w:rsid w:val="00C77910"/>
    <w:rsid w:val="00C85134"/>
    <w:rsid w:val="00C87E8B"/>
    <w:rsid w:val="00C91881"/>
    <w:rsid w:val="00C9206C"/>
    <w:rsid w:val="00C92E9B"/>
    <w:rsid w:val="00C93590"/>
    <w:rsid w:val="00C9421B"/>
    <w:rsid w:val="00C9443B"/>
    <w:rsid w:val="00C94669"/>
    <w:rsid w:val="00C9533B"/>
    <w:rsid w:val="00CA20CF"/>
    <w:rsid w:val="00CA6A07"/>
    <w:rsid w:val="00CB1AF7"/>
    <w:rsid w:val="00CB2773"/>
    <w:rsid w:val="00CB2F44"/>
    <w:rsid w:val="00CB3C9C"/>
    <w:rsid w:val="00CC03A5"/>
    <w:rsid w:val="00CC1107"/>
    <w:rsid w:val="00CC2037"/>
    <w:rsid w:val="00CC4344"/>
    <w:rsid w:val="00CC547A"/>
    <w:rsid w:val="00CD4A5A"/>
    <w:rsid w:val="00CD59D5"/>
    <w:rsid w:val="00CE0258"/>
    <w:rsid w:val="00CE3902"/>
    <w:rsid w:val="00CE39B5"/>
    <w:rsid w:val="00CE40E0"/>
    <w:rsid w:val="00CE4178"/>
    <w:rsid w:val="00CF5160"/>
    <w:rsid w:val="00D013F4"/>
    <w:rsid w:val="00D06BDF"/>
    <w:rsid w:val="00D10983"/>
    <w:rsid w:val="00D117D9"/>
    <w:rsid w:val="00D119E3"/>
    <w:rsid w:val="00D12BD3"/>
    <w:rsid w:val="00D12D90"/>
    <w:rsid w:val="00D1470E"/>
    <w:rsid w:val="00D15AFC"/>
    <w:rsid w:val="00D20476"/>
    <w:rsid w:val="00D22C7A"/>
    <w:rsid w:val="00D231AB"/>
    <w:rsid w:val="00D2342B"/>
    <w:rsid w:val="00D25837"/>
    <w:rsid w:val="00D25FF6"/>
    <w:rsid w:val="00D27678"/>
    <w:rsid w:val="00D3325B"/>
    <w:rsid w:val="00D34934"/>
    <w:rsid w:val="00D407FA"/>
    <w:rsid w:val="00D40B27"/>
    <w:rsid w:val="00D414E8"/>
    <w:rsid w:val="00D42807"/>
    <w:rsid w:val="00D4339C"/>
    <w:rsid w:val="00D44012"/>
    <w:rsid w:val="00D4419A"/>
    <w:rsid w:val="00D45A52"/>
    <w:rsid w:val="00D50076"/>
    <w:rsid w:val="00D52383"/>
    <w:rsid w:val="00D52A7E"/>
    <w:rsid w:val="00D535FB"/>
    <w:rsid w:val="00D53F19"/>
    <w:rsid w:val="00D562F5"/>
    <w:rsid w:val="00D62B09"/>
    <w:rsid w:val="00D63896"/>
    <w:rsid w:val="00D63F49"/>
    <w:rsid w:val="00D6442C"/>
    <w:rsid w:val="00D672F0"/>
    <w:rsid w:val="00D674A3"/>
    <w:rsid w:val="00D70DF4"/>
    <w:rsid w:val="00D72547"/>
    <w:rsid w:val="00D72C48"/>
    <w:rsid w:val="00D72FD2"/>
    <w:rsid w:val="00D74847"/>
    <w:rsid w:val="00D75D71"/>
    <w:rsid w:val="00D800C1"/>
    <w:rsid w:val="00D824D2"/>
    <w:rsid w:val="00D82CF3"/>
    <w:rsid w:val="00D86621"/>
    <w:rsid w:val="00D90445"/>
    <w:rsid w:val="00D929E3"/>
    <w:rsid w:val="00D93104"/>
    <w:rsid w:val="00D95899"/>
    <w:rsid w:val="00DA37B8"/>
    <w:rsid w:val="00DA469E"/>
    <w:rsid w:val="00DA6590"/>
    <w:rsid w:val="00DA7967"/>
    <w:rsid w:val="00DB537C"/>
    <w:rsid w:val="00DB706D"/>
    <w:rsid w:val="00DB72B9"/>
    <w:rsid w:val="00DB7632"/>
    <w:rsid w:val="00DC0E2F"/>
    <w:rsid w:val="00DC2050"/>
    <w:rsid w:val="00DC2DCF"/>
    <w:rsid w:val="00DC3DEF"/>
    <w:rsid w:val="00DC4663"/>
    <w:rsid w:val="00DC6F15"/>
    <w:rsid w:val="00DD1109"/>
    <w:rsid w:val="00DD4A5D"/>
    <w:rsid w:val="00DD4AF0"/>
    <w:rsid w:val="00DD6752"/>
    <w:rsid w:val="00DE2C09"/>
    <w:rsid w:val="00DE3EE4"/>
    <w:rsid w:val="00DF64BC"/>
    <w:rsid w:val="00E006EC"/>
    <w:rsid w:val="00E02FAE"/>
    <w:rsid w:val="00E04744"/>
    <w:rsid w:val="00E052C5"/>
    <w:rsid w:val="00E063A3"/>
    <w:rsid w:val="00E07011"/>
    <w:rsid w:val="00E07F94"/>
    <w:rsid w:val="00E12B48"/>
    <w:rsid w:val="00E149F2"/>
    <w:rsid w:val="00E1680F"/>
    <w:rsid w:val="00E17B8F"/>
    <w:rsid w:val="00E250BE"/>
    <w:rsid w:val="00E25223"/>
    <w:rsid w:val="00E25234"/>
    <w:rsid w:val="00E26D7B"/>
    <w:rsid w:val="00E3452F"/>
    <w:rsid w:val="00E34CE2"/>
    <w:rsid w:val="00E353BC"/>
    <w:rsid w:val="00E362CB"/>
    <w:rsid w:val="00E37AB7"/>
    <w:rsid w:val="00E43B3A"/>
    <w:rsid w:val="00E44C23"/>
    <w:rsid w:val="00E44E74"/>
    <w:rsid w:val="00E456CA"/>
    <w:rsid w:val="00E4696F"/>
    <w:rsid w:val="00E47D74"/>
    <w:rsid w:val="00E546A9"/>
    <w:rsid w:val="00E55610"/>
    <w:rsid w:val="00E56277"/>
    <w:rsid w:val="00E61E6A"/>
    <w:rsid w:val="00E62F46"/>
    <w:rsid w:val="00E6351E"/>
    <w:rsid w:val="00E63F6D"/>
    <w:rsid w:val="00E65B07"/>
    <w:rsid w:val="00E70631"/>
    <w:rsid w:val="00E716ED"/>
    <w:rsid w:val="00E724E5"/>
    <w:rsid w:val="00E72CCE"/>
    <w:rsid w:val="00E75562"/>
    <w:rsid w:val="00E77E2F"/>
    <w:rsid w:val="00E77FC1"/>
    <w:rsid w:val="00E800B5"/>
    <w:rsid w:val="00E83E66"/>
    <w:rsid w:val="00E851A9"/>
    <w:rsid w:val="00E957B6"/>
    <w:rsid w:val="00E973D2"/>
    <w:rsid w:val="00EA1A40"/>
    <w:rsid w:val="00EA3514"/>
    <w:rsid w:val="00EA35D8"/>
    <w:rsid w:val="00EA55B5"/>
    <w:rsid w:val="00EA65A2"/>
    <w:rsid w:val="00EA6C63"/>
    <w:rsid w:val="00EA6DA0"/>
    <w:rsid w:val="00EB0627"/>
    <w:rsid w:val="00EB0672"/>
    <w:rsid w:val="00EB1002"/>
    <w:rsid w:val="00EB15D8"/>
    <w:rsid w:val="00EB27AC"/>
    <w:rsid w:val="00EB49E2"/>
    <w:rsid w:val="00EB7A48"/>
    <w:rsid w:val="00EB7B5C"/>
    <w:rsid w:val="00EC2DF2"/>
    <w:rsid w:val="00EC3E65"/>
    <w:rsid w:val="00ED2703"/>
    <w:rsid w:val="00ED557D"/>
    <w:rsid w:val="00ED708A"/>
    <w:rsid w:val="00EE29C5"/>
    <w:rsid w:val="00EE33AF"/>
    <w:rsid w:val="00EE3C1C"/>
    <w:rsid w:val="00EE5A70"/>
    <w:rsid w:val="00EE5E6B"/>
    <w:rsid w:val="00EF029A"/>
    <w:rsid w:val="00F01275"/>
    <w:rsid w:val="00F03948"/>
    <w:rsid w:val="00F04152"/>
    <w:rsid w:val="00F07748"/>
    <w:rsid w:val="00F119A0"/>
    <w:rsid w:val="00F1362D"/>
    <w:rsid w:val="00F166CE"/>
    <w:rsid w:val="00F16F13"/>
    <w:rsid w:val="00F17740"/>
    <w:rsid w:val="00F17BEA"/>
    <w:rsid w:val="00F17FAE"/>
    <w:rsid w:val="00F20D75"/>
    <w:rsid w:val="00F24AF8"/>
    <w:rsid w:val="00F30869"/>
    <w:rsid w:val="00F30F32"/>
    <w:rsid w:val="00F374FD"/>
    <w:rsid w:val="00F4018A"/>
    <w:rsid w:val="00F409F8"/>
    <w:rsid w:val="00F4229E"/>
    <w:rsid w:val="00F465BB"/>
    <w:rsid w:val="00F5127B"/>
    <w:rsid w:val="00F521B0"/>
    <w:rsid w:val="00F52F3E"/>
    <w:rsid w:val="00F550FC"/>
    <w:rsid w:val="00F55CF0"/>
    <w:rsid w:val="00F6006D"/>
    <w:rsid w:val="00F63565"/>
    <w:rsid w:val="00F654E2"/>
    <w:rsid w:val="00F65BB1"/>
    <w:rsid w:val="00F70B24"/>
    <w:rsid w:val="00F74AC1"/>
    <w:rsid w:val="00F82E44"/>
    <w:rsid w:val="00F82F88"/>
    <w:rsid w:val="00F836AC"/>
    <w:rsid w:val="00F852AE"/>
    <w:rsid w:val="00F8587B"/>
    <w:rsid w:val="00F97568"/>
    <w:rsid w:val="00F97DC4"/>
    <w:rsid w:val="00FA1F72"/>
    <w:rsid w:val="00FA27FA"/>
    <w:rsid w:val="00FA3C1B"/>
    <w:rsid w:val="00FA432E"/>
    <w:rsid w:val="00FA4D44"/>
    <w:rsid w:val="00FA7E55"/>
    <w:rsid w:val="00FB6CA7"/>
    <w:rsid w:val="00FB7F24"/>
    <w:rsid w:val="00FC0BC8"/>
    <w:rsid w:val="00FC2200"/>
    <w:rsid w:val="00FC4C3D"/>
    <w:rsid w:val="00FD05EF"/>
    <w:rsid w:val="00FD07AA"/>
    <w:rsid w:val="00FE39A7"/>
    <w:rsid w:val="00FE681F"/>
    <w:rsid w:val="00FF0B3B"/>
    <w:rsid w:val="00FF2240"/>
    <w:rsid w:val="00FF2544"/>
    <w:rsid w:val="00FF7886"/>
    <w:rsid w:val="01074C66"/>
    <w:rsid w:val="01836640"/>
    <w:rsid w:val="018743DF"/>
    <w:rsid w:val="02001EA6"/>
    <w:rsid w:val="02446EC9"/>
    <w:rsid w:val="02BE5A89"/>
    <w:rsid w:val="04AE043B"/>
    <w:rsid w:val="04D137FB"/>
    <w:rsid w:val="05811F43"/>
    <w:rsid w:val="06EC54E1"/>
    <w:rsid w:val="073B7794"/>
    <w:rsid w:val="077759D7"/>
    <w:rsid w:val="07F9174B"/>
    <w:rsid w:val="0803355E"/>
    <w:rsid w:val="08A5745A"/>
    <w:rsid w:val="08AD0B33"/>
    <w:rsid w:val="08F65C71"/>
    <w:rsid w:val="09002089"/>
    <w:rsid w:val="095D6ED2"/>
    <w:rsid w:val="0A8E38FC"/>
    <w:rsid w:val="0A8F322B"/>
    <w:rsid w:val="0A9E7CF1"/>
    <w:rsid w:val="0AAB6A8D"/>
    <w:rsid w:val="0B6576F5"/>
    <w:rsid w:val="0B9263C7"/>
    <w:rsid w:val="0BE24221"/>
    <w:rsid w:val="0C822A07"/>
    <w:rsid w:val="0CB909CF"/>
    <w:rsid w:val="0CD45278"/>
    <w:rsid w:val="0DA42DF2"/>
    <w:rsid w:val="0EA25DE6"/>
    <w:rsid w:val="0EBB1C03"/>
    <w:rsid w:val="0ECB7337"/>
    <w:rsid w:val="0F0C4F76"/>
    <w:rsid w:val="0F3C7685"/>
    <w:rsid w:val="101B1978"/>
    <w:rsid w:val="10C051AA"/>
    <w:rsid w:val="1134315E"/>
    <w:rsid w:val="114F022B"/>
    <w:rsid w:val="12697FFC"/>
    <w:rsid w:val="12BF64DE"/>
    <w:rsid w:val="13210CE0"/>
    <w:rsid w:val="13596EAB"/>
    <w:rsid w:val="13D33102"/>
    <w:rsid w:val="14464CFD"/>
    <w:rsid w:val="14A054D1"/>
    <w:rsid w:val="150A3217"/>
    <w:rsid w:val="16F11139"/>
    <w:rsid w:val="175B6808"/>
    <w:rsid w:val="175D2BA6"/>
    <w:rsid w:val="176E1A41"/>
    <w:rsid w:val="177F0B18"/>
    <w:rsid w:val="194F6F7D"/>
    <w:rsid w:val="1A5F24E1"/>
    <w:rsid w:val="1A8937AB"/>
    <w:rsid w:val="1B1150C5"/>
    <w:rsid w:val="1B73680B"/>
    <w:rsid w:val="1B80572D"/>
    <w:rsid w:val="1C3152E5"/>
    <w:rsid w:val="1C416E5C"/>
    <w:rsid w:val="1CF0137D"/>
    <w:rsid w:val="1CF90D50"/>
    <w:rsid w:val="1D49311C"/>
    <w:rsid w:val="1D55090F"/>
    <w:rsid w:val="1E104C5B"/>
    <w:rsid w:val="1E7F0437"/>
    <w:rsid w:val="1E8F2EB6"/>
    <w:rsid w:val="1E9B49CF"/>
    <w:rsid w:val="1EA10EBF"/>
    <w:rsid w:val="1EBF1A24"/>
    <w:rsid w:val="208512E0"/>
    <w:rsid w:val="208B563A"/>
    <w:rsid w:val="213F1D99"/>
    <w:rsid w:val="215D14A7"/>
    <w:rsid w:val="219351A4"/>
    <w:rsid w:val="22315C65"/>
    <w:rsid w:val="22B45DF5"/>
    <w:rsid w:val="2370448F"/>
    <w:rsid w:val="24700C6E"/>
    <w:rsid w:val="24CA6AEB"/>
    <w:rsid w:val="25181C0D"/>
    <w:rsid w:val="252E0C2E"/>
    <w:rsid w:val="254B3D1E"/>
    <w:rsid w:val="25EC5947"/>
    <w:rsid w:val="25ED6474"/>
    <w:rsid w:val="269473DD"/>
    <w:rsid w:val="27437672"/>
    <w:rsid w:val="29454C08"/>
    <w:rsid w:val="29D06DA5"/>
    <w:rsid w:val="2CD862F5"/>
    <w:rsid w:val="2D8A133C"/>
    <w:rsid w:val="2DE04A05"/>
    <w:rsid w:val="2E426A62"/>
    <w:rsid w:val="2FB8361E"/>
    <w:rsid w:val="30AB7548"/>
    <w:rsid w:val="30CC38A1"/>
    <w:rsid w:val="30FA64F1"/>
    <w:rsid w:val="318A421C"/>
    <w:rsid w:val="319456AF"/>
    <w:rsid w:val="31A2285A"/>
    <w:rsid w:val="31A27405"/>
    <w:rsid w:val="31A52667"/>
    <w:rsid w:val="32751132"/>
    <w:rsid w:val="32B821EB"/>
    <w:rsid w:val="32E045F0"/>
    <w:rsid w:val="339E3D1D"/>
    <w:rsid w:val="33CD1108"/>
    <w:rsid w:val="33E946EE"/>
    <w:rsid w:val="347577EC"/>
    <w:rsid w:val="34D36666"/>
    <w:rsid w:val="35DA2736"/>
    <w:rsid w:val="361305C2"/>
    <w:rsid w:val="37287FEF"/>
    <w:rsid w:val="37DC4CD1"/>
    <w:rsid w:val="37DE65AA"/>
    <w:rsid w:val="384F45E1"/>
    <w:rsid w:val="3891070E"/>
    <w:rsid w:val="38A82EF3"/>
    <w:rsid w:val="39FC3A97"/>
    <w:rsid w:val="3A4F6132"/>
    <w:rsid w:val="3A757BEE"/>
    <w:rsid w:val="3AD72F96"/>
    <w:rsid w:val="3B4B5303"/>
    <w:rsid w:val="3B810A38"/>
    <w:rsid w:val="3B960571"/>
    <w:rsid w:val="3C1A12FA"/>
    <w:rsid w:val="3C2B1BDE"/>
    <w:rsid w:val="3E754915"/>
    <w:rsid w:val="3E9D4D8D"/>
    <w:rsid w:val="3ED3750C"/>
    <w:rsid w:val="3F861E41"/>
    <w:rsid w:val="3FFD22B2"/>
    <w:rsid w:val="40A8016D"/>
    <w:rsid w:val="41E3763E"/>
    <w:rsid w:val="42AA212E"/>
    <w:rsid w:val="43010C43"/>
    <w:rsid w:val="43A87C7C"/>
    <w:rsid w:val="44343A03"/>
    <w:rsid w:val="44FA5B43"/>
    <w:rsid w:val="45240818"/>
    <w:rsid w:val="47301AC8"/>
    <w:rsid w:val="47363735"/>
    <w:rsid w:val="47E937B4"/>
    <w:rsid w:val="48CD001A"/>
    <w:rsid w:val="4955770A"/>
    <w:rsid w:val="4A635C53"/>
    <w:rsid w:val="4AA16DB5"/>
    <w:rsid w:val="4B172311"/>
    <w:rsid w:val="4BE60ADE"/>
    <w:rsid w:val="4C6B039A"/>
    <w:rsid w:val="4CD472AD"/>
    <w:rsid w:val="4F6110FE"/>
    <w:rsid w:val="4FF51D98"/>
    <w:rsid w:val="5065421D"/>
    <w:rsid w:val="50BE32E5"/>
    <w:rsid w:val="512C04ED"/>
    <w:rsid w:val="515950F0"/>
    <w:rsid w:val="52BC4342"/>
    <w:rsid w:val="52D7537C"/>
    <w:rsid w:val="52EC1518"/>
    <w:rsid w:val="53AE7235"/>
    <w:rsid w:val="54647BC1"/>
    <w:rsid w:val="54D1508A"/>
    <w:rsid w:val="54F601F4"/>
    <w:rsid w:val="564F0E9E"/>
    <w:rsid w:val="56AC2F4B"/>
    <w:rsid w:val="56B61101"/>
    <w:rsid w:val="56BC597E"/>
    <w:rsid w:val="57B72DFD"/>
    <w:rsid w:val="58301579"/>
    <w:rsid w:val="58EC577F"/>
    <w:rsid w:val="59070E3B"/>
    <w:rsid w:val="593C4D00"/>
    <w:rsid w:val="593C58B7"/>
    <w:rsid w:val="59CD78E2"/>
    <w:rsid w:val="5A326CFA"/>
    <w:rsid w:val="5A7D5A3A"/>
    <w:rsid w:val="5AD84208"/>
    <w:rsid w:val="5B3C06C0"/>
    <w:rsid w:val="5C0B26A2"/>
    <w:rsid w:val="5C60285B"/>
    <w:rsid w:val="5CE04EC1"/>
    <w:rsid w:val="5D5958B4"/>
    <w:rsid w:val="5E441980"/>
    <w:rsid w:val="5E940365"/>
    <w:rsid w:val="5F5675B3"/>
    <w:rsid w:val="5F864151"/>
    <w:rsid w:val="60321BB0"/>
    <w:rsid w:val="60491FE1"/>
    <w:rsid w:val="60BC4414"/>
    <w:rsid w:val="61A26D54"/>
    <w:rsid w:val="61C3343B"/>
    <w:rsid w:val="622D4012"/>
    <w:rsid w:val="62955156"/>
    <w:rsid w:val="62A448BA"/>
    <w:rsid w:val="62B92BA8"/>
    <w:rsid w:val="632D38A8"/>
    <w:rsid w:val="632F7D01"/>
    <w:rsid w:val="63C754A6"/>
    <w:rsid w:val="63C903BF"/>
    <w:rsid w:val="644A1124"/>
    <w:rsid w:val="6555694C"/>
    <w:rsid w:val="65BC1BA9"/>
    <w:rsid w:val="66E070A1"/>
    <w:rsid w:val="673D40BA"/>
    <w:rsid w:val="67756717"/>
    <w:rsid w:val="678C2EA1"/>
    <w:rsid w:val="67B251AF"/>
    <w:rsid w:val="67C97674"/>
    <w:rsid w:val="67DC2006"/>
    <w:rsid w:val="689E06CF"/>
    <w:rsid w:val="69253897"/>
    <w:rsid w:val="69314FEE"/>
    <w:rsid w:val="6938515C"/>
    <w:rsid w:val="6A276D16"/>
    <w:rsid w:val="6B634DD3"/>
    <w:rsid w:val="6B6A15F1"/>
    <w:rsid w:val="6DCE0412"/>
    <w:rsid w:val="6EAF34BF"/>
    <w:rsid w:val="70662017"/>
    <w:rsid w:val="716C7007"/>
    <w:rsid w:val="731E46F0"/>
    <w:rsid w:val="73FB6A64"/>
    <w:rsid w:val="740E1A34"/>
    <w:rsid w:val="74826C5A"/>
    <w:rsid w:val="74C052F8"/>
    <w:rsid w:val="74D06B98"/>
    <w:rsid w:val="75361363"/>
    <w:rsid w:val="76E566AA"/>
    <w:rsid w:val="77AC0459"/>
    <w:rsid w:val="77DC38DF"/>
    <w:rsid w:val="7A294666"/>
    <w:rsid w:val="7A6464BB"/>
    <w:rsid w:val="7A6A02C8"/>
    <w:rsid w:val="7B34564C"/>
    <w:rsid w:val="7B5B5ADF"/>
    <w:rsid w:val="7BC57958"/>
    <w:rsid w:val="7C041E51"/>
    <w:rsid w:val="7E0042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semiHidden="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7"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45"/>
    <w:autoRedefine/>
    <w:qFormat/>
    <w:uiPriority w:val="9"/>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3" w:lineRule="auto"/>
      <w:outlineLvl w:val="2"/>
    </w:pPr>
    <w:rPr>
      <w:b/>
      <w:bCs/>
      <w:sz w:val="32"/>
      <w:szCs w:val="32"/>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9"/>
    <w:autoRedefine/>
    <w:qFormat/>
    <w:uiPriority w:val="0"/>
    <w:pPr>
      <w:keepNext/>
      <w:keepLines/>
      <w:numPr>
        <w:ilvl w:val="0"/>
        <w:numId w:val="1"/>
      </w:numPr>
      <w:spacing w:before="280" w:after="290" w:line="500" w:lineRule="exact"/>
      <w:outlineLvl w:val="4"/>
    </w:pPr>
    <w:rPr>
      <w:rFonts w:eastAsia="黑体"/>
      <w:spacing w:val="8"/>
      <w:sz w:val="32"/>
      <w:szCs w:val="20"/>
    </w:rPr>
  </w:style>
  <w:style w:type="paragraph" w:styleId="10">
    <w:name w:val="heading 6"/>
    <w:basedOn w:val="1"/>
    <w:next w:val="9"/>
    <w:autoRedefine/>
    <w:qFormat/>
    <w:uiPriority w:val="0"/>
    <w:pPr>
      <w:keepNext/>
      <w:keepLines/>
      <w:numPr>
        <w:ilvl w:val="5"/>
        <w:numId w:val="2"/>
      </w:numPr>
      <w:spacing w:before="240" w:after="64" w:line="320" w:lineRule="auto"/>
      <w:jc w:val="left"/>
      <w:outlineLvl w:val="5"/>
    </w:pPr>
    <w:rPr>
      <w:rFonts w:ascii="Arial" w:hAnsi="Arial" w:eastAsia="黑体"/>
      <w:b/>
      <w:bCs/>
      <w:spacing w:val="6"/>
      <w:sz w:val="24"/>
    </w:rPr>
  </w:style>
  <w:style w:type="paragraph" w:styleId="11">
    <w:name w:val="heading 7"/>
    <w:basedOn w:val="1"/>
    <w:next w:val="9"/>
    <w:autoRedefine/>
    <w:qFormat/>
    <w:uiPriority w:val="0"/>
    <w:pPr>
      <w:keepNext/>
      <w:keepLines/>
      <w:numPr>
        <w:ilvl w:val="6"/>
        <w:numId w:val="2"/>
      </w:numPr>
      <w:spacing w:before="240" w:after="64" w:line="320" w:lineRule="auto"/>
      <w:jc w:val="left"/>
      <w:outlineLvl w:val="6"/>
    </w:pPr>
    <w:rPr>
      <w:b/>
      <w:bCs/>
      <w:spacing w:val="6"/>
      <w:sz w:val="24"/>
    </w:rPr>
  </w:style>
  <w:style w:type="paragraph" w:styleId="12">
    <w:name w:val="heading 8"/>
    <w:basedOn w:val="1"/>
    <w:next w:val="9"/>
    <w:autoRedefine/>
    <w:qFormat/>
    <w:uiPriority w:val="0"/>
    <w:pPr>
      <w:keepNext/>
      <w:keepLines/>
      <w:numPr>
        <w:ilvl w:val="7"/>
        <w:numId w:val="2"/>
      </w:numPr>
      <w:spacing w:before="240" w:after="64" w:line="320" w:lineRule="auto"/>
      <w:jc w:val="left"/>
      <w:outlineLvl w:val="7"/>
    </w:pPr>
    <w:rPr>
      <w:rFonts w:ascii="Arial" w:hAnsi="Arial" w:eastAsia="黑体"/>
      <w:spacing w:val="6"/>
      <w:sz w:val="24"/>
    </w:rPr>
  </w:style>
  <w:style w:type="paragraph" w:styleId="13">
    <w:name w:val="heading 9"/>
    <w:basedOn w:val="1"/>
    <w:next w:val="9"/>
    <w:autoRedefine/>
    <w:qFormat/>
    <w:uiPriority w:val="0"/>
    <w:pPr>
      <w:keepNext/>
      <w:keepLines/>
      <w:numPr>
        <w:ilvl w:val="8"/>
        <w:numId w:val="2"/>
      </w:numPr>
      <w:spacing w:before="240" w:after="64" w:line="320" w:lineRule="auto"/>
      <w:jc w:val="left"/>
      <w:outlineLvl w:val="8"/>
    </w:pPr>
    <w:rPr>
      <w:rFonts w:ascii="Arial" w:hAnsi="Arial" w:eastAsia="黑体"/>
      <w:spacing w:val="6"/>
      <w:sz w:val="24"/>
    </w:rPr>
  </w:style>
  <w:style w:type="character" w:default="1" w:styleId="40">
    <w:name w:val="Default Paragraph Font"/>
    <w:autoRedefine/>
    <w:semiHidden/>
    <w:qFormat/>
    <w:uiPriority w:val="0"/>
  </w:style>
  <w:style w:type="table" w:default="1" w:styleId="38">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link w:val="47"/>
    <w:autoRedefine/>
    <w:qFormat/>
    <w:uiPriority w:val="0"/>
    <w:pPr>
      <w:ind w:firstLine="420"/>
    </w:pPr>
  </w:style>
  <w:style w:type="paragraph" w:styleId="3">
    <w:name w:val="Body Text"/>
    <w:basedOn w:val="1"/>
    <w:next w:val="2"/>
    <w:link w:val="46"/>
    <w:autoRedefine/>
    <w:qFormat/>
    <w:uiPriority w:val="0"/>
    <w:pPr>
      <w:spacing w:after="120"/>
    </w:pPr>
  </w:style>
  <w:style w:type="paragraph" w:styleId="9">
    <w:name w:val="Normal Indent"/>
    <w:basedOn w:val="1"/>
    <w:autoRedefine/>
    <w:qFormat/>
    <w:uiPriority w:val="0"/>
    <w:pPr>
      <w:spacing w:line="460" w:lineRule="exact"/>
      <w:ind w:firstLine="420"/>
    </w:pPr>
    <w:rPr>
      <w:kern w:val="28"/>
      <w:sz w:val="28"/>
      <w:szCs w:val="20"/>
    </w:rPr>
  </w:style>
  <w:style w:type="paragraph" w:styleId="14">
    <w:name w:val="toc 7"/>
    <w:basedOn w:val="1"/>
    <w:next w:val="1"/>
    <w:autoRedefine/>
    <w:semiHidden/>
    <w:qFormat/>
    <w:uiPriority w:val="0"/>
    <w:pPr>
      <w:ind w:left="1260"/>
      <w:jc w:val="left"/>
    </w:pPr>
    <w:rPr>
      <w:sz w:val="18"/>
      <w:szCs w:val="18"/>
    </w:rPr>
  </w:style>
  <w:style w:type="paragraph" w:styleId="15">
    <w:name w:val="Document Map"/>
    <w:basedOn w:val="1"/>
    <w:autoRedefine/>
    <w:semiHidden/>
    <w:qFormat/>
    <w:uiPriority w:val="0"/>
    <w:pPr>
      <w:shd w:val="clear" w:color="auto" w:fill="000080"/>
    </w:pPr>
  </w:style>
  <w:style w:type="paragraph" w:styleId="16">
    <w:name w:val="annotation text"/>
    <w:basedOn w:val="1"/>
    <w:autoRedefine/>
    <w:qFormat/>
    <w:uiPriority w:val="0"/>
    <w:pPr>
      <w:jc w:val="left"/>
    </w:pPr>
  </w:style>
  <w:style w:type="paragraph" w:styleId="17">
    <w:name w:val="Body Text Indent"/>
    <w:basedOn w:val="1"/>
    <w:autoRedefine/>
    <w:qFormat/>
    <w:uiPriority w:val="0"/>
    <w:pPr>
      <w:ind w:left="480" w:hanging="480" w:hangingChars="200"/>
    </w:pPr>
    <w:rPr>
      <w:sz w:val="24"/>
    </w:rPr>
  </w:style>
  <w:style w:type="paragraph" w:styleId="18">
    <w:name w:val="toc 5"/>
    <w:basedOn w:val="1"/>
    <w:next w:val="1"/>
    <w:autoRedefine/>
    <w:semiHidden/>
    <w:qFormat/>
    <w:uiPriority w:val="0"/>
    <w:pPr>
      <w:ind w:left="840"/>
      <w:jc w:val="left"/>
    </w:pPr>
    <w:rPr>
      <w:sz w:val="18"/>
      <w:szCs w:val="18"/>
    </w:rPr>
  </w:style>
  <w:style w:type="paragraph" w:styleId="19">
    <w:name w:val="toc 3"/>
    <w:basedOn w:val="1"/>
    <w:next w:val="1"/>
    <w:autoRedefine/>
    <w:semiHidden/>
    <w:qFormat/>
    <w:uiPriority w:val="0"/>
    <w:pPr>
      <w:ind w:left="420"/>
      <w:jc w:val="left"/>
    </w:pPr>
    <w:rPr>
      <w:i/>
      <w:iCs/>
      <w:sz w:val="20"/>
      <w:szCs w:val="20"/>
    </w:rPr>
  </w:style>
  <w:style w:type="paragraph" w:styleId="20">
    <w:name w:val="Plain Text"/>
    <w:basedOn w:val="1"/>
    <w:link w:val="48"/>
    <w:autoRedefine/>
    <w:qFormat/>
    <w:uiPriority w:val="0"/>
    <w:pPr>
      <w:widowControl/>
      <w:overflowPunct w:val="0"/>
      <w:autoSpaceDE w:val="0"/>
      <w:autoSpaceDN w:val="0"/>
      <w:adjustRightInd w:val="0"/>
      <w:jc w:val="left"/>
      <w:textAlignment w:val="baseline"/>
    </w:pPr>
    <w:rPr>
      <w:rFonts w:ascii="宋体" w:hAnsi="Courier New"/>
      <w:kern w:val="0"/>
      <w:szCs w:val="21"/>
    </w:rPr>
  </w:style>
  <w:style w:type="paragraph" w:styleId="21">
    <w:name w:val="toc 8"/>
    <w:basedOn w:val="1"/>
    <w:next w:val="1"/>
    <w:autoRedefine/>
    <w:semiHidden/>
    <w:qFormat/>
    <w:uiPriority w:val="0"/>
    <w:pPr>
      <w:ind w:left="1470"/>
      <w:jc w:val="left"/>
    </w:pPr>
    <w:rPr>
      <w:sz w:val="18"/>
      <w:szCs w:val="18"/>
    </w:rPr>
  </w:style>
  <w:style w:type="paragraph" w:styleId="22">
    <w:name w:val="Date"/>
    <w:basedOn w:val="1"/>
    <w:next w:val="1"/>
    <w:autoRedefine/>
    <w:qFormat/>
    <w:uiPriority w:val="0"/>
    <w:pPr>
      <w:ind w:left="100" w:leftChars="2500"/>
    </w:pPr>
  </w:style>
  <w:style w:type="paragraph" w:styleId="23">
    <w:name w:val="Body Text Indent 2"/>
    <w:basedOn w:val="1"/>
    <w:autoRedefine/>
    <w:qFormat/>
    <w:uiPriority w:val="0"/>
    <w:pPr>
      <w:spacing w:line="500" w:lineRule="exact"/>
      <w:ind w:firstLine="511" w:firstLineChars="213"/>
    </w:pPr>
    <w:rPr>
      <w:sz w:val="24"/>
    </w:rPr>
  </w:style>
  <w:style w:type="paragraph" w:styleId="24">
    <w:name w:val="Balloon Text"/>
    <w:basedOn w:val="1"/>
    <w:autoRedefine/>
    <w:qFormat/>
    <w:uiPriority w:val="0"/>
    <w:rPr>
      <w:sz w:val="18"/>
      <w:szCs w:val="18"/>
    </w:rPr>
  </w:style>
  <w:style w:type="paragraph" w:styleId="25">
    <w:name w:val="footer"/>
    <w:basedOn w:val="1"/>
    <w:link w:val="49"/>
    <w:autoRedefine/>
    <w:qFormat/>
    <w:uiPriority w:val="99"/>
    <w:pPr>
      <w:tabs>
        <w:tab w:val="center" w:pos="4153"/>
        <w:tab w:val="right" w:pos="8306"/>
      </w:tabs>
      <w:snapToGrid w:val="0"/>
      <w:jc w:val="left"/>
    </w:pPr>
    <w:rPr>
      <w:sz w:val="18"/>
      <w:szCs w:val="18"/>
    </w:rPr>
  </w:style>
  <w:style w:type="paragraph" w:styleId="2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autoRedefine/>
    <w:qFormat/>
    <w:uiPriority w:val="39"/>
    <w:pPr>
      <w:spacing w:before="120" w:after="120"/>
      <w:jc w:val="left"/>
    </w:pPr>
    <w:rPr>
      <w:b/>
      <w:bCs/>
      <w:caps/>
      <w:sz w:val="20"/>
      <w:szCs w:val="20"/>
    </w:rPr>
  </w:style>
  <w:style w:type="paragraph" w:styleId="28">
    <w:name w:val="toc 4"/>
    <w:basedOn w:val="1"/>
    <w:next w:val="1"/>
    <w:autoRedefine/>
    <w:semiHidden/>
    <w:qFormat/>
    <w:uiPriority w:val="0"/>
    <w:pPr>
      <w:ind w:left="630"/>
      <w:jc w:val="left"/>
    </w:pPr>
    <w:rPr>
      <w:sz w:val="18"/>
      <w:szCs w:val="18"/>
    </w:rPr>
  </w:style>
  <w:style w:type="paragraph" w:styleId="29">
    <w:name w:val="List"/>
    <w:basedOn w:val="1"/>
    <w:next w:val="1"/>
    <w:qFormat/>
    <w:uiPriority w:val="0"/>
    <w:pPr>
      <w:topLinePunct/>
      <w:adjustRightInd w:val="0"/>
      <w:snapToGrid w:val="0"/>
      <w:spacing w:before="160" w:after="160" w:line="240" w:lineRule="atLeast"/>
      <w:ind w:left="200" w:hanging="200" w:hangingChars="200"/>
    </w:pPr>
    <w:rPr>
      <w:szCs w:val="21"/>
    </w:rPr>
  </w:style>
  <w:style w:type="paragraph" w:styleId="30">
    <w:name w:val="toc 6"/>
    <w:basedOn w:val="1"/>
    <w:next w:val="1"/>
    <w:autoRedefine/>
    <w:qFormat/>
    <w:uiPriority w:val="0"/>
    <w:pPr>
      <w:ind w:left="1050"/>
      <w:jc w:val="left"/>
    </w:pPr>
    <w:rPr>
      <w:sz w:val="18"/>
      <w:szCs w:val="18"/>
    </w:rPr>
  </w:style>
  <w:style w:type="paragraph" w:styleId="31">
    <w:name w:val="Body Text Indent 3"/>
    <w:basedOn w:val="1"/>
    <w:autoRedefine/>
    <w:qFormat/>
    <w:uiPriority w:val="0"/>
    <w:pPr>
      <w:spacing w:line="500" w:lineRule="exact"/>
      <w:ind w:left="511" w:hanging="511" w:hangingChars="213"/>
    </w:pPr>
    <w:rPr>
      <w:sz w:val="24"/>
    </w:rPr>
  </w:style>
  <w:style w:type="paragraph" w:styleId="32">
    <w:name w:val="toc 2"/>
    <w:basedOn w:val="1"/>
    <w:next w:val="1"/>
    <w:autoRedefine/>
    <w:qFormat/>
    <w:uiPriority w:val="39"/>
    <w:pPr>
      <w:ind w:left="210"/>
      <w:jc w:val="left"/>
    </w:pPr>
    <w:rPr>
      <w:smallCaps/>
      <w:sz w:val="20"/>
      <w:szCs w:val="20"/>
    </w:rPr>
  </w:style>
  <w:style w:type="paragraph" w:styleId="33">
    <w:name w:val="toc 9"/>
    <w:basedOn w:val="1"/>
    <w:next w:val="1"/>
    <w:autoRedefine/>
    <w:semiHidden/>
    <w:qFormat/>
    <w:uiPriority w:val="0"/>
    <w:pPr>
      <w:ind w:left="1680"/>
      <w:jc w:val="left"/>
    </w:pPr>
    <w:rPr>
      <w:sz w:val="18"/>
      <w:szCs w:val="18"/>
    </w:rPr>
  </w:style>
  <w:style w:type="paragraph" w:styleId="34">
    <w:name w:val="Normal (Web)"/>
    <w:basedOn w:val="1"/>
    <w:autoRedefine/>
    <w:qFormat/>
    <w:uiPriority w:val="0"/>
    <w:pPr>
      <w:widowControl/>
      <w:spacing w:before="100" w:after="100"/>
      <w:jc w:val="left"/>
    </w:pPr>
    <w:rPr>
      <w:rFonts w:ascii="宋体" w:hAnsi="宋体"/>
      <w:kern w:val="0"/>
      <w:sz w:val="24"/>
      <w:szCs w:val="20"/>
    </w:rPr>
  </w:style>
  <w:style w:type="paragraph" w:styleId="35">
    <w:name w:val="Title"/>
    <w:basedOn w:val="1"/>
    <w:next w:val="1"/>
    <w:autoRedefine/>
    <w:qFormat/>
    <w:uiPriority w:val="0"/>
    <w:pPr>
      <w:numPr>
        <w:ilvl w:val="0"/>
        <w:numId w:val="3"/>
      </w:numPr>
      <w:spacing w:before="240" w:after="60"/>
      <w:jc w:val="center"/>
      <w:outlineLvl w:val="0"/>
    </w:pPr>
    <w:rPr>
      <w:rFonts w:ascii="Cambria" w:hAnsi="Cambria"/>
      <w:b/>
      <w:bCs/>
      <w:sz w:val="36"/>
      <w:szCs w:val="32"/>
    </w:rPr>
  </w:style>
  <w:style w:type="paragraph" w:styleId="36">
    <w:name w:val="annotation subject"/>
    <w:basedOn w:val="16"/>
    <w:next w:val="16"/>
    <w:autoRedefine/>
    <w:qFormat/>
    <w:uiPriority w:val="0"/>
    <w:rPr>
      <w:b/>
      <w:bCs/>
    </w:rPr>
  </w:style>
  <w:style w:type="paragraph" w:styleId="37">
    <w:name w:val="Body Text First Indent 2"/>
    <w:autoRedefine/>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39">
    <w:name w:val="Table Grid"/>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41">
    <w:name w:val="Strong"/>
    <w:autoRedefine/>
    <w:qFormat/>
    <w:uiPriority w:val="7"/>
    <w:rPr>
      <w:b/>
      <w:bCs/>
    </w:rPr>
  </w:style>
  <w:style w:type="character" w:styleId="42">
    <w:name w:val="page number"/>
    <w:autoRedefine/>
    <w:qFormat/>
    <w:uiPriority w:val="0"/>
  </w:style>
  <w:style w:type="character" w:styleId="43">
    <w:name w:val="Hyperlink"/>
    <w:autoRedefine/>
    <w:qFormat/>
    <w:uiPriority w:val="99"/>
    <w:rPr>
      <w:color w:val="0000FF"/>
      <w:u w:val="single"/>
    </w:rPr>
  </w:style>
  <w:style w:type="character" w:styleId="44">
    <w:name w:val="annotation reference"/>
    <w:autoRedefine/>
    <w:qFormat/>
    <w:uiPriority w:val="0"/>
    <w:rPr>
      <w:sz w:val="21"/>
      <w:szCs w:val="21"/>
    </w:rPr>
  </w:style>
  <w:style w:type="character" w:customStyle="1" w:styleId="45">
    <w:name w:val="标题 2 字符"/>
    <w:link w:val="5"/>
    <w:autoRedefine/>
    <w:qFormat/>
    <w:uiPriority w:val="9"/>
    <w:rPr>
      <w:rFonts w:ascii="Arial" w:hAnsi="Arial" w:eastAsia="黑体"/>
      <w:b/>
      <w:bCs/>
      <w:kern w:val="2"/>
      <w:sz w:val="32"/>
      <w:szCs w:val="32"/>
    </w:rPr>
  </w:style>
  <w:style w:type="character" w:customStyle="1" w:styleId="46">
    <w:name w:val="正文文本 字符"/>
    <w:link w:val="3"/>
    <w:autoRedefine/>
    <w:qFormat/>
    <w:uiPriority w:val="0"/>
    <w:rPr>
      <w:rFonts w:eastAsia="宋体"/>
      <w:kern w:val="2"/>
      <w:sz w:val="21"/>
      <w:szCs w:val="24"/>
      <w:lang w:val="en-US" w:eastAsia="zh-CN" w:bidi="ar-SA"/>
    </w:rPr>
  </w:style>
  <w:style w:type="character" w:customStyle="1" w:styleId="47">
    <w:name w:val="正文文本首行缩进 字符"/>
    <w:link w:val="2"/>
    <w:autoRedefine/>
    <w:qFormat/>
    <w:uiPriority w:val="0"/>
    <w:rPr>
      <w:kern w:val="2"/>
      <w:sz w:val="21"/>
      <w:szCs w:val="24"/>
    </w:rPr>
  </w:style>
  <w:style w:type="character" w:customStyle="1" w:styleId="48">
    <w:name w:val="纯文本 字符"/>
    <w:link w:val="20"/>
    <w:autoRedefine/>
    <w:qFormat/>
    <w:uiPriority w:val="0"/>
    <w:rPr>
      <w:rFonts w:ascii="宋体" w:hAnsi="Courier New" w:eastAsia="宋体"/>
      <w:sz w:val="21"/>
      <w:szCs w:val="21"/>
      <w:lang w:val="en-US" w:eastAsia="zh-CN" w:bidi="ar-SA"/>
    </w:rPr>
  </w:style>
  <w:style w:type="character" w:customStyle="1" w:styleId="49">
    <w:name w:val="页脚 字符"/>
    <w:link w:val="25"/>
    <w:autoRedefine/>
    <w:qFormat/>
    <w:uiPriority w:val="99"/>
    <w:rPr>
      <w:kern w:val="2"/>
      <w:sz w:val="18"/>
      <w:szCs w:val="18"/>
    </w:rPr>
  </w:style>
  <w:style w:type="paragraph" w:customStyle="1" w:styleId="50">
    <w:name w:val="正文首行缩进1"/>
    <w:basedOn w:val="3"/>
    <w:autoRedefine/>
    <w:qFormat/>
    <w:uiPriority w:val="0"/>
    <w:pPr>
      <w:adjustRightInd w:val="0"/>
      <w:spacing w:after="0"/>
      <w:ind w:firstLine="482"/>
      <w:textAlignment w:val="baseline"/>
    </w:pPr>
    <w:rPr>
      <w:kern w:val="0"/>
      <w:sz w:val="24"/>
    </w:rPr>
  </w:style>
  <w:style w:type="character" w:customStyle="1" w:styleId="51">
    <w:name w:val="纯文本 Char"/>
    <w:autoRedefine/>
    <w:qFormat/>
    <w:uiPriority w:val="0"/>
    <w:rPr>
      <w:rFonts w:ascii="宋体" w:hAnsi="Courier New" w:eastAsia="宋体"/>
      <w:sz w:val="21"/>
      <w:szCs w:val="21"/>
      <w:lang w:val="en-US" w:eastAsia="zh-CN" w:bidi="ar-SA"/>
    </w:rPr>
  </w:style>
  <w:style w:type="character" w:customStyle="1" w:styleId="52">
    <w:name w:val="表格文字 Char Char"/>
    <w:link w:val="53"/>
    <w:autoRedefine/>
    <w:qFormat/>
    <w:uiPriority w:val="0"/>
    <w:rPr>
      <w:kern w:val="21"/>
      <w:sz w:val="21"/>
      <w:szCs w:val="21"/>
      <w:lang w:bidi="ar-SA"/>
    </w:rPr>
  </w:style>
  <w:style w:type="paragraph" w:customStyle="1" w:styleId="53">
    <w:name w:val="表格文字"/>
    <w:next w:val="3"/>
    <w:link w:val="52"/>
    <w:autoRedefine/>
    <w:qFormat/>
    <w:uiPriority w:val="0"/>
    <w:pPr>
      <w:widowControl w:val="0"/>
    </w:pPr>
    <w:rPr>
      <w:rFonts w:ascii="Times New Roman" w:hAnsi="Times New Roman" w:eastAsia="宋体" w:cs="Times New Roman"/>
      <w:kern w:val="21"/>
      <w:sz w:val="21"/>
      <w:szCs w:val="21"/>
      <w:lang w:val="en-US" w:eastAsia="zh-CN" w:bidi="ar-SA"/>
    </w:rPr>
  </w:style>
  <w:style w:type="paragraph" w:customStyle="1" w:styleId="54">
    <w:name w:val=" Char1"/>
    <w:basedOn w:val="1"/>
    <w:qFormat/>
    <w:uiPriority w:val="0"/>
    <w:rPr>
      <w:rFonts w:ascii="仿宋_GB2312" w:eastAsia="仿宋_GB2312"/>
      <w:b/>
      <w:sz w:val="32"/>
      <w:szCs w:val="32"/>
    </w:rPr>
  </w:style>
  <w:style w:type="paragraph" w:customStyle="1" w:styleId="55">
    <w:name w:val=" Char Char Char Char Char Char Char"/>
    <w:basedOn w:val="1"/>
    <w:autoRedefine/>
    <w:qFormat/>
    <w:uiPriority w:val="0"/>
    <w:rPr>
      <w:rFonts w:ascii="仿宋_GB2312" w:eastAsia="仿宋_GB2312"/>
      <w:b/>
      <w:sz w:val="32"/>
      <w:szCs w:val="32"/>
    </w:rPr>
  </w:style>
  <w:style w:type="paragraph" w:customStyle="1" w:styleId="56">
    <w:name w:val="Char1 Char Char Char Char Char Char"/>
    <w:basedOn w:val="1"/>
    <w:autoRedefine/>
    <w:qFormat/>
    <w:uiPriority w:val="0"/>
    <w:rPr>
      <w:rFonts w:ascii="宋体" w:hAnsi="宋体"/>
      <w:color w:val="000000"/>
      <w:sz w:val="24"/>
    </w:rPr>
  </w:style>
  <w:style w:type="paragraph" w:customStyle="1" w:styleId="57">
    <w:name w:val="Blockquote"/>
    <w:basedOn w:val="1"/>
    <w:autoRedefine/>
    <w:qFormat/>
    <w:uiPriority w:val="0"/>
    <w:pPr>
      <w:autoSpaceDE w:val="0"/>
      <w:autoSpaceDN w:val="0"/>
      <w:adjustRightInd w:val="0"/>
      <w:spacing w:before="100" w:after="100"/>
      <w:ind w:left="360" w:right="360"/>
      <w:jc w:val="left"/>
    </w:pPr>
    <w:rPr>
      <w:kern w:val="0"/>
      <w:sz w:val="24"/>
      <w:szCs w:val="20"/>
    </w:rPr>
  </w:style>
  <w:style w:type="paragraph" w:customStyle="1" w:styleId="58">
    <w:name w:val="[Normal]"/>
    <w:autoRedefine/>
    <w:qFormat/>
    <w:uiPriority w:val="0"/>
    <w:rPr>
      <w:rFonts w:ascii="宋体" w:hAnsi="宋体" w:eastAsia="宋体" w:cs="Times New Roman"/>
      <w:sz w:val="24"/>
      <w:szCs w:val="22"/>
      <w:lang w:val="zh-CN" w:eastAsia="zh-CN" w:bidi="ar-SA"/>
    </w:rPr>
  </w:style>
  <w:style w:type="paragraph" w:customStyle="1" w:styleId="59">
    <w:name w:val="Char Char Char"/>
    <w:basedOn w:val="1"/>
    <w:qFormat/>
    <w:uiPriority w:val="0"/>
    <w:rPr>
      <w:rFonts w:ascii="Tahoma" w:hAnsi="Tahoma"/>
      <w:sz w:val="24"/>
      <w:szCs w:val="20"/>
    </w:rPr>
  </w:style>
  <w:style w:type="paragraph" w:customStyle="1" w:styleId="60">
    <w:name w:val="保留正文"/>
    <w:basedOn w:val="3"/>
    <w:qFormat/>
    <w:uiPriority w:val="0"/>
    <w:pPr>
      <w:keepNext/>
      <w:spacing w:after="160"/>
    </w:pPr>
  </w:style>
  <w:style w:type="paragraph" w:customStyle="1" w:styleId="61">
    <w:name w:val=" Char3"/>
    <w:basedOn w:val="15"/>
    <w:autoRedefine/>
    <w:qFormat/>
    <w:uiPriority w:val="0"/>
  </w:style>
  <w:style w:type="paragraph" w:customStyle="1" w:styleId="62">
    <w:name w:val="l正文"/>
    <w:basedOn w:val="1"/>
    <w:autoRedefine/>
    <w:qFormat/>
    <w:uiPriority w:val="0"/>
    <w:pPr>
      <w:spacing w:line="300" w:lineRule="auto"/>
      <w:ind w:firstLine="200" w:firstLineChars="200"/>
      <w:jc w:val="left"/>
    </w:pPr>
    <w:rPr>
      <w:rFonts w:ascii="楷体_GB2312" w:hAnsi="Times" w:eastAsia="楷体_GB2312" w:cs="等线"/>
      <w:sz w:val="24"/>
    </w:rPr>
  </w:style>
  <w:style w:type="paragraph" w:customStyle="1" w:styleId="63">
    <w:name w:val="内文正文"/>
    <w:basedOn w:val="20"/>
    <w:autoRedefine/>
    <w:qFormat/>
    <w:uiPriority w:val="0"/>
    <w:pPr>
      <w:widowControl w:val="0"/>
      <w:overflowPunct/>
      <w:autoSpaceDE/>
      <w:autoSpaceDN/>
      <w:snapToGrid w:val="0"/>
      <w:spacing w:line="400" w:lineRule="exact"/>
      <w:ind w:firstLine="200" w:firstLineChars="200"/>
      <w:jc w:val="both"/>
      <w:textAlignment w:val="auto"/>
    </w:pPr>
    <w:rPr>
      <w:rFonts w:ascii="Arial" w:hAnsi="Arial" w:cs="Courier New"/>
      <w:b/>
      <w:color w:val="000000"/>
    </w:rPr>
  </w:style>
  <w:style w:type="character" w:customStyle="1" w:styleId="64">
    <w:name w:val="正文文本 Char1"/>
    <w:autoRedefine/>
    <w:qFormat/>
    <w:uiPriority w:val="0"/>
    <w:rPr>
      <w:rFonts w:ascii="Tahoma" w:hAnsi="Tahoma"/>
      <w:kern w:val="2"/>
      <w:sz w:val="21"/>
      <w:szCs w:val="24"/>
    </w:rPr>
  </w:style>
  <w:style w:type="character" w:customStyle="1" w:styleId="65">
    <w:name w:val="NormalCharacter"/>
    <w:autoRedefine/>
    <w:qFormat/>
    <w:uiPriority w:val="0"/>
    <w:rPr>
      <w:rFonts w:ascii="Tahoma" w:hAnsi="Tahoma"/>
      <w:sz w:val="24"/>
      <w:szCs w:val="20"/>
    </w:rPr>
  </w:style>
  <w:style w:type="paragraph" w:customStyle="1" w:styleId="66">
    <w:name w:val="BodyText"/>
    <w:basedOn w:val="1"/>
    <w:next w:val="1"/>
    <w:autoRedefine/>
    <w:qFormat/>
    <w:uiPriority w:val="0"/>
    <w:pPr>
      <w:widowControl/>
      <w:spacing w:after="120" w:line="360" w:lineRule="auto"/>
      <w:ind w:firstLine="1846" w:firstLineChars="200"/>
      <w:textAlignment w:val="baseline"/>
    </w:pPr>
    <w:rPr>
      <w:rFonts w:ascii="Tahoma" w:hAnsi="Tahoma"/>
    </w:rPr>
  </w:style>
  <w:style w:type="paragraph" w:styleId="67">
    <w:name w:val="List Paragraph"/>
    <w:basedOn w:val="1"/>
    <w:autoRedefine/>
    <w:qFormat/>
    <w:uiPriority w:val="34"/>
    <w:pPr>
      <w:ind w:firstLine="420" w:firstLineChars="200"/>
    </w:pPr>
    <w:rPr>
      <w:rFonts w:ascii="Calibri" w:hAnsi="Calibri"/>
      <w:szCs w:val="22"/>
    </w:rPr>
  </w:style>
  <w:style w:type="character" w:customStyle="1" w:styleId="68">
    <w:name w:val="Unresolved Mention"/>
    <w:autoRedefine/>
    <w:unhideWhenUsed/>
    <w:qFormat/>
    <w:uiPriority w:val="99"/>
    <w:rPr>
      <w:color w:val="605E5C"/>
      <w:shd w:val="clear" w:color="auto" w:fill="E1DFDD"/>
    </w:rPr>
  </w:style>
  <w:style w:type="character" w:customStyle="1" w:styleId="69">
    <w:name w:val="纯文本 Char2"/>
    <w:autoRedefine/>
    <w:qFormat/>
    <w:uiPriority w:val="0"/>
    <w:rPr>
      <w:rFonts w:ascii="宋体" w:hAnsi="Courier New"/>
      <w:sz w:val="22"/>
      <w:szCs w:val="21"/>
    </w:rPr>
  </w:style>
  <w:style w:type="character" w:customStyle="1" w:styleId="70">
    <w:name w:val="标题 2 Char1"/>
    <w:autoRedefine/>
    <w:qFormat/>
    <w:uiPriority w:val="9"/>
    <w:rPr>
      <w:rFonts w:ascii="Arial" w:hAnsi="Arial" w:eastAsia="黑体"/>
      <w:b/>
      <w:bCs/>
      <w:kern w:val="2"/>
      <w:sz w:val="32"/>
      <w:szCs w:val="32"/>
    </w:rPr>
  </w:style>
  <w:style w:type="paragraph" w:customStyle="1" w:styleId="71">
    <w:name w:val="正文1"/>
    <w:basedOn w:val="1"/>
    <w:autoRedefine/>
    <w:qFormat/>
    <w:uiPriority w:val="0"/>
    <w:pPr>
      <w:widowControl/>
      <w:spacing w:line="360" w:lineRule="auto"/>
      <w:ind w:left="360" w:firstLine="420" w:firstLineChars="200"/>
      <w:jc w:val="left"/>
    </w:pPr>
    <w:rPr>
      <w:rFonts w:ascii="宋体" w:hAnsi="宋体" w:cs="宋体"/>
      <w:b/>
      <w:kern w:val="0"/>
      <w:szCs w:val="32"/>
    </w:rPr>
  </w:style>
  <w:style w:type="paragraph" w:customStyle="1" w:styleId="72">
    <w:name w:val="正文首行缩进11"/>
    <w:basedOn w:val="73"/>
    <w:qFormat/>
    <w:uiPriority w:val="0"/>
    <w:pPr>
      <w:autoSpaceDE w:val="0"/>
      <w:autoSpaceDN w:val="0"/>
      <w:ind w:firstLine="420" w:firstLineChars="100"/>
      <w:jc w:val="left"/>
    </w:pPr>
    <w:rPr>
      <w:rFonts w:ascii="仿宋_GB2312" w:hAnsi="Times New Roman"/>
      <w:b/>
      <w:kern w:val="0"/>
      <w:sz w:val="32"/>
      <w:szCs w:val="32"/>
    </w:rPr>
  </w:style>
  <w:style w:type="paragraph" w:customStyle="1" w:styleId="73">
    <w:name w:val="正文文本1"/>
    <w:basedOn w:val="1"/>
    <w:qFormat/>
    <w:uiPriority w:val="0"/>
    <w:pPr>
      <w:spacing w:after="120"/>
    </w:pPr>
    <w:rPr>
      <w:rFonts w:ascii="Tahoma" w:hAnsi="Tahom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芳向电脑工作室</Company>
  <Pages>80</Pages>
  <Words>11543</Words>
  <Characters>12705</Characters>
  <Lines>444</Lines>
  <Paragraphs>125</Paragraphs>
  <TotalTime>72</TotalTime>
  <ScaleCrop>false</ScaleCrop>
  <LinksUpToDate>false</LinksUpToDate>
  <CharactersWithSpaces>13035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2016-11-14T02:08:00Z</dcterms:created>
  <dc:creator>张芳向 Netboy</dc:creator>
  <cp:lastModifiedBy>旅行</cp:lastModifiedBy>
  <cp:lastPrinted>2025-03-20T09:51:00Z</cp:lastPrinted>
  <dcterms:modified xsi:type="dcterms:W3CDTF">2025-03-29T04:33:04Z</dcterms:modified>
  <dc:title>温州市政府采购中心</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46400BC7917C404EA55EC4080658D8D3_13</vt:lpwstr>
  </property>
  <property fmtid="{D5CDD505-2E9C-101B-9397-08002B2CF9AE}" pid="4" name="commondata">
    <vt:lpwstr>eyJoZGlkIjoiMjZiNWY0N2EzZmMxMTE3ZmQ1YzgyN2YzZDMyYmI2ZjIifQ==</vt:lpwstr>
  </property>
  <property fmtid="{D5CDD505-2E9C-101B-9397-08002B2CF9AE}" pid="5" name="KSOTemplateDocerSaveRecord">
    <vt:lpwstr>eyJoZGlkIjoiMzgxOGYzMWE5YzM1NGI4N2Q4MzA0YmI5MzBhYThmZWUiLCJ1c2VySWQiOiI1MDM4MTA0MDUifQ==</vt:lpwstr>
  </property>
</Properties>
</file>