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42562">
      <w:pPr>
        <w:spacing w:line="360" w:lineRule="auto"/>
        <w:jc w:val="center"/>
        <w:rPr>
          <w:rFonts w:ascii="宋体" w:hAnsi="宋体" w:cs="宋体"/>
          <w:b/>
          <w:color w:val="auto"/>
          <w:sz w:val="24"/>
        </w:rPr>
      </w:pPr>
    </w:p>
    <w:p w14:paraId="6F17D2C1">
      <w:pPr>
        <w:spacing w:line="360" w:lineRule="auto"/>
        <w:jc w:val="center"/>
        <w:rPr>
          <w:rFonts w:ascii="宋体" w:hAnsi="宋体" w:cs="宋体"/>
          <w:b/>
          <w:color w:val="auto"/>
          <w:sz w:val="24"/>
        </w:rPr>
      </w:pPr>
    </w:p>
    <w:p w14:paraId="695127F0">
      <w:pPr>
        <w:spacing w:line="360" w:lineRule="auto"/>
        <w:jc w:val="center"/>
        <w:rPr>
          <w:rFonts w:ascii="宋体" w:hAnsi="宋体" w:cs="宋体"/>
          <w:b/>
          <w:color w:val="auto"/>
          <w:sz w:val="44"/>
          <w:szCs w:val="44"/>
        </w:rPr>
      </w:pPr>
    </w:p>
    <w:p w14:paraId="79DF57EC">
      <w:pPr>
        <w:adjustRightInd/>
        <w:spacing w:line="360" w:lineRule="auto"/>
        <w:jc w:val="center"/>
        <w:rPr>
          <w:rFonts w:ascii="宋体" w:hAnsi="宋体" w:cs="宋体"/>
          <w:b/>
          <w:color w:val="auto"/>
          <w:sz w:val="48"/>
          <w:szCs w:val="48"/>
        </w:rPr>
      </w:pPr>
    </w:p>
    <w:p w14:paraId="7B7B6274">
      <w:pPr>
        <w:adjustRightInd/>
        <w:spacing w:line="360" w:lineRule="auto"/>
        <w:jc w:val="center"/>
        <w:rPr>
          <w:rFonts w:hint="eastAsia" w:ascii="宋体" w:hAnsi="宋体" w:eastAsia="宋体" w:cs="宋体"/>
          <w:color w:val="auto"/>
          <w:sz w:val="44"/>
          <w:szCs w:val="44"/>
          <w:lang w:eastAsia="zh-CN"/>
        </w:rPr>
      </w:pPr>
      <w:r>
        <w:rPr>
          <w:rFonts w:hint="eastAsia" w:ascii="宋体" w:hAnsi="宋体" w:cs="宋体"/>
          <w:color w:val="auto"/>
          <w:sz w:val="44"/>
          <w:szCs w:val="44"/>
          <w:lang w:eastAsia="zh-CN"/>
        </w:rPr>
        <w:t>宁海县胡陈乡2025年山塘整治工程（小垅、秤钩吊月、发洪）</w:t>
      </w:r>
    </w:p>
    <w:p w14:paraId="6146EDEA">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14:paraId="51A275BF">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04B42393">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温中代字(2025)宁016</w:t>
      </w:r>
    </w:p>
    <w:p w14:paraId="38A229BD">
      <w:pPr>
        <w:adjustRightInd/>
        <w:spacing w:line="360" w:lineRule="auto"/>
        <w:rPr>
          <w:rFonts w:ascii="宋体" w:hAnsi="宋体" w:cs="宋体"/>
          <w:color w:val="auto"/>
          <w:sz w:val="28"/>
          <w:szCs w:val="20"/>
        </w:rPr>
      </w:pPr>
    </w:p>
    <w:p w14:paraId="15CABB04">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74B1E58E">
      <w:pPr>
        <w:spacing w:line="360" w:lineRule="auto"/>
        <w:jc w:val="center"/>
        <w:rPr>
          <w:rFonts w:ascii="宋体" w:hAnsi="宋体" w:cs="宋体"/>
          <w:b/>
          <w:color w:val="auto"/>
          <w:sz w:val="44"/>
          <w:szCs w:val="44"/>
        </w:rPr>
      </w:pPr>
    </w:p>
    <w:p w14:paraId="213AC2CE">
      <w:pPr>
        <w:spacing w:line="360" w:lineRule="auto"/>
        <w:jc w:val="center"/>
        <w:rPr>
          <w:rFonts w:ascii="宋体" w:hAnsi="宋体" w:cs="宋体"/>
          <w:color w:val="auto"/>
          <w:sz w:val="24"/>
        </w:rPr>
      </w:pPr>
    </w:p>
    <w:p w14:paraId="3555956C">
      <w:pPr>
        <w:spacing w:line="360" w:lineRule="auto"/>
        <w:jc w:val="center"/>
        <w:rPr>
          <w:rFonts w:ascii="宋体" w:hAnsi="宋体" w:cs="宋体"/>
          <w:color w:val="auto"/>
          <w:sz w:val="24"/>
        </w:rPr>
      </w:pPr>
    </w:p>
    <w:p w14:paraId="5EBC7034">
      <w:pPr>
        <w:spacing w:line="360" w:lineRule="auto"/>
        <w:rPr>
          <w:rFonts w:ascii="宋体" w:hAnsi="宋体" w:cs="宋体"/>
          <w:color w:val="auto"/>
          <w:sz w:val="32"/>
          <w:szCs w:val="32"/>
        </w:rPr>
      </w:pPr>
    </w:p>
    <w:p w14:paraId="305359E9">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采购单位：</w:t>
      </w:r>
      <w:r>
        <w:rPr>
          <w:rFonts w:hint="eastAsia" w:ascii="宋体" w:hAnsi="宋体" w:cs="宋体"/>
          <w:bCs/>
          <w:color w:val="auto"/>
          <w:sz w:val="32"/>
          <w:szCs w:val="32"/>
          <w:lang w:eastAsia="zh-CN"/>
        </w:rPr>
        <w:t>宁海县胡陈乡人民政府</w:t>
      </w:r>
      <w:r>
        <w:rPr>
          <w:rFonts w:hint="eastAsia" w:ascii="宋体" w:hAnsi="宋体" w:cs="宋体"/>
          <w:bCs/>
          <w:color w:val="auto"/>
          <w:sz w:val="32"/>
          <w:szCs w:val="32"/>
        </w:rPr>
        <w:t xml:space="preserve"> </w:t>
      </w:r>
    </w:p>
    <w:p w14:paraId="2AD998CE">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代理机构：温州中源工程项目管理有限公司</w:t>
      </w:r>
    </w:p>
    <w:p w14:paraId="08EE4309">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202</w:t>
      </w:r>
      <w:r>
        <w:rPr>
          <w:rFonts w:hint="eastAsia" w:ascii="宋体" w:hAnsi="宋体" w:cs="宋体"/>
          <w:bCs/>
          <w:color w:val="auto"/>
          <w:sz w:val="32"/>
          <w:szCs w:val="32"/>
          <w:lang w:val="en-US" w:eastAsia="zh-CN"/>
        </w:rPr>
        <w:t>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5</w:t>
      </w:r>
      <w:r>
        <w:rPr>
          <w:rFonts w:hint="eastAsia" w:ascii="宋体" w:hAnsi="宋体" w:cs="宋体"/>
          <w:bCs/>
          <w:color w:val="auto"/>
          <w:sz w:val="32"/>
          <w:szCs w:val="32"/>
        </w:rPr>
        <w:t>月</w:t>
      </w:r>
    </w:p>
    <w:p w14:paraId="67C2C157">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040DE782">
      <w:pPr>
        <w:spacing w:line="360" w:lineRule="auto"/>
        <w:jc w:val="center"/>
        <w:rPr>
          <w:rFonts w:ascii="宋体" w:hAnsi="宋体" w:cs="宋体"/>
          <w:color w:val="auto"/>
          <w:sz w:val="24"/>
        </w:rPr>
      </w:pPr>
    </w:p>
    <w:p w14:paraId="64125D8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CB69E54">
      <w:pPr>
        <w:spacing w:line="360" w:lineRule="auto"/>
        <w:rPr>
          <w:rFonts w:ascii="宋体" w:hAnsi="宋体" w:cs="宋体"/>
          <w:color w:val="auto"/>
          <w:sz w:val="32"/>
          <w:szCs w:val="32"/>
        </w:rPr>
      </w:pPr>
    </w:p>
    <w:p w14:paraId="6D67750C">
      <w:pPr>
        <w:spacing w:line="360" w:lineRule="auto"/>
        <w:rPr>
          <w:rFonts w:ascii="宋体" w:hAnsi="宋体" w:cs="宋体"/>
          <w:color w:val="auto"/>
          <w:sz w:val="32"/>
          <w:szCs w:val="32"/>
        </w:rPr>
      </w:pPr>
    </w:p>
    <w:p w14:paraId="5F91D53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竞争性磋商公告</w:t>
      </w:r>
    </w:p>
    <w:p w14:paraId="7C64CDD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供应商须知</w:t>
      </w:r>
    </w:p>
    <w:p w14:paraId="293D68B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CA2299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评审办法</w:t>
      </w:r>
    </w:p>
    <w:p w14:paraId="1314ABC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B640DA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3B970AE8">
      <w:pPr>
        <w:spacing w:line="360" w:lineRule="auto"/>
        <w:ind w:firstLine="1280" w:firstLineChars="400"/>
        <w:rPr>
          <w:rFonts w:ascii="宋体" w:hAnsi="宋体" w:cs="宋体"/>
          <w:color w:val="auto"/>
          <w:sz w:val="32"/>
          <w:szCs w:val="32"/>
        </w:rPr>
      </w:pPr>
    </w:p>
    <w:p w14:paraId="6E634B03">
      <w:pPr>
        <w:spacing w:line="360" w:lineRule="auto"/>
        <w:ind w:firstLine="549" w:firstLineChars="229"/>
        <w:rPr>
          <w:rFonts w:ascii="宋体" w:hAnsi="宋体" w:cs="宋体"/>
          <w:color w:val="auto"/>
          <w:sz w:val="24"/>
        </w:rPr>
      </w:pPr>
      <w:bookmarkStart w:id="1" w:name="_Hlt91233176"/>
      <w:bookmarkEnd w:id="1"/>
      <w:bookmarkStart w:id="2" w:name="_Toc91899869"/>
    </w:p>
    <w:p w14:paraId="7D8C6716">
      <w:pPr>
        <w:spacing w:line="360" w:lineRule="auto"/>
        <w:ind w:firstLine="549" w:firstLineChars="229"/>
        <w:rPr>
          <w:rFonts w:ascii="宋体" w:hAnsi="宋体" w:cs="宋体"/>
          <w:color w:val="auto"/>
          <w:sz w:val="24"/>
        </w:rPr>
      </w:pPr>
    </w:p>
    <w:p w14:paraId="26CF63D2">
      <w:pPr>
        <w:spacing w:line="360" w:lineRule="auto"/>
        <w:ind w:firstLine="549" w:firstLineChars="229"/>
        <w:rPr>
          <w:rFonts w:ascii="宋体" w:hAnsi="宋体" w:cs="宋体"/>
          <w:color w:val="auto"/>
          <w:sz w:val="24"/>
        </w:rPr>
      </w:pPr>
    </w:p>
    <w:p w14:paraId="5A15A5C3">
      <w:pPr>
        <w:spacing w:line="360" w:lineRule="auto"/>
        <w:ind w:firstLine="549" w:firstLineChars="229"/>
        <w:rPr>
          <w:rFonts w:ascii="宋体" w:hAnsi="宋体" w:cs="宋体"/>
          <w:color w:val="auto"/>
          <w:sz w:val="24"/>
        </w:rPr>
      </w:pPr>
    </w:p>
    <w:p w14:paraId="0FF5F46C">
      <w:pPr>
        <w:spacing w:line="360" w:lineRule="auto"/>
        <w:ind w:firstLine="549" w:firstLineChars="229"/>
        <w:rPr>
          <w:rFonts w:ascii="宋体" w:hAnsi="宋体" w:cs="宋体"/>
          <w:color w:val="auto"/>
          <w:sz w:val="24"/>
        </w:rPr>
      </w:pPr>
    </w:p>
    <w:p w14:paraId="26BB87BB">
      <w:pPr>
        <w:spacing w:line="360" w:lineRule="auto"/>
        <w:ind w:firstLine="549" w:firstLineChars="229"/>
        <w:rPr>
          <w:rFonts w:ascii="宋体" w:hAnsi="宋体" w:cs="宋体"/>
          <w:color w:val="auto"/>
          <w:sz w:val="24"/>
        </w:rPr>
      </w:pPr>
    </w:p>
    <w:p w14:paraId="61D4124D">
      <w:pPr>
        <w:spacing w:line="360" w:lineRule="auto"/>
        <w:ind w:firstLine="549" w:firstLineChars="229"/>
        <w:rPr>
          <w:rFonts w:ascii="宋体" w:hAnsi="宋体" w:cs="宋体"/>
          <w:color w:val="auto"/>
          <w:sz w:val="24"/>
        </w:rPr>
      </w:pPr>
    </w:p>
    <w:p w14:paraId="22337698">
      <w:pPr>
        <w:spacing w:line="360" w:lineRule="auto"/>
        <w:ind w:firstLine="549" w:firstLineChars="229"/>
        <w:rPr>
          <w:rFonts w:ascii="宋体" w:hAnsi="宋体" w:cs="宋体"/>
          <w:color w:val="auto"/>
          <w:sz w:val="24"/>
        </w:rPr>
      </w:pPr>
    </w:p>
    <w:p w14:paraId="16940A87">
      <w:pPr>
        <w:spacing w:line="360" w:lineRule="auto"/>
        <w:ind w:firstLine="549" w:firstLineChars="229"/>
        <w:rPr>
          <w:rFonts w:ascii="宋体" w:hAnsi="宋体" w:cs="宋体"/>
          <w:color w:val="auto"/>
          <w:sz w:val="24"/>
        </w:rPr>
      </w:pPr>
    </w:p>
    <w:p w14:paraId="52EF2135">
      <w:pPr>
        <w:spacing w:line="360" w:lineRule="auto"/>
        <w:ind w:firstLine="549" w:firstLineChars="229"/>
        <w:rPr>
          <w:rFonts w:ascii="宋体" w:hAnsi="宋体" w:cs="宋体"/>
          <w:color w:val="auto"/>
          <w:sz w:val="24"/>
        </w:rPr>
      </w:pPr>
    </w:p>
    <w:p w14:paraId="4F583AD2">
      <w:pPr>
        <w:spacing w:line="360" w:lineRule="auto"/>
        <w:ind w:firstLine="549" w:firstLineChars="229"/>
        <w:rPr>
          <w:rFonts w:ascii="宋体" w:hAnsi="宋体" w:cs="宋体"/>
          <w:color w:val="auto"/>
          <w:sz w:val="24"/>
        </w:rPr>
      </w:pPr>
    </w:p>
    <w:p w14:paraId="64C07E32">
      <w:pPr>
        <w:spacing w:line="360" w:lineRule="auto"/>
        <w:ind w:firstLine="549" w:firstLineChars="229"/>
        <w:rPr>
          <w:rFonts w:ascii="宋体" w:hAnsi="宋体" w:cs="宋体"/>
          <w:color w:val="auto"/>
          <w:sz w:val="24"/>
        </w:rPr>
      </w:pPr>
    </w:p>
    <w:p w14:paraId="5FC43E33">
      <w:pPr>
        <w:spacing w:line="360" w:lineRule="auto"/>
        <w:ind w:firstLine="549" w:firstLineChars="229"/>
        <w:rPr>
          <w:rFonts w:ascii="宋体" w:hAnsi="宋体" w:cs="宋体"/>
          <w:color w:val="auto"/>
          <w:sz w:val="24"/>
        </w:rPr>
      </w:pPr>
    </w:p>
    <w:p w14:paraId="726DC43C">
      <w:pPr>
        <w:spacing w:line="360" w:lineRule="auto"/>
        <w:rPr>
          <w:rFonts w:ascii="宋体" w:hAnsi="宋体" w:cs="宋体"/>
          <w:color w:val="auto"/>
          <w:sz w:val="24"/>
        </w:rPr>
      </w:pPr>
    </w:p>
    <w:p w14:paraId="3F3B33A3">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竞争性磋商公告</w:t>
      </w:r>
    </w:p>
    <w:p w14:paraId="479B680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4C0FB0A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宁海县胡陈乡2025年山塘整治工程（小垅、秤钩吊月、发洪）</w:t>
      </w:r>
      <w:r>
        <w:rPr>
          <w:rFonts w:hint="eastAsia" w:ascii="宋体" w:hAnsi="宋体" w:cs="宋体"/>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月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 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14:paraId="28F28543">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0E316D6">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lang w:eastAsia="zh-CN"/>
        </w:rPr>
        <w:t>温中代字(2025)宁016</w:t>
      </w:r>
    </w:p>
    <w:p w14:paraId="37C86595">
      <w:pPr>
        <w:snapToGrid w:val="0"/>
        <w:spacing w:line="360" w:lineRule="auto"/>
        <w:ind w:firstLine="482" w:firstLineChars="200"/>
        <w:rPr>
          <w:rFonts w:hint="eastAsia" w:ascii="宋体" w:hAnsi="宋体" w:eastAsia="宋体" w:cs="宋体"/>
          <w:b w:val="0"/>
          <w:bCs/>
          <w:color w:val="auto"/>
          <w:sz w:val="24"/>
          <w:lang w:eastAsia="zh-CN"/>
        </w:rPr>
      </w:pPr>
      <w:r>
        <w:rPr>
          <w:rFonts w:hint="eastAsia" w:ascii="宋体" w:hAnsi="宋体" w:cs="宋体"/>
          <w:b/>
          <w:color w:val="auto"/>
          <w:sz w:val="24"/>
        </w:rPr>
        <w:t>项目名称：</w:t>
      </w:r>
      <w:r>
        <w:rPr>
          <w:rFonts w:hint="eastAsia" w:ascii="宋体" w:hAnsi="宋体" w:cs="宋体"/>
          <w:b w:val="0"/>
          <w:bCs/>
          <w:color w:val="auto"/>
          <w:sz w:val="24"/>
          <w:lang w:eastAsia="zh-CN"/>
        </w:rPr>
        <w:t>宁海县胡陈乡2025年山塘整治工程（小垅、秤钩吊月、发洪）</w:t>
      </w:r>
    </w:p>
    <w:p w14:paraId="09985273">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val="0"/>
          <w:bCs/>
          <w:color w:val="auto"/>
          <w:sz w:val="24"/>
          <w:lang w:eastAsia="zh-CN"/>
        </w:rPr>
        <w:t>2690900</w:t>
      </w:r>
      <w:r>
        <w:rPr>
          <w:rFonts w:hint="eastAsia" w:ascii="宋体" w:hAnsi="宋体" w:cs="宋体"/>
          <w:b w:val="0"/>
          <w:bCs/>
          <w:color w:val="auto"/>
          <w:sz w:val="24"/>
        </w:rPr>
        <w:t xml:space="preserve"> </w:t>
      </w:r>
      <w:r>
        <w:rPr>
          <w:rFonts w:hint="eastAsia" w:ascii="宋体" w:hAnsi="宋体" w:cs="宋体"/>
          <w:color w:val="auto"/>
          <w:sz w:val="24"/>
        </w:rPr>
        <w:t xml:space="preserve"> </w:t>
      </w:r>
    </w:p>
    <w:p w14:paraId="7B551CFF">
      <w:pPr>
        <w:snapToGrid w:val="0"/>
        <w:spacing w:line="360" w:lineRule="auto"/>
        <w:ind w:firstLine="482" w:firstLineChars="200"/>
        <w:rPr>
          <w:rFonts w:hint="eastAsia" w:ascii="宋体" w:hAnsi="宋体" w:eastAsia="宋体" w:cs="宋体"/>
          <w:b w:val="0"/>
          <w:bCs/>
          <w:color w:val="auto"/>
          <w:sz w:val="24"/>
          <w:lang w:eastAsia="zh-CN"/>
        </w:rPr>
      </w:pPr>
      <w:r>
        <w:rPr>
          <w:rFonts w:hint="eastAsia" w:ascii="宋体" w:hAnsi="宋体" w:cs="宋体"/>
          <w:b/>
          <w:color w:val="auto"/>
          <w:sz w:val="24"/>
        </w:rPr>
        <w:t>最高限价（元）：</w:t>
      </w:r>
      <w:r>
        <w:rPr>
          <w:rFonts w:hint="eastAsia" w:ascii="宋体" w:hAnsi="宋体" w:cs="宋体"/>
          <w:b w:val="0"/>
          <w:bCs/>
          <w:color w:val="auto"/>
          <w:sz w:val="24"/>
          <w:lang w:eastAsia="zh-CN"/>
        </w:rPr>
        <w:t>2590196</w:t>
      </w:r>
    </w:p>
    <w:p w14:paraId="500F7DFE">
      <w:pPr>
        <w:pStyle w:val="5"/>
        <w:spacing w:line="360" w:lineRule="auto"/>
        <w:ind w:firstLine="482" w:firstLineChars="200"/>
        <w:rPr>
          <w:rFonts w:hint="eastAsia" w:hAnsi="宋体" w:eastAsia="宋体" w:cs="宋体"/>
          <w:b w:val="0"/>
          <w:bCs/>
          <w:color w:val="auto"/>
          <w:sz w:val="24"/>
          <w:lang w:eastAsia="zh-CN"/>
        </w:rPr>
      </w:pPr>
      <w:r>
        <w:rPr>
          <w:rFonts w:hint="eastAsia" w:hAnsi="宋体" w:cs="宋体"/>
          <w:b/>
          <w:color w:val="auto"/>
          <w:sz w:val="24"/>
        </w:rPr>
        <w:t>采购需求：</w:t>
      </w:r>
      <w:r>
        <w:rPr>
          <w:rFonts w:hint="eastAsia" w:hAnsi="宋体" w:cs="宋体"/>
          <w:b w:val="0"/>
          <w:bCs/>
          <w:color w:val="auto"/>
          <w:sz w:val="24"/>
          <w:lang w:eastAsia="zh-CN"/>
        </w:rPr>
        <w:t>宁海县胡陈乡2025年山塘整治工程（小垅、秤钩吊月、发洪）</w:t>
      </w:r>
    </w:p>
    <w:p w14:paraId="6711657F">
      <w:pPr>
        <w:pStyle w:val="5"/>
        <w:spacing w:line="360" w:lineRule="auto"/>
        <w:ind w:firstLine="482" w:firstLineChars="200"/>
        <w:rPr>
          <w:rFonts w:hAnsi="宋体" w:cs="宋体"/>
          <w:b w:val="0"/>
          <w:bCs/>
          <w:snapToGrid/>
          <w:color w:val="auto"/>
          <w:kern w:val="2"/>
          <w:sz w:val="24"/>
          <w:szCs w:val="24"/>
        </w:rPr>
      </w:pPr>
      <w:r>
        <w:rPr>
          <w:rFonts w:hint="eastAsia" w:hAnsi="宋体" w:cs="宋体"/>
          <w:b/>
          <w:bCs w:val="0"/>
          <w:snapToGrid/>
          <w:color w:val="auto"/>
          <w:kern w:val="2"/>
          <w:sz w:val="24"/>
          <w:szCs w:val="24"/>
        </w:rPr>
        <w:t>主要内容</w:t>
      </w:r>
      <w:r>
        <w:rPr>
          <w:rFonts w:hint="eastAsia" w:hAnsi="宋体" w:cs="宋体"/>
          <w:b w:val="0"/>
          <w:bCs/>
          <w:snapToGrid/>
          <w:color w:val="auto"/>
          <w:kern w:val="2"/>
          <w:sz w:val="24"/>
          <w:szCs w:val="24"/>
        </w:rPr>
        <w:t>： 详见采购文件第三部分采购需求。</w:t>
      </w:r>
    </w:p>
    <w:p w14:paraId="5973DD65">
      <w:pPr>
        <w:pStyle w:val="130"/>
        <w:snapToGrid w:val="0"/>
        <w:spacing w:before="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val="0"/>
          <w:bCs/>
          <w:color w:val="auto"/>
        </w:rPr>
        <w:t>自开工令发出之日起</w:t>
      </w:r>
      <w:r>
        <w:rPr>
          <w:rFonts w:hint="eastAsia" w:ascii="宋体" w:hAnsi="宋体" w:cs="宋体"/>
          <w:b w:val="0"/>
          <w:bCs/>
          <w:color w:val="auto"/>
          <w:lang w:val="en-US" w:eastAsia="zh-CN"/>
        </w:rPr>
        <w:t>180日历天</w:t>
      </w:r>
      <w:r>
        <w:rPr>
          <w:rFonts w:hint="eastAsia" w:ascii="宋体" w:hAnsi="宋体" w:cs="宋体"/>
          <w:b w:val="0"/>
          <w:bCs/>
          <w:color w:val="auto"/>
        </w:rPr>
        <w:t>内完成。</w:t>
      </w:r>
    </w:p>
    <w:p w14:paraId="7A4420FC">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4D273A8D">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是；</w:t>
      </w:r>
    </w:p>
    <w:p w14:paraId="4E830AC5">
      <w:pPr>
        <w:pStyle w:val="5"/>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6624F166">
      <w:pPr>
        <w:pStyle w:val="130"/>
        <w:snapToGrid w:val="0"/>
        <w:spacing w:before="0"/>
        <w:ind w:firstLine="482"/>
        <w:outlineLvl w:val="2"/>
        <w:rPr>
          <w:rFonts w:ascii="宋体" w:hAnsi="宋体" w:cs="宋体"/>
          <w:b/>
          <w:color w:val="auto"/>
        </w:rPr>
      </w:pPr>
      <w:r>
        <w:rPr>
          <w:rFonts w:hint="eastAsia" w:ascii="宋体" w:hAnsi="宋体" w:cs="宋体"/>
          <w:b/>
          <w:color w:val="auto"/>
        </w:rPr>
        <w:t>注：不得限制大中型企业与小微企业组成联合体参与。</w:t>
      </w:r>
    </w:p>
    <w:p w14:paraId="09F532EB">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6F2C9DF3">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349B255">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以联合体形式参与的，提供联合协议(本项目不接受联合体或者供应商不以联合体形式参与的，则不需要提供) ；</w:t>
      </w:r>
    </w:p>
    <w:p w14:paraId="0630BFCC">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37A30E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p>
    <w:p w14:paraId="48C511F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087C1F2">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工程全部由符合政策要求的中小企业承建，提供中小企业声明函；</w:t>
      </w:r>
    </w:p>
    <w:p w14:paraId="165B0983">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工程全部由符合政策要求的小微企业承建，提供中小企业声明函；</w:t>
      </w:r>
    </w:p>
    <w:p w14:paraId="308EB1B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5393415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rPr>
        <w:t>；</w:t>
      </w:r>
    </w:p>
    <w:p w14:paraId="4FE4FA04">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b/>
          <w:bCs/>
          <w:color w:val="auto"/>
          <w:sz w:val="24"/>
          <w:u w:val="single"/>
        </w:rPr>
        <w:t>供应商须具备水利水电工程施工总承包叁级及以上资质并具备有效的建筑施工企业安全生产许可证</w:t>
      </w:r>
      <w:r>
        <w:rPr>
          <w:rFonts w:hint="eastAsia" w:ascii="宋体" w:hAnsi="宋体" w:cs="宋体"/>
          <w:color w:val="auto"/>
          <w:sz w:val="24"/>
        </w:rPr>
        <w:t>。</w:t>
      </w:r>
    </w:p>
    <w:p w14:paraId="389B05B1">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353360">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3AADA6C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年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2C16812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44A36C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F5ED4E3">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616A1AC">
      <w:pPr>
        <w:spacing w:line="360" w:lineRule="auto"/>
        <w:rPr>
          <w:rFonts w:ascii="宋体" w:hAnsi="宋体" w:cs="宋体"/>
          <w:b/>
          <w:color w:val="auto"/>
          <w:sz w:val="24"/>
        </w:rPr>
      </w:pPr>
      <w:r>
        <w:rPr>
          <w:rFonts w:hint="eastAsia" w:ascii="宋体" w:hAnsi="宋体" w:cs="宋体"/>
          <w:b/>
          <w:color w:val="auto"/>
          <w:sz w:val="24"/>
        </w:rPr>
        <w:t>四、响应文件提交（上传）</w:t>
      </w:r>
    </w:p>
    <w:p w14:paraId="473BE35C">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D0ABB43">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DB68BEB">
      <w:pPr>
        <w:spacing w:line="360" w:lineRule="auto"/>
        <w:rPr>
          <w:rFonts w:ascii="宋体" w:hAnsi="宋体" w:cs="宋体"/>
          <w:color w:val="auto"/>
          <w:sz w:val="24"/>
        </w:rPr>
      </w:pPr>
      <w:r>
        <w:rPr>
          <w:rFonts w:hint="eastAsia" w:ascii="宋体" w:hAnsi="宋体" w:cs="宋体"/>
          <w:b/>
          <w:color w:val="auto"/>
          <w:sz w:val="24"/>
        </w:rPr>
        <w:t xml:space="preserve">五、响应文件开启 </w:t>
      </w:r>
    </w:p>
    <w:p w14:paraId="4F48DC1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日 </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w:t>
      </w:r>
      <w:r>
        <w:rPr>
          <w:rFonts w:hint="eastAsia" w:ascii="宋体" w:hAnsi="宋体" w:cs="宋体"/>
          <w:bCs/>
          <w:color w:val="auto"/>
          <w:sz w:val="24"/>
          <w:u w:val="single"/>
        </w:rPr>
        <w:t xml:space="preserve"> </w:t>
      </w:r>
    </w:p>
    <w:p w14:paraId="4FF0A62C">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p>
    <w:p w14:paraId="7A634120">
      <w:pPr>
        <w:spacing w:line="360" w:lineRule="auto"/>
        <w:rPr>
          <w:rFonts w:ascii="宋体" w:hAnsi="宋体" w:cs="宋体"/>
          <w:color w:val="auto"/>
          <w:sz w:val="24"/>
        </w:rPr>
      </w:pPr>
      <w:r>
        <w:rPr>
          <w:rFonts w:hint="eastAsia" w:ascii="宋体" w:hAnsi="宋体" w:cs="宋体"/>
          <w:b/>
          <w:color w:val="auto"/>
          <w:sz w:val="24"/>
        </w:rPr>
        <w:t xml:space="preserve">六、公告期限 </w:t>
      </w:r>
    </w:p>
    <w:p w14:paraId="0BFE0722">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14:paraId="49CFF33C">
      <w:pPr>
        <w:spacing w:line="360" w:lineRule="auto"/>
        <w:rPr>
          <w:rFonts w:ascii="宋体" w:hAnsi="宋体" w:cs="宋体"/>
          <w:b/>
          <w:color w:val="auto"/>
          <w:sz w:val="24"/>
        </w:rPr>
      </w:pPr>
      <w:r>
        <w:rPr>
          <w:rFonts w:hint="eastAsia" w:ascii="宋体" w:hAnsi="宋体" w:cs="宋体"/>
          <w:b/>
          <w:color w:val="auto"/>
          <w:sz w:val="24"/>
        </w:rPr>
        <w:t>七、其他补充事宜</w:t>
      </w:r>
    </w:p>
    <w:p w14:paraId="05806B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已分别于2022年1月29日、2022年2月1日和2022年7月1日开始实施，此前有关规定与上述文件内容不一致的，按上述文件要求执行。</w:t>
      </w:r>
    </w:p>
    <w:p w14:paraId="57F805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BF0A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33BCA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4.其</w:t>
      </w:r>
      <w:r>
        <w:rPr>
          <w:rFonts w:hint="eastAsia" w:ascii="宋体" w:hAnsi="宋体" w:cs="宋体"/>
          <w:color w:val="auto"/>
          <w:sz w:val="21"/>
          <w:szCs w:val="21"/>
        </w:rPr>
        <w:t>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w:t>
      </w:r>
      <w:r>
        <w:rPr>
          <w:rFonts w:hint="eastAsia" w:ascii="宋体" w:hAnsi="宋体" w:cs="宋体"/>
          <w:color w:val="auto"/>
          <w:sz w:val="24"/>
        </w:rPr>
        <w:t>“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5A9148F7">
      <w:pPr>
        <w:spacing w:line="360"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14:paraId="136A5321">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1.采购人：</w:t>
      </w:r>
      <w:r>
        <w:rPr>
          <w:rFonts w:hint="eastAsia" w:ascii="宋体" w:hAnsi="宋体" w:cs="宋体"/>
          <w:color w:val="auto"/>
          <w:sz w:val="24"/>
          <w:szCs w:val="24"/>
          <w:highlight w:val="none"/>
          <w:lang w:eastAsia="zh-CN"/>
        </w:rPr>
        <w:t>宁海县胡陈乡人民政府</w:t>
      </w:r>
    </w:p>
    <w:p w14:paraId="312D0C00">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地  址： </w:t>
      </w:r>
      <w:r>
        <w:rPr>
          <w:rFonts w:hint="eastAsia" w:ascii="宋体" w:hAnsi="宋体" w:cs="宋体"/>
          <w:color w:val="auto"/>
          <w:sz w:val="24"/>
          <w:szCs w:val="24"/>
          <w:highlight w:val="none"/>
          <w:lang w:eastAsia="zh-CN"/>
        </w:rPr>
        <w:t>宁海县胡陈乡</w:t>
      </w:r>
    </w:p>
    <w:p w14:paraId="737BB7D8">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联系人： </w:t>
      </w:r>
      <w:r>
        <w:rPr>
          <w:rFonts w:hint="eastAsia" w:ascii="宋体" w:hAnsi="宋体" w:cs="宋体"/>
          <w:color w:val="auto"/>
          <w:sz w:val="24"/>
          <w:szCs w:val="24"/>
          <w:highlight w:val="none"/>
          <w:lang w:eastAsia="zh-CN"/>
        </w:rPr>
        <w:t>余先生</w:t>
      </w:r>
    </w:p>
    <w:p w14:paraId="06411D2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13456171994</w:t>
      </w:r>
    </w:p>
    <w:p w14:paraId="52011EE7">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p>
    <w:p w14:paraId="4BEEAE2A">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质疑联系方式：</w:t>
      </w:r>
    </w:p>
    <w:p w14:paraId="578BB66F">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2.代理机构：</w:t>
      </w:r>
      <w:r>
        <w:rPr>
          <w:rFonts w:hint="eastAsia" w:ascii="宋体" w:hAnsi="宋体" w:eastAsia="宋体" w:cs="宋体"/>
          <w:color w:val="auto"/>
          <w:sz w:val="24"/>
          <w:szCs w:val="24"/>
          <w:highlight w:val="none"/>
          <w:lang w:eastAsia="zh-CN"/>
        </w:rPr>
        <w:t>温州中源工程项目管理有限公司</w:t>
      </w:r>
    </w:p>
    <w:p w14:paraId="2471DC9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kern w:val="0"/>
          <w:sz w:val="24"/>
          <w:szCs w:val="24"/>
          <w:highlight w:val="none"/>
        </w:rPr>
        <w:t>宁海县北斗北路359号三楼</w:t>
      </w:r>
    </w:p>
    <w:p w14:paraId="50C8CBB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kern w:val="0"/>
          <w:sz w:val="24"/>
          <w:szCs w:val="24"/>
          <w:highlight w:val="none"/>
        </w:rPr>
        <w:t>童静</w:t>
      </w:r>
      <w:r>
        <w:rPr>
          <w:rFonts w:hint="eastAsia" w:ascii="宋体" w:hAnsi="宋体" w:eastAsia="宋体" w:cs="宋体"/>
          <w:color w:val="auto"/>
          <w:sz w:val="24"/>
          <w:szCs w:val="24"/>
          <w:highlight w:val="none"/>
        </w:rPr>
        <w:t xml:space="preserve">       </w:t>
      </w:r>
    </w:p>
    <w:p w14:paraId="0BEDCA2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联系电话：0574-59976439、13566627412</w:t>
      </w:r>
    </w:p>
    <w:p w14:paraId="0383309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 胡旭辉</w:t>
      </w:r>
    </w:p>
    <w:p w14:paraId="66A8476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eastAsia="zh-CN"/>
        </w:rPr>
        <w:t>0574-59976439</w:t>
      </w:r>
      <w:r>
        <w:rPr>
          <w:rFonts w:hint="eastAsia" w:ascii="宋体" w:hAnsi="宋体" w:eastAsia="宋体" w:cs="宋体"/>
          <w:color w:val="auto"/>
          <w:sz w:val="24"/>
          <w:szCs w:val="24"/>
          <w:highlight w:val="none"/>
        </w:rPr>
        <w:t xml:space="preserve"> </w:t>
      </w:r>
    </w:p>
    <w:p w14:paraId="756B29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42E89C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称：宁海县政府采购管理办公室             </w:t>
      </w:r>
    </w:p>
    <w:p w14:paraId="76CBC5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址：宁海县跃龙街道桃源中路218号            </w:t>
      </w:r>
    </w:p>
    <w:p w14:paraId="5C2D73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真：0574-65265612            </w:t>
      </w:r>
    </w:p>
    <w:p w14:paraId="7692B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：王老师             </w:t>
      </w:r>
    </w:p>
    <w:p w14:paraId="075711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投诉电话：0574-65265668 </w:t>
      </w:r>
    </w:p>
    <w:p w14:paraId="0FC7F5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14:paraId="12E3C2B7">
      <w:pPr>
        <w:snapToGrid w:val="0"/>
        <w:spacing w:line="360" w:lineRule="auto"/>
        <w:ind w:firstLine="480" w:firstLineChars="200"/>
        <w:rPr>
          <w:rFonts w:ascii="宋体" w:hAnsi="宋体" w:cs="宋体"/>
          <w:color w:val="auto"/>
          <w:sz w:val="24"/>
          <w:szCs w:val="24"/>
        </w:rPr>
        <w:sectPr>
          <w:headerReference r:id="rId3" w:type="first"/>
          <w:footerReference r:id="rId6" w:type="first"/>
          <w:footerReference r:id="rId4" w:type="default"/>
          <w:footerReference r:id="rId5" w:type="even"/>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CA问题联系电话（人工）：汇信CA 400-888-4636；天谷CA 400-087-8198</w:t>
      </w:r>
      <w:r>
        <w:rPr>
          <w:rFonts w:hint="eastAsia" w:ascii="宋体" w:hAnsi="宋体" w:cs="宋体"/>
          <w:color w:val="auto"/>
          <w:sz w:val="24"/>
          <w:szCs w:val="24"/>
        </w:rPr>
        <w:t>。</w:t>
      </w:r>
    </w:p>
    <w:p w14:paraId="1E216AA9">
      <w:pPr>
        <w:pStyle w:val="32"/>
        <w:spacing w:line="360" w:lineRule="auto"/>
        <w:jc w:val="center"/>
        <w:rPr>
          <w:rFonts w:hAnsi="宋体" w:cs="宋体"/>
          <w:b/>
          <w:snapToGrid/>
          <w:color w:val="auto"/>
          <w:sz w:val="36"/>
          <w:szCs w:val="20"/>
        </w:rPr>
      </w:pPr>
      <w:r>
        <w:rPr>
          <w:rFonts w:hint="eastAsia" w:hAnsi="宋体" w:cs="宋体"/>
          <w:b/>
          <w:snapToGrid/>
          <w:color w:val="auto"/>
          <w:sz w:val="36"/>
          <w:szCs w:val="20"/>
        </w:rPr>
        <w:t>第二部分</w:t>
      </w:r>
      <w:bookmarkEnd w:id="8"/>
      <w:r>
        <w:rPr>
          <w:rFonts w:hint="eastAsia" w:hAnsi="宋体" w:cs="宋体"/>
          <w:b/>
          <w:snapToGrid/>
          <w:color w:val="auto"/>
          <w:sz w:val="36"/>
          <w:szCs w:val="20"/>
        </w:rPr>
        <w:t xml:space="preserve"> 供应商须知</w:t>
      </w:r>
      <w:bookmarkEnd w:id="9"/>
    </w:p>
    <w:p w14:paraId="05250845">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C55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FC8D51A">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093" w:type="dxa"/>
            <w:vAlign w:val="center"/>
          </w:tcPr>
          <w:p w14:paraId="135A8540">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事项</w:t>
            </w:r>
          </w:p>
        </w:tc>
        <w:tc>
          <w:tcPr>
            <w:tcW w:w="6927" w:type="dxa"/>
            <w:vAlign w:val="center"/>
          </w:tcPr>
          <w:p w14:paraId="27DB21F1">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本项目的特别规定</w:t>
            </w:r>
          </w:p>
        </w:tc>
      </w:tr>
      <w:tr w14:paraId="78BA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5B2BD12">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93" w:type="dxa"/>
            <w:vAlign w:val="center"/>
          </w:tcPr>
          <w:p w14:paraId="3DE81EFB">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项目属性</w:t>
            </w:r>
          </w:p>
        </w:tc>
        <w:tc>
          <w:tcPr>
            <w:tcW w:w="6927" w:type="dxa"/>
            <w:vAlign w:val="center"/>
          </w:tcPr>
          <w:p w14:paraId="1696971A">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工程</w:t>
            </w:r>
            <w:r>
              <w:rPr>
                <w:rFonts w:hint="eastAsia" w:ascii="宋体" w:hAnsi="宋体" w:eastAsia="宋体" w:cs="宋体"/>
                <w:color w:val="auto"/>
                <w:sz w:val="24"/>
                <w:szCs w:val="24"/>
              </w:rPr>
              <w:t>类</w:t>
            </w:r>
          </w:p>
        </w:tc>
      </w:tr>
      <w:tr w14:paraId="0623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1B43A3">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93" w:type="dxa"/>
            <w:vAlign w:val="center"/>
          </w:tcPr>
          <w:p w14:paraId="47C16E1D">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采购标的及其对应的中小企业划分标准所属行业</w:t>
            </w:r>
          </w:p>
        </w:tc>
        <w:tc>
          <w:tcPr>
            <w:tcW w:w="6927" w:type="dxa"/>
            <w:vAlign w:val="center"/>
          </w:tcPr>
          <w:p w14:paraId="05B55C00">
            <w:pPr>
              <w:snapToGrid w:val="0"/>
              <w:spacing w:line="360" w:lineRule="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rPr>
              <w:t>（1）标的：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eastAsia="zh-CN"/>
              </w:rPr>
              <w:t>宁海县胡陈乡2025年山塘整治工程（小垅、秤钩吊月、发洪）</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建筑业 </w:t>
            </w:r>
            <w:r>
              <w:rPr>
                <w:rFonts w:hint="eastAsia" w:ascii="宋体" w:hAnsi="宋体" w:eastAsia="宋体" w:cs="宋体"/>
                <w:color w:val="auto"/>
                <w:kern w:val="0"/>
                <w:sz w:val="24"/>
                <w:szCs w:val="24"/>
              </w:rPr>
              <w:t>行业；</w:t>
            </w:r>
          </w:p>
        </w:tc>
      </w:tr>
      <w:tr w14:paraId="4774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4336E5">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93" w:type="dxa"/>
            <w:vAlign w:val="center"/>
          </w:tcPr>
          <w:p w14:paraId="606F2FC4">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是否允许采购进口产品</w:t>
            </w:r>
          </w:p>
        </w:tc>
        <w:tc>
          <w:tcPr>
            <w:tcW w:w="6927" w:type="dxa"/>
            <w:vAlign w:val="center"/>
          </w:tcPr>
          <w:p w14:paraId="5BCDF586">
            <w:pPr>
              <w:spacing w:line="360" w:lineRule="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本项目不允许采购进口产品。</w:t>
            </w:r>
          </w:p>
          <w:p w14:paraId="5AFEFD7C">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可以就</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采购进口产品。</w:t>
            </w:r>
          </w:p>
        </w:tc>
      </w:tr>
      <w:tr w14:paraId="5683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55B228A">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93" w:type="dxa"/>
            <w:vAlign w:val="center"/>
          </w:tcPr>
          <w:p w14:paraId="044C2B4B">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分包</w:t>
            </w:r>
          </w:p>
        </w:tc>
        <w:tc>
          <w:tcPr>
            <w:tcW w:w="6927" w:type="dxa"/>
            <w:vAlign w:val="center"/>
          </w:tcPr>
          <w:p w14:paraId="0C042FE4">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szCs w:val="24"/>
              </w:rPr>
              <w:t xml:space="preserve"> A</w:t>
            </w:r>
            <w:r>
              <w:rPr>
                <w:rFonts w:hint="eastAsia" w:ascii="宋体" w:hAnsi="宋体" w:eastAsia="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工作分包。</w:t>
            </w:r>
          </w:p>
          <w:p w14:paraId="3BAF4A41">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不同意分包，具体理由：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5D4AD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注：不得限制大中型企业向小微企业合理分包。</w:t>
            </w:r>
          </w:p>
        </w:tc>
      </w:tr>
      <w:tr w14:paraId="2606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6338A4">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93" w:type="dxa"/>
            <w:vAlign w:val="center"/>
          </w:tcPr>
          <w:p w14:paraId="373453AE">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磋商前答疑会或现场考察</w:t>
            </w:r>
          </w:p>
        </w:tc>
        <w:tc>
          <w:tcPr>
            <w:tcW w:w="6927" w:type="dxa"/>
            <w:vAlign w:val="center"/>
          </w:tcPr>
          <w:p w14:paraId="0EF860CE">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sym w:font="Wingdings" w:char="F0FE"/>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不组织。</w:t>
            </w:r>
          </w:p>
          <w:p w14:paraId="65DD5370">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B组织，</w:t>
            </w: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r w14:paraId="3C6C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4FE059">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93" w:type="dxa"/>
            <w:vAlign w:val="center"/>
          </w:tcPr>
          <w:p w14:paraId="4C9EDE57">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样品提供</w:t>
            </w:r>
          </w:p>
        </w:tc>
        <w:tc>
          <w:tcPr>
            <w:tcW w:w="6927" w:type="dxa"/>
            <w:vAlign w:val="center"/>
          </w:tcPr>
          <w:p w14:paraId="0A17F563">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不要求提供。</w:t>
            </w:r>
          </w:p>
          <w:p w14:paraId="21A69EFC">
            <w:pPr>
              <w:spacing w:line="360" w:lineRule="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B要求提供，</w:t>
            </w:r>
          </w:p>
          <w:p w14:paraId="14E7B80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snapToGrid w:val="0"/>
                <w:color w:val="auto"/>
                <w:kern w:val="28"/>
                <w:sz w:val="24"/>
                <w:szCs w:val="24"/>
              </w:rPr>
              <w:t>样品：</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0A9C244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snapToGrid w:val="0"/>
                <w:color w:val="auto"/>
                <w:kern w:val="28"/>
                <w:sz w:val="24"/>
                <w:szCs w:val="24"/>
              </w:rPr>
              <w:t>样品制作的标准和要求：</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F8D85C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（3）样品的评审方法以及评审标准</w:t>
            </w:r>
            <w:r>
              <w:rPr>
                <w:rFonts w:hint="eastAsia" w:ascii="宋体" w:hAnsi="宋体" w:eastAsia="宋体" w:cs="宋体"/>
                <w:snapToGrid w:val="0"/>
                <w:color w:val="auto"/>
                <w:kern w:val="28"/>
                <w:sz w:val="24"/>
                <w:szCs w:val="24"/>
              </w:rPr>
              <w:t>：详见</w:t>
            </w:r>
            <w:r>
              <w:rPr>
                <w:rFonts w:hint="eastAsia" w:ascii="宋体" w:hAnsi="宋体" w:eastAsia="宋体" w:cs="宋体"/>
                <w:color w:val="auto"/>
                <w:sz w:val="24"/>
                <w:szCs w:val="24"/>
                <w:u w:val="single"/>
              </w:rPr>
              <w:t>评审办法</w:t>
            </w:r>
            <w:r>
              <w:rPr>
                <w:rFonts w:hint="eastAsia" w:ascii="宋体" w:hAnsi="宋体" w:eastAsia="宋体" w:cs="宋体"/>
                <w:color w:val="auto"/>
                <w:kern w:val="0"/>
                <w:sz w:val="24"/>
                <w:szCs w:val="24"/>
              </w:rPr>
              <w:t>；</w:t>
            </w:r>
          </w:p>
          <w:p w14:paraId="1BD16234">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（4）是否需要随样品提交检测报告：</w:t>
            </w:r>
            <w:sdt>
              <w:sdtPr>
                <w:rPr>
                  <w:rFonts w:hint="eastAsia" w:ascii="宋体" w:hAnsi="宋体" w:eastAsia="宋体" w:cs="宋体"/>
                  <w:color w:val="auto"/>
                  <w:kern w:val="0"/>
                  <w:sz w:val="24"/>
                  <w:szCs w:val="24"/>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否；</w:t>
            </w:r>
            <w:sdt>
              <w:sdtPr>
                <w:rPr>
                  <w:rFonts w:hint="eastAsia" w:ascii="宋体" w:hAnsi="宋体" w:eastAsia="宋体" w:cs="宋体"/>
                  <w:color w:val="auto"/>
                  <w:kern w:val="0"/>
                  <w:sz w:val="24"/>
                  <w:szCs w:val="24"/>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是，检测机构的要求</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；检测内容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78DE464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（5）提供样品的时间：</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；联系人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kern w:val="28"/>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。请供应商在上述时间内提供样品并按规定位置安装完毕。超过截止时间的，采购人或采购代理机构将不予接收，并将清场并封闭样品现场。</w:t>
            </w:r>
          </w:p>
          <w:p w14:paraId="0F98F8E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(6)采购活动结束后，对于未成交供应商提供的样品，采购人、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将通知未成交供应商在规定的时间内取回，逾期未取回的，采购人、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不负保管义务；对于成交供应商提供的样品，采购人将进行保管、封存，并作为履约验收的参考。</w:t>
            </w:r>
          </w:p>
          <w:p w14:paraId="526CE137">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（7）制作、运输、安装和保管样品所发生的一切费用由供应商自理。</w:t>
            </w:r>
          </w:p>
        </w:tc>
      </w:tr>
      <w:tr w14:paraId="4862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5752768">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93" w:type="dxa"/>
            <w:vAlign w:val="center"/>
          </w:tcPr>
          <w:p w14:paraId="514A8DE7">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方案讲解演示</w:t>
            </w:r>
          </w:p>
        </w:tc>
        <w:tc>
          <w:tcPr>
            <w:tcW w:w="6927" w:type="dxa"/>
            <w:vAlign w:val="center"/>
          </w:tcPr>
          <w:p w14:paraId="234CB394">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不组织。</w:t>
            </w:r>
          </w:p>
          <w:p w14:paraId="3134089F">
            <w:pPr>
              <w:spacing w:line="360" w:lineRule="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B组织。</w:t>
            </w:r>
          </w:p>
          <w:p w14:paraId="3966E76E">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（1）在评审时安排每个供应商进行方案讲解演示。每个供应商时间不超过</w:t>
            </w:r>
            <w:r>
              <w:rPr>
                <w:rFonts w:hint="eastAsia" w:ascii="宋体" w:hAnsi="宋体" w:eastAsia="宋体" w:cs="宋体"/>
                <w:color w:val="auto"/>
                <w:kern w:val="0"/>
                <w:sz w:val="24"/>
                <w:szCs w:val="24"/>
                <w:u w:val="single"/>
              </w:rPr>
              <w:t>20</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编制时可根据项目情况进行调整</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rPr>
              <w:t>分钟，讲解次序以响应文件解密时间先后次序为准，讲解演示人员不超过</w:t>
            </w:r>
            <w:r>
              <w:rPr>
                <w:rFonts w:hint="eastAsia" w:ascii="宋体" w:hAnsi="宋体" w:eastAsia="宋体" w:cs="宋体"/>
                <w:color w:val="auto"/>
                <w:kern w:val="0"/>
                <w:sz w:val="24"/>
                <w:szCs w:val="24"/>
                <w:u w:val="single"/>
              </w:rPr>
              <w:t>3</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编制时可根据项目情况进行调整</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rPr>
              <w:t>人。讲解演示结束后按要求解答磋商小组提问。</w:t>
            </w:r>
          </w:p>
          <w:p w14:paraId="03D0AB01">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（2）方案讲解演示可选择以下其中一种方式：</w:t>
            </w:r>
          </w:p>
          <w:p w14:paraId="0791EF67">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方式一：政采云平台在线讲解演示。政采云平台在线讲解需供应商根据政采云平台操作要求做好准备工作，提前完善软硬件配置环境。</w:t>
            </w:r>
          </w:p>
          <w:p w14:paraId="6BC4FDD4">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方式二：现场讲解演示。现场讲解地点为</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，讲解演示所用电脑等设备由供应商自备。现场讲解演示人员进场时提供讲解人员名单（加盖公章或授权代表签名）及身份证明，否则不得讲解演示。</w:t>
            </w:r>
          </w:p>
          <w:p w14:paraId="751D3FC0">
            <w:pPr>
              <w:snapToGrid w:val="0"/>
              <w:spacing w:line="360" w:lineRule="auto"/>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5FBE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6" w:hRule="atLeast"/>
        </w:trPr>
        <w:tc>
          <w:tcPr>
            <w:tcW w:w="714" w:type="dxa"/>
            <w:vMerge w:val="restart"/>
            <w:vAlign w:val="center"/>
          </w:tcPr>
          <w:p w14:paraId="366E11B3">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093" w:type="dxa"/>
            <w:vMerge w:val="restart"/>
            <w:vAlign w:val="center"/>
          </w:tcPr>
          <w:p w14:paraId="04400D57">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供应商应当提供的资格、资信证明文件</w:t>
            </w:r>
          </w:p>
        </w:tc>
        <w:tc>
          <w:tcPr>
            <w:tcW w:w="6927" w:type="dxa"/>
            <w:vAlign w:val="center"/>
          </w:tcPr>
          <w:p w14:paraId="70CA1F8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（1）资格证明文件：见采购文件第二部分11.1。</w:t>
            </w:r>
          </w:p>
          <w:p w14:paraId="0D37751C">
            <w:pPr>
              <w:spacing w:line="360" w:lineRule="auto"/>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lang w:val="zh-CN"/>
              </w:rPr>
              <w:t>供应商未提供有效的资格证明文件的，视为供应商不具备采购文件中规定的资格要求，响应文件无效。</w:t>
            </w:r>
          </w:p>
        </w:tc>
      </w:tr>
      <w:tr w14:paraId="4F18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6" w:hRule="atLeast"/>
        </w:trPr>
        <w:tc>
          <w:tcPr>
            <w:tcW w:w="714" w:type="dxa"/>
            <w:vMerge w:val="continue"/>
            <w:vAlign w:val="center"/>
          </w:tcPr>
          <w:p w14:paraId="5D2F5D06">
            <w:pPr>
              <w:snapToGrid w:val="0"/>
              <w:spacing w:line="360" w:lineRule="auto"/>
              <w:jc w:val="center"/>
              <w:rPr>
                <w:rFonts w:hint="eastAsia" w:ascii="宋体" w:hAnsi="宋体" w:eastAsia="宋体" w:cs="宋体"/>
                <w:color w:val="auto"/>
                <w:sz w:val="24"/>
                <w:szCs w:val="24"/>
              </w:rPr>
            </w:pPr>
          </w:p>
        </w:tc>
        <w:tc>
          <w:tcPr>
            <w:tcW w:w="2093" w:type="dxa"/>
            <w:vMerge w:val="continue"/>
            <w:vAlign w:val="center"/>
          </w:tcPr>
          <w:p w14:paraId="31348DB5">
            <w:pPr>
              <w:snapToGrid w:val="0"/>
              <w:spacing w:line="360" w:lineRule="auto"/>
              <w:jc w:val="center"/>
              <w:rPr>
                <w:rFonts w:hint="eastAsia" w:ascii="宋体" w:hAnsi="宋体" w:eastAsia="宋体" w:cs="宋体"/>
                <w:b/>
                <w:color w:val="auto"/>
                <w:sz w:val="24"/>
                <w:szCs w:val="24"/>
              </w:rPr>
            </w:pPr>
          </w:p>
        </w:tc>
        <w:tc>
          <w:tcPr>
            <w:tcW w:w="6927" w:type="dxa"/>
            <w:vAlign w:val="center"/>
          </w:tcPr>
          <w:p w14:paraId="254AA74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（2）资信证明文件：根据采购文件第四部分评审标准提供。</w:t>
            </w:r>
          </w:p>
        </w:tc>
      </w:tr>
      <w:tr w14:paraId="6CFF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67A4650">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093" w:type="dxa"/>
            <w:vAlign w:val="center"/>
          </w:tcPr>
          <w:p w14:paraId="2870076B">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节能产品、环境标志产品</w:t>
            </w:r>
          </w:p>
        </w:tc>
        <w:tc>
          <w:tcPr>
            <w:tcW w:w="6927" w:type="dxa"/>
            <w:vAlign w:val="center"/>
          </w:tcPr>
          <w:p w14:paraId="38772249">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3DB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B1541E">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093" w:type="dxa"/>
            <w:vAlign w:val="center"/>
          </w:tcPr>
          <w:p w14:paraId="798159D6">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报价要求</w:t>
            </w:r>
          </w:p>
        </w:tc>
        <w:tc>
          <w:tcPr>
            <w:tcW w:w="6927" w:type="dxa"/>
            <w:vAlign w:val="center"/>
          </w:tcPr>
          <w:p w14:paraId="4EEADCBB">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有关本项目实施所需的所有费用（含税费）均计入报价。</w:t>
            </w:r>
            <w:r>
              <w:rPr>
                <w:rFonts w:hint="eastAsia" w:ascii="宋体" w:hAnsi="宋体" w:eastAsia="宋体" w:cs="宋体"/>
                <w:color w:val="auto"/>
                <w:sz w:val="24"/>
                <w:szCs w:val="24"/>
              </w:rPr>
              <w:t>报价单是报价的唯一载体</w:t>
            </w:r>
            <w:r>
              <w:rPr>
                <w:rFonts w:hint="eastAsia" w:ascii="宋体" w:hAnsi="宋体" w:eastAsia="宋体" w:cs="宋体"/>
                <w:color w:val="auto"/>
                <w:kern w:val="0"/>
                <w:sz w:val="24"/>
                <w:szCs w:val="24"/>
                <w:lang w:val="zh-CN"/>
              </w:rPr>
              <w:t>。响应文件中价格全部采用人民币报价。采购文件未列明，而供应商认为必需的费用也需列入报价。</w:t>
            </w:r>
            <w:r>
              <w:rPr>
                <w:rFonts w:hint="eastAsia" w:ascii="宋体" w:hAnsi="宋体" w:eastAsia="宋体" w:cs="宋体"/>
                <w:b/>
                <w:color w:val="auto"/>
                <w:kern w:val="0"/>
                <w:sz w:val="24"/>
                <w:szCs w:val="24"/>
                <w:lang w:val="zh-CN"/>
              </w:rPr>
              <w:t>提醒：验收时检测费用由采购人承担，不包含在总价中。</w:t>
            </w:r>
          </w:p>
          <w:p w14:paraId="7690FD73">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最后报价出现下列情形的，响应文件无效：</w:t>
            </w:r>
          </w:p>
          <w:p w14:paraId="0E64E671">
            <w:pPr>
              <w:snapToGrid w:val="0"/>
              <w:spacing w:line="360" w:lineRule="auto"/>
              <w:ind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响应文件出现不是唯一的、有选择性最后报价的；</w:t>
            </w:r>
          </w:p>
          <w:p w14:paraId="3AFC7677">
            <w:pPr>
              <w:snapToGrid w:val="0"/>
              <w:spacing w:line="360" w:lineRule="auto"/>
              <w:ind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最后报价超过采购文件中规定的预算金额或者最高限价的;</w:t>
            </w:r>
          </w:p>
          <w:p w14:paraId="67F90259">
            <w:pPr>
              <w:pStyle w:val="3"/>
              <w:rPr>
                <w:rFonts w:hint="eastAsia" w:ascii="宋体" w:hAnsi="宋体" w:eastAsia="宋体" w:cs="宋体"/>
                <w:color w:val="auto"/>
                <w:sz w:val="24"/>
                <w:szCs w:val="24"/>
              </w:rPr>
            </w:pPr>
          </w:p>
          <w:p w14:paraId="3D654F02">
            <w:pPr>
              <w:spacing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kern w:val="0"/>
                <w:sz w:val="24"/>
                <w:szCs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rPr>
              <w:t>;</w:t>
            </w:r>
          </w:p>
          <w:p w14:paraId="6F9BF696">
            <w:pPr>
              <w:spacing w:line="360" w:lineRule="auto"/>
              <w:ind w:firstLine="241" w:firstLineChars="100"/>
              <w:rPr>
                <w:rFonts w:hint="eastAsia" w:ascii="宋体" w:hAnsi="宋体" w:eastAsia="宋体" w:cs="宋体"/>
                <w:color w:val="auto"/>
                <w:sz w:val="24"/>
                <w:szCs w:val="24"/>
              </w:rPr>
            </w:pPr>
            <w:r>
              <w:rPr>
                <w:rFonts w:hint="eastAsia" w:ascii="宋体" w:hAnsi="宋体" w:eastAsia="宋体" w:cs="宋体"/>
                <w:b/>
                <w:color w:val="auto"/>
                <w:kern w:val="0"/>
                <w:sz w:val="24"/>
                <w:szCs w:val="24"/>
              </w:rPr>
              <w:t>供应商对根据修正原则修正后的报价不确认的</w:t>
            </w:r>
            <w:r>
              <w:rPr>
                <w:rFonts w:hint="eastAsia" w:ascii="宋体" w:hAnsi="宋体" w:eastAsia="宋体" w:cs="宋体"/>
                <w:b/>
                <w:color w:val="auto"/>
                <w:sz w:val="24"/>
                <w:szCs w:val="24"/>
              </w:rPr>
              <w:t>。</w:t>
            </w:r>
          </w:p>
        </w:tc>
      </w:tr>
      <w:tr w14:paraId="3FAD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49B1BBC2">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093" w:type="dxa"/>
            <w:vAlign w:val="center"/>
          </w:tcPr>
          <w:p w14:paraId="168A41DF">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中小企业信用融资</w:t>
            </w:r>
          </w:p>
        </w:tc>
        <w:tc>
          <w:tcPr>
            <w:tcW w:w="6927" w:type="dxa"/>
            <w:vAlign w:val="center"/>
          </w:tcPr>
          <w:p w14:paraId="530F7E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kern w:val="28"/>
                <w:sz w:val="24"/>
                <w:szCs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2E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1B561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093" w:type="dxa"/>
            <w:vAlign w:val="center"/>
          </w:tcPr>
          <w:p w14:paraId="2FF4244E">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备份响应文件送达地点和签收人员</w:t>
            </w:r>
          </w:p>
        </w:tc>
        <w:tc>
          <w:tcPr>
            <w:tcW w:w="6927" w:type="dxa"/>
            <w:vAlign w:val="center"/>
          </w:tcPr>
          <w:p w14:paraId="649E133E">
            <w:pPr>
              <w:pStyle w:val="32"/>
              <w:spacing w:line="360" w:lineRule="auto"/>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备份响应文件送达地点：</w:t>
            </w:r>
            <w:r>
              <w:rPr>
                <w:rFonts w:hint="eastAsia" w:ascii="宋体" w:hAnsi="宋体" w:eastAsia="宋体" w:cs="宋体"/>
                <w:color w:val="auto"/>
                <w:sz w:val="24"/>
                <w:szCs w:val="24"/>
                <w:u w:val="single"/>
              </w:rPr>
              <w:t xml:space="preserve"> 宁海县北斗北路359号三楼，温州中源工程项目管理有限公司招标代理部  </w:t>
            </w:r>
            <w:r>
              <w:rPr>
                <w:rFonts w:hint="eastAsia" w:ascii="宋体" w:hAnsi="宋体" w:eastAsia="宋体" w:cs="宋体"/>
                <w:color w:val="auto"/>
                <w:kern w:val="28"/>
                <w:sz w:val="24"/>
                <w:szCs w:val="24"/>
              </w:rPr>
              <w:t>；</w:t>
            </w:r>
          </w:p>
          <w:p w14:paraId="559BD45B">
            <w:pPr>
              <w:pStyle w:val="32"/>
              <w:spacing w:line="360" w:lineRule="auto"/>
              <w:rPr>
                <w:rFonts w:hint="eastAsia" w:ascii="宋体" w:hAnsi="宋体" w:eastAsia="宋体" w:cs="宋体"/>
                <w:color w:val="auto"/>
                <w:sz w:val="24"/>
                <w:szCs w:val="24"/>
              </w:rPr>
            </w:pPr>
            <w:r>
              <w:rPr>
                <w:rFonts w:hint="eastAsia" w:ascii="宋体" w:hAnsi="宋体" w:eastAsia="宋体" w:cs="宋体"/>
                <w:color w:val="auto"/>
                <w:kern w:val="28"/>
                <w:sz w:val="24"/>
                <w:szCs w:val="24"/>
              </w:rPr>
              <w:t>备份响应文件签收人员联系电话：</w:t>
            </w:r>
            <w:r>
              <w:rPr>
                <w:rFonts w:hint="eastAsia" w:ascii="宋体" w:hAnsi="宋体" w:eastAsia="宋体" w:cs="宋体"/>
                <w:color w:val="auto"/>
                <w:sz w:val="24"/>
                <w:szCs w:val="24"/>
                <w:u w:val="single"/>
              </w:rPr>
              <w:t xml:space="preserve">  童静 0574-59976439 </w:t>
            </w:r>
            <w:r>
              <w:rPr>
                <w:rFonts w:hint="eastAsia" w:ascii="宋体" w:hAnsi="宋体" w:eastAsia="宋体" w:cs="宋体"/>
                <w:color w:val="auto"/>
                <w:sz w:val="24"/>
                <w:szCs w:val="24"/>
              </w:rPr>
              <w:t>。</w:t>
            </w:r>
          </w:p>
          <w:p w14:paraId="4DCB67CA">
            <w:pPr>
              <w:pStyle w:val="32"/>
              <w:spacing w:line="360" w:lineRule="auto"/>
              <w:rPr>
                <w:rFonts w:hint="eastAsia" w:ascii="宋体" w:hAnsi="宋体" w:eastAsia="宋体" w:cs="宋体"/>
                <w:color w:val="auto"/>
                <w:kern w:val="28"/>
                <w:sz w:val="24"/>
                <w:szCs w:val="24"/>
              </w:rPr>
            </w:pP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不强制或变相强制供应商提交备份响应文件。</w:t>
            </w:r>
          </w:p>
        </w:tc>
      </w:tr>
      <w:tr w14:paraId="3025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2" w:hRule="atLeast"/>
        </w:trPr>
        <w:tc>
          <w:tcPr>
            <w:tcW w:w="714" w:type="dxa"/>
            <w:vAlign w:val="center"/>
          </w:tcPr>
          <w:p w14:paraId="2EC4F663">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093" w:type="dxa"/>
            <w:vAlign w:val="center"/>
          </w:tcPr>
          <w:p w14:paraId="3434DBCB">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highlight w:val="none"/>
              </w:rPr>
              <w:t>否决投标的情形</w:t>
            </w:r>
          </w:p>
        </w:tc>
        <w:tc>
          <w:tcPr>
            <w:tcW w:w="6927" w:type="dxa"/>
            <w:vAlign w:val="center"/>
          </w:tcPr>
          <w:p w14:paraId="0DD95D4E">
            <w:pPr>
              <w:spacing w:line="360" w:lineRule="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投标文件</w:t>
            </w:r>
            <w:r>
              <w:rPr>
                <w:rFonts w:hint="eastAsia" w:ascii="宋体" w:hAnsi="宋体" w:eastAsia="宋体" w:cs="宋体"/>
                <w:snapToGrid w:val="0"/>
                <w:color w:val="auto"/>
                <w:kern w:val="28"/>
                <w:sz w:val="24"/>
                <w:szCs w:val="24"/>
                <w:lang w:val="en-US" w:eastAsia="zh-CN"/>
              </w:rPr>
              <w:t>有</w:t>
            </w:r>
            <w:r>
              <w:rPr>
                <w:rFonts w:hint="eastAsia" w:ascii="宋体" w:hAnsi="宋体" w:eastAsia="宋体" w:cs="宋体"/>
                <w:snapToGrid w:val="0"/>
                <w:color w:val="auto"/>
                <w:kern w:val="28"/>
                <w:sz w:val="24"/>
                <w:szCs w:val="24"/>
              </w:rPr>
              <w:t>以下情形之一的，由评标委员会</w:t>
            </w:r>
            <w:r>
              <w:rPr>
                <w:rFonts w:hint="eastAsia" w:ascii="宋体" w:hAnsi="宋体" w:eastAsia="宋体" w:cs="宋体"/>
                <w:snapToGrid w:val="0"/>
                <w:color w:val="auto"/>
                <w:kern w:val="28"/>
                <w:sz w:val="24"/>
                <w:szCs w:val="24"/>
                <w:lang w:val="en-US" w:eastAsia="zh-CN"/>
              </w:rPr>
              <w:t>审核</w:t>
            </w:r>
            <w:r>
              <w:rPr>
                <w:rFonts w:hint="eastAsia" w:ascii="宋体" w:hAnsi="宋体" w:eastAsia="宋体" w:cs="宋体"/>
                <w:snapToGrid w:val="0"/>
                <w:color w:val="auto"/>
                <w:kern w:val="28"/>
                <w:sz w:val="24"/>
                <w:szCs w:val="24"/>
              </w:rPr>
              <w:t>并经过询</w:t>
            </w:r>
            <w:r>
              <w:rPr>
                <w:rFonts w:hint="eastAsia" w:ascii="宋体" w:hAnsi="宋体" w:eastAsia="宋体" w:cs="宋体"/>
                <w:snapToGrid w:val="0"/>
                <w:color w:val="auto"/>
                <w:kern w:val="28"/>
                <w:sz w:val="24"/>
                <w:szCs w:val="24"/>
                <w:lang w:val="en-US" w:eastAsia="zh-CN"/>
              </w:rPr>
              <w:t>标</w:t>
            </w:r>
            <w:r>
              <w:rPr>
                <w:rFonts w:hint="eastAsia" w:ascii="宋体" w:hAnsi="宋体" w:eastAsia="宋体" w:cs="宋体"/>
                <w:snapToGrid w:val="0"/>
                <w:color w:val="auto"/>
                <w:kern w:val="28"/>
                <w:sz w:val="24"/>
                <w:szCs w:val="24"/>
              </w:rPr>
              <w:t>程序，作否决投标处理：</w:t>
            </w:r>
          </w:p>
          <w:p w14:paraId="2C143E45">
            <w:pPr>
              <w:spacing w:line="360" w:lineRule="auto"/>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1、</w:t>
            </w:r>
            <w:r>
              <w:rPr>
                <w:rFonts w:hint="eastAsia" w:ascii="宋体" w:hAnsi="宋体" w:eastAsia="宋体" w:cs="宋体"/>
                <w:snapToGrid w:val="0"/>
                <w:color w:val="auto"/>
                <w:kern w:val="28"/>
                <w:sz w:val="24"/>
                <w:szCs w:val="24"/>
                <w:lang w:eastAsia="zh-CN"/>
              </w:rPr>
              <w:t>投标人以联合体形式投标时，</w:t>
            </w:r>
            <w:r>
              <w:rPr>
                <w:rFonts w:hint="eastAsia" w:ascii="宋体" w:hAnsi="宋体" w:eastAsia="宋体" w:cs="宋体"/>
                <w:snapToGrid w:val="0"/>
                <w:color w:val="auto"/>
                <w:kern w:val="28"/>
                <w:sz w:val="24"/>
                <w:szCs w:val="24"/>
                <w:lang w:val="en-US" w:eastAsia="zh-CN"/>
              </w:rPr>
              <w:t>未</w:t>
            </w:r>
            <w:r>
              <w:rPr>
                <w:rFonts w:hint="eastAsia" w:ascii="宋体" w:hAnsi="宋体" w:eastAsia="宋体" w:cs="宋体"/>
                <w:snapToGrid w:val="0"/>
                <w:color w:val="auto"/>
                <w:kern w:val="28"/>
                <w:sz w:val="24"/>
                <w:szCs w:val="24"/>
              </w:rPr>
              <w:t>提交符合招标文件要求的联合体协议书</w:t>
            </w:r>
            <w:r>
              <w:rPr>
                <w:rFonts w:hint="eastAsia" w:ascii="宋体" w:hAnsi="宋体" w:eastAsia="宋体" w:cs="宋体"/>
                <w:snapToGrid w:val="0"/>
                <w:color w:val="auto"/>
                <w:kern w:val="28"/>
                <w:sz w:val="24"/>
                <w:szCs w:val="24"/>
                <w:lang w:val="en-US" w:eastAsia="zh-CN"/>
              </w:rPr>
              <w:t>的；</w:t>
            </w:r>
          </w:p>
          <w:p w14:paraId="0F3609D9">
            <w:pPr>
              <w:spacing w:line="360" w:lineRule="auto"/>
              <w:rPr>
                <w:rFonts w:hint="eastAsia" w:ascii="宋体" w:hAnsi="宋体" w:eastAsia="宋体" w:cs="宋体"/>
                <w:snapToGrid w:val="0"/>
                <w:color w:val="auto"/>
                <w:kern w:val="28"/>
                <w:sz w:val="24"/>
                <w:szCs w:val="24"/>
                <w:lang w:eastAsia="zh-CN"/>
              </w:rPr>
            </w:pPr>
            <w:r>
              <w:rPr>
                <w:rFonts w:hint="eastAsia" w:ascii="宋体" w:hAnsi="宋体" w:eastAsia="宋体" w:cs="宋体"/>
                <w:snapToGrid w:val="0"/>
                <w:color w:val="auto"/>
                <w:kern w:val="28"/>
                <w:sz w:val="24"/>
                <w:szCs w:val="24"/>
                <w:lang w:val="en-US" w:eastAsia="zh-CN"/>
              </w:rPr>
              <w:t>2、</w:t>
            </w:r>
            <w:r>
              <w:rPr>
                <w:rFonts w:hint="eastAsia" w:ascii="宋体" w:hAnsi="宋体" w:eastAsia="宋体" w:cs="宋体"/>
                <w:snapToGrid w:val="0"/>
                <w:color w:val="auto"/>
                <w:kern w:val="28"/>
                <w:sz w:val="24"/>
                <w:szCs w:val="24"/>
                <w:lang w:eastAsia="zh-CN"/>
              </w:rPr>
              <w:t>投标人递交备选投标方案的；</w:t>
            </w:r>
          </w:p>
          <w:p w14:paraId="205BB899">
            <w:pPr>
              <w:spacing w:line="360" w:lineRule="auto"/>
              <w:rPr>
                <w:rFonts w:hint="eastAsia" w:ascii="宋体" w:hAnsi="宋体" w:eastAsia="宋体" w:cs="宋体"/>
                <w:snapToGrid w:val="0"/>
                <w:color w:val="auto"/>
                <w:kern w:val="28"/>
                <w:sz w:val="24"/>
                <w:szCs w:val="24"/>
                <w:lang w:eastAsia="zh-CN"/>
              </w:rPr>
            </w:pPr>
            <w:r>
              <w:rPr>
                <w:rFonts w:hint="eastAsia" w:ascii="宋体" w:hAnsi="宋体" w:eastAsia="宋体" w:cs="宋体"/>
                <w:snapToGrid w:val="0"/>
                <w:color w:val="auto"/>
                <w:kern w:val="28"/>
                <w:sz w:val="24"/>
                <w:szCs w:val="24"/>
                <w:lang w:val="en-US" w:eastAsia="zh-CN"/>
              </w:rPr>
              <w:t>3、</w:t>
            </w:r>
            <w:r>
              <w:rPr>
                <w:rFonts w:hint="eastAsia" w:ascii="宋体" w:hAnsi="宋体" w:eastAsia="宋体" w:cs="宋体"/>
                <w:snapToGrid w:val="0"/>
                <w:color w:val="auto"/>
                <w:kern w:val="28"/>
                <w:sz w:val="24"/>
                <w:szCs w:val="24"/>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3D2EA906">
            <w:pPr>
              <w:spacing w:line="360" w:lineRule="auto"/>
              <w:rPr>
                <w:rFonts w:hint="eastAsia" w:ascii="宋体" w:hAnsi="宋体" w:eastAsia="宋体" w:cs="宋体"/>
                <w:b/>
                <w:color w:val="auto"/>
                <w:sz w:val="24"/>
                <w:szCs w:val="24"/>
              </w:rPr>
            </w:pPr>
            <w:r>
              <w:rPr>
                <w:rFonts w:hint="eastAsia" w:ascii="宋体" w:hAnsi="宋体" w:eastAsia="宋体" w:cs="宋体"/>
                <w:snapToGrid w:val="0"/>
                <w:color w:val="auto"/>
                <w:kern w:val="28"/>
                <w:sz w:val="24"/>
                <w:szCs w:val="24"/>
                <w:lang w:val="en-US" w:eastAsia="zh-CN"/>
              </w:rPr>
              <w:t>4、</w:t>
            </w:r>
            <w:r>
              <w:rPr>
                <w:rFonts w:hint="eastAsia" w:ascii="宋体" w:hAnsi="宋体" w:eastAsia="宋体" w:cs="宋体"/>
                <w:snapToGrid w:val="0"/>
                <w:color w:val="auto"/>
                <w:kern w:val="28"/>
                <w:sz w:val="24"/>
                <w:szCs w:val="24"/>
                <w:lang w:eastAsia="zh-CN"/>
              </w:rPr>
              <w:t>投标人未提供《中小企业声明函》或未按照招标文件所附的《中小企业声明函》格式提供的；</w:t>
            </w:r>
          </w:p>
        </w:tc>
      </w:tr>
      <w:tr w14:paraId="3B07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0BE8E03A">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2093" w:type="dxa"/>
            <w:vAlign w:val="center"/>
          </w:tcPr>
          <w:p w14:paraId="4DF82156">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其它说明</w:t>
            </w:r>
          </w:p>
        </w:tc>
        <w:tc>
          <w:tcPr>
            <w:tcW w:w="6927" w:type="dxa"/>
            <w:vAlign w:val="center"/>
          </w:tcPr>
          <w:p w14:paraId="3346FE96">
            <w:pPr>
              <w:spacing w:line="360" w:lineRule="auto"/>
              <w:rPr>
                <w:rFonts w:hint="eastAsia" w:ascii="宋体" w:hAnsi="宋体" w:eastAsia="宋体" w:cs="宋体"/>
                <w:snapToGrid w:val="0"/>
                <w:color w:val="auto"/>
                <w:kern w:val="28"/>
                <w:sz w:val="24"/>
                <w:szCs w:val="24"/>
                <w:lang w:eastAsia="zh-CN"/>
              </w:rPr>
            </w:pPr>
            <w:r>
              <w:rPr>
                <w:rFonts w:hint="eastAsia" w:ascii="宋体" w:hAnsi="宋体" w:eastAsia="宋体" w:cs="宋体"/>
                <w:snapToGrid w:val="0"/>
                <w:color w:val="auto"/>
                <w:kern w:val="28"/>
                <w:sz w:val="24"/>
                <w:szCs w:val="24"/>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color w:val="auto"/>
                <w:kern w:val="28"/>
                <w:sz w:val="24"/>
                <w:szCs w:val="24"/>
                <w:highlight w:val="none"/>
              </w:rPr>
              <w:t>业绩数量以提供材料较少的</w:t>
            </w:r>
            <w:r>
              <w:rPr>
                <w:rFonts w:hint="eastAsia" w:ascii="宋体" w:hAnsi="宋体" w:eastAsia="宋体" w:cs="宋体"/>
                <w:b w:val="0"/>
                <w:bCs w:val="0"/>
                <w:snapToGrid w:val="0"/>
                <w:color w:val="auto"/>
                <w:kern w:val="28"/>
                <w:sz w:val="24"/>
                <w:szCs w:val="24"/>
                <w:highlight w:val="none"/>
              </w:rPr>
              <w:t>一方为准</w:t>
            </w:r>
            <w:r>
              <w:rPr>
                <w:rFonts w:hint="eastAsia" w:ascii="宋体" w:hAnsi="宋体" w:cs="宋体"/>
                <w:b w:val="0"/>
                <w:bCs w:val="0"/>
                <w:snapToGrid w:val="0"/>
                <w:color w:val="auto"/>
                <w:kern w:val="28"/>
                <w:sz w:val="24"/>
                <w:szCs w:val="24"/>
                <w:highlight w:val="none"/>
                <w:lang w:eastAsia="zh-CN"/>
              </w:rPr>
              <w:t>。</w:t>
            </w:r>
          </w:p>
        </w:tc>
      </w:tr>
      <w:tr w14:paraId="47E8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18F7A93">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2093" w:type="dxa"/>
            <w:vAlign w:val="center"/>
          </w:tcPr>
          <w:p w14:paraId="2AA5D62F">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采购代理服务费</w:t>
            </w:r>
          </w:p>
        </w:tc>
        <w:tc>
          <w:tcPr>
            <w:tcW w:w="6927" w:type="dxa"/>
            <w:vAlign w:val="center"/>
          </w:tcPr>
          <w:p w14:paraId="23EF25B3">
            <w:pPr>
              <w:jc w:val="left"/>
              <w:rPr>
                <w:rFonts w:hint="eastAsia" w:ascii="宋体" w:hAnsi="宋体" w:eastAsia="宋体" w:cs="宋体"/>
                <w:color w:val="auto"/>
                <w:sz w:val="24"/>
                <w:szCs w:val="24"/>
                <w:highlight w:val="none"/>
              </w:rPr>
            </w:pPr>
          </w:p>
          <w:p w14:paraId="6C90B280">
            <w:pPr>
              <w:spacing w:line="360" w:lineRule="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lang w:val="en-US" w:eastAsia="zh-CN"/>
              </w:rPr>
              <w:t>1、</w:t>
            </w:r>
            <w:r>
              <w:rPr>
                <w:rFonts w:hint="eastAsia" w:ascii="宋体" w:hAnsi="宋体" w:eastAsia="宋体" w:cs="宋体"/>
                <w:snapToGrid w:val="0"/>
                <w:color w:val="auto"/>
                <w:kern w:val="28"/>
                <w:sz w:val="24"/>
                <w:szCs w:val="24"/>
              </w:rPr>
              <w:t>招标代理公司按下表中服务招标的标准，根据中标金额，向中标供应商收取招标代理服务费。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55"/>
              <w:gridCol w:w="1052"/>
              <w:gridCol w:w="990"/>
              <w:gridCol w:w="1032"/>
            </w:tblGrid>
            <w:tr w14:paraId="4B50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755"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6A9FC89B">
                  <w:pPr>
                    <w:spacing w:line="360" w:lineRule="auto"/>
                    <w:rPr>
                      <w:rFonts w:hint="eastAsia" w:ascii="宋体" w:hAnsi="宋体" w:eastAsia="宋体" w:cs="宋体"/>
                      <w:snapToGrid w:val="0"/>
                      <w:color w:val="auto"/>
                      <w:kern w:val="28"/>
                      <w:sz w:val="24"/>
                      <w:szCs w:val="24"/>
                      <w:highlight w:val="none"/>
                    </w:rPr>
                  </w:pPr>
                </w:p>
                <w:p w14:paraId="5DDF106F">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金额</w:t>
                  </w:r>
                </w:p>
                <w:p w14:paraId="18096DF9">
                  <w:pPr>
                    <w:spacing w:line="360" w:lineRule="auto"/>
                    <mc:AlternateContent>
                      <mc:Choice Requires="wpsCustomData">
                        <wpsCustomData:diagonalParaType/>
                      </mc:Choice>
                    </mc:AlternateContent>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（万元）</w:t>
                  </w:r>
                </w:p>
                <w:p w14:paraId="054AF4AD">
                  <w:pPr>
                    <w:spacing w:line="360" w:lineRule="auto"/>
                    <mc:AlternateContent>
                      <mc:Choice Requires="wpsCustomData">
                        <wpsCustomData:diagonalParaType/>
                      </mc:Choice>
                    </mc:AlternateContent>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费率</w:t>
                  </w:r>
                </w:p>
                <w:p w14:paraId="786A24F4">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服务类型</w:t>
                  </w:r>
                </w:p>
              </w:tc>
              <w:tc>
                <w:tcPr>
                  <w:tcW w:w="1052" w:type="dxa"/>
                  <w:noWrap w:val="0"/>
                  <w:tcMar>
                    <w:top w:w="30" w:type="dxa"/>
                    <w:left w:w="150" w:type="dxa"/>
                    <w:bottom w:w="30" w:type="dxa"/>
                    <w:right w:w="150" w:type="dxa"/>
                  </w:tcMar>
                  <w:vAlign w:val="center"/>
                </w:tcPr>
                <w:p w14:paraId="236433A2">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货物</w:t>
                  </w:r>
                </w:p>
                <w:p w14:paraId="08D13742">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招标</w:t>
                  </w:r>
                </w:p>
              </w:tc>
              <w:tc>
                <w:tcPr>
                  <w:tcW w:w="990" w:type="dxa"/>
                  <w:noWrap w:val="0"/>
                  <w:tcMar>
                    <w:top w:w="30" w:type="dxa"/>
                    <w:left w:w="150" w:type="dxa"/>
                    <w:bottom w:w="30" w:type="dxa"/>
                    <w:right w:w="150" w:type="dxa"/>
                  </w:tcMar>
                  <w:vAlign w:val="center"/>
                </w:tcPr>
                <w:p w14:paraId="48E76E1F">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服务</w:t>
                  </w:r>
                </w:p>
                <w:p w14:paraId="597AA3E7">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招标</w:t>
                  </w:r>
                </w:p>
              </w:tc>
              <w:tc>
                <w:tcPr>
                  <w:tcW w:w="1032" w:type="dxa"/>
                  <w:noWrap w:val="0"/>
                  <w:tcMar>
                    <w:top w:w="30" w:type="dxa"/>
                    <w:left w:w="150" w:type="dxa"/>
                    <w:bottom w:w="30" w:type="dxa"/>
                    <w:right w:w="150" w:type="dxa"/>
                  </w:tcMar>
                  <w:vAlign w:val="center"/>
                </w:tcPr>
                <w:p w14:paraId="62710899">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工程</w:t>
                  </w:r>
                </w:p>
                <w:p w14:paraId="0AAEB73C">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招标</w:t>
                  </w:r>
                </w:p>
              </w:tc>
            </w:tr>
            <w:tr w14:paraId="6C55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5BC3E982">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100以下(含)</w:t>
                  </w:r>
                </w:p>
              </w:tc>
              <w:tc>
                <w:tcPr>
                  <w:tcW w:w="1052" w:type="dxa"/>
                  <w:noWrap w:val="0"/>
                  <w:tcMar>
                    <w:top w:w="30" w:type="dxa"/>
                    <w:left w:w="150" w:type="dxa"/>
                    <w:bottom w:w="30" w:type="dxa"/>
                    <w:right w:w="150" w:type="dxa"/>
                  </w:tcMar>
                  <w:vAlign w:val="center"/>
                </w:tcPr>
                <w:p w14:paraId="1475106A">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w:t>
                  </w:r>
                </w:p>
              </w:tc>
              <w:tc>
                <w:tcPr>
                  <w:tcW w:w="990" w:type="dxa"/>
                  <w:noWrap w:val="0"/>
                  <w:tcMar>
                    <w:top w:w="30" w:type="dxa"/>
                    <w:left w:w="150" w:type="dxa"/>
                    <w:bottom w:w="30" w:type="dxa"/>
                    <w:right w:w="150" w:type="dxa"/>
                  </w:tcMar>
                  <w:vAlign w:val="center"/>
                </w:tcPr>
                <w:p w14:paraId="2F45A2BE">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w:t>
                  </w:r>
                </w:p>
              </w:tc>
              <w:tc>
                <w:tcPr>
                  <w:tcW w:w="1032" w:type="dxa"/>
                  <w:noWrap w:val="0"/>
                  <w:tcMar>
                    <w:top w:w="30" w:type="dxa"/>
                    <w:left w:w="150" w:type="dxa"/>
                    <w:bottom w:w="30" w:type="dxa"/>
                    <w:right w:w="150" w:type="dxa"/>
                  </w:tcMar>
                  <w:vAlign w:val="center"/>
                </w:tcPr>
                <w:p w14:paraId="0ED1C582">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w:t>
                  </w:r>
                </w:p>
              </w:tc>
            </w:tr>
            <w:tr w14:paraId="28E9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0631572B">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100-500(含)</w:t>
                  </w:r>
                </w:p>
              </w:tc>
              <w:tc>
                <w:tcPr>
                  <w:tcW w:w="1052" w:type="dxa"/>
                  <w:noWrap w:val="0"/>
                  <w:tcMar>
                    <w:top w:w="30" w:type="dxa"/>
                    <w:left w:w="150" w:type="dxa"/>
                    <w:bottom w:w="30" w:type="dxa"/>
                    <w:right w:w="150" w:type="dxa"/>
                  </w:tcMar>
                  <w:vAlign w:val="center"/>
                </w:tcPr>
                <w:p w14:paraId="4117297B">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w:t>
                  </w:r>
                </w:p>
              </w:tc>
              <w:tc>
                <w:tcPr>
                  <w:tcW w:w="990" w:type="dxa"/>
                  <w:noWrap w:val="0"/>
                  <w:tcMar>
                    <w:top w:w="30" w:type="dxa"/>
                    <w:left w:w="150" w:type="dxa"/>
                    <w:bottom w:w="30" w:type="dxa"/>
                    <w:right w:w="150" w:type="dxa"/>
                  </w:tcMar>
                  <w:vAlign w:val="center"/>
                </w:tcPr>
                <w:p w14:paraId="302C7345">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9</w:t>
                  </w:r>
                  <w:r>
                    <w:rPr>
                      <w:rFonts w:hint="eastAsia" w:ascii="宋体" w:hAnsi="宋体" w:eastAsia="宋体" w:cs="宋体"/>
                      <w:snapToGrid w:val="0"/>
                      <w:color w:val="auto"/>
                      <w:kern w:val="28"/>
                      <w:sz w:val="24"/>
                      <w:szCs w:val="24"/>
                      <w:highlight w:val="none"/>
                    </w:rPr>
                    <w:t>%</w:t>
                  </w:r>
                </w:p>
              </w:tc>
              <w:tc>
                <w:tcPr>
                  <w:tcW w:w="1032" w:type="dxa"/>
                  <w:noWrap w:val="0"/>
                  <w:tcMar>
                    <w:top w:w="30" w:type="dxa"/>
                    <w:left w:w="150" w:type="dxa"/>
                    <w:bottom w:w="30" w:type="dxa"/>
                    <w:right w:w="150" w:type="dxa"/>
                  </w:tcMar>
                  <w:vAlign w:val="center"/>
                </w:tcPr>
                <w:p w14:paraId="0A04AB4D">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0.7%</w:t>
                  </w:r>
                </w:p>
              </w:tc>
            </w:tr>
            <w:tr w14:paraId="4C8C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0016F075">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500-1000(含)</w:t>
                  </w:r>
                </w:p>
              </w:tc>
              <w:tc>
                <w:tcPr>
                  <w:tcW w:w="1052" w:type="dxa"/>
                  <w:noWrap w:val="0"/>
                  <w:tcMar>
                    <w:top w:w="30" w:type="dxa"/>
                    <w:left w:w="150" w:type="dxa"/>
                    <w:bottom w:w="30" w:type="dxa"/>
                    <w:right w:w="150" w:type="dxa"/>
                  </w:tcMar>
                  <w:vAlign w:val="center"/>
                </w:tcPr>
                <w:p w14:paraId="6262F17A">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9</w:t>
                  </w:r>
                  <w:r>
                    <w:rPr>
                      <w:rFonts w:hint="eastAsia" w:ascii="宋体" w:hAnsi="宋体" w:eastAsia="宋体" w:cs="宋体"/>
                      <w:snapToGrid w:val="0"/>
                      <w:color w:val="auto"/>
                      <w:kern w:val="28"/>
                      <w:sz w:val="24"/>
                      <w:szCs w:val="24"/>
                      <w:highlight w:val="none"/>
                    </w:rPr>
                    <w:t>%</w:t>
                  </w:r>
                </w:p>
              </w:tc>
              <w:tc>
                <w:tcPr>
                  <w:tcW w:w="990" w:type="dxa"/>
                  <w:noWrap w:val="0"/>
                  <w:tcMar>
                    <w:top w:w="30" w:type="dxa"/>
                    <w:left w:w="150" w:type="dxa"/>
                    <w:bottom w:w="30" w:type="dxa"/>
                    <w:right w:w="150" w:type="dxa"/>
                  </w:tcMar>
                  <w:vAlign w:val="center"/>
                </w:tcPr>
                <w:p w14:paraId="09FA5929">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w:t>
                  </w:r>
                </w:p>
              </w:tc>
              <w:tc>
                <w:tcPr>
                  <w:tcW w:w="1032" w:type="dxa"/>
                  <w:noWrap w:val="0"/>
                  <w:tcMar>
                    <w:top w:w="30" w:type="dxa"/>
                    <w:left w:w="150" w:type="dxa"/>
                    <w:bottom w:w="30" w:type="dxa"/>
                    <w:right w:w="150" w:type="dxa"/>
                  </w:tcMar>
                  <w:vAlign w:val="center"/>
                </w:tcPr>
                <w:p w14:paraId="6131162D">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0.55%</w:t>
                  </w:r>
                </w:p>
              </w:tc>
            </w:tr>
            <w:tr w14:paraId="0E64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2D96BF3F">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1000-5000(含)</w:t>
                  </w:r>
                </w:p>
              </w:tc>
              <w:tc>
                <w:tcPr>
                  <w:tcW w:w="1052" w:type="dxa"/>
                  <w:noWrap w:val="0"/>
                  <w:tcMar>
                    <w:top w:w="30" w:type="dxa"/>
                    <w:left w:w="150" w:type="dxa"/>
                    <w:bottom w:w="30" w:type="dxa"/>
                    <w:right w:w="150" w:type="dxa"/>
                  </w:tcMar>
                  <w:vAlign w:val="center"/>
                </w:tcPr>
                <w:p w14:paraId="6183C450">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0.6%</w:t>
                  </w:r>
                </w:p>
              </w:tc>
              <w:tc>
                <w:tcPr>
                  <w:tcW w:w="990" w:type="dxa"/>
                  <w:noWrap w:val="0"/>
                  <w:tcMar>
                    <w:top w:w="30" w:type="dxa"/>
                    <w:left w:w="150" w:type="dxa"/>
                    <w:bottom w:w="30" w:type="dxa"/>
                    <w:right w:w="150" w:type="dxa"/>
                  </w:tcMar>
                  <w:vAlign w:val="center"/>
                </w:tcPr>
                <w:p w14:paraId="355E5F67">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0.2%</w:t>
                  </w:r>
                </w:p>
              </w:tc>
              <w:tc>
                <w:tcPr>
                  <w:tcW w:w="1032" w:type="dxa"/>
                  <w:noWrap w:val="0"/>
                  <w:tcMar>
                    <w:top w:w="30" w:type="dxa"/>
                    <w:left w:w="150" w:type="dxa"/>
                    <w:bottom w:w="30" w:type="dxa"/>
                    <w:right w:w="150" w:type="dxa"/>
                  </w:tcMar>
                  <w:vAlign w:val="center"/>
                </w:tcPr>
                <w:p w14:paraId="413C8DB6">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0.35%</w:t>
                  </w:r>
                </w:p>
              </w:tc>
            </w:tr>
            <w:tr w14:paraId="70A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59C37676">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5000-10000(含)</w:t>
                  </w:r>
                </w:p>
              </w:tc>
              <w:tc>
                <w:tcPr>
                  <w:tcW w:w="1052" w:type="dxa"/>
                  <w:noWrap w:val="0"/>
                  <w:tcMar>
                    <w:top w:w="30" w:type="dxa"/>
                    <w:left w:w="150" w:type="dxa"/>
                    <w:bottom w:w="30" w:type="dxa"/>
                    <w:right w:w="150" w:type="dxa"/>
                  </w:tcMar>
                  <w:vAlign w:val="center"/>
                </w:tcPr>
                <w:p w14:paraId="6D0DCEF8">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0.2%</w:t>
                  </w:r>
                </w:p>
              </w:tc>
              <w:tc>
                <w:tcPr>
                  <w:tcW w:w="990" w:type="dxa"/>
                  <w:noWrap w:val="0"/>
                  <w:tcMar>
                    <w:top w:w="30" w:type="dxa"/>
                    <w:left w:w="150" w:type="dxa"/>
                    <w:bottom w:w="30" w:type="dxa"/>
                    <w:right w:w="150" w:type="dxa"/>
                  </w:tcMar>
                  <w:vAlign w:val="center"/>
                </w:tcPr>
                <w:p w14:paraId="4F46C701">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0.1%</w:t>
                  </w:r>
                </w:p>
              </w:tc>
              <w:tc>
                <w:tcPr>
                  <w:tcW w:w="1032" w:type="dxa"/>
                  <w:noWrap w:val="0"/>
                  <w:tcMar>
                    <w:top w:w="30" w:type="dxa"/>
                    <w:left w:w="150" w:type="dxa"/>
                    <w:bottom w:w="30" w:type="dxa"/>
                    <w:right w:w="150" w:type="dxa"/>
                  </w:tcMar>
                  <w:vAlign w:val="center"/>
                </w:tcPr>
                <w:p w14:paraId="669A0AA0">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0.2%</w:t>
                  </w:r>
                </w:p>
              </w:tc>
            </w:tr>
            <w:tr w14:paraId="7AB7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0EFA822A">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10000-100000(含)</w:t>
                  </w:r>
                </w:p>
              </w:tc>
              <w:tc>
                <w:tcPr>
                  <w:tcW w:w="1052" w:type="dxa"/>
                  <w:noWrap w:val="0"/>
                  <w:tcMar>
                    <w:top w:w="30" w:type="dxa"/>
                    <w:left w:w="150" w:type="dxa"/>
                    <w:bottom w:w="30" w:type="dxa"/>
                    <w:right w:w="150" w:type="dxa"/>
                  </w:tcMar>
                  <w:vAlign w:val="center"/>
                </w:tcPr>
                <w:p w14:paraId="3419CCE5">
                  <w:pPr>
                    <w:spacing w:line="312"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0.05%</w:t>
                  </w:r>
                </w:p>
              </w:tc>
              <w:tc>
                <w:tcPr>
                  <w:tcW w:w="990" w:type="dxa"/>
                  <w:noWrap w:val="0"/>
                  <w:tcMar>
                    <w:top w:w="30" w:type="dxa"/>
                    <w:left w:w="150" w:type="dxa"/>
                    <w:bottom w:w="30" w:type="dxa"/>
                    <w:right w:w="150" w:type="dxa"/>
                  </w:tcMar>
                  <w:vAlign w:val="center"/>
                </w:tcPr>
                <w:p w14:paraId="42442132">
                  <w:pPr>
                    <w:spacing w:line="312"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0.05%</w:t>
                  </w:r>
                </w:p>
              </w:tc>
              <w:tc>
                <w:tcPr>
                  <w:tcW w:w="1032" w:type="dxa"/>
                  <w:noWrap w:val="0"/>
                  <w:tcMar>
                    <w:top w:w="30" w:type="dxa"/>
                    <w:left w:w="150" w:type="dxa"/>
                    <w:bottom w:w="30" w:type="dxa"/>
                    <w:right w:w="150" w:type="dxa"/>
                  </w:tcMar>
                  <w:vAlign w:val="center"/>
                </w:tcPr>
                <w:p w14:paraId="197516B7">
                  <w:pPr>
                    <w:spacing w:line="312"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0.04%</w:t>
                  </w:r>
                </w:p>
              </w:tc>
            </w:tr>
            <w:tr w14:paraId="032E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2755" w:type="dxa"/>
                  <w:noWrap w:val="0"/>
                  <w:tcMar>
                    <w:top w:w="30" w:type="dxa"/>
                    <w:left w:w="150" w:type="dxa"/>
                    <w:bottom w:w="30" w:type="dxa"/>
                    <w:right w:w="150" w:type="dxa"/>
                  </w:tcMar>
                  <w:vAlign w:val="center"/>
                </w:tcPr>
                <w:p w14:paraId="0D839FA4">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100000以上</w:t>
                  </w:r>
                </w:p>
              </w:tc>
              <w:tc>
                <w:tcPr>
                  <w:tcW w:w="1052" w:type="dxa"/>
                  <w:noWrap w:val="0"/>
                  <w:tcMar>
                    <w:top w:w="30" w:type="dxa"/>
                    <w:left w:w="150" w:type="dxa"/>
                    <w:bottom w:w="30" w:type="dxa"/>
                    <w:right w:w="150" w:type="dxa"/>
                  </w:tcMar>
                  <w:vAlign w:val="center"/>
                </w:tcPr>
                <w:p w14:paraId="3D65B8C2">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0.01%</w:t>
                  </w:r>
                </w:p>
              </w:tc>
              <w:tc>
                <w:tcPr>
                  <w:tcW w:w="990" w:type="dxa"/>
                  <w:noWrap w:val="0"/>
                  <w:tcMar>
                    <w:top w:w="30" w:type="dxa"/>
                    <w:left w:w="150" w:type="dxa"/>
                    <w:bottom w:w="30" w:type="dxa"/>
                    <w:right w:w="150" w:type="dxa"/>
                  </w:tcMar>
                  <w:vAlign w:val="center"/>
                </w:tcPr>
                <w:p w14:paraId="49CA443C">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0.01%</w:t>
                  </w:r>
                </w:p>
              </w:tc>
              <w:tc>
                <w:tcPr>
                  <w:tcW w:w="1032" w:type="dxa"/>
                  <w:noWrap w:val="0"/>
                  <w:tcMar>
                    <w:top w:w="30" w:type="dxa"/>
                    <w:left w:w="150" w:type="dxa"/>
                    <w:bottom w:w="30" w:type="dxa"/>
                    <w:right w:w="150" w:type="dxa"/>
                  </w:tcMar>
                  <w:vAlign w:val="center"/>
                </w:tcPr>
                <w:p w14:paraId="6E75D9A7">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0.01%</w:t>
                  </w:r>
                </w:p>
              </w:tc>
            </w:tr>
          </w:tbl>
          <w:p w14:paraId="595DFC60">
            <w:pPr>
              <w:jc w:val="left"/>
              <w:rPr>
                <w:rFonts w:hint="eastAsia" w:ascii="宋体" w:hAnsi="宋体" w:eastAsia="宋体" w:cs="宋体"/>
                <w:color w:val="auto"/>
                <w:sz w:val="24"/>
                <w:szCs w:val="24"/>
                <w:highlight w:val="none"/>
              </w:rPr>
            </w:pPr>
          </w:p>
          <w:p w14:paraId="6D1B8D66">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注：中标服务费按差额定率累进法计算</w:t>
            </w:r>
          </w:p>
          <w:p w14:paraId="1E1DCE46">
            <w:pPr>
              <w:snapToGri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2、中标服务费以电汇、网银方式汇款。</w:t>
            </w:r>
          </w:p>
          <w:p w14:paraId="41C1C711">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帐户名称：温州中源工程项目管理有限公司宁海分公司</w:t>
            </w:r>
          </w:p>
          <w:p w14:paraId="629E59CA">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账号：60010122000882859</w:t>
            </w:r>
          </w:p>
          <w:p w14:paraId="035C9B21">
            <w:pPr>
              <w:spacing w:line="360" w:lineRule="auto"/>
              <w:rPr>
                <w:rFonts w:hint="eastAsia" w:ascii="宋体" w:hAnsi="宋体" w:eastAsia="宋体" w:cs="宋体"/>
                <w:snapToGrid w:val="0"/>
                <w:color w:val="auto"/>
                <w:kern w:val="28"/>
                <w:sz w:val="24"/>
                <w:szCs w:val="24"/>
              </w:rPr>
            </w:pPr>
            <w:r>
              <w:rPr>
                <w:rFonts w:hint="eastAsia" w:ascii="宋体" w:hAnsi="宋体" w:eastAsia="宋体" w:cs="宋体"/>
                <w:color w:val="auto"/>
                <w:sz w:val="24"/>
                <w:szCs w:val="24"/>
                <w:highlight w:val="none"/>
                <w:lang w:val="en-US" w:eastAsia="zh-CN"/>
              </w:rPr>
              <w:t>开户银行：宁波银行宁海支行</w:t>
            </w:r>
          </w:p>
        </w:tc>
      </w:tr>
      <w:tr w14:paraId="7AEF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DCB7F67">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093" w:type="dxa"/>
            <w:vAlign w:val="center"/>
          </w:tcPr>
          <w:p w14:paraId="741FE5F2">
            <w:pPr>
              <w:snapToGrid w:val="0"/>
              <w:spacing w:line="36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其他</w:t>
            </w:r>
          </w:p>
        </w:tc>
        <w:tc>
          <w:tcPr>
            <w:tcW w:w="6927" w:type="dxa"/>
            <w:vAlign w:val="center"/>
          </w:tcPr>
          <w:p w14:paraId="62B8363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投标文件数量：</w:t>
            </w:r>
          </w:p>
          <w:p w14:paraId="7094833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上传到政府采购云平台的电子投标文件（含资格文件、商务技术文件、报价文件）1份。</w:t>
            </w:r>
          </w:p>
          <w:p w14:paraId="6756C75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以U盘存储的电子备份投标文件（含资格文件、商务技术文件、报价文件）1份。</w:t>
            </w:r>
          </w:p>
          <w:p w14:paraId="552DA87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中标人需在中标公示结束后将正本一份，副本六份的纸质竞包文件提交给招标代理人。</w:t>
            </w:r>
          </w:p>
        </w:tc>
      </w:tr>
      <w:bookmarkEnd w:id="10"/>
    </w:tbl>
    <w:p w14:paraId="661996C5">
      <w:pPr>
        <w:snapToGrid w:val="0"/>
        <w:spacing w:line="360" w:lineRule="auto"/>
        <w:jc w:val="center"/>
        <w:outlineLvl w:val="0"/>
        <w:rPr>
          <w:rFonts w:hint="eastAsia" w:ascii="宋体" w:hAnsi="宋体" w:cs="宋体"/>
          <w:b/>
          <w:color w:val="auto"/>
          <w:sz w:val="32"/>
          <w:szCs w:val="20"/>
        </w:rPr>
      </w:pPr>
      <w:bookmarkStart w:id="13" w:name="_Toc164416483"/>
      <w:bookmarkStart w:id="14" w:name="第三部分"/>
    </w:p>
    <w:p w14:paraId="23FB6C09">
      <w:pPr>
        <w:snapToGrid w:val="0"/>
        <w:spacing w:line="360" w:lineRule="auto"/>
        <w:jc w:val="center"/>
        <w:outlineLvl w:val="0"/>
        <w:rPr>
          <w:rFonts w:hint="eastAsia" w:ascii="宋体" w:hAnsi="宋体" w:cs="宋体"/>
          <w:b/>
          <w:color w:val="auto"/>
          <w:sz w:val="32"/>
          <w:szCs w:val="20"/>
        </w:rPr>
      </w:pPr>
    </w:p>
    <w:p w14:paraId="0E54B322">
      <w:pPr>
        <w:snapToGrid w:val="0"/>
        <w:spacing w:line="360" w:lineRule="auto"/>
        <w:jc w:val="center"/>
        <w:outlineLvl w:val="0"/>
        <w:rPr>
          <w:rFonts w:hint="eastAsia" w:ascii="宋体" w:hAnsi="宋体" w:cs="宋体"/>
          <w:b/>
          <w:color w:val="auto"/>
          <w:sz w:val="32"/>
          <w:szCs w:val="20"/>
        </w:rPr>
      </w:pPr>
    </w:p>
    <w:p w14:paraId="498A47ED">
      <w:pPr>
        <w:snapToGrid w:val="0"/>
        <w:spacing w:line="360" w:lineRule="auto"/>
        <w:jc w:val="center"/>
        <w:outlineLvl w:val="0"/>
        <w:rPr>
          <w:rFonts w:hint="eastAsia" w:ascii="宋体" w:hAnsi="宋体" w:cs="宋体"/>
          <w:b/>
          <w:color w:val="auto"/>
          <w:sz w:val="32"/>
          <w:szCs w:val="20"/>
        </w:rPr>
      </w:pPr>
    </w:p>
    <w:p w14:paraId="71C709D8">
      <w:pPr>
        <w:snapToGrid w:val="0"/>
        <w:spacing w:line="360" w:lineRule="auto"/>
        <w:jc w:val="center"/>
        <w:outlineLvl w:val="0"/>
        <w:rPr>
          <w:rFonts w:hint="eastAsia" w:ascii="宋体" w:hAnsi="宋体" w:cs="宋体"/>
          <w:b/>
          <w:color w:val="auto"/>
          <w:sz w:val="32"/>
          <w:szCs w:val="20"/>
        </w:rPr>
      </w:pPr>
    </w:p>
    <w:p w14:paraId="3AABC8FC">
      <w:pPr>
        <w:snapToGrid w:val="0"/>
        <w:spacing w:line="360" w:lineRule="auto"/>
        <w:jc w:val="center"/>
        <w:outlineLvl w:val="0"/>
        <w:rPr>
          <w:rFonts w:hint="eastAsia" w:ascii="宋体" w:hAnsi="宋体" w:cs="宋体"/>
          <w:b/>
          <w:color w:val="auto"/>
          <w:sz w:val="32"/>
          <w:szCs w:val="20"/>
        </w:rPr>
      </w:pPr>
    </w:p>
    <w:p w14:paraId="3CA2D1CF">
      <w:pPr>
        <w:snapToGrid w:val="0"/>
        <w:spacing w:line="360" w:lineRule="auto"/>
        <w:jc w:val="center"/>
        <w:outlineLvl w:val="0"/>
        <w:rPr>
          <w:rFonts w:hint="eastAsia" w:ascii="宋体" w:hAnsi="宋体" w:cs="宋体"/>
          <w:b/>
          <w:color w:val="auto"/>
          <w:sz w:val="32"/>
          <w:szCs w:val="20"/>
        </w:rPr>
      </w:pPr>
    </w:p>
    <w:p w14:paraId="7DD3433E">
      <w:pPr>
        <w:snapToGrid w:val="0"/>
        <w:spacing w:line="360" w:lineRule="auto"/>
        <w:jc w:val="center"/>
        <w:outlineLvl w:val="0"/>
        <w:rPr>
          <w:rFonts w:hint="eastAsia" w:ascii="宋体" w:hAnsi="宋体" w:cs="宋体"/>
          <w:b/>
          <w:color w:val="auto"/>
          <w:sz w:val="32"/>
          <w:szCs w:val="20"/>
        </w:rPr>
      </w:pPr>
    </w:p>
    <w:p w14:paraId="2E594372">
      <w:pPr>
        <w:snapToGrid w:val="0"/>
        <w:spacing w:line="360" w:lineRule="auto"/>
        <w:jc w:val="center"/>
        <w:outlineLvl w:val="0"/>
        <w:rPr>
          <w:rFonts w:hint="eastAsia" w:ascii="宋体" w:hAnsi="宋体" w:cs="宋体"/>
          <w:b/>
          <w:color w:val="auto"/>
          <w:sz w:val="32"/>
          <w:szCs w:val="20"/>
        </w:rPr>
      </w:pPr>
    </w:p>
    <w:p w14:paraId="7B80348F">
      <w:pPr>
        <w:snapToGrid w:val="0"/>
        <w:spacing w:line="360" w:lineRule="auto"/>
        <w:jc w:val="center"/>
        <w:outlineLvl w:val="0"/>
        <w:rPr>
          <w:rFonts w:hint="eastAsia" w:ascii="宋体" w:hAnsi="宋体" w:cs="宋体"/>
          <w:b/>
          <w:color w:val="auto"/>
          <w:sz w:val="32"/>
          <w:szCs w:val="20"/>
        </w:rPr>
      </w:pPr>
    </w:p>
    <w:p w14:paraId="75517DF8">
      <w:pPr>
        <w:snapToGrid w:val="0"/>
        <w:spacing w:line="360" w:lineRule="auto"/>
        <w:jc w:val="center"/>
        <w:outlineLvl w:val="0"/>
        <w:rPr>
          <w:rFonts w:hint="eastAsia" w:ascii="宋体" w:hAnsi="宋体" w:cs="宋体"/>
          <w:b/>
          <w:color w:val="auto"/>
          <w:sz w:val="32"/>
          <w:szCs w:val="20"/>
        </w:rPr>
      </w:pPr>
    </w:p>
    <w:p w14:paraId="2D392346">
      <w:pPr>
        <w:snapToGrid w:val="0"/>
        <w:spacing w:line="360" w:lineRule="auto"/>
        <w:jc w:val="center"/>
        <w:outlineLvl w:val="0"/>
        <w:rPr>
          <w:rFonts w:hint="eastAsia" w:ascii="宋体" w:hAnsi="宋体" w:cs="宋体"/>
          <w:b/>
          <w:color w:val="auto"/>
          <w:sz w:val="32"/>
          <w:szCs w:val="20"/>
        </w:rPr>
      </w:pPr>
    </w:p>
    <w:p w14:paraId="3030049A">
      <w:pPr>
        <w:snapToGrid w:val="0"/>
        <w:spacing w:line="360" w:lineRule="auto"/>
        <w:jc w:val="center"/>
        <w:outlineLvl w:val="0"/>
        <w:rPr>
          <w:rFonts w:hint="eastAsia" w:ascii="宋体" w:hAnsi="宋体" w:cs="宋体"/>
          <w:b/>
          <w:color w:val="auto"/>
          <w:sz w:val="32"/>
          <w:szCs w:val="20"/>
        </w:rPr>
      </w:pPr>
    </w:p>
    <w:p w14:paraId="4B1DE7FA">
      <w:pPr>
        <w:snapToGrid w:val="0"/>
        <w:spacing w:line="360" w:lineRule="auto"/>
        <w:jc w:val="center"/>
        <w:outlineLvl w:val="0"/>
        <w:rPr>
          <w:rFonts w:hint="eastAsia" w:ascii="宋体" w:hAnsi="宋体" w:cs="宋体"/>
          <w:b/>
          <w:color w:val="auto"/>
          <w:sz w:val="32"/>
          <w:szCs w:val="20"/>
        </w:rPr>
      </w:pPr>
    </w:p>
    <w:p w14:paraId="49E2BF43">
      <w:pPr>
        <w:snapToGrid w:val="0"/>
        <w:spacing w:line="360" w:lineRule="auto"/>
        <w:jc w:val="center"/>
        <w:outlineLvl w:val="0"/>
        <w:rPr>
          <w:rFonts w:hint="eastAsia" w:ascii="宋体" w:hAnsi="宋体" w:cs="宋体"/>
          <w:b/>
          <w:color w:val="auto"/>
          <w:sz w:val="32"/>
          <w:szCs w:val="20"/>
        </w:rPr>
      </w:pPr>
    </w:p>
    <w:p w14:paraId="1B464864">
      <w:pPr>
        <w:snapToGrid w:val="0"/>
        <w:spacing w:line="360" w:lineRule="auto"/>
        <w:jc w:val="center"/>
        <w:outlineLvl w:val="0"/>
        <w:rPr>
          <w:rFonts w:hint="eastAsia" w:ascii="宋体" w:hAnsi="宋体" w:cs="宋体"/>
          <w:b/>
          <w:color w:val="auto"/>
          <w:sz w:val="32"/>
          <w:szCs w:val="20"/>
        </w:rPr>
      </w:pPr>
    </w:p>
    <w:p w14:paraId="7B0A783C">
      <w:pPr>
        <w:snapToGrid w:val="0"/>
        <w:spacing w:line="360" w:lineRule="auto"/>
        <w:jc w:val="center"/>
        <w:outlineLvl w:val="0"/>
        <w:rPr>
          <w:rFonts w:hint="eastAsia" w:ascii="宋体" w:hAnsi="宋体" w:cs="宋体"/>
          <w:b/>
          <w:color w:val="auto"/>
          <w:sz w:val="32"/>
          <w:szCs w:val="20"/>
        </w:rPr>
      </w:pPr>
    </w:p>
    <w:p w14:paraId="3017C162">
      <w:pPr>
        <w:snapToGrid w:val="0"/>
        <w:spacing w:line="360" w:lineRule="auto"/>
        <w:jc w:val="center"/>
        <w:outlineLvl w:val="0"/>
        <w:rPr>
          <w:rFonts w:hint="eastAsia" w:ascii="宋体" w:hAnsi="宋体" w:cs="宋体"/>
          <w:b/>
          <w:color w:val="auto"/>
          <w:sz w:val="32"/>
          <w:szCs w:val="20"/>
        </w:rPr>
      </w:pPr>
    </w:p>
    <w:p w14:paraId="4AEB391F">
      <w:pPr>
        <w:snapToGrid w:val="0"/>
        <w:spacing w:line="360" w:lineRule="auto"/>
        <w:jc w:val="center"/>
        <w:outlineLvl w:val="0"/>
        <w:rPr>
          <w:rFonts w:hint="eastAsia" w:ascii="宋体" w:hAnsi="宋体" w:cs="宋体"/>
          <w:b/>
          <w:color w:val="auto"/>
          <w:sz w:val="32"/>
          <w:szCs w:val="20"/>
        </w:rPr>
      </w:pPr>
    </w:p>
    <w:p w14:paraId="6AB7612D">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一、总则</w:t>
      </w:r>
    </w:p>
    <w:p w14:paraId="167A10F4">
      <w:pPr>
        <w:snapToGrid w:val="0"/>
        <w:spacing w:line="360" w:lineRule="auto"/>
        <w:jc w:val="left"/>
        <w:outlineLvl w:val="1"/>
        <w:rPr>
          <w:rFonts w:ascii="宋体" w:hAnsi="宋体" w:cs="宋体"/>
          <w:b/>
          <w:color w:val="auto"/>
          <w:sz w:val="24"/>
        </w:rPr>
      </w:pPr>
      <w:r>
        <w:rPr>
          <w:rFonts w:hint="eastAsia" w:ascii="宋体" w:hAnsi="宋体" w:cs="宋体"/>
          <w:b/>
          <w:color w:val="auto"/>
          <w:sz w:val="24"/>
        </w:rPr>
        <w:t>1. 适用范围</w:t>
      </w:r>
    </w:p>
    <w:p w14:paraId="6745A95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本采购文件适用于该项目的采购邀请、响应文件提交、响应文件开启、资格审查及信用信息查询、磋商、评审、成交供应商确定、合同、验收等行为（法律、法规另有规定的，从其规定）。</w:t>
      </w:r>
    </w:p>
    <w:p w14:paraId="3CE874B8">
      <w:pPr>
        <w:snapToGrid w:val="0"/>
        <w:spacing w:line="360" w:lineRule="auto"/>
        <w:outlineLvl w:val="0"/>
        <w:rPr>
          <w:rFonts w:ascii="宋体" w:hAnsi="宋体" w:cs="宋体"/>
          <w:b/>
          <w:color w:val="auto"/>
          <w:sz w:val="24"/>
        </w:rPr>
      </w:pPr>
      <w:r>
        <w:rPr>
          <w:rFonts w:hint="eastAsia" w:ascii="宋体" w:hAnsi="宋体" w:cs="宋体"/>
          <w:b/>
          <w:color w:val="auto"/>
          <w:sz w:val="24"/>
        </w:rPr>
        <w:t>2.定义</w:t>
      </w:r>
    </w:p>
    <w:p w14:paraId="2614A6B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 “采购人”系指竞争性磋商公告中载明的本项目的采购人。</w:t>
      </w:r>
    </w:p>
    <w:p w14:paraId="633935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”系指竞争性磋商公告中载明的本项目的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112EE8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2.3 “供应商”系指是指提交响应文件和报价、参与竞争性磋商采购活动的法人、其他组织或者自然人。</w:t>
      </w:r>
    </w:p>
    <w:p w14:paraId="135DCB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707C4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BE7041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6E26BB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系指不适用本项目的要求，“※”系指磋商过程中可能实质性变动的内容。</w:t>
      </w:r>
    </w:p>
    <w:p w14:paraId="626C346E">
      <w:pPr>
        <w:snapToGrid w:val="0"/>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C5FBE7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6AFB1B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 支持绿色发展</w:t>
      </w:r>
    </w:p>
    <w:p w14:paraId="2FB9D626">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rPr>
        <w:t>采购人拟采购的产品属于政府强制采购的节能产品品目清单范围的，供应商未按采购文件要求提供国家确定的认证机构出具的、处于有效期之内的节能产品认证证书的，响应文件无效。</w:t>
      </w:r>
    </w:p>
    <w:p w14:paraId="1CB441F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3.2.2纳入政府采购管理的修缮、装修类项目采购建材的，鼓励采购单位将绿色建材性能、指标等作为实质性条件纳入采购文件和合同，具体性能指标要求参考相关绿色建材政府采购需求标准。</w:t>
      </w:r>
    </w:p>
    <w:p w14:paraId="349881B4">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241D2F9">
      <w:pPr>
        <w:pStyle w:val="3"/>
        <w:tabs>
          <w:tab w:val="left" w:pos="0"/>
          <w:tab w:val="clear" w:pos="432"/>
        </w:tabs>
        <w:ind w:left="0" w:firstLine="480" w:firstLineChars="200"/>
        <w:rPr>
          <w:color w:val="auto"/>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09C1C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3.3支持中小企业发展</w:t>
      </w:r>
    </w:p>
    <w:p w14:paraId="67B95A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7E927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A21806F">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在政府采购活动中，供应商提供的工程符合下列情形的，享受中小企业扶持政策：</w:t>
      </w:r>
      <w:r>
        <w:rPr>
          <w:rFonts w:ascii="宋体" w:hAnsi="宋体" w:cs="宋体"/>
          <w:color w:val="auto"/>
          <w:sz w:val="24"/>
        </w:rPr>
        <w:t>在工程采购项目中，工程由中小企业承建，即工程施工单位为中小企业</w:t>
      </w:r>
      <w:r>
        <w:rPr>
          <w:rFonts w:hint="eastAsia" w:ascii="宋体" w:hAnsi="宋体" w:cs="宋体"/>
          <w:color w:val="auto"/>
          <w:kern w:val="0"/>
          <w:sz w:val="24"/>
        </w:rPr>
        <w:t>。</w:t>
      </w:r>
    </w:p>
    <w:p w14:paraId="0BE65CC5">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2A199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932F7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5437FE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DCDF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BB5E2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DAA3E5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F66EA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7DC22C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782CAB">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17D565BA">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1EE4D5FD">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14:paraId="770D74ED">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5226C7">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FE8468E">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424B58">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70740D8">
      <w:pPr>
        <w:pStyle w:val="32"/>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.1提出质疑的供应商应当是参与所质疑项目采购活动的供应商。潜在供应商已依法获取其可质疑的采购文件的，可以对该文件提出质疑。</w:t>
      </w:r>
    </w:p>
    <w:p w14:paraId="3F8EE368">
      <w:pPr>
        <w:pStyle w:val="32"/>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2BC57C4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00B81868">
      <w:pPr>
        <w:pStyle w:val="32"/>
        <w:snapToGrid w:val="0"/>
        <w:spacing w:line="360" w:lineRule="auto"/>
        <w:ind w:firstLine="480" w:firstLineChars="200"/>
        <w:rPr>
          <w:rFonts w:hAnsi="宋体" w:cs="宋体"/>
          <w:color w:val="auto"/>
          <w:sz w:val="24"/>
        </w:rPr>
      </w:pPr>
      <w:r>
        <w:rPr>
          <w:rFonts w:hint="eastAsia" w:hAnsi="宋体" w:cs="宋体"/>
          <w:color w:val="auto"/>
          <w:sz w:val="24"/>
        </w:rPr>
        <w:t>4.3.2.2对采购过程提出质疑的，质疑期限为各采购程序环节结束之日起计算。</w:t>
      </w:r>
    </w:p>
    <w:p w14:paraId="211341A8">
      <w:pPr>
        <w:pStyle w:val="32"/>
        <w:snapToGrid w:val="0"/>
        <w:spacing w:line="360" w:lineRule="auto"/>
        <w:ind w:firstLine="480" w:firstLineChars="200"/>
        <w:rPr>
          <w:rFonts w:hAnsi="宋体" w:cs="宋体"/>
          <w:color w:val="auto"/>
          <w:sz w:val="24"/>
        </w:rPr>
      </w:pPr>
      <w:r>
        <w:rPr>
          <w:rFonts w:hint="eastAsia" w:hAnsi="宋体" w:cs="宋体"/>
          <w:color w:val="auto"/>
          <w:sz w:val="24"/>
        </w:rPr>
        <w:t>4.3.2.3对采购结果提出质疑的，质疑期限自采购结果公告期限届满之日起计算。</w:t>
      </w:r>
    </w:p>
    <w:p w14:paraId="716444D8">
      <w:pPr>
        <w:pStyle w:val="32"/>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F66F584">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137729B4">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4.3.3.2质疑项目的名称、编号；</w:t>
      </w:r>
    </w:p>
    <w:p w14:paraId="7279B2FD">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4782FF3C">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4.3.3.4事实依据；</w:t>
      </w:r>
    </w:p>
    <w:p w14:paraId="5A9AA602">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4.3.3.5必要的法律依据；</w:t>
      </w:r>
    </w:p>
    <w:p w14:paraId="15134C60">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4.3.3.6提出质疑的日期。</w:t>
      </w:r>
    </w:p>
    <w:p w14:paraId="45BF742E">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A15BA26">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质疑函范本及制作说明详见附件2。</w:t>
      </w:r>
    </w:p>
    <w:p w14:paraId="1E03AD8E">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14:paraId="3DA63A46">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6FC0090B">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5C08EB2">
      <w:pPr>
        <w:pStyle w:val="888"/>
        <w:shd w:val="clear" w:color="auto" w:fill="FFFFFF"/>
        <w:adjustRightInd w:val="0"/>
        <w:snapToGrid w:val="0"/>
        <w:spacing w:before="0" w:beforeAutospacing="0" w:after="0" w:afterAutospacing="0" w:line="360" w:lineRule="auto"/>
        <w:ind w:firstLine="480" w:firstLineChars="200"/>
        <w:contextualSpacing/>
        <w:rPr>
          <w:color w:val="auto"/>
          <w:lang w:val="zh-CN"/>
        </w:rPr>
      </w:pPr>
      <w:r>
        <w:rPr>
          <w:rFonts w:hint="eastAsia"/>
          <w:color w:val="auto"/>
          <w:lang w:val="zh-CN"/>
        </w:rPr>
        <w:t>4.4供应商投诉</w:t>
      </w:r>
    </w:p>
    <w:p w14:paraId="351B4682">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2BBC71E">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4626DDD9">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14:paraId="1C54C652">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14:paraId="5D871E69">
      <w:pPr>
        <w:pStyle w:val="888"/>
        <w:shd w:val="clear" w:color="auto" w:fill="FFFFFF"/>
        <w:snapToGrid w:val="0"/>
        <w:spacing w:after="240" w:afterAutospacing="0" w:line="360" w:lineRule="auto"/>
        <w:ind w:firstLine="480" w:firstLineChars="200"/>
        <w:contextualSpacing/>
        <w:rPr>
          <w:color w:val="auto"/>
        </w:rPr>
      </w:pPr>
      <w:r>
        <w:rPr>
          <w:rFonts w:hint="eastAsia" w:asciiTheme="minorEastAsia" w:hAnsiTheme="minorEastAsia" w:eastAsiaTheme="minorEastAsia"/>
          <w:color w:val="auto"/>
        </w:rPr>
        <w:t>4.5.5</w:t>
      </w:r>
      <w:r>
        <w:rPr>
          <w:rFonts w:hint="eastAsia"/>
          <w:color w:val="auto"/>
          <w:highlight w:val="none"/>
        </w:rPr>
        <w:t>。</w:t>
      </w:r>
      <w:r>
        <w:rPr>
          <w:rFonts w:hint="eastAsia"/>
          <w:color w:val="auto"/>
        </w:rPr>
        <w:t>投诉书范本及制作说明详见附件3。</w:t>
      </w:r>
    </w:p>
    <w:p w14:paraId="6C335731">
      <w:pPr>
        <w:pStyle w:val="130"/>
        <w:snapToGrid w:val="0"/>
        <w:spacing w:before="0"/>
        <w:ind w:firstLine="360"/>
        <w:rPr>
          <w:rFonts w:ascii="宋体" w:hAnsi="宋体" w:cs="宋体"/>
          <w:color w:val="auto"/>
          <w:sz w:val="18"/>
          <w:szCs w:val="18"/>
        </w:rPr>
      </w:pPr>
    </w:p>
    <w:p w14:paraId="721FF1EE">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二、采购文件的构成、澄清、修改</w:t>
      </w:r>
    </w:p>
    <w:p w14:paraId="6CDD6ED9">
      <w:pPr>
        <w:pStyle w:val="32"/>
        <w:spacing w:line="360" w:lineRule="auto"/>
        <w:rPr>
          <w:rFonts w:hAnsi="宋体" w:cs="宋体"/>
          <w:b/>
          <w:color w:val="auto"/>
          <w:sz w:val="24"/>
          <w:szCs w:val="24"/>
        </w:rPr>
      </w:pPr>
      <w:r>
        <w:rPr>
          <w:rFonts w:hint="eastAsia" w:hAnsi="宋体" w:cs="宋体"/>
          <w:b/>
          <w:color w:val="auto"/>
          <w:sz w:val="24"/>
          <w:szCs w:val="24"/>
        </w:rPr>
        <w:t>5．采购文件的构成</w:t>
      </w:r>
    </w:p>
    <w:p w14:paraId="71896BF9">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采购文件包括下列文件及附件：</w:t>
      </w:r>
    </w:p>
    <w:p w14:paraId="2BA7EB5E">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5.1.1竞争性磋商公告；</w:t>
      </w:r>
    </w:p>
    <w:p w14:paraId="17793FDD">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5.1.2供应商须知；</w:t>
      </w:r>
    </w:p>
    <w:p w14:paraId="134B047D">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65F37D42">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5.1.4评审办法；</w:t>
      </w:r>
    </w:p>
    <w:p w14:paraId="3EEBD3D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B98BA7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66A8F73">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14:paraId="7CD39D95">
      <w:pPr>
        <w:pStyle w:val="32"/>
        <w:spacing w:line="360" w:lineRule="auto"/>
        <w:rPr>
          <w:rFonts w:hAnsi="宋体" w:cs="宋体"/>
          <w:b/>
          <w:color w:val="auto"/>
          <w:sz w:val="24"/>
          <w:szCs w:val="24"/>
        </w:rPr>
      </w:pPr>
      <w:r>
        <w:rPr>
          <w:rFonts w:hint="eastAsia" w:hAnsi="宋体" w:cs="宋体"/>
          <w:b/>
          <w:color w:val="auto"/>
          <w:sz w:val="24"/>
          <w:szCs w:val="24"/>
        </w:rPr>
        <w:t>6. 采购文件的澄清、修改</w:t>
      </w:r>
    </w:p>
    <w:p w14:paraId="54C81B02">
      <w:pPr>
        <w:pStyle w:val="130"/>
        <w:snapToGrid w:val="0"/>
        <w:spacing w:before="0"/>
        <w:ind w:firstLine="480"/>
        <w:rPr>
          <w:rFonts w:ascii="宋体" w:hAnsi="宋体" w:cs="宋体"/>
          <w:color w:val="auto"/>
        </w:rPr>
      </w:pPr>
      <w:r>
        <w:rPr>
          <w:rFonts w:hint="eastAsia" w:ascii="宋体" w:hAnsi="宋体" w:cs="宋体"/>
          <w:color w:val="auto"/>
        </w:rPr>
        <w:t>6.1已获取采购文件的潜在供应商，若有问题需要澄清，应于响应文件提交（上传）截止时间前，以书面形式向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18D0450">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BF4E3AD">
      <w:pPr>
        <w:pStyle w:val="23"/>
        <w:rPr>
          <w:rFonts w:hAnsi="宋体" w:cs="宋体"/>
          <w:color w:val="auto"/>
          <w:sz w:val="18"/>
          <w:szCs w:val="18"/>
          <w:lang w:val="en-US"/>
        </w:rPr>
      </w:pPr>
    </w:p>
    <w:p w14:paraId="47721C81">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三、提交响应文件</w:t>
      </w:r>
    </w:p>
    <w:p w14:paraId="169058BE">
      <w:pPr>
        <w:pStyle w:val="32"/>
        <w:spacing w:line="360" w:lineRule="auto"/>
        <w:rPr>
          <w:rFonts w:hAnsi="宋体" w:cs="宋体"/>
          <w:b/>
          <w:color w:val="auto"/>
          <w:sz w:val="24"/>
          <w:szCs w:val="24"/>
        </w:rPr>
      </w:pPr>
      <w:r>
        <w:rPr>
          <w:rFonts w:hint="eastAsia" w:hAnsi="宋体" w:cs="宋体"/>
          <w:b/>
          <w:color w:val="auto"/>
          <w:sz w:val="24"/>
          <w:szCs w:val="24"/>
        </w:rPr>
        <w:t>7. 采购文件的获取</w:t>
      </w:r>
    </w:p>
    <w:p w14:paraId="464D62C5">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详见竞争性磋商公告中获取采购文件的时间期限、地点、方式及采购文件售价。</w:t>
      </w:r>
    </w:p>
    <w:p w14:paraId="08903D23">
      <w:pPr>
        <w:pStyle w:val="32"/>
        <w:spacing w:line="360" w:lineRule="auto"/>
        <w:rPr>
          <w:rFonts w:hAnsi="宋体" w:cs="宋体"/>
          <w:b/>
          <w:color w:val="auto"/>
          <w:sz w:val="24"/>
          <w:szCs w:val="24"/>
        </w:rPr>
      </w:pPr>
      <w:r>
        <w:rPr>
          <w:rFonts w:hint="eastAsia" w:hAnsi="宋体" w:cs="宋体"/>
          <w:b/>
          <w:color w:val="auto"/>
          <w:sz w:val="24"/>
          <w:szCs w:val="24"/>
        </w:rPr>
        <w:t>8.磋商前答疑会或现场考察</w:t>
      </w:r>
    </w:p>
    <w:p w14:paraId="498AFEF4">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采购人组织潜在供应商现场考察或者召开磋商前答疑会的，潜在供应商按第二部分供应商须知前附表的规定参加现场考察或者磋商前答疑会。</w:t>
      </w:r>
    </w:p>
    <w:p w14:paraId="44A79B34">
      <w:pPr>
        <w:pStyle w:val="32"/>
        <w:spacing w:line="360" w:lineRule="auto"/>
        <w:rPr>
          <w:rFonts w:hAnsi="宋体" w:cs="宋体"/>
          <w:b/>
          <w:color w:val="auto"/>
          <w:szCs w:val="24"/>
        </w:rPr>
      </w:pPr>
      <w:r>
        <w:rPr>
          <w:rFonts w:hint="eastAsia" w:hAnsi="宋体" w:cs="宋体"/>
          <w:b/>
          <w:color w:val="auto"/>
          <w:kern w:val="28"/>
          <w:sz w:val="24"/>
          <w:szCs w:val="24"/>
        </w:rPr>
        <w:t>9.磋商保证金</w:t>
      </w:r>
    </w:p>
    <w:p w14:paraId="0593FA04">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11EC">
      <w:pPr>
        <w:pStyle w:val="32"/>
        <w:spacing w:line="360" w:lineRule="auto"/>
        <w:rPr>
          <w:rFonts w:hAnsi="宋体" w:cs="宋体"/>
          <w:b/>
          <w:color w:val="auto"/>
          <w:sz w:val="24"/>
          <w:szCs w:val="24"/>
        </w:rPr>
      </w:pPr>
      <w:r>
        <w:rPr>
          <w:rFonts w:hint="eastAsia" w:hAnsi="宋体" w:cs="宋体"/>
          <w:b/>
          <w:color w:val="auto"/>
          <w:sz w:val="24"/>
          <w:szCs w:val="24"/>
        </w:rPr>
        <w:t>10. 响应文件的语言</w:t>
      </w:r>
    </w:p>
    <w:p w14:paraId="211943A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14:paraId="6121254C">
      <w:pPr>
        <w:pStyle w:val="32"/>
        <w:spacing w:line="360" w:lineRule="auto"/>
        <w:rPr>
          <w:rFonts w:hAnsi="宋体" w:cs="宋体"/>
          <w:b/>
          <w:color w:val="auto"/>
          <w:sz w:val="24"/>
          <w:szCs w:val="24"/>
        </w:rPr>
      </w:pPr>
      <w:r>
        <w:rPr>
          <w:rFonts w:hint="eastAsia" w:hAnsi="宋体" w:cs="宋体"/>
          <w:b/>
          <w:color w:val="auto"/>
          <w:sz w:val="24"/>
          <w:szCs w:val="24"/>
        </w:rPr>
        <w:t>11. 响应文件的组成</w:t>
      </w:r>
    </w:p>
    <w:p w14:paraId="4A2630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8C5D75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2282D9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Start w:id="17" w:name="_Hlk101257010"/>
      <w:r>
        <w:rPr>
          <w:rFonts w:hint="eastAsia" w:ascii="宋体" w:hAnsi="宋体" w:cs="宋体"/>
          <w:snapToGrid w:val="0"/>
          <w:color w:val="auto"/>
          <w:kern w:val="28"/>
          <w:sz w:val="24"/>
          <w:szCs w:val="20"/>
        </w:rPr>
        <w:t>（如果有)</w:t>
      </w:r>
      <w:bookmarkEnd w:id="16"/>
      <w:bookmarkEnd w:id="17"/>
      <w:r>
        <w:rPr>
          <w:rFonts w:hint="eastAsia" w:ascii="宋体" w:hAnsi="宋体" w:cs="宋体"/>
          <w:snapToGrid w:val="0"/>
          <w:color w:val="auto"/>
          <w:kern w:val="28"/>
          <w:sz w:val="24"/>
          <w:szCs w:val="20"/>
        </w:rPr>
        <w:t>；</w:t>
      </w:r>
    </w:p>
    <w:p w14:paraId="5F42790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DC05D6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2342C6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643419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14:paraId="4B105F0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714472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14:paraId="5A0B4D9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14:paraId="564CA87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11.2.5评审标准相应的商务技术资料；</w:t>
      </w:r>
    </w:p>
    <w:p w14:paraId="361F64B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11.2.6商务技术偏离表；</w:t>
      </w:r>
    </w:p>
    <w:p w14:paraId="59F634D8">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495154A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3DD364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11.3.1报价单；</w:t>
      </w:r>
    </w:p>
    <w:p w14:paraId="11C74F1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11.3.2已标价工程量清单；</w:t>
      </w:r>
    </w:p>
    <w:p w14:paraId="5757338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w:t>
      </w:r>
    </w:p>
    <w:p w14:paraId="4633047A">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14:paraId="494093DC">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供应商提供虚假材料的，响应文件无效。</w:t>
      </w:r>
    </w:p>
    <w:p w14:paraId="17125E95">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351F5DAB">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8D789D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F39059D">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B0D057A">
      <w:pPr>
        <w:snapToGrid w:val="0"/>
        <w:spacing w:line="360" w:lineRule="auto"/>
        <w:rPr>
          <w:rFonts w:ascii="宋体" w:hAnsi="宋体" w:cs="宋体"/>
          <w:b/>
          <w:color w:val="auto"/>
          <w:sz w:val="24"/>
        </w:rPr>
      </w:pPr>
      <w:r>
        <w:rPr>
          <w:rFonts w:hint="eastAsia" w:ascii="宋体" w:hAnsi="宋体" w:cs="宋体"/>
          <w:b/>
          <w:color w:val="auto"/>
          <w:sz w:val="24"/>
        </w:rPr>
        <w:t>13.响应文件的签署、盖章</w:t>
      </w:r>
    </w:p>
    <w:p w14:paraId="0E8B9790">
      <w:pPr>
        <w:pStyle w:val="130"/>
        <w:snapToGrid w:val="0"/>
        <w:spacing w:before="0"/>
        <w:ind w:firstLine="480"/>
        <w:rPr>
          <w:rFonts w:ascii="宋体" w:hAnsi="宋体" w:cs="宋体"/>
          <w:b/>
          <w:color w:val="auto"/>
        </w:rPr>
      </w:pPr>
      <w:r>
        <w:rPr>
          <w:rFonts w:hint="eastAsia" w:ascii="宋体" w:hAnsi="宋体" w:cs="宋体"/>
          <w:color w:val="auto"/>
          <w:szCs w:val="24"/>
        </w:rPr>
        <w:t>13.1响应文件按照采购文件第六部分格式要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▲供应商的响应文件未按照采购文件要求签署、盖章的，其响应文件无效</w:t>
      </w:r>
      <w:r>
        <w:rPr>
          <w:rFonts w:hint="eastAsia" w:ascii="宋体" w:hAnsi="宋体" w:cs="宋体"/>
          <w:color w:val="auto"/>
          <w:szCs w:val="24"/>
        </w:rPr>
        <w:t>。</w:t>
      </w:r>
    </w:p>
    <w:p w14:paraId="7E21743C">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13.2为确保网上操作合法、有效和安全，供应商应当在响应文件提交（上传）截止时间前完成在“政府采购云平台”的身份认证，确保在电子投标过程中能够对相关数据电文进行加密和使用电子签名。</w:t>
      </w:r>
    </w:p>
    <w:p w14:paraId="2E68A546">
      <w:pPr>
        <w:pStyle w:val="130"/>
        <w:snapToGrid w:val="0"/>
        <w:spacing w:before="0"/>
        <w:ind w:firstLine="480"/>
        <w:rPr>
          <w:rFonts w:ascii="宋体" w:hAnsi="宋体" w:cs="宋体"/>
          <w:color w:val="auto"/>
          <w:szCs w:val="24"/>
        </w:rPr>
      </w:pPr>
      <w:r>
        <w:rPr>
          <w:rFonts w:hint="eastAsia" w:ascii="宋体" w:hAnsi="宋体" w:cs="宋体"/>
          <w:color w:val="auto"/>
        </w:rPr>
        <w:t>13.3采购文件对响应文件签署、盖章的要求适用于电子签名。</w:t>
      </w:r>
    </w:p>
    <w:p w14:paraId="2C2001A1">
      <w:pPr>
        <w:pStyle w:val="130"/>
        <w:snapToGrid w:val="0"/>
        <w:spacing w:before="0"/>
        <w:ind w:firstLine="0" w:firstLineChars="0"/>
        <w:rPr>
          <w:rFonts w:ascii="宋体" w:hAnsi="宋体" w:cs="宋体"/>
          <w:b/>
          <w:color w:val="auto"/>
          <w:szCs w:val="24"/>
        </w:rPr>
      </w:pPr>
    </w:p>
    <w:p w14:paraId="46708937">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14. 响应文件的提交、补充、修改、撤回</w:t>
      </w:r>
    </w:p>
    <w:p w14:paraId="03CA7AAF">
      <w:pPr>
        <w:pStyle w:val="130"/>
        <w:snapToGrid w:val="0"/>
        <w:spacing w:before="0"/>
        <w:ind w:firstLine="480"/>
        <w:rPr>
          <w:rFonts w:ascii="宋体" w:hAnsi="宋体" w:cs="宋体"/>
          <w:color w:val="auto"/>
          <w:szCs w:val="24"/>
        </w:rPr>
      </w:pPr>
      <w:r>
        <w:rPr>
          <w:rFonts w:hint="eastAsia" w:ascii="宋体" w:hAnsi="宋体" w:cs="宋体"/>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2260AD4">
      <w:pPr>
        <w:pStyle w:val="130"/>
        <w:snapToGrid w:val="0"/>
        <w:spacing w:before="0"/>
        <w:ind w:firstLine="480"/>
        <w:rPr>
          <w:rFonts w:ascii="宋体" w:hAnsi="宋体" w:cs="宋体"/>
          <w:color w:val="auto"/>
          <w:szCs w:val="24"/>
        </w:rPr>
      </w:pPr>
      <w:r>
        <w:rPr>
          <w:rFonts w:hint="eastAsia" w:ascii="宋体" w:hAnsi="宋体" w:cs="宋体"/>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4BF0037">
      <w:pPr>
        <w:pStyle w:val="130"/>
        <w:snapToGrid w:val="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可以视情况延长响应文件提交的截止时间。在上述情况下，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与供应商以前在响应文件提交截止时间方面的全部权利、责任和义务，将适用于延长至新的响应文件提交截止时间。</w:t>
      </w:r>
    </w:p>
    <w:p w14:paraId="58CA6F45">
      <w:pPr>
        <w:pStyle w:val="32"/>
        <w:snapToGrid w:val="0"/>
        <w:spacing w:line="360" w:lineRule="auto"/>
        <w:rPr>
          <w:rFonts w:hAnsi="宋体" w:cs="宋体"/>
          <w:b/>
          <w:color w:val="auto"/>
          <w:sz w:val="24"/>
          <w:szCs w:val="24"/>
        </w:rPr>
      </w:pPr>
      <w:r>
        <w:rPr>
          <w:rFonts w:hint="eastAsia" w:hAnsi="宋体" w:cs="宋体"/>
          <w:b/>
          <w:color w:val="auto"/>
          <w:sz w:val="24"/>
          <w:szCs w:val="24"/>
        </w:rPr>
        <w:t>15.备份响应文件</w:t>
      </w:r>
    </w:p>
    <w:p w14:paraId="1D5A01F2">
      <w:pPr>
        <w:pStyle w:val="32"/>
        <w:snapToGrid w:val="0"/>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p w14:paraId="7A9E3079">
      <w:pPr>
        <w:pStyle w:val="32"/>
        <w:snapToGrid w:val="0"/>
        <w:spacing w:line="360" w:lineRule="auto"/>
        <w:ind w:firstLine="480" w:firstLineChars="200"/>
        <w:rPr>
          <w:rFonts w:hAnsi="宋体" w:cs="宋体"/>
          <w:b/>
          <w:color w:val="auto"/>
          <w:sz w:val="24"/>
          <w:szCs w:val="24"/>
        </w:rPr>
      </w:pPr>
      <w:r>
        <w:rPr>
          <w:rFonts w:hint="eastAsia" w:hAnsi="宋体" w:cs="宋体"/>
          <w:color w:val="auto"/>
          <w:sz w:val="24"/>
          <w:szCs w:val="24"/>
        </w:rPr>
        <w:t>15.2备份响应文件须在“政采云投标客户端”制作生成，并储存在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14:paraId="210F136B">
      <w:pPr>
        <w:pStyle w:val="32"/>
        <w:snapToGrid w:val="0"/>
        <w:spacing w:line="360" w:lineRule="auto"/>
        <w:ind w:firstLine="480" w:firstLineChars="200"/>
        <w:rPr>
          <w:rFonts w:hAnsi="宋体" w:cs="宋体"/>
          <w:color w:val="auto"/>
          <w:sz w:val="24"/>
          <w:szCs w:val="24"/>
        </w:rPr>
      </w:pPr>
      <w:r>
        <w:rPr>
          <w:rFonts w:hint="eastAsia" w:hAnsi="宋体" w:cs="宋体"/>
          <w:color w:val="auto"/>
          <w:sz w:val="24"/>
          <w:szCs w:val="24"/>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w:t>
      </w:r>
    </w:p>
    <w:p w14:paraId="25D1D8B6">
      <w:pPr>
        <w:pStyle w:val="32"/>
        <w:snapToGrid w:val="0"/>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rPr>
        <w:t>采购文件第二部分供应商须知前附表规定的备份响应文件送达地点；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将拒绝接受逾期送达的备份响应文件。邮寄过程中，电子备份响应文件发生泄露、遗失、损坏或延期送达等情况的，由供应商自行负责。</w:t>
      </w:r>
    </w:p>
    <w:p w14:paraId="2180D86A">
      <w:pPr>
        <w:pStyle w:val="32"/>
        <w:snapToGrid w:val="0"/>
        <w:spacing w:line="360" w:lineRule="auto"/>
        <w:ind w:firstLine="479" w:firstLineChars="199"/>
        <w:rPr>
          <w:rFonts w:hAnsi="宋体" w:cs="宋体"/>
          <w:b/>
          <w:color w:val="auto"/>
          <w:sz w:val="24"/>
          <w:szCs w:val="24"/>
        </w:rPr>
      </w:pPr>
      <w:r>
        <w:rPr>
          <w:rFonts w:hint="eastAsia" w:hAnsi="宋体" w:cs="宋体"/>
          <w:b/>
          <w:color w:val="auto"/>
          <w:sz w:val="24"/>
          <w:szCs w:val="24"/>
        </w:rPr>
        <w:t>15.5供应商仅提交备份响应文件，未在电子交易平台传输递交响应文件的，响应文件无效。</w:t>
      </w:r>
    </w:p>
    <w:p w14:paraId="03265BC1">
      <w:pPr>
        <w:pStyle w:val="130"/>
        <w:spacing w:before="0"/>
        <w:ind w:firstLine="0" w:firstLineChars="0"/>
        <w:rPr>
          <w:rFonts w:ascii="宋体" w:hAnsi="宋体" w:cs="宋体"/>
          <w:b/>
          <w:color w:val="auto"/>
          <w:szCs w:val="24"/>
        </w:rPr>
      </w:pPr>
      <w:r>
        <w:rPr>
          <w:rFonts w:hint="eastAsia" w:ascii="宋体" w:hAnsi="宋体" w:cs="宋体"/>
          <w:b/>
          <w:color w:val="auto"/>
          <w:szCs w:val="24"/>
        </w:rPr>
        <w:t>16.响应文件的无效处理</w:t>
      </w:r>
    </w:p>
    <w:p w14:paraId="1962E848">
      <w:pPr>
        <w:pStyle w:val="24"/>
        <w:spacing w:line="360" w:lineRule="auto"/>
        <w:ind w:firstLine="360" w:firstLineChars="150"/>
        <w:rPr>
          <w:rFonts w:cs="宋体"/>
          <w:color w:val="auto"/>
          <w:szCs w:val="21"/>
        </w:rPr>
      </w:pPr>
      <w:r>
        <w:rPr>
          <w:rFonts w:hint="eastAsia" w:cs="宋体"/>
          <w:color w:val="auto"/>
          <w:szCs w:val="21"/>
        </w:rPr>
        <w:t>有采购文件第四部分</w:t>
      </w:r>
      <w:r>
        <w:rPr>
          <w:rFonts w:hint="eastAsia" w:cs="宋体"/>
          <w:color w:val="auto"/>
        </w:rPr>
        <w:t>4.2规定</w:t>
      </w:r>
      <w:r>
        <w:rPr>
          <w:rFonts w:hint="eastAsia" w:cs="宋体"/>
          <w:color w:val="auto"/>
          <w:szCs w:val="21"/>
        </w:rPr>
        <w:t>的情形之一的，响应文件无效：</w:t>
      </w:r>
    </w:p>
    <w:p w14:paraId="2DF7AB65">
      <w:pPr>
        <w:pStyle w:val="130"/>
        <w:spacing w:before="0"/>
        <w:ind w:firstLine="0" w:firstLineChars="0"/>
        <w:rPr>
          <w:rFonts w:ascii="宋体" w:hAnsi="宋体" w:cs="宋体"/>
          <w:b/>
          <w:color w:val="auto"/>
          <w:szCs w:val="24"/>
        </w:rPr>
      </w:pPr>
      <w:r>
        <w:rPr>
          <w:rFonts w:hint="eastAsia" w:ascii="宋体" w:hAnsi="宋体" w:cs="宋体"/>
          <w:b/>
          <w:color w:val="auto"/>
          <w:szCs w:val="24"/>
        </w:rPr>
        <w:t>17.响应文件有效期</w:t>
      </w:r>
    </w:p>
    <w:p w14:paraId="0ACEC8B0">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17.1响应文件有效期为从提交响应文件的截止之日起90天。▲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诺的响应文件有效期少于采购文件中载明的响应文件有效期的，响应文件无效。</w:t>
      </w:r>
    </w:p>
    <w:p w14:paraId="7D1408DC">
      <w:pPr>
        <w:pStyle w:val="130"/>
        <w:spacing w:before="0"/>
        <w:ind w:firstLine="480"/>
        <w:rPr>
          <w:rFonts w:ascii="宋体" w:hAnsi="宋体" w:cs="宋体"/>
          <w:color w:val="auto"/>
        </w:rPr>
      </w:pPr>
      <w:r>
        <w:rPr>
          <w:rFonts w:hint="eastAsia" w:ascii="宋体" w:hAnsi="宋体" w:cs="宋体"/>
          <w:color w:val="auto"/>
        </w:rPr>
        <w:t>17.2响应文件合格投递后，自响应文件提交截止时间起，在响应文件有效期内有效。</w:t>
      </w:r>
    </w:p>
    <w:p w14:paraId="35565221">
      <w:pPr>
        <w:pStyle w:val="130"/>
        <w:spacing w:before="0"/>
        <w:ind w:firstLine="480"/>
        <w:rPr>
          <w:rFonts w:ascii="宋体" w:hAnsi="宋体" w:cs="宋体"/>
          <w:color w:val="auto"/>
        </w:rPr>
      </w:pPr>
      <w:r>
        <w:rPr>
          <w:rFonts w:hint="eastAsia" w:ascii="宋体" w:hAnsi="宋体" w:cs="宋体"/>
          <w:color w:val="auto"/>
        </w:rPr>
        <w:t>17.3在原定响应文件有效期满之前，如果出现特殊情况，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可以以书面形式通知供应商延长响应文件有效期。供应商同意延长的，不得要求或被允许修改其响应文件，供应商拒绝延长的，其响应文件无效。</w:t>
      </w:r>
    </w:p>
    <w:p w14:paraId="0EB0924F">
      <w:pPr>
        <w:pStyle w:val="130"/>
        <w:spacing w:before="0"/>
        <w:ind w:firstLine="643"/>
        <w:rPr>
          <w:rFonts w:ascii="宋体" w:hAnsi="宋体" w:cs="宋体"/>
          <w:b/>
          <w:color w:val="auto"/>
          <w:sz w:val="32"/>
        </w:rPr>
      </w:pPr>
    </w:p>
    <w:p w14:paraId="41079128">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四、响应文件开启、资格审查与信用信息查询</w:t>
      </w:r>
    </w:p>
    <w:p w14:paraId="402C1F7B">
      <w:pPr>
        <w:pStyle w:val="556"/>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18.响应文件开启</w:t>
      </w:r>
      <w:r>
        <w:rPr>
          <w:rFonts w:hint="eastAsia" w:ascii="宋体" w:hAnsi="宋体" w:cs="宋体"/>
          <w:color w:val="auto"/>
          <w:sz w:val="24"/>
        </w:rPr>
        <w:t xml:space="preserve"> </w:t>
      </w:r>
    </w:p>
    <w:p w14:paraId="0BBFF32B">
      <w:pPr>
        <w:pStyle w:val="556"/>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按照采购文件规定的时间通过电子交易平台组织响应文件开启，所有供应商均应当准时在线参加。供应商不足3家的，不得开启。</w:t>
      </w:r>
    </w:p>
    <w:p w14:paraId="22D979C8">
      <w:pPr>
        <w:pStyle w:val="556"/>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18.2响应文件开启时，电子交易平台按响应文件开启时间自动提取所有响应文件。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依托电子交易平台发起开始解密指令，供应商按照平台提示和采购文件的规定在半小时内完成在线解密。</w:t>
      </w:r>
    </w:p>
    <w:p w14:paraId="6658FD2A">
      <w:pPr>
        <w:pStyle w:val="556"/>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18.3</w:t>
      </w:r>
      <w:r>
        <w:rPr>
          <w:rFonts w:hint="eastAsia" w:ascii="宋体" w:hAnsi="宋体" w:cs="宋体"/>
          <w:b/>
          <w:bCs/>
          <w:color w:val="auto"/>
          <w:sz w:val="24"/>
        </w:rPr>
        <w:t>响应文件未按时解密，供应商提供了备份响应文件的，以备份响应文件作为依据，否则视为响应文件撤回。响应文件已按时解密的，备份响应文件自动失效。</w:t>
      </w:r>
    </w:p>
    <w:p w14:paraId="6722B1B4">
      <w:pPr>
        <w:pStyle w:val="556"/>
        <w:spacing w:before="0" w:line="360" w:lineRule="auto"/>
        <w:ind w:left="0" w:firstLine="0"/>
        <w:contextualSpacing/>
        <w:rPr>
          <w:rFonts w:ascii="宋体" w:hAnsi="宋体" w:cs="宋体"/>
          <w:b/>
          <w:color w:val="auto"/>
          <w:sz w:val="24"/>
          <w:szCs w:val="24"/>
        </w:rPr>
      </w:pPr>
      <w:r>
        <w:rPr>
          <w:rFonts w:hint="eastAsia" w:ascii="宋体" w:hAnsi="宋体" w:cs="宋体"/>
          <w:b/>
          <w:color w:val="auto"/>
          <w:sz w:val="24"/>
          <w:szCs w:val="24"/>
        </w:rPr>
        <w:t>19、资格审查</w:t>
      </w:r>
    </w:p>
    <w:p w14:paraId="59C7B017">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采购代理机构</w:t>
      </w:r>
      <w:r>
        <w:rPr>
          <w:rFonts w:hint="eastAsia" w:ascii="宋体" w:hAnsi="宋体" w:cs="宋体"/>
          <w:color w:val="auto"/>
          <w:sz w:val="24"/>
        </w:rPr>
        <w:t>或磋商小组依据法律法规和采购文件的规定，对供应商的资格进行审查。</w:t>
      </w:r>
    </w:p>
    <w:p w14:paraId="25BA2A02">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供应商不具备采购文件中规定的资格要求，其响应文件无效。</w:t>
      </w:r>
    </w:p>
    <w:p w14:paraId="0F5C2FBD">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对未通过资格审查的供应商，采购人或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68BCF0B8">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合格供应商不足3家的，不再评审。</w:t>
      </w:r>
    </w:p>
    <w:p w14:paraId="77D68F68">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63D5D1B6">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将在资格审查时通过“信用中国”网站(www.creditchina.gov.cn)、中国政府采购网(www.ccgp.gov.cn)渠道查询供应商接受资格审查时的信用记录。</w:t>
      </w:r>
    </w:p>
    <w:p w14:paraId="0BF09616">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20.2信用信息查询记录和证据留存的具体方式：现场查询的供应商的信用记录、查询结果经确认后将与采购文件一起存档。</w:t>
      </w:r>
    </w:p>
    <w:p w14:paraId="7568E89E">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20.3信用信息的使用规则：经查询列入失信被执行人名单、重大税收违法案件当事人名单、政府采购严重违法失信行为记录名单的供应商将被拒绝参与政府采购活动。</w:t>
      </w:r>
    </w:p>
    <w:p w14:paraId="669AFD43">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7CF6F2E">
      <w:pPr>
        <w:pStyle w:val="130"/>
        <w:spacing w:before="0"/>
        <w:ind w:firstLine="0" w:firstLineChars="0"/>
        <w:rPr>
          <w:rFonts w:ascii="宋体" w:hAnsi="宋体" w:cs="宋体"/>
          <w:color w:val="auto"/>
          <w:kern w:val="0"/>
          <w:szCs w:val="24"/>
        </w:rPr>
      </w:pPr>
    </w:p>
    <w:p w14:paraId="59B899E4">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五、评审</w:t>
      </w:r>
    </w:p>
    <w:p w14:paraId="5CF487E3">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rPr>
        <w:t>详见采购文件第四部分评审办法。</w:t>
      </w:r>
    </w:p>
    <w:p w14:paraId="606F8F9E">
      <w:pPr>
        <w:spacing w:line="360" w:lineRule="auto"/>
        <w:rPr>
          <w:rFonts w:ascii="宋体" w:hAnsi="宋体" w:cs="宋体"/>
          <w:b/>
          <w:color w:val="auto"/>
          <w:sz w:val="24"/>
        </w:rPr>
      </w:pPr>
    </w:p>
    <w:p w14:paraId="4F95AA9A">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六、成交供应商确定</w:t>
      </w:r>
    </w:p>
    <w:p w14:paraId="7D34AAE4">
      <w:pPr>
        <w:pStyle w:val="24"/>
        <w:spacing w:line="360" w:lineRule="auto"/>
        <w:ind w:left="479" w:hanging="479" w:hangingChars="199"/>
        <w:rPr>
          <w:rFonts w:cs="宋体"/>
          <w:b/>
          <w:color w:val="auto"/>
        </w:rPr>
      </w:pPr>
      <w:r>
        <w:rPr>
          <w:rFonts w:hint="eastAsia" w:cs="宋体"/>
          <w:b/>
          <w:color w:val="auto"/>
        </w:rPr>
        <w:t>22. 确定成交供应商</w:t>
      </w:r>
    </w:p>
    <w:p w14:paraId="78B9BF3F">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B91A057">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14:paraId="35B33D2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14:paraId="509CD89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0C760A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79591DC9">
      <w:pPr>
        <w:snapToGrid w:val="0"/>
        <w:spacing w:line="360" w:lineRule="auto"/>
        <w:ind w:left="120" w:leftChars="57" w:firstLine="482" w:firstLineChars="150"/>
        <w:jc w:val="center"/>
        <w:rPr>
          <w:rFonts w:ascii="宋体" w:hAnsi="宋体" w:cs="宋体"/>
          <w:b/>
          <w:color w:val="auto"/>
          <w:sz w:val="32"/>
        </w:rPr>
      </w:pPr>
    </w:p>
    <w:p w14:paraId="6C437707">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七、合同授予</w:t>
      </w:r>
    </w:p>
    <w:p w14:paraId="1D4C037C">
      <w:pPr>
        <w:pStyle w:val="24"/>
        <w:snapToGrid w:val="0"/>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637160E">
      <w:pPr>
        <w:pStyle w:val="24"/>
        <w:snapToGrid w:val="0"/>
        <w:spacing w:line="360" w:lineRule="auto"/>
        <w:ind w:left="479" w:hanging="479" w:hangingChars="199"/>
        <w:rPr>
          <w:rFonts w:cs="宋体"/>
          <w:b/>
          <w:color w:val="auto"/>
        </w:rPr>
      </w:pPr>
      <w:r>
        <w:rPr>
          <w:rFonts w:hint="eastAsia" w:cs="宋体"/>
          <w:b/>
          <w:color w:val="auto"/>
        </w:rPr>
        <w:t>25. 合同的签订</w:t>
      </w:r>
    </w:p>
    <w:p w14:paraId="302CB456">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D22E2DF">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50C8FBD2">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A62B7F6">
      <w:pPr>
        <w:pStyle w:val="130"/>
        <w:snapToGrid w:val="0"/>
        <w:spacing w:before="0"/>
        <w:ind w:firstLine="480"/>
        <w:rPr>
          <w:rFonts w:ascii="宋体" w:hAnsi="宋体" w:cs="宋体"/>
          <w:color w:val="auto"/>
        </w:rPr>
      </w:pPr>
      <w:r>
        <w:rPr>
          <w:rFonts w:hint="eastAsia" w:ascii="宋体" w:hAnsi="宋体" w:cs="宋体"/>
          <w:color w:va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3AA121B">
      <w:pPr>
        <w:pStyle w:val="130"/>
        <w:snapToGrid w:val="0"/>
        <w:spacing w:before="0"/>
        <w:ind w:firstLine="480"/>
        <w:rPr>
          <w:rFonts w:ascii="宋体" w:hAnsi="宋体" w:cs="宋体"/>
          <w:color w:val="auto"/>
        </w:rPr>
      </w:pPr>
      <w:r>
        <w:rPr>
          <w:rFonts w:hint="eastAsia" w:ascii="宋体" w:hAnsi="宋体" w:cs="宋体"/>
          <w:color w:val="auto"/>
        </w:rPr>
        <w:t>25.5采购合同由采购人与成交供应商根据采购文件、响应文件等内容通过政府采购电子交易平台在线签订，自动备案。</w:t>
      </w:r>
    </w:p>
    <w:p w14:paraId="74B613A4">
      <w:pPr>
        <w:pStyle w:val="24"/>
        <w:snapToGrid w:val="0"/>
        <w:spacing w:line="360" w:lineRule="auto"/>
        <w:ind w:left="479" w:hanging="479" w:hangingChars="199"/>
        <w:rPr>
          <w:rFonts w:cs="宋体"/>
          <w:b/>
          <w:color w:val="auto"/>
        </w:rPr>
      </w:pPr>
      <w:r>
        <w:rPr>
          <w:rFonts w:hint="eastAsia" w:cs="宋体"/>
          <w:b/>
          <w:color w:val="auto"/>
        </w:rPr>
        <w:t>26. 履约保证金</w:t>
      </w:r>
    </w:p>
    <w:p w14:paraId="53290887">
      <w:pPr>
        <w:tabs>
          <w:tab w:val="left" w:pos="0"/>
        </w:tabs>
        <w:snapToGrid w:val="0"/>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w:t>
      </w:r>
      <w:r>
        <w:rPr>
          <w:rFonts w:hint="eastAsia" w:ascii="宋体" w:hAnsi="宋体" w:cs="宋体"/>
          <w:color w:val="auto"/>
          <w:sz w:val="24"/>
          <w:lang w:val="en-US" w:eastAsia="zh-CN"/>
        </w:rPr>
        <w:t>浙江省</w:t>
      </w:r>
      <w:r>
        <w:rPr>
          <w:rFonts w:hint="eastAsia" w:ascii="宋体" w:hAnsi="宋体" w:cs="宋体"/>
          <w:color w:val="auto"/>
          <w:sz w:val="24"/>
        </w:rPr>
        <w:t>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rPr>
        <w:t>合同金额的</w:t>
      </w:r>
      <w:r>
        <w:rPr>
          <w:rFonts w:ascii="宋体" w:hAnsi="宋体" w:cs="宋体"/>
          <w:color w:val="auto"/>
          <w:kern w:val="2"/>
          <w:sz w:val="24"/>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采购单位鼓励供应商采取履约保函形式提供信用保证；供应商提供保函的，采购单位不得拒收。项目验收结束后应及时退还，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71D60BB">
      <w:pPr>
        <w:pStyle w:val="3"/>
        <w:snapToGrid w:val="0"/>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31E0191">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1194189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74F61AE3">
      <w:pPr>
        <w:rPr>
          <w:color w:val="auto"/>
        </w:rPr>
      </w:pPr>
    </w:p>
    <w:p w14:paraId="5FF2B552">
      <w:pPr>
        <w:snapToGrid w:val="0"/>
        <w:spacing w:line="360" w:lineRule="auto"/>
        <w:ind w:firstLine="3357" w:firstLineChars="1045"/>
        <w:rPr>
          <w:rFonts w:ascii="宋体" w:hAnsi="宋体" w:cs="宋体"/>
          <w:b/>
          <w:color w:val="auto"/>
          <w:sz w:val="32"/>
        </w:rPr>
      </w:pPr>
    </w:p>
    <w:p w14:paraId="35552AF3">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八、电子交易活动的中止</w:t>
      </w:r>
    </w:p>
    <w:p w14:paraId="2A589292">
      <w:pPr>
        <w:pStyle w:val="130"/>
        <w:snapToGrid w:val="0"/>
        <w:spacing w:before="0"/>
        <w:ind w:firstLine="0" w:firstLineChars="0"/>
        <w:rPr>
          <w:rFonts w:ascii="宋体" w:hAnsi="宋体" w:cs="宋体"/>
          <w:color w:val="auto"/>
        </w:rPr>
      </w:pPr>
      <w:r>
        <w:rPr>
          <w:rFonts w:ascii="宋体" w:hAnsi="宋体" w:cs="宋体"/>
          <w:b/>
          <w:bCs/>
          <w:color w:val="auto"/>
          <w:kern w:val="2"/>
          <w:szCs w:val="20"/>
        </w:rPr>
        <w:t>2</w:t>
      </w:r>
      <w:r>
        <w:rPr>
          <w:rFonts w:ascii="宋体" w:hAnsi="宋体" w:cs="宋体"/>
          <w:b/>
          <w:bCs/>
          <w:color w:val="auto"/>
          <w:kern w:val="2"/>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7D810570">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B77D9B3">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306F8580">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4B48692">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5A718B1F">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20AF733">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0903DAB">
      <w:pPr>
        <w:tabs>
          <w:tab w:val="left" w:pos="0"/>
        </w:tabs>
        <w:spacing w:line="360" w:lineRule="auto"/>
        <w:ind w:firstLine="480"/>
        <w:rPr>
          <w:rFonts w:ascii="宋体" w:hAnsi="宋体" w:cs="宋体"/>
          <w:color w:val="auto"/>
          <w:sz w:val="24"/>
        </w:rPr>
      </w:pPr>
    </w:p>
    <w:p w14:paraId="16709C06">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九、验收</w:t>
      </w:r>
    </w:p>
    <w:p w14:paraId="5CF693A5">
      <w:pPr>
        <w:pStyle w:val="24"/>
        <w:spacing w:line="360" w:lineRule="auto"/>
        <w:ind w:firstLine="0" w:firstLineChars="0"/>
        <w:rPr>
          <w:rFonts w:cs="宋体"/>
          <w:b/>
          <w:color w:val="auto"/>
        </w:rPr>
      </w:pPr>
      <w:r>
        <w:rPr>
          <w:rFonts w:hint="eastAsia" w:cs="宋体"/>
          <w:b/>
          <w:color w:val="auto"/>
        </w:rPr>
        <w:t>30.验收</w:t>
      </w:r>
    </w:p>
    <w:p w14:paraId="1CE4D8B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3C246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75BC61B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F7FF3B">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29589BF">
      <w:pPr>
        <w:tabs>
          <w:tab w:val="left" w:pos="0"/>
        </w:tabs>
        <w:spacing w:line="360" w:lineRule="auto"/>
        <w:ind w:firstLine="480"/>
        <w:rPr>
          <w:rFonts w:ascii="宋体" w:hAnsi="宋体" w:cs="宋体"/>
          <w:color w:val="auto"/>
          <w:kern w:val="0"/>
          <w:sz w:val="24"/>
        </w:rPr>
        <w:sectPr>
          <w:pgSz w:w="11906" w:h="16838"/>
          <w:pgMar w:top="1440" w:right="1080" w:bottom="1440" w:left="1080" w:header="851" w:footer="992" w:gutter="0"/>
          <w:pgNumType w:fmt="decimal"/>
          <w:cols w:space="720" w:num="1"/>
          <w:titlePg/>
          <w:docGrid w:linePitch="312" w:charSpace="0"/>
        </w:sectPr>
      </w:pPr>
      <w:bookmarkStart w:id="19" w:name="_Hlt74714665"/>
      <w:bookmarkEnd w:id="19"/>
      <w:bookmarkStart w:id="20" w:name="_Hlt68072998"/>
      <w:bookmarkEnd w:id="20"/>
      <w:bookmarkStart w:id="21" w:name="_Hlt75236290"/>
      <w:bookmarkEnd w:id="21"/>
      <w:bookmarkStart w:id="22" w:name="_Hlt74730295"/>
      <w:bookmarkEnd w:id="22"/>
      <w:bookmarkStart w:id="23" w:name="_Hlt75236011"/>
      <w:bookmarkEnd w:id="23"/>
      <w:bookmarkStart w:id="24" w:name="_Hlt68072990"/>
      <w:bookmarkEnd w:id="24"/>
      <w:bookmarkStart w:id="25" w:name="_Hlt74707468"/>
      <w:bookmarkEnd w:id="25"/>
      <w:bookmarkStart w:id="26" w:name="_Hlt75236101"/>
      <w:bookmarkEnd w:id="26"/>
      <w:bookmarkStart w:id="27" w:name="_Hlt68057669"/>
      <w:bookmarkEnd w:id="27"/>
      <w:bookmarkStart w:id="28" w:name="_Hlt68403820"/>
      <w:bookmarkEnd w:id="28"/>
      <w:bookmarkStart w:id="29" w:name="_Hlt74729768"/>
      <w:bookmarkEnd w:id="29"/>
      <w:bookmarkStart w:id="30" w:name="_Hlt68073093"/>
      <w:bookmarkEnd w:id="30"/>
    </w:p>
    <w:bookmarkEnd w:id="13"/>
    <w:bookmarkEnd w:id="14"/>
    <w:p w14:paraId="6E235024">
      <w:pPr>
        <w:pStyle w:val="32"/>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3E110DCE">
      <w:pPr>
        <w:spacing w:line="360" w:lineRule="auto"/>
        <w:jc w:val="left"/>
        <w:rPr>
          <w:rFonts w:ascii="宋体" w:hAnsi="宋体" w:cs="仿宋_GB2312"/>
          <w:b/>
          <w:bCs/>
          <w:color w:val="auto"/>
          <w:sz w:val="24"/>
          <w:szCs w:val="24"/>
          <w:highlight w:val="none"/>
        </w:rPr>
      </w:pPr>
      <w:r>
        <w:rPr>
          <w:rFonts w:hint="eastAsia" w:ascii="宋体" w:hAnsi="宋体" w:cs="仿宋_GB2312"/>
          <w:b/>
          <w:bCs/>
          <w:color w:val="auto"/>
          <w:sz w:val="24"/>
          <w:szCs w:val="24"/>
          <w:highlight w:val="none"/>
        </w:rPr>
        <w:t>一、工程概况</w:t>
      </w:r>
    </w:p>
    <w:p w14:paraId="6BBE9F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（一）项目概况</w:t>
      </w:r>
    </w:p>
    <w:p w14:paraId="4B98E2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项目概况：</w:t>
      </w:r>
      <w:r>
        <w:rPr>
          <w:rFonts w:hint="eastAsia" w:ascii="宋体" w:hAnsi="宋体" w:cs="宋体"/>
          <w:color w:val="auto"/>
          <w:kern w:val="2"/>
          <w:sz w:val="24"/>
          <w:szCs w:val="24"/>
          <w:highlight w:val="none"/>
          <w:lang w:val="en-US" w:eastAsia="zh-CN" w:bidi="ar-SA"/>
        </w:rPr>
        <w:t>该项目位于宁海县胡陈乡境内</w:t>
      </w:r>
      <w:r>
        <w:rPr>
          <w:rFonts w:hint="eastAsia" w:ascii="宋体" w:hAnsi="宋体" w:eastAsia="宋体" w:cs="宋体"/>
          <w:color w:val="auto"/>
          <w:kern w:val="2"/>
          <w:sz w:val="24"/>
          <w:szCs w:val="24"/>
          <w:highlight w:val="none"/>
          <w:lang w:val="en-US" w:eastAsia="zh-CN" w:bidi="ar-SA"/>
        </w:rPr>
        <w:t>。</w:t>
      </w:r>
    </w:p>
    <w:p w14:paraId="425CB7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范围：本工程位于胡陈乡内的3个山塘（小垅山塘、秤钩吊月山塘、发洪山塘）进行整治，其中小垅山塘主要建设内容为：①对坝体进行防渗处理，坝顶新建浆砌石防浪墙，铺设彩砖路面；②内外坝坡清理及修建干砌石护坡，坝脚新建干砌石地梁及砼排水沟；③新建放水设施及老涵管封堵，新建启闭机房、标志牌等；④新建混凝土上坝道路，⑤库内土方开挖外运；</w:t>
      </w:r>
    </w:p>
    <w:p w14:paraId="171C4F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秤钩吊月山塘主要建设内容为：①对坝体进行防渗处理，坝顶拆除重建浆砌石防浪墙，铺设彩砖路面；②内外坝坡清理及修建干砌石护坡；③新建放水设施、溢洪道和标志牌等；④上坝道路清障及场地平整；⑤库内土方开挖外运；</w:t>
      </w:r>
    </w:p>
    <w:p w14:paraId="49B92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洪山塘主要建设内容为：①坝顶拆除重建浆砌石防浪墙，铺设彩砖路面；②内外坝坡清理及修建干砌石护坡，坝脚新建干砌石地梁及砼排水沟③新建放水设施、溢洪道和标志牌等；④上坝道路清障及场地平整；⑤库内土方开挖外运（具体详见图纸及清单）。</w:t>
      </w:r>
    </w:p>
    <w:p w14:paraId="20D10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32" w:name="_Toc397325815"/>
      <w:r>
        <w:rPr>
          <w:rFonts w:hint="eastAsia" w:ascii="宋体" w:hAnsi="宋体" w:eastAsia="宋体" w:cs="宋体"/>
          <w:color w:val="auto"/>
          <w:sz w:val="24"/>
          <w:szCs w:val="24"/>
          <w:highlight w:val="none"/>
        </w:rPr>
        <w:t>（二）工程量清单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图纸</w:t>
      </w:r>
    </w:p>
    <w:p w14:paraId="34A7FE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详见采购文件附件：工程量清单</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图纸</w:t>
      </w:r>
    </w:p>
    <w:p w14:paraId="2AD46F1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）项目技术要求</w:t>
      </w:r>
    </w:p>
    <w:p w14:paraId="2FAA148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1.本工程量清单是根据采购文件中包括的、有合同约束力的图纸以及有关工程量清单的国家标准、行业标准、合同条款中约定的工程量计算规则编制。计量采用中华人民共和国法定计量单位。</w:t>
      </w:r>
    </w:p>
    <w:p w14:paraId="5536FC1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2.本工程量清单应与采购文件中的竞争性磋商须知、合同条款、技术标准和要求及图纸（如有）等一起阅读和理解。</w:t>
      </w:r>
    </w:p>
    <w:p w14:paraId="3F05BD8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4.符合合同条款规定的全部费用应认为已被计入有标价的工程量清单所列各子目之中，未列子目不予计量的工作，其费用应视为已分摊在本合同工程的有关子目的单价或总价之中。</w:t>
      </w:r>
    </w:p>
    <w:p w14:paraId="4BDFFA1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5.供应商按采购文件提供的《工程量清单》格式报价附件。</w:t>
      </w:r>
    </w:p>
    <w:p w14:paraId="5134EEA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6.供应商应在报价中综合考虑施工区域封闭的措施费用，工程实施过程中采购人不再补偿相关费用。</w:t>
      </w:r>
    </w:p>
    <w:p w14:paraId="3DD39EF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7.本工程要求承包人做好现场安全文明施工；现场悬挂安全文明施工警示牌、对施工造成的道路上的洒落进行清理、材料堆放要求整齐并做好维护等。</w:t>
      </w:r>
    </w:p>
    <w:p w14:paraId="03225AC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8.所有混凝土及钢筋混凝土构件报价均含模板养护，含钢筋和预埋铁件制作、安装的费用，混凝土均采用商品混凝土。</w:t>
      </w:r>
    </w:p>
    <w:p w14:paraId="4A4C6F3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sz w:val="24"/>
          <w:szCs w:val="24"/>
          <w:highlight w:val="none"/>
        </w:rPr>
        <w:t>承包人在施工过程中与其他项目发生的任何冲突问题由采购人组织解决，不允许收取任何进场费、配合费等其他任何费用。</w:t>
      </w:r>
    </w:p>
    <w:p w14:paraId="5E4B25FF">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10、发包人无施工设备和临时设施提供，均需由承包人自行提供，</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须配备满足施工要求的主要施工机械设备（包括但不限于挖掘机、装载机、推土机、夯实机、运输车辆等）</w:t>
      </w:r>
      <w:r>
        <w:rPr>
          <w:rFonts w:hint="eastAsia" w:ascii="宋体" w:hAnsi="宋体" w:eastAsia="宋体" w:cs="宋体"/>
          <w:color w:val="auto"/>
          <w:sz w:val="24"/>
          <w:szCs w:val="24"/>
          <w:highlight w:val="none"/>
          <w:lang w:val="en-US" w:eastAsia="zh-CN"/>
        </w:rPr>
        <w:t>。</w:t>
      </w:r>
    </w:p>
    <w:p w14:paraId="5ADCE2DF">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须配备满足施工要求的主要</w:t>
      </w:r>
      <w:r>
        <w:rPr>
          <w:rFonts w:hint="eastAsia" w:ascii="宋体" w:hAnsi="宋体" w:eastAsia="宋体" w:cs="宋体"/>
          <w:color w:val="auto"/>
          <w:sz w:val="24"/>
          <w:szCs w:val="24"/>
          <w:highlight w:val="none"/>
          <w:lang w:val="en-US" w:eastAsia="zh-CN"/>
        </w:rPr>
        <w:t>施工人员</w:t>
      </w:r>
      <w:r>
        <w:rPr>
          <w:rFonts w:hint="eastAsia" w:ascii="宋体" w:hAnsi="宋体" w:eastAsia="宋体" w:cs="宋体"/>
          <w:color w:val="auto"/>
          <w:sz w:val="24"/>
          <w:szCs w:val="24"/>
          <w:highlight w:val="none"/>
          <w:lang w:eastAsia="zh-CN"/>
        </w:rPr>
        <w:t>（包括但不限于项目负责人、技术负责人、施工员、质检员、</w:t>
      </w:r>
      <w:r>
        <w:rPr>
          <w:rFonts w:hint="eastAsia" w:ascii="宋体" w:hAnsi="宋体" w:eastAsia="宋体" w:cs="宋体"/>
          <w:color w:val="auto"/>
          <w:sz w:val="24"/>
          <w:szCs w:val="24"/>
          <w:highlight w:val="none"/>
          <w:lang w:val="en-US" w:eastAsia="zh-CN"/>
        </w:rPr>
        <w:t>专职安全员</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lang w:val="en-US" w:eastAsia="zh-CN"/>
        </w:rPr>
        <w:t>。</w:t>
      </w:r>
    </w:p>
    <w:p w14:paraId="3B2B99AA">
      <w:pPr>
        <w:spacing w:line="500" w:lineRule="exact"/>
        <w:ind w:firstLine="480" w:firstLineChars="200"/>
        <w:rPr>
          <w:rFonts w:hint="eastAsia" w:ascii="宋体" w:hAnsi="宋体" w:eastAsia="宋体" w:cs="宋体"/>
          <w:color w:val="auto"/>
          <w:sz w:val="24"/>
          <w:szCs w:val="24"/>
          <w:highlight w:val="none"/>
          <w:lang w:val="en-US" w:eastAsia="zh-CN"/>
        </w:rPr>
      </w:pPr>
    </w:p>
    <w:p w14:paraId="244DC8A8">
      <w:pPr>
        <w:spacing w:line="500" w:lineRule="exact"/>
        <w:ind w:firstLine="360" w:firstLineChars="200"/>
        <w:rPr>
          <w:rFonts w:hint="eastAsia" w:ascii="宋体" w:hAnsi="宋体" w:eastAsia="宋体" w:cs="宋体"/>
          <w:color w:val="auto"/>
          <w:sz w:val="18"/>
          <w:szCs w:val="18"/>
          <w:highlight w:val="none"/>
          <w:lang w:val="en-US" w:eastAsia="zh-CN"/>
        </w:rPr>
      </w:pPr>
    </w:p>
    <w:p w14:paraId="703E995B">
      <w:pPr>
        <w:spacing w:line="500" w:lineRule="exact"/>
        <w:ind w:firstLine="360" w:firstLineChars="200"/>
        <w:rPr>
          <w:rFonts w:hint="eastAsia" w:ascii="宋体" w:hAnsi="宋体" w:eastAsia="宋体" w:cs="宋体"/>
          <w:color w:val="auto"/>
          <w:sz w:val="18"/>
          <w:szCs w:val="18"/>
          <w:highlight w:val="none"/>
          <w:lang w:val="en-US" w:eastAsia="zh-CN"/>
        </w:rPr>
      </w:pPr>
    </w:p>
    <w:p w14:paraId="797A9B62">
      <w:pPr>
        <w:spacing w:line="500" w:lineRule="exact"/>
        <w:ind w:firstLine="360" w:firstLineChars="200"/>
        <w:rPr>
          <w:rFonts w:hint="eastAsia" w:ascii="宋体" w:hAnsi="宋体" w:eastAsia="宋体" w:cs="宋体"/>
          <w:color w:val="auto"/>
          <w:sz w:val="18"/>
          <w:szCs w:val="18"/>
          <w:highlight w:val="none"/>
          <w:lang w:val="en-US" w:eastAsia="zh-CN"/>
        </w:rPr>
      </w:pPr>
    </w:p>
    <w:p w14:paraId="2040E656">
      <w:pPr>
        <w:spacing w:line="500" w:lineRule="exact"/>
        <w:ind w:firstLine="360" w:firstLineChars="200"/>
        <w:rPr>
          <w:rFonts w:hint="eastAsia" w:ascii="宋体" w:hAnsi="宋体" w:eastAsia="宋体" w:cs="宋体"/>
          <w:color w:val="auto"/>
          <w:sz w:val="18"/>
          <w:szCs w:val="18"/>
          <w:highlight w:val="none"/>
          <w:lang w:val="en-US" w:eastAsia="zh-CN"/>
        </w:rPr>
      </w:pPr>
    </w:p>
    <w:p w14:paraId="735A54C4">
      <w:pPr>
        <w:spacing w:line="500" w:lineRule="exact"/>
        <w:ind w:firstLine="360" w:firstLineChars="200"/>
        <w:rPr>
          <w:rFonts w:hint="eastAsia" w:ascii="宋体" w:hAnsi="宋体" w:eastAsia="宋体" w:cs="宋体"/>
          <w:color w:val="auto"/>
          <w:sz w:val="18"/>
          <w:szCs w:val="18"/>
          <w:highlight w:val="none"/>
          <w:lang w:val="en-US" w:eastAsia="zh-CN"/>
        </w:rPr>
      </w:pPr>
    </w:p>
    <w:p w14:paraId="49F34E67">
      <w:pPr>
        <w:spacing w:line="500" w:lineRule="exact"/>
        <w:ind w:firstLine="360" w:firstLineChars="200"/>
        <w:rPr>
          <w:rFonts w:hint="eastAsia" w:ascii="宋体" w:hAnsi="宋体" w:eastAsia="宋体" w:cs="宋体"/>
          <w:color w:val="auto"/>
          <w:sz w:val="18"/>
          <w:szCs w:val="18"/>
          <w:highlight w:val="none"/>
          <w:lang w:val="en-US" w:eastAsia="zh-CN"/>
        </w:rPr>
      </w:pPr>
    </w:p>
    <w:p w14:paraId="3636D279">
      <w:pPr>
        <w:spacing w:line="500" w:lineRule="exact"/>
        <w:ind w:firstLine="360" w:firstLineChars="200"/>
        <w:rPr>
          <w:rFonts w:hint="eastAsia" w:ascii="宋体" w:hAnsi="宋体" w:eastAsia="宋体" w:cs="宋体"/>
          <w:color w:val="auto"/>
          <w:sz w:val="18"/>
          <w:szCs w:val="18"/>
          <w:highlight w:val="none"/>
          <w:lang w:val="en-US" w:eastAsia="zh-CN"/>
        </w:rPr>
      </w:pPr>
    </w:p>
    <w:p w14:paraId="4B5B1449">
      <w:pPr>
        <w:spacing w:line="500" w:lineRule="exact"/>
        <w:ind w:firstLine="360" w:firstLineChars="200"/>
        <w:rPr>
          <w:rFonts w:hint="eastAsia" w:ascii="宋体" w:hAnsi="宋体" w:eastAsia="宋体" w:cs="宋体"/>
          <w:color w:val="auto"/>
          <w:sz w:val="18"/>
          <w:szCs w:val="18"/>
          <w:highlight w:val="none"/>
          <w:lang w:val="en-US" w:eastAsia="zh-CN"/>
        </w:rPr>
      </w:pPr>
    </w:p>
    <w:p w14:paraId="72D391C1">
      <w:pPr>
        <w:spacing w:line="500" w:lineRule="exact"/>
        <w:ind w:firstLine="360" w:firstLineChars="200"/>
        <w:rPr>
          <w:rFonts w:hint="eastAsia" w:ascii="宋体" w:hAnsi="宋体" w:eastAsia="宋体" w:cs="宋体"/>
          <w:color w:val="auto"/>
          <w:sz w:val="18"/>
          <w:szCs w:val="18"/>
          <w:highlight w:val="none"/>
          <w:lang w:val="en-US" w:eastAsia="zh-CN"/>
        </w:rPr>
      </w:pPr>
    </w:p>
    <w:p w14:paraId="73C9C44E">
      <w:pPr>
        <w:spacing w:line="500" w:lineRule="exact"/>
        <w:ind w:firstLine="360" w:firstLineChars="200"/>
        <w:rPr>
          <w:rFonts w:hint="eastAsia" w:ascii="宋体" w:hAnsi="宋体" w:eastAsia="宋体" w:cs="宋体"/>
          <w:color w:val="auto"/>
          <w:sz w:val="18"/>
          <w:szCs w:val="18"/>
          <w:highlight w:val="none"/>
          <w:lang w:val="en-US" w:eastAsia="zh-CN"/>
        </w:rPr>
      </w:pPr>
    </w:p>
    <w:p w14:paraId="1C36CE1D">
      <w:pPr>
        <w:spacing w:line="500" w:lineRule="exact"/>
        <w:ind w:firstLine="360" w:firstLineChars="200"/>
        <w:rPr>
          <w:rFonts w:hint="eastAsia" w:ascii="宋体" w:hAnsi="宋体" w:eastAsia="宋体" w:cs="宋体"/>
          <w:color w:val="auto"/>
          <w:sz w:val="18"/>
          <w:szCs w:val="18"/>
          <w:highlight w:val="none"/>
          <w:lang w:val="en-US" w:eastAsia="zh-CN"/>
        </w:rPr>
      </w:pPr>
    </w:p>
    <w:p w14:paraId="226DFCD8">
      <w:pPr>
        <w:spacing w:line="500" w:lineRule="exact"/>
        <w:ind w:firstLine="360" w:firstLineChars="200"/>
        <w:rPr>
          <w:rFonts w:hint="eastAsia" w:ascii="宋体" w:hAnsi="宋体" w:eastAsia="宋体" w:cs="宋体"/>
          <w:color w:val="auto"/>
          <w:sz w:val="18"/>
          <w:szCs w:val="18"/>
          <w:highlight w:val="none"/>
          <w:lang w:val="en-US" w:eastAsia="zh-CN"/>
        </w:rPr>
      </w:pPr>
    </w:p>
    <w:p w14:paraId="11847C49">
      <w:pPr>
        <w:spacing w:line="500" w:lineRule="exact"/>
        <w:ind w:firstLine="360" w:firstLineChars="200"/>
        <w:rPr>
          <w:rFonts w:hint="eastAsia" w:ascii="宋体" w:hAnsi="宋体" w:eastAsia="宋体" w:cs="宋体"/>
          <w:color w:val="auto"/>
          <w:sz w:val="18"/>
          <w:szCs w:val="18"/>
          <w:highlight w:val="none"/>
          <w:lang w:val="en-US" w:eastAsia="zh-CN"/>
        </w:rPr>
      </w:pPr>
    </w:p>
    <w:p w14:paraId="1121DB1A">
      <w:pPr>
        <w:spacing w:line="500" w:lineRule="exact"/>
        <w:ind w:firstLine="360" w:firstLineChars="200"/>
        <w:rPr>
          <w:rFonts w:hint="eastAsia" w:ascii="宋体" w:hAnsi="宋体" w:eastAsia="宋体" w:cs="宋体"/>
          <w:color w:val="auto"/>
          <w:sz w:val="18"/>
          <w:szCs w:val="18"/>
          <w:highlight w:val="none"/>
          <w:lang w:val="en-US" w:eastAsia="zh-CN"/>
        </w:rPr>
      </w:pPr>
    </w:p>
    <w:p w14:paraId="67618140">
      <w:pPr>
        <w:spacing w:line="500" w:lineRule="exact"/>
        <w:ind w:firstLine="360" w:firstLineChars="200"/>
        <w:rPr>
          <w:rFonts w:hint="eastAsia" w:ascii="宋体" w:hAnsi="宋体" w:eastAsia="宋体" w:cs="宋体"/>
          <w:color w:val="auto"/>
          <w:sz w:val="18"/>
          <w:szCs w:val="18"/>
          <w:highlight w:val="none"/>
          <w:lang w:val="en-US" w:eastAsia="zh-CN"/>
        </w:rPr>
      </w:pPr>
    </w:p>
    <w:p w14:paraId="55458245">
      <w:pPr>
        <w:spacing w:line="500" w:lineRule="exact"/>
        <w:ind w:firstLine="360" w:firstLineChars="200"/>
        <w:rPr>
          <w:rFonts w:hint="eastAsia" w:ascii="宋体" w:hAnsi="宋体" w:eastAsia="宋体" w:cs="宋体"/>
          <w:color w:val="auto"/>
          <w:sz w:val="18"/>
          <w:szCs w:val="18"/>
          <w:highlight w:val="none"/>
          <w:lang w:val="en-US" w:eastAsia="zh-CN"/>
        </w:rPr>
      </w:pPr>
    </w:p>
    <w:p w14:paraId="54AD33CD">
      <w:pPr>
        <w:spacing w:before="120" w:beforeLines="50" w:after="120" w:afterLines="50"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二、商务条款要求</w:t>
      </w:r>
    </w:p>
    <w:bookmarkEnd w:id="32"/>
    <w:tbl>
      <w:tblPr>
        <w:tblStyle w:val="62"/>
        <w:tblW w:w="9141" w:type="dxa"/>
        <w:tblInd w:w="0" w:type="dxa"/>
        <w:tblLayout w:type="fixed"/>
        <w:tblCellMar>
          <w:top w:w="0" w:type="dxa"/>
          <w:left w:w="108" w:type="dxa"/>
          <w:bottom w:w="0" w:type="dxa"/>
          <w:right w:w="108" w:type="dxa"/>
        </w:tblCellMar>
      </w:tblPr>
      <w:tblGrid>
        <w:gridCol w:w="2261"/>
        <w:gridCol w:w="6880"/>
      </w:tblGrid>
      <w:tr w14:paraId="46E888A5">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18D7A96">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A697551">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要 求</w:t>
            </w:r>
          </w:p>
        </w:tc>
      </w:tr>
      <w:tr w14:paraId="00668BC0">
        <w:tblPrEx>
          <w:tblCellMar>
            <w:top w:w="0" w:type="dxa"/>
            <w:left w:w="108" w:type="dxa"/>
            <w:bottom w:w="0" w:type="dxa"/>
            <w:right w:w="108" w:type="dxa"/>
          </w:tblCellMar>
        </w:tblPrEx>
        <w:trPr>
          <w:trHeight w:val="2520"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FE18C9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采购范围</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BC0514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本工程位于胡陈乡内的3个山塘（小垅山塘、秤钩吊月山塘、发洪山塘）进行整治，其中小垅山塘主要建设内容为：①对坝体进行防渗处理，坝顶新建浆砌石防浪墙，铺设彩砖路面；②内外坝坡清理及修建干砌石护坡，坝脚新建干砌石地梁及砼排水沟；③新建放水设施及老涵管封堵，新建启闭机房、标志牌等；④新建混凝土上坝道路，⑤库内土方开挖外运；</w:t>
            </w:r>
          </w:p>
          <w:p w14:paraId="0CC53DB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秤钩吊月山塘主要建设内容为：①对坝体进行防渗处理，坝顶拆除重建浆砌石防浪墙，铺设彩砖路面；②内外坝坡清理及修建干砌石护坡；③新建放水设施、溢洪道和标志牌等；④上坝道路清障及场地平整；⑤库内土方开挖外运；</w:t>
            </w:r>
          </w:p>
          <w:p w14:paraId="437534E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发洪山塘主要建设内容为：①坝顶拆除重建浆砌石防浪墙，铺设彩砖路面；②内外坝坡清理及修建干砌石护坡，坝脚新建干砌石地梁及砼排水沟③新建放水设施、溢洪道和标志牌等；④上坝道路清障及场地平整；⑤库内土方开挖外运</w:t>
            </w:r>
            <w:r>
              <w:rPr>
                <w:rFonts w:hint="eastAsia" w:ascii="宋体" w:hAnsi="宋体" w:cs="宋体"/>
                <w:color w:val="auto"/>
                <w:kern w:val="0"/>
                <w:sz w:val="24"/>
                <w:szCs w:val="24"/>
                <w:highlight w:val="none"/>
                <w:lang w:eastAsia="zh-CN"/>
              </w:rPr>
              <w:t>。</w:t>
            </w:r>
          </w:p>
        </w:tc>
      </w:tr>
      <w:tr w14:paraId="73575F7E">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FB44EF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承包方式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2FBD4F7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包工包料</w:t>
            </w:r>
          </w:p>
        </w:tc>
      </w:tr>
      <w:tr w14:paraId="3C8C92D2">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615774E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质量要求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A29C026">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达到国家和行业施工验收规范，验收合格</w:t>
            </w:r>
          </w:p>
        </w:tc>
      </w:tr>
      <w:tr w14:paraId="7ABA859C">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6507860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安全要求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F0FAC92">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合格</w:t>
            </w:r>
          </w:p>
        </w:tc>
      </w:tr>
      <w:tr w14:paraId="596F6CCD">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F5690E4">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计划工期</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0AD4384">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180日历天</w:t>
            </w:r>
          </w:p>
        </w:tc>
      </w:tr>
      <w:tr w14:paraId="1ACB0AC3">
        <w:tblPrEx>
          <w:tblCellMar>
            <w:top w:w="0" w:type="dxa"/>
            <w:left w:w="108" w:type="dxa"/>
            <w:bottom w:w="0" w:type="dxa"/>
            <w:right w:w="108" w:type="dxa"/>
          </w:tblCellMar>
        </w:tblPrEx>
        <w:trPr>
          <w:trHeight w:val="3422"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4EC998D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right="-193" w:rightChars="-92" w:firstLine="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人员配备</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1B42D38">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1.拟派项目负责人要求：1名，具备水利水电贰级及以上（不含临时）建造师注册证书，应持有水行政主管部门颁发的安全生产考核合格证书（B证）</w:t>
            </w:r>
            <w:r>
              <w:rPr>
                <w:rFonts w:hint="eastAsia" w:ascii="宋体" w:hAnsi="宋体" w:cs="宋体"/>
                <w:color w:val="auto"/>
                <w:sz w:val="24"/>
                <w:szCs w:val="24"/>
                <w:highlight w:val="none"/>
                <w:lang w:val="en-US" w:eastAsia="zh-CN"/>
              </w:rPr>
              <w:t>，且在投标截止日不得在其他任何在建合同工程中担任项目负责人（包括工程总承包项目中的施工负责人）</w:t>
            </w:r>
            <w:r>
              <w:rPr>
                <w:rFonts w:hint="eastAsia" w:ascii="宋体" w:hAnsi="宋体" w:eastAsia="宋体" w:cs="宋体"/>
                <w:color w:val="auto"/>
                <w:sz w:val="24"/>
                <w:szCs w:val="24"/>
                <w:highlight w:val="none"/>
                <w:lang w:val="en-US" w:eastAsia="zh-CN"/>
              </w:rPr>
              <w:t>。</w:t>
            </w:r>
          </w:p>
          <w:p w14:paraId="3289D269">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2.项目技术负责人须具备水利相关专业工程师及以上职称证书，1名；施工员和质检员须具备相应的专业岗位资格证书或岗位培训合格证书，专职安全员具有行政主管部门颁发的安全生产考核合格证书C证，各1名。</w:t>
            </w:r>
          </w:p>
          <w:p w14:paraId="5C1F958A">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注：1.响应文件中提供相关证书的扫描件或复印件。</w:t>
            </w:r>
          </w:p>
          <w:p w14:paraId="05EF97E1">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1AE4CFED">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3.“在建合同工程”范围：包括在中华人民共和国境内所有建设工程，不受地域、行业和投资性质的限制。</w:t>
            </w:r>
          </w:p>
        </w:tc>
      </w:tr>
      <w:tr w14:paraId="45D42AC8">
        <w:tblPrEx>
          <w:tblCellMar>
            <w:top w:w="0" w:type="dxa"/>
            <w:left w:w="108" w:type="dxa"/>
            <w:bottom w:w="0" w:type="dxa"/>
            <w:right w:w="108" w:type="dxa"/>
          </w:tblCellMar>
        </w:tblPrEx>
        <w:trPr>
          <w:trHeight w:val="4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EE7335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其他</w:t>
            </w:r>
          </w:p>
        </w:tc>
        <w:tc>
          <w:tcPr>
            <w:tcW w:w="6880" w:type="dxa"/>
            <w:tcBorders>
              <w:top w:val="single" w:color="000000" w:sz="4" w:space="0"/>
              <w:left w:val="single" w:color="000000" w:sz="4" w:space="0"/>
              <w:bottom w:val="single" w:color="000000" w:sz="4" w:space="0"/>
              <w:right w:val="single" w:color="000000" w:sz="4" w:space="0"/>
            </w:tcBorders>
            <w:noWrap w:val="0"/>
            <w:vAlign w:val="top"/>
          </w:tcPr>
          <w:p w14:paraId="481C93A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4CEB420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本工程为固定单价合同，工程量按实际工程量结算。</w:t>
            </w:r>
          </w:p>
          <w:p w14:paraId="7187F4B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3659B29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施工单位须落实安全生产措施，在施工中发生的一切生产安全事故及其它事故由施工单位负责，同采购人无涉。</w:t>
            </w:r>
          </w:p>
        </w:tc>
      </w:tr>
      <w:tr w14:paraId="0ACDF8CB">
        <w:tblPrEx>
          <w:tblCellMar>
            <w:top w:w="0" w:type="dxa"/>
            <w:left w:w="108" w:type="dxa"/>
            <w:bottom w:w="0" w:type="dxa"/>
            <w:right w:w="108" w:type="dxa"/>
          </w:tblCellMar>
        </w:tblPrEx>
        <w:trPr>
          <w:trHeight w:val="109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82BD6C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E8EBF9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供应商按采购文件提供的《工程量清单》格式报价</w:t>
            </w:r>
            <w:r>
              <w:rPr>
                <w:rFonts w:hint="eastAsia" w:ascii="宋体" w:hAnsi="宋体" w:eastAsia="宋体" w:cs="宋体"/>
                <w:color w:val="auto"/>
                <w:kern w:val="0"/>
                <w:sz w:val="24"/>
                <w:szCs w:val="24"/>
                <w:highlight w:val="none"/>
                <w:lang w:eastAsia="zh-CN"/>
              </w:rPr>
              <w:t>。</w:t>
            </w:r>
          </w:p>
          <w:p w14:paraId="30C9EA8C">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本工程实行工程量清单固定综合单价，工程量按实际结算。</w:t>
            </w:r>
          </w:p>
        </w:tc>
      </w:tr>
      <w:tr w14:paraId="5CEAE7AB">
        <w:tblPrEx>
          <w:tblCellMar>
            <w:top w:w="0" w:type="dxa"/>
            <w:left w:w="108" w:type="dxa"/>
            <w:bottom w:w="0" w:type="dxa"/>
            <w:right w:w="108" w:type="dxa"/>
          </w:tblCellMar>
        </w:tblPrEx>
        <w:trPr>
          <w:trHeight w:val="1104"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C41AFD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签约合同价</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FE8104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签约合同价</w:t>
            </w:r>
            <w:r>
              <w:rPr>
                <w:rFonts w:hint="eastAsia" w:ascii="宋体" w:hAnsi="宋体" w:eastAsia="宋体" w:cs="宋体"/>
                <w:color w:val="auto"/>
                <w:sz w:val="24"/>
                <w:szCs w:val="24"/>
                <w:highlight w:val="none"/>
                <w:lang w:val="en-US" w:eastAsia="zh-CN"/>
              </w:rPr>
              <w:t>=中标价</w:t>
            </w:r>
          </w:p>
          <w:p w14:paraId="0C455C06">
            <w:pPr>
              <w:pStyle w:val="966"/>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zh-CN" w:eastAsia="zh-CN"/>
              </w:rPr>
              <w:t>特别说明：具体预算金额以预算报告为准</w:t>
            </w:r>
          </w:p>
        </w:tc>
      </w:tr>
      <w:tr w14:paraId="2D7E57CC">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5086B7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履约保证金</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34BEB822">
            <w:pPr>
              <w:pStyle w:val="966"/>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rPr>
              <w:t>履约保证金金额：</w:t>
            </w:r>
            <w:r>
              <w:rPr>
                <w:rFonts w:hint="eastAsia" w:ascii="宋体" w:hAnsi="宋体" w:eastAsia="宋体" w:cs="宋体"/>
                <w:color w:val="auto"/>
                <w:sz w:val="24"/>
                <w:szCs w:val="24"/>
                <w:highlight w:val="none"/>
                <w:lang w:val="zh-CN" w:eastAsia="zh-CN"/>
              </w:rPr>
              <w:t>合同总价的</w:t>
            </w:r>
            <w:r>
              <w:rPr>
                <w:rFonts w:hint="eastAsia" w:ascii="宋体" w:hAnsi="宋体" w:eastAsia="宋体" w:cs="宋体"/>
                <w:color w:val="auto"/>
                <w:sz w:val="24"/>
                <w:szCs w:val="24"/>
                <w:highlight w:val="none"/>
                <w:u w:val="single"/>
                <w:lang w:val="zh-CN" w:eastAsia="zh-CN"/>
              </w:rPr>
              <w:t xml:space="preserve"> 1% </w:t>
            </w:r>
            <w:r>
              <w:rPr>
                <w:rFonts w:hint="eastAsia" w:ascii="宋体" w:hAnsi="宋体" w:eastAsia="宋体" w:cs="宋体"/>
                <w:color w:val="auto"/>
                <w:sz w:val="24"/>
                <w:szCs w:val="24"/>
                <w:highlight w:val="none"/>
                <w:u w:val="none"/>
                <w:lang w:val="zh-CN" w:eastAsia="zh-CN"/>
              </w:rPr>
              <w:t>。</w:t>
            </w:r>
          </w:p>
        </w:tc>
      </w:tr>
    </w:tbl>
    <w:p w14:paraId="38681BDD">
      <w:pPr>
        <w:spacing w:line="360" w:lineRule="auto"/>
        <w:jc w:val="center"/>
        <w:outlineLvl w:val="0"/>
        <w:rPr>
          <w:rFonts w:hint="eastAsia" w:ascii="宋体" w:hAnsi="宋体" w:eastAsia="宋体" w:cs="宋体"/>
          <w:b/>
          <w:bCs/>
          <w:color w:val="auto"/>
          <w:sz w:val="24"/>
          <w:szCs w:val="24"/>
          <w:highlight w:val="none"/>
        </w:rPr>
      </w:pPr>
    </w:p>
    <w:p w14:paraId="131350B9">
      <w:pPr>
        <w:spacing w:line="360" w:lineRule="auto"/>
        <w:jc w:val="center"/>
        <w:outlineLvl w:val="0"/>
        <w:rPr>
          <w:rFonts w:hint="eastAsia" w:ascii="宋体" w:hAnsi="宋体" w:eastAsia="宋体" w:cs="宋体"/>
          <w:b/>
          <w:bCs/>
          <w:color w:val="auto"/>
          <w:sz w:val="24"/>
          <w:szCs w:val="24"/>
          <w:highlight w:val="none"/>
        </w:rPr>
      </w:pPr>
    </w:p>
    <w:p w14:paraId="54E6F889">
      <w:pPr>
        <w:spacing w:line="360" w:lineRule="auto"/>
        <w:ind w:left="210" w:leftChars="1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.付款条件（进度和方式）</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2DCE176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2CBB11E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58" w:type="dxa"/>
            <w:shd w:val="clear" w:color="auto" w:fill="auto"/>
            <w:vAlign w:val="center"/>
          </w:tcPr>
          <w:p w14:paraId="5EE7A5A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付款比例（%）</w:t>
            </w:r>
          </w:p>
        </w:tc>
        <w:tc>
          <w:tcPr>
            <w:tcW w:w="6002" w:type="dxa"/>
            <w:shd w:val="clear" w:color="auto" w:fill="auto"/>
            <w:vAlign w:val="center"/>
          </w:tcPr>
          <w:p w14:paraId="6F8220E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r>
      <w:tr w14:paraId="76B23A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78CB6AC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58" w:type="dxa"/>
            <w:shd w:val="clear" w:color="auto" w:fill="auto"/>
            <w:vAlign w:val="center"/>
          </w:tcPr>
          <w:p w14:paraId="4E279636">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支付合同价的40%</w:t>
            </w:r>
          </w:p>
        </w:tc>
        <w:tc>
          <w:tcPr>
            <w:tcW w:w="6002" w:type="dxa"/>
            <w:shd w:val="clear" w:color="auto" w:fill="auto"/>
            <w:vAlign w:val="center"/>
          </w:tcPr>
          <w:p w14:paraId="4665180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合同生效以及具备实施条件后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w:t>
            </w:r>
          </w:p>
        </w:tc>
      </w:tr>
      <w:tr w14:paraId="7DEF1F5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73C7AC9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58" w:type="dxa"/>
            <w:shd w:val="clear" w:color="auto" w:fill="auto"/>
            <w:vAlign w:val="center"/>
          </w:tcPr>
          <w:p w14:paraId="66259E0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支付合同价的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tc>
        <w:tc>
          <w:tcPr>
            <w:tcW w:w="6002" w:type="dxa"/>
            <w:shd w:val="clear" w:color="auto" w:fill="auto"/>
            <w:vAlign w:val="center"/>
          </w:tcPr>
          <w:p w14:paraId="44C80E0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满足合同约定支付条件的，</w:t>
            </w:r>
            <w:r>
              <w:rPr>
                <w:rFonts w:hint="eastAsia" w:ascii="宋体" w:hAnsi="宋体" w:eastAsia="宋体" w:cs="宋体"/>
                <w:color w:val="auto"/>
                <w:sz w:val="24"/>
                <w:szCs w:val="24"/>
                <w:lang w:val="en-US" w:eastAsia="zh-CN"/>
              </w:rPr>
              <w:t>并</w:t>
            </w:r>
            <w:r>
              <w:rPr>
                <w:rFonts w:hint="eastAsia" w:ascii="宋体" w:hAnsi="宋体" w:eastAsia="宋体" w:cs="宋体"/>
                <w:snapToGrid w:val="0"/>
                <w:color w:val="auto"/>
                <w:sz w:val="24"/>
                <w:szCs w:val="24"/>
              </w:rPr>
              <w:t>完成合同工程量的80％</w:t>
            </w:r>
            <w:r>
              <w:rPr>
                <w:rFonts w:hint="eastAsia" w:ascii="宋体" w:hAnsi="宋体" w:eastAsia="宋体" w:cs="宋体"/>
                <w:snapToGrid w:val="0"/>
                <w:color w:val="auto"/>
                <w:sz w:val="24"/>
                <w:szCs w:val="24"/>
                <w:lang w:eastAsia="zh-CN"/>
              </w:rPr>
              <w:t>，</w:t>
            </w:r>
            <w:r>
              <w:rPr>
                <w:rFonts w:hint="eastAsia" w:ascii="宋体" w:hAnsi="宋体" w:eastAsia="宋体" w:cs="宋体"/>
                <w:color w:val="auto"/>
                <w:sz w:val="24"/>
                <w:szCs w:val="24"/>
              </w:rPr>
              <w:t>自收到发票后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w:t>
            </w:r>
          </w:p>
        </w:tc>
      </w:tr>
      <w:tr w14:paraId="3F5C9B8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0F46B592">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358" w:type="dxa"/>
            <w:shd w:val="clear" w:color="auto" w:fill="auto"/>
            <w:vAlign w:val="center"/>
          </w:tcPr>
          <w:p w14:paraId="01D9C324">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支付剩余款项</w:t>
            </w:r>
          </w:p>
        </w:tc>
        <w:tc>
          <w:tcPr>
            <w:tcW w:w="6002" w:type="dxa"/>
            <w:shd w:val="clear" w:color="auto" w:fill="auto"/>
            <w:vAlign w:val="center"/>
          </w:tcPr>
          <w:p w14:paraId="33C3A16B">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项目验收合格并办理交付手续后7个工作日内</w:t>
            </w:r>
          </w:p>
        </w:tc>
      </w:tr>
    </w:tbl>
    <w:p w14:paraId="67E05C42">
      <w:pPr>
        <w:widowControl/>
        <w:ind w:firstLine="720" w:firstLineChars="300"/>
        <w:jc w:val="left"/>
        <w:rPr>
          <w:rFonts w:ascii="宋体" w:hAnsi="宋体" w:cs="宋体"/>
          <w:bCs/>
          <w:color w:val="auto"/>
          <w:sz w:val="24"/>
        </w:rPr>
      </w:pPr>
    </w:p>
    <w:p w14:paraId="09F7799E">
      <w:pPr>
        <w:keepNext/>
        <w:keepLines/>
        <w:spacing w:line="360" w:lineRule="auto"/>
        <w:jc w:val="center"/>
        <w:outlineLvl w:val="0"/>
        <w:rPr>
          <w:rFonts w:hint="eastAsia" w:ascii="黑体" w:hAnsi="黑体" w:eastAsia="黑体" w:cs="黑体"/>
          <w:color w:val="auto"/>
          <w:sz w:val="32"/>
          <w:lang w:eastAsia="zh-CN"/>
        </w:rPr>
        <w:sectPr>
          <w:pgSz w:w="11906" w:h="16838"/>
          <w:pgMar w:top="1440" w:right="1106" w:bottom="1440" w:left="1752" w:header="851" w:footer="992" w:gutter="0"/>
          <w:pgNumType w:fmt="decimal"/>
          <w:cols w:space="720" w:num="1"/>
          <w:docGrid w:type="lines" w:linePitch="312" w:charSpace="0"/>
        </w:sectPr>
      </w:pPr>
    </w:p>
    <w:p w14:paraId="3BB9B7AB">
      <w:pPr>
        <w:keepNext/>
        <w:keepLines/>
        <w:spacing w:line="360" w:lineRule="auto"/>
        <w:jc w:val="center"/>
        <w:outlineLvl w:val="0"/>
        <w:rPr>
          <w:color w:val="auto"/>
          <w:highlight w:val="none"/>
        </w:rPr>
      </w:pPr>
      <w:r>
        <w:rPr>
          <w:rFonts w:hint="eastAsia" w:ascii="黑体" w:hAnsi="黑体" w:eastAsia="黑体" w:cs="黑体"/>
          <w:color w:val="auto"/>
          <w:sz w:val="32"/>
        </w:rPr>
        <w:t>工程量清单编制说明</w:t>
      </w:r>
    </w:p>
    <w:p w14:paraId="595593D1">
      <w:pPr>
        <w:numPr>
          <w:ilvl w:val="0"/>
          <w:numId w:val="1"/>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工程概况及招标范围</w:t>
      </w:r>
    </w:p>
    <w:p w14:paraId="6AA4CF32">
      <w:pPr>
        <w:pStyle w:val="15"/>
        <w:widowControl w:val="0"/>
        <w:numPr>
          <w:ilvl w:val="0"/>
          <w:numId w:val="0"/>
        </w:numPr>
        <w:tabs>
          <w:tab w:val="left" w:pos="720"/>
          <w:tab w:val="clear" w:pos="390"/>
          <w:tab w:val="clear" w:pos="454"/>
        </w:tabs>
        <w:snapToGrid w:val="0"/>
        <w:spacing w:before="120" w:beforeLines="5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该工程由宁海县胡陈乡人民政府负责建设，由宁波天成水利水电设计有限公司、浙江禹川勘测设计有限公司负责施工图设计。</w:t>
      </w:r>
    </w:p>
    <w:p w14:paraId="6F9D2EC0">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二、编制依据</w:t>
      </w:r>
    </w:p>
    <w:p w14:paraId="3250A77C">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1、《浙江省水利水电建筑工程预算定额（2021）》；</w:t>
      </w:r>
    </w:p>
    <w:p w14:paraId="16CDB2D4">
      <w:pPr>
        <w:spacing w:line="46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lang w:val="en-US" w:eastAsia="zh-CN"/>
        </w:rPr>
        <w:t>2、《浙江省</w:t>
      </w:r>
      <w:r>
        <w:rPr>
          <w:rFonts w:hint="eastAsia" w:asciiTheme="minorEastAsia" w:hAnsiTheme="minorEastAsia" w:eastAsiaTheme="minorEastAsia" w:cstheme="minorEastAsia"/>
          <w:color w:val="auto"/>
          <w:kern w:val="2"/>
          <w:sz w:val="24"/>
          <w:szCs w:val="24"/>
          <w:highlight w:val="none"/>
          <w:lang w:val="en-US" w:eastAsia="zh-CN" w:bidi="ar-SA"/>
        </w:rPr>
        <w:t>水利水电工程设计概（预）算编制规定（2021年）》；</w:t>
      </w:r>
    </w:p>
    <w:p w14:paraId="52D115DF">
      <w:pPr>
        <w:spacing w:line="46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3、《浙江省市政工程预算定额（2018版）》</w:t>
      </w:r>
    </w:p>
    <w:p w14:paraId="66995BC7">
      <w:pPr>
        <w:spacing w:line="46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4、《浙江省水利水电工程施工机械台班费定额（2021）》；</w:t>
      </w:r>
    </w:p>
    <w:p w14:paraId="0089E320">
      <w:pPr>
        <w:spacing w:line="46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5、《宁波建设工程造价信息综合版》（2025年4月刊）；</w:t>
      </w:r>
    </w:p>
    <w:p w14:paraId="18361BD3">
      <w:pPr>
        <w:spacing w:line="46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6、《浙江省水利工程工程量清单计价办法》；</w:t>
      </w:r>
    </w:p>
    <w:p w14:paraId="21FB491D">
      <w:pPr>
        <w:spacing w:line="46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7、不足部分参照国家有关定额。</w:t>
      </w:r>
    </w:p>
    <w:p w14:paraId="562D1F52">
      <w:pPr>
        <w:spacing w:line="460" w:lineRule="exact"/>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三、编制原则及办法</w:t>
      </w:r>
    </w:p>
    <w:p w14:paraId="1CF70655">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1、建筑工程</w:t>
      </w:r>
    </w:p>
    <w:p w14:paraId="4C124E57">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工程量以设计图纸为依据，根据设计断面尺寸计算。工程部分单价按施工组织设计提供的施工方法套用《浙江省水利水电建筑工程预算定额》，不足部分套用国家规定相应有关工程定额和标准。</w:t>
      </w:r>
    </w:p>
    <w:p w14:paraId="125F51DD">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2、施工机械台班</w:t>
      </w:r>
    </w:p>
    <w:p w14:paraId="1E83C3FB">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施工机械台班费套用《浙江省水利水电工程施工机械台班费定额（2021）》。</w:t>
      </w:r>
    </w:p>
    <w:p w14:paraId="023F9BC8">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3、基础单价</w:t>
      </w:r>
    </w:p>
    <w:p w14:paraId="5FC18318">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（1）人工预算单价，根据浙江省工资标准和年应工作天数（250天），不分工程等别，人工预算单价为128元/工日）；</w:t>
      </w:r>
    </w:p>
    <w:p w14:paraId="0F76FF07">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进入单价的主要材料预算价格：主要材料（水泥、钢筋、木材、柴油、炸药、砂石料等）：水泥限价300元/T，柴油限价3000元/T，外购砼骨料预算限价60元/m3，外购砌筑块石预算限价60元/m3，用作垫层及回填料的外购砂、碎石（卵石）、塘渣、石渣、毛块石及抛石等预算限价30元/m3，外购成品预制构件按出厂价的25%。超过限价部分作为材料预算价差，计取税金后列入相应单价内。实际材料预算价格低于限价的按实价算；</w:t>
      </w:r>
    </w:p>
    <w:p w14:paraId="418E3653">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主要材料的价格参考《宁波建设工程造价信息综合版》（2025年4月刊）宁海县栏价格，宁海县栏无信息价部分参照宁波市区栏价格，宁波市栏无价格部分考虑市场价进入预算；</w:t>
      </w:r>
    </w:p>
    <w:p w14:paraId="4363D674">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（3）建筑工程单价含直接费、间接费、利润和税金四项。</w:t>
      </w:r>
    </w:p>
    <w:p w14:paraId="4D229018">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4、取费标准</w:t>
      </w:r>
    </w:p>
    <w:p w14:paraId="16246490">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根据工程类别确定计费标准：按三类工程标准计取，组成建筑工程单价的具体取费标准如下：</w:t>
      </w:r>
    </w:p>
    <w:p w14:paraId="5381A34A">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（1）直接费</w:t>
      </w:r>
    </w:p>
    <w:p w14:paraId="654E0771">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a、直接工程费</w:t>
      </w:r>
    </w:p>
    <w:p w14:paraId="0594A73A">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b、措施费                          3.5%</w:t>
      </w:r>
    </w:p>
    <w:p w14:paraId="50987D7B">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（2）间接费</w:t>
      </w:r>
    </w:p>
    <w:p w14:paraId="5B820BD5">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土方工程按直接费                   6.5%</w:t>
      </w:r>
    </w:p>
    <w:p w14:paraId="4164F092">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石方工程按直接费                   9.5%</w:t>
      </w:r>
    </w:p>
    <w:p w14:paraId="249AFC30">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混凝土工程按直接费                 9.5%</w:t>
      </w:r>
    </w:p>
    <w:p w14:paraId="794A7DE9">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基础处理工程按直接费               9.0%</w:t>
      </w:r>
    </w:p>
    <w:p w14:paraId="6B1E7765">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疏浚工程                       6.5%</w:t>
      </w:r>
    </w:p>
    <w:p w14:paraId="1D88043C">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（3）利润                          5.0%</w:t>
      </w:r>
    </w:p>
    <w:p w14:paraId="087EAC10">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（4）税金                          9.0%</w:t>
      </w:r>
    </w:p>
    <w:p w14:paraId="60D86AE1">
      <w:pPr>
        <w:spacing w:line="460" w:lineRule="exact"/>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四、工程量清单说明</w:t>
      </w:r>
    </w:p>
    <w:p w14:paraId="37BEC5BC">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1、工程预算价所列的工程量为施工图计算工程量，仅作为编制预算的基础，而实际则根据合同规定的计量办法核定的工程量，乘以工程量清单中的相应单价而得出的合价进行结算；</w:t>
      </w:r>
    </w:p>
    <w:p w14:paraId="3961C6C6">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2、工程预算价单价已包括直接费、间接费、利润和税金，同时还计入了市场风险金和工程所需但工程量清单中未单独列项的临时工程摊销费用；</w:t>
      </w:r>
    </w:p>
    <w:p w14:paraId="7A6BF532">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3、本工程施工混凝土自拌混凝土，施工用水采用库区内取水；</w:t>
      </w:r>
    </w:p>
    <w:p w14:paraId="04F9E78B">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4、经业主确认现场情况，小垅山塘施工用电采用自发电，秤钩吊月山塘、发洪山塘施工用电采用网电考虑；</w:t>
      </w:r>
    </w:p>
    <w:p w14:paraId="5C9035D9">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5、经业主确认，小垅山塘施工排水按5000元/项计入，施工临时道路按10000元/项计入，施工临时用房按4000元/项计入；</w:t>
      </w:r>
    </w:p>
    <w:p w14:paraId="57EB48AA">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6、经业主确认，秤钩吊月山塘施工排水按5000元/项计入，施工用电按3000元/计入，施工临时道路按5000元/项计入，施工临时用房按3000元/项计入；</w:t>
      </w:r>
    </w:p>
    <w:p w14:paraId="0C538A49">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7、经业主确认，发洪山塘施工排水按5000元/项计入，施工用电按2000元/计入，施工临时道路按5000元/项计入，施工临时用房按3000元/项计入；</w:t>
      </w:r>
    </w:p>
    <w:p w14:paraId="6A5ADE55">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8、秤钩吊月山塘弃土及库内土方外运运距按2km计入，发洪山塘弃土及库内土方外运运距按3km计入，小垅山塘库内土方外运运距按1km计入；</w:t>
      </w:r>
    </w:p>
    <w:p w14:paraId="6FF598AC">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9、经业主确认，便民设施（休闲凳，垃圾桶等）按5000元/项计入；</w:t>
      </w:r>
    </w:p>
    <w:p w14:paraId="39CE9DE3">
      <w:pPr>
        <w:spacing w:line="46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10、其他临时工程、安全生产措施费和预留金由业主监管。</w:t>
      </w:r>
    </w:p>
    <w:p w14:paraId="1ADCE3CA">
      <w:pPr>
        <w:spacing w:line="460" w:lineRule="exact"/>
        <w:ind w:firstLine="420" w:firstLineChars="200"/>
        <w:rPr>
          <w:rFonts w:hint="eastAsia" w:asciiTheme="minorEastAsia" w:hAnsiTheme="minorEastAsia" w:eastAsiaTheme="minorEastAsia" w:cstheme="minorEastAsia"/>
          <w:color w:val="auto"/>
          <w:szCs w:val="21"/>
          <w:lang w:val="en-US" w:eastAsia="zh-CN"/>
        </w:rPr>
      </w:pPr>
    </w:p>
    <w:p w14:paraId="59693BF1">
      <w:pPr>
        <w:spacing w:line="460" w:lineRule="exact"/>
        <w:ind w:firstLine="420" w:firstLineChars="200"/>
        <w:rPr>
          <w:rFonts w:hint="eastAsia" w:asciiTheme="minorEastAsia" w:hAnsiTheme="minorEastAsia" w:eastAsiaTheme="minorEastAsia" w:cstheme="minorEastAsia"/>
          <w:color w:val="auto"/>
          <w:szCs w:val="21"/>
          <w:lang w:val="en-US" w:eastAsia="zh-CN"/>
        </w:rPr>
      </w:pPr>
    </w:p>
    <w:p w14:paraId="4C3CDCE8">
      <w:pPr>
        <w:pStyle w:val="15"/>
        <w:widowControl w:val="0"/>
        <w:numPr>
          <w:ilvl w:val="0"/>
          <w:numId w:val="0"/>
        </w:numPr>
        <w:tabs>
          <w:tab w:val="left" w:pos="720"/>
          <w:tab w:val="clear" w:pos="390"/>
          <w:tab w:val="clear" w:pos="454"/>
        </w:tabs>
        <w:snapToGrid w:val="0"/>
        <w:spacing w:before="120" w:beforeLines="50" w:line="360" w:lineRule="auto"/>
        <w:jc w:val="both"/>
        <w:rPr>
          <w:rFonts w:hint="eastAsia" w:asciiTheme="minorEastAsia" w:hAnsiTheme="minorEastAsia" w:eastAsiaTheme="minorEastAsia" w:cstheme="minorEastAsia"/>
          <w:color w:val="auto"/>
          <w:kern w:val="2"/>
          <w:sz w:val="21"/>
          <w:szCs w:val="24"/>
          <w:highlight w:val="none"/>
          <w:lang w:val="en-US" w:eastAsia="zh-CN" w:bidi="ar-SA"/>
        </w:rPr>
        <w:sectPr>
          <w:pgSz w:w="11906" w:h="16838"/>
          <w:pgMar w:top="1440" w:right="1440" w:bottom="1440" w:left="1440" w:header="851" w:footer="992" w:gutter="0"/>
          <w:pgNumType w:fmt="decimal"/>
          <w:cols w:space="720" w:num="1"/>
          <w:titlePg/>
          <w:docGrid w:linePitch="312" w:charSpace="0"/>
        </w:sectPr>
      </w:pPr>
    </w:p>
    <w:p w14:paraId="2EE24F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6"/>
          <w:szCs w:val="20"/>
        </w:rPr>
      </w:pPr>
      <w:r>
        <w:rPr>
          <w:rFonts w:hint="eastAsia" w:ascii="宋体" w:hAnsi="宋体" w:cs="宋体"/>
          <w:b/>
          <w:color w:val="auto"/>
          <w:sz w:val="36"/>
          <w:szCs w:val="20"/>
        </w:rPr>
        <w:t>第四部分</w:t>
      </w:r>
      <w:bookmarkStart w:id="33" w:name="_Toc184312121"/>
      <w:bookmarkEnd w:id="33"/>
      <w:bookmarkStart w:id="34" w:name="_Toc184308082"/>
      <w:bookmarkEnd w:id="34"/>
      <w:bookmarkStart w:id="35" w:name="_Toc184313272"/>
      <w:bookmarkEnd w:id="35"/>
      <w:bookmarkStart w:id="36" w:name="_Toc184310299"/>
      <w:bookmarkEnd w:id="36"/>
      <w:bookmarkStart w:id="37" w:name="_Toc184310297"/>
      <w:bookmarkEnd w:id="37"/>
      <w:bookmarkStart w:id="38" w:name="_Toc184310305"/>
      <w:bookmarkEnd w:id="38"/>
      <w:bookmarkStart w:id="39" w:name="_Toc184310335"/>
      <w:bookmarkEnd w:id="39"/>
      <w:bookmarkStart w:id="40" w:name="_Toc184312138"/>
      <w:bookmarkEnd w:id="40"/>
      <w:bookmarkStart w:id="41" w:name="_Toc184314417"/>
      <w:bookmarkEnd w:id="41"/>
      <w:bookmarkStart w:id="42" w:name="_Toc184312071"/>
      <w:bookmarkEnd w:id="42"/>
      <w:bookmarkStart w:id="43" w:name="_Toc184313299"/>
      <w:bookmarkEnd w:id="43"/>
      <w:bookmarkStart w:id="44" w:name="_Toc184314461"/>
      <w:bookmarkEnd w:id="44"/>
      <w:bookmarkStart w:id="45" w:name="_Toc184314426"/>
      <w:bookmarkEnd w:id="45"/>
      <w:bookmarkStart w:id="46" w:name="_Toc184314453"/>
      <w:bookmarkEnd w:id="46"/>
      <w:bookmarkStart w:id="47" w:name="_Toc184314430"/>
      <w:bookmarkEnd w:id="47"/>
      <w:bookmarkStart w:id="48" w:name="_Toc184313308"/>
      <w:bookmarkEnd w:id="48"/>
      <w:bookmarkStart w:id="49" w:name="_Toc184312136"/>
      <w:bookmarkEnd w:id="49"/>
      <w:bookmarkStart w:id="50" w:name="_Toc184314437"/>
      <w:bookmarkEnd w:id="50"/>
      <w:bookmarkStart w:id="51" w:name="_Toc184308062"/>
      <w:bookmarkEnd w:id="51"/>
      <w:bookmarkStart w:id="52" w:name="_Toc184310322"/>
      <w:bookmarkEnd w:id="52"/>
      <w:bookmarkStart w:id="53" w:name="_Toc184314464"/>
      <w:bookmarkEnd w:id="53"/>
      <w:bookmarkStart w:id="54" w:name="_Toc184310284"/>
      <w:bookmarkEnd w:id="54"/>
      <w:bookmarkStart w:id="55" w:name="_Toc184310320"/>
      <w:bookmarkEnd w:id="55"/>
      <w:bookmarkStart w:id="56" w:name="_Toc184312075"/>
      <w:bookmarkEnd w:id="56"/>
      <w:bookmarkStart w:id="57" w:name="_Toc184310313"/>
      <w:bookmarkEnd w:id="57"/>
      <w:bookmarkStart w:id="58" w:name="_Toc184313252"/>
      <w:bookmarkEnd w:id="58"/>
      <w:bookmarkStart w:id="59" w:name="_Toc184308085"/>
      <w:bookmarkEnd w:id="59"/>
      <w:bookmarkStart w:id="60" w:name="_Toc184312123"/>
      <w:bookmarkEnd w:id="60"/>
      <w:bookmarkStart w:id="61" w:name="_Toc184308067"/>
      <w:bookmarkEnd w:id="61"/>
      <w:bookmarkStart w:id="62" w:name="_Toc184308086"/>
      <w:bookmarkEnd w:id="62"/>
      <w:bookmarkStart w:id="63" w:name="_Toc184313244"/>
      <w:bookmarkEnd w:id="63"/>
      <w:bookmarkStart w:id="64" w:name="_Toc184314460"/>
      <w:bookmarkEnd w:id="64"/>
      <w:bookmarkStart w:id="65" w:name="_Toc184308108"/>
      <w:bookmarkEnd w:id="65"/>
      <w:bookmarkStart w:id="66" w:name="_Toc184312068"/>
      <w:bookmarkEnd w:id="66"/>
      <w:bookmarkStart w:id="67" w:name="_Toc184310306"/>
      <w:bookmarkEnd w:id="67"/>
      <w:bookmarkStart w:id="68" w:name="_Toc184313277"/>
      <w:bookmarkEnd w:id="68"/>
      <w:bookmarkStart w:id="69" w:name="_Toc184314428"/>
      <w:bookmarkEnd w:id="69"/>
      <w:bookmarkStart w:id="70" w:name="_Toc184314432"/>
      <w:bookmarkEnd w:id="70"/>
      <w:bookmarkStart w:id="71" w:name="_Toc184313307"/>
      <w:bookmarkEnd w:id="71"/>
      <w:bookmarkStart w:id="72" w:name="_Toc184314479"/>
      <w:bookmarkEnd w:id="72"/>
      <w:bookmarkStart w:id="73" w:name="_Toc184314449"/>
      <w:bookmarkEnd w:id="73"/>
      <w:bookmarkStart w:id="74" w:name="_Toc184312126"/>
      <w:bookmarkEnd w:id="74"/>
      <w:bookmarkStart w:id="75" w:name="_Toc184308045"/>
      <w:bookmarkEnd w:id="75"/>
      <w:bookmarkStart w:id="76" w:name="_Toc184310325"/>
      <w:bookmarkEnd w:id="76"/>
      <w:bookmarkStart w:id="77" w:name="_Toc184308103"/>
      <w:bookmarkEnd w:id="77"/>
      <w:bookmarkStart w:id="78" w:name="_Toc184314415"/>
      <w:bookmarkEnd w:id="78"/>
      <w:bookmarkStart w:id="79" w:name="_Toc184310344"/>
      <w:bookmarkEnd w:id="79"/>
      <w:bookmarkStart w:id="80" w:name="_Toc184313302"/>
      <w:bookmarkEnd w:id="80"/>
      <w:bookmarkStart w:id="81" w:name="_Toc184310304"/>
      <w:bookmarkEnd w:id="81"/>
      <w:bookmarkStart w:id="82" w:name="_Toc184310318"/>
      <w:bookmarkEnd w:id="82"/>
      <w:bookmarkStart w:id="83" w:name="_Toc184313306"/>
      <w:bookmarkEnd w:id="83"/>
      <w:bookmarkStart w:id="84" w:name="_Toc184308069"/>
      <w:bookmarkEnd w:id="84"/>
      <w:bookmarkStart w:id="85" w:name="_Toc184310293"/>
      <w:bookmarkEnd w:id="85"/>
      <w:bookmarkStart w:id="86" w:name="_Toc184312070"/>
      <w:bookmarkEnd w:id="86"/>
      <w:bookmarkStart w:id="87" w:name="_Toc184312078"/>
      <w:bookmarkEnd w:id="87"/>
      <w:bookmarkStart w:id="88" w:name="_Toc184314463"/>
      <w:bookmarkEnd w:id="88"/>
      <w:bookmarkStart w:id="89" w:name="_Toc184312088"/>
      <w:bookmarkEnd w:id="89"/>
      <w:bookmarkStart w:id="90" w:name="_Toc184312117"/>
      <w:bookmarkEnd w:id="90"/>
      <w:bookmarkStart w:id="91" w:name="_Toc184314457"/>
      <w:bookmarkEnd w:id="91"/>
      <w:bookmarkStart w:id="92" w:name="_Toc184308046"/>
      <w:bookmarkEnd w:id="92"/>
      <w:bookmarkStart w:id="93" w:name="_Toc184312091"/>
      <w:bookmarkEnd w:id="93"/>
      <w:bookmarkStart w:id="94" w:name="_Toc184308037"/>
      <w:bookmarkEnd w:id="94"/>
      <w:bookmarkStart w:id="95" w:name="_Toc184312139"/>
      <w:bookmarkEnd w:id="95"/>
      <w:bookmarkStart w:id="96" w:name="_Toc184308100"/>
      <w:bookmarkEnd w:id="96"/>
      <w:bookmarkStart w:id="97" w:name="_Toc184308041"/>
      <w:bookmarkEnd w:id="97"/>
      <w:bookmarkStart w:id="98" w:name="_Toc184310295"/>
      <w:bookmarkEnd w:id="98"/>
      <w:bookmarkStart w:id="99" w:name="_Toc184314443"/>
      <w:bookmarkEnd w:id="99"/>
      <w:bookmarkStart w:id="100" w:name="_Toc184308099"/>
      <w:bookmarkEnd w:id="100"/>
      <w:bookmarkStart w:id="101" w:name="_Toc184308095"/>
      <w:bookmarkEnd w:id="101"/>
      <w:bookmarkStart w:id="102" w:name="_Toc184308073"/>
      <w:bookmarkEnd w:id="102"/>
      <w:bookmarkStart w:id="103" w:name="_Toc184313292"/>
      <w:bookmarkEnd w:id="103"/>
      <w:bookmarkStart w:id="104" w:name="_Toc184314413"/>
      <w:bookmarkEnd w:id="104"/>
      <w:bookmarkStart w:id="105" w:name="_Toc184310301"/>
      <w:bookmarkEnd w:id="105"/>
      <w:bookmarkStart w:id="106" w:name="_Toc184314455"/>
      <w:bookmarkEnd w:id="106"/>
      <w:bookmarkStart w:id="107" w:name="_Toc184313264"/>
      <w:bookmarkEnd w:id="107"/>
      <w:bookmarkStart w:id="108" w:name="_Toc184308048"/>
      <w:bookmarkEnd w:id="108"/>
      <w:bookmarkStart w:id="109" w:name="_Toc184314440"/>
      <w:bookmarkEnd w:id="109"/>
      <w:bookmarkStart w:id="110" w:name="_Toc184314412"/>
      <w:bookmarkEnd w:id="110"/>
      <w:bookmarkStart w:id="111" w:name="_Toc184314442"/>
      <w:bookmarkEnd w:id="111"/>
      <w:bookmarkStart w:id="112" w:name="_Toc184312113"/>
      <w:bookmarkEnd w:id="112"/>
      <w:bookmarkStart w:id="113" w:name="_Toc184308092"/>
      <w:bookmarkEnd w:id="113"/>
      <w:bookmarkStart w:id="114" w:name="_Toc184313241"/>
      <w:bookmarkEnd w:id="114"/>
      <w:bookmarkStart w:id="115" w:name="_Toc184310334"/>
      <w:bookmarkEnd w:id="115"/>
      <w:bookmarkStart w:id="116" w:name="_Toc184310317"/>
      <w:bookmarkEnd w:id="116"/>
      <w:bookmarkStart w:id="117" w:name="_Toc184310273"/>
      <w:bookmarkEnd w:id="117"/>
      <w:bookmarkStart w:id="118" w:name="_Toc184314411"/>
      <w:bookmarkEnd w:id="118"/>
      <w:bookmarkStart w:id="119" w:name="_Toc184308075"/>
      <w:bookmarkEnd w:id="119"/>
      <w:bookmarkStart w:id="120" w:name="_Toc184312135"/>
      <w:bookmarkEnd w:id="120"/>
      <w:bookmarkStart w:id="121" w:name="_Toc184314423"/>
      <w:bookmarkEnd w:id="121"/>
      <w:bookmarkStart w:id="122" w:name="_Toc184310342"/>
      <w:bookmarkEnd w:id="122"/>
      <w:bookmarkStart w:id="123" w:name="_Toc184310311"/>
      <w:bookmarkEnd w:id="123"/>
      <w:bookmarkStart w:id="124" w:name="_Toc184314470"/>
      <w:bookmarkEnd w:id="124"/>
      <w:bookmarkStart w:id="125" w:name="_Toc184310331"/>
      <w:bookmarkEnd w:id="125"/>
      <w:bookmarkStart w:id="126" w:name="_Toc184308106"/>
      <w:bookmarkEnd w:id="126"/>
      <w:bookmarkStart w:id="127" w:name="_Toc184313243"/>
      <w:bookmarkEnd w:id="127"/>
      <w:bookmarkStart w:id="128" w:name="_Toc184310291"/>
      <w:bookmarkEnd w:id="128"/>
      <w:bookmarkStart w:id="129" w:name="_Toc184310296"/>
      <w:bookmarkEnd w:id="129"/>
      <w:bookmarkStart w:id="130" w:name="_Toc184308076"/>
      <w:bookmarkEnd w:id="130"/>
      <w:bookmarkStart w:id="131" w:name="_Toc184308049"/>
      <w:bookmarkEnd w:id="131"/>
      <w:bookmarkStart w:id="132" w:name="_Toc184312110"/>
      <w:bookmarkEnd w:id="132"/>
      <w:bookmarkStart w:id="133" w:name="_Toc184312096"/>
      <w:bookmarkEnd w:id="133"/>
      <w:bookmarkStart w:id="134" w:name="_Toc184308088"/>
      <w:bookmarkEnd w:id="134"/>
      <w:bookmarkStart w:id="135" w:name="_Toc184310332"/>
      <w:bookmarkEnd w:id="135"/>
      <w:bookmarkStart w:id="136" w:name="_Toc184310327"/>
      <w:bookmarkEnd w:id="136"/>
      <w:bookmarkStart w:id="137" w:name="_Toc184308055"/>
      <w:bookmarkEnd w:id="137"/>
      <w:bookmarkStart w:id="138" w:name="_Toc184312101"/>
      <w:bookmarkEnd w:id="138"/>
      <w:bookmarkStart w:id="139" w:name="_Toc184314474"/>
      <w:bookmarkEnd w:id="139"/>
      <w:bookmarkStart w:id="140" w:name="_Toc184314424"/>
      <w:bookmarkEnd w:id="140"/>
      <w:bookmarkStart w:id="141" w:name="_Toc184314448"/>
      <w:bookmarkEnd w:id="141"/>
      <w:bookmarkStart w:id="142" w:name="_Toc184314418"/>
      <w:bookmarkEnd w:id="142"/>
      <w:bookmarkStart w:id="143" w:name="_Toc184308090"/>
      <w:bookmarkEnd w:id="143"/>
      <w:bookmarkStart w:id="144" w:name="_Toc184313251"/>
      <w:bookmarkEnd w:id="144"/>
      <w:bookmarkStart w:id="145" w:name="_Toc184312116"/>
      <w:bookmarkEnd w:id="145"/>
      <w:bookmarkStart w:id="146" w:name="_Toc184308042"/>
      <w:bookmarkEnd w:id="146"/>
      <w:bookmarkStart w:id="147" w:name="_Toc184313273"/>
      <w:bookmarkEnd w:id="147"/>
      <w:bookmarkStart w:id="148" w:name="_Toc184310315"/>
      <w:bookmarkEnd w:id="148"/>
      <w:bookmarkStart w:id="149" w:name="_Toc184314431"/>
      <w:bookmarkEnd w:id="149"/>
      <w:bookmarkStart w:id="150" w:name="_Toc184312122"/>
      <w:bookmarkEnd w:id="150"/>
      <w:bookmarkStart w:id="151" w:name="_Toc184312120"/>
      <w:bookmarkEnd w:id="151"/>
      <w:bookmarkStart w:id="152" w:name="_Toc184314459"/>
      <w:bookmarkEnd w:id="152"/>
      <w:bookmarkStart w:id="153" w:name="_Toc184310307"/>
      <w:bookmarkEnd w:id="153"/>
      <w:bookmarkStart w:id="154" w:name="_Toc184312131"/>
      <w:bookmarkEnd w:id="154"/>
      <w:bookmarkStart w:id="155" w:name="_Toc184314435"/>
      <w:bookmarkEnd w:id="155"/>
      <w:bookmarkStart w:id="156" w:name="_Toc184310324"/>
      <w:bookmarkEnd w:id="156"/>
      <w:bookmarkStart w:id="157" w:name="_Toc184312079"/>
      <w:bookmarkEnd w:id="157"/>
      <w:bookmarkStart w:id="158" w:name="_Toc184314478"/>
      <w:bookmarkEnd w:id="158"/>
      <w:bookmarkStart w:id="159" w:name="_Toc184308091"/>
      <w:bookmarkEnd w:id="159"/>
      <w:bookmarkStart w:id="160" w:name="_Toc184313298"/>
      <w:bookmarkEnd w:id="160"/>
      <w:bookmarkStart w:id="161" w:name="_Toc184310290"/>
      <w:bookmarkEnd w:id="161"/>
      <w:bookmarkStart w:id="162" w:name="_Toc184312080"/>
      <w:bookmarkEnd w:id="162"/>
      <w:bookmarkStart w:id="163" w:name="_Toc184312125"/>
      <w:bookmarkEnd w:id="163"/>
      <w:bookmarkStart w:id="164" w:name="_Toc184312077"/>
      <w:bookmarkEnd w:id="164"/>
      <w:bookmarkStart w:id="165" w:name="_Toc184308040"/>
      <w:bookmarkEnd w:id="165"/>
      <w:bookmarkStart w:id="166" w:name="_Toc184313265"/>
      <w:bookmarkEnd w:id="166"/>
      <w:bookmarkStart w:id="167" w:name="_Toc184308081"/>
      <w:bookmarkEnd w:id="167"/>
      <w:bookmarkStart w:id="168" w:name="_Toc184313250"/>
      <w:bookmarkEnd w:id="168"/>
      <w:bookmarkStart w:id="169" w:name="_Toc184312114"/>
      <w:bookmarkEnd w:id="169"/>
      <w:bookmarkStart w:id="170" w:name="_Toc184308077"/>
      <w:bookmarkEnd w:id="170"/>
      <w:bookmarkStart w:id="171" w:name="_Toc184314434"/>
      <w:bookmarkEnd w:id="171"/>
      <w:bookmarkStart w:id="172" w:name="_Toc184312082"/>
      <w:bookmarkEnd w:id="172"/>
      <w:bookmarkStart w:id="173" w:name="_Toc184312081"/>
      <w:bookmarkEnd w:id="173"/>
      <w:bookmarkStart w:id="174" w:name="_Toc184310274"/>
      <w:bookmarkEnd w:id="174"/>
      <w:bookmarkStart w:id="175" w:name="_Toc184314475"/>
      <w:bookmarkEnd w:id="175"/>
      <w:bookmarkStart w:id="176" w:name="_Toc184312127"/>
      <w:bookmarkEnd w:id="176"/>
      <w:bookmarkStart w:id="177" w:name="_Toc184313260"/>
      <w:bookmarkEnd w:id="177"/>
      <w:bookmarkStart w:id="178" w:name="_Toc184308059"/>
      <w:bookmarkEnd w:id="178"/>
      <w:bookmarkStart w:id="179" w:name="_Toc184312118"/>
      <w:bookmarkEnd w:id="179"/>
      <w:bookmarkStart w:id="180" w:name="_Toc184313270"/>
      <w:bookmarkEnd w:id="180"/>
      <w:bookmarkStart w:id="181" w:name="_Toc184310303"/>
      <w:bookmarkEnd w:id="181"/>
      <w:bookmarkStart w:id="182" w:name="_Toc184313256"/>
      <w:bookmarkEnd w:id="182"/>
      <w:bookmarkStart w:id="183" w:name="_Toc184314466"/>
      <w:bookmarkEnd w:id="183"/>
      <w:bookmarkStart w:id="184" w:name="_Toc184314458"/>
      <w:bookmarkEnd w:id="184"/>
      <w:bookmarkStart w:id="185" w:name="_Toc184313254"/>
      <w:bookmarkEnd w:id="185"/>
      <w:bookmarkStart w:id="186" w:name="_Toc184312132"/>
      <w:bookmarkEnd w:id="186"/>
      <w:bookmarkStart w:id="187" w:name="_Toc184312072"/>
      <w:bookmarkEnd w:id="187"/>
      <w:bookmarkStart w:id="188" w:name="_Toc184312095"/>
      <w:bookmarkEnd w:id="188"/>
      <w:bookmarkStart w:id="189" w:name="_Toc184308038"/>
      <w:bookmarkEnd w:id="189"/>
      <w:bookmarkStart w:id="190" w:name="_Toc184313287"/>
      <w:bookmarkEnd w:id="190"/>
      <w:bookmarkStart w:id="191" w:name="_Toc184308087"/>
      <w:bookmarkEnd w:id="191"/>
      <w:bookmarkStart w:id="192" w:name="_Toc184313281"/>
      <w:bookmarkEnd w:id="192"/>
      <w:bookmarkStart w:id="193" w:name="_Toc184312084"/>
      <w:bookmarkEnd w:id="193"/>
      <w:bookmarkStart w:id="194" w:name="_Toc184313303"/>
      <w:bookmarkEnd w:id="194"/>
      <w:bookmarkStart w:id="195" w:name="_Toc184310289"/>
      <w:bookmarkEnd w:id="195"/>
      <w:bookmarkStart w:id="196" w:name="_Toc184313248"/>
      <w:bookmarkEnd w:id="196"/>
      <w:bookmarkStart w:id="197" w:name="_Toc184310287"/>
      <w:bookmarkEnd w:id="197"/>
      <w:bookmarkStart w:id="198" w:name="_Toc184312115"/>
      <w:bookmarkEnd w:id="198"/>
      <w:bookmarkStart w:id="199" w:name="_Toc184314465"/>
      <w:bookmarkEnd w:id="199"/>
      <w:bookmarkStart w:id="200" w:name="_Toc184314476"/>
      <w:bookmarkEnd w:id="200"/>
      <w:bookmarkStart w:id="201" w:name="_Toc184312094"/>
      <w:bookmarkEnd w:id="201"/>
      <w:bookmarkStart w:id="202" w:name="_Toc184310341"/>
      <w:bookmarkEnd w:id="202"/>
      <w:bookmarkStart w:id="203" w:name="_Toc184308068"/>
      <w:bookmarkEnd w:id="203"/>
      <w:bookmarkStart w:id="204" w:name="_Toc184314446"/>
      <w:bookmarkEnd w:id="204"/>
      <w:bookmarkStart w:id="205" w:name="_Toc184314467"/>
      <w:bookmarkEnd w:id="205"/>
      <w:bookmarkStart w:id="206" w:name="_Toc184308065"/>
      <w:bookmarkEnd w:id="206"/>
      <w:bookmarkStart w:id="207" w:name="_Toc184313267"/>
      <w:bookmarkEnd w:id="207"/>
      <w:bookmarkStart w:id="208" w:name="_Toc184310329"/>
      <w:bookmarkEnd w:id="208"/>
      <w:bookmarkStart w:id="209" w:name="_Toc184312100"/>
      <w:bookmarkEnd w:id="209"/>
      <w:bookmarkStart w:id="210" w:name="_Toc184314456"/>
      <w:bookmarkEnd w:id="210"/>
      <w:bookmarkStart w:id="211" w:name="_Toc184310326"/>
      <w:bookmarkEnd w:id="211"/>
      <w:bookmarkStart w:id="212" w:name="_Toc184308043"/>
      <w:bookmarkEnd w:id="212"/>
      <w:bookmarkStart w:id="213" w:name="_Toc184313263"/>
      <w:bookmarkEnd w:id="213"/>
      <w:bookmarkStart w:id="214" w:name="_Toc184313239"/>
      <w:bookmarkEnd w:id="214"/>
      <w:bookmarkStart w:id="215" w:name="_Toc184308102"/>
      <w:bookmarkEnd w:id="215"/>
      <w:bookmarkStart w:id="216" w:name="_Toc184310339"/>
      <w:bookmarkEnd w:id="216"/>
      <w:bookmarkStart w:id="217" w:name="_Toc184310302"/>
      <w:bookmarkEnd w:id="217"/>
      <w:bookmarkStart w:id="218" w:name="_Toc184314425"/>
      <w:bookmarkEnd w:id="218"/>
      <w:bookmarkStart w:id="219" w:name="_Toc184313309"/>
      <w:bookmarkEnd w:id="219"/>
      <w:bookmarkStart w:id="220" w:name="_Toc184310309"/>
      <w:bookmarkEnd w:id="220"/>
      <w:bookmarkStart w:id="221" w:name="_Toc184312134"/>
      <w:bookmarkEnd w:id="221"/>
      <w:bookmarkStart w:id="222" w:name="_Toc184312083"/>
      <w:bookmarkEnd w:id="222"/>
      <w:bookmarkStart w:id="223" w:name="_Toc184310310"/>
      <w:bookmarkEnd w:id="223"/>
      <w:bookmarkStart w:id="224" w:name="_Toc184310280"/>
      <w:bookmarkEnd w:id="224"/>
      <w:bookmarkStart w:id="225" w:name="_Toc184308072"/>
      <w:bookmarkEnd w:id="225"/>
      <w:bookmarkStart w:id="226" w:name="_Toc184308071"/>
      <w:bookmarkEnd w:id="226"/>
      <w:bookmarkStart w:id="227" w:name="_Toc184310288"/>
      <w:bookmarkEnd w:id="227"/>
      <w:bookmarkStart w:id="228" w:name="_Toc184308097"/>
      <w:bookmarkEnd w:id="228"/>
      <w:bookmarkStart w:id="229" w:name="_Toc184310286"/>
      <w:bookmarkEnd w:id="229"/>
      <w:bookmarkStart w:id="230" w:name="_Toc184314454"/>
      <w:bookmarkEnd w:id="230"/>
      <w:bookmarkStart w:id="231" w:name="_Toc184313276"/>
      <w:bookmarkEnd w:id="231"/>
      <w:bookmarkStart w:id="232" w:name="_Toc184308074"/>
      <w:bookmarkEnd w:id="232"/>
      <w:bookmarkStart w:id="233" w:name="_Toc184310279"/>
      <w:bookmarkEnd w:id="233"/>
      <w:bookmarkStart w:id="234" w:name="_Toc184313257"/>
      <w:bookmarkEnd w:id="234"/>
      <w:bookmarkStart w:id="235" w:name="_Toc184312109"/>
      <w:bookmarkEnd w:id="235"/>
      <w:bookmarkStart w:id="236" w:name="_Toc184314441"/>
      <w:bookmarkEnd w:id="236"/>
      <w:bookmarkStart w:id="237" w:name="_Toc184313253"/>
      <w:bookmarkEnd w:id="237"/>
      <w:bookmarkStart w:id="238" w:name="_Toc184313286"/>
      <w:bookmarkEnd w:id="238"/>
      <w:bookmarkStart w:id="239" w:name="_Toc184310277"/>
      <w:bookmarkEnd w:id="239"/>
      <w:bookmarkStart w:id="240" w:name="_Toc184313240"/>
      <w:bookmarkEnd w:id="240"/>
      <w:bookmarkStart w:id="241" w:name="_Toc184312076"/>
      <w:bookmarkEnd w:id="241"/>
      <w:bookmarkStart w:id="242" w:name="_Toc184308094"/>
      <w:bookmarkEnd w:id="242"/>
      <w:bookmarkStart w:id="243" w:name="_Toc184314471"/>
      <w:bookmarkEnd w:id="243"/>
      <w:bookmarkStart w:id="244" w:name="_Toc184313280"/>
      <w:bookmarkEnd w:id="244"/>
      <w:bookmarkStart w:id="245" w:name="_Toc184313247"/>
      <w:bookmarkEnd w:id="245"/>
      <w:bookmarkStart w:id="246" w:name="_Toc184312087"/>
      <w:bookmarkEnd w:id="246"/>
      <w:bookmarkStart w:id="247" w:name="_Toc184313278"/>
      <w:bookmarkEnd w:id="247"/>
      <w:bookmarkStart w:id="248" w:name="_Toc184308105"/>
      <w:bookmarkEnd w:id="248"/>
      <w:bookmarkStart w:id="249" w:name="_Toc184310340"/>
      <w:bookmarkEnd w:id="249"/>
      <w:bookmarkStart w:id="250" w:name="_Toc184314452"/>
      <w:bookmarkEnd w:id="250"/>
      <w:bookmarkStart w:id="251" w:name="_Toc184312102"/>
      <w:bookmarkEnd w:id="251"/>
      <w:bookmarkStart w:id="252" w:name="_Toc184308096"/>
      <w:bookmarkEnd w:id="252"/>
      <w:bookmarkStart w:id="253" w:name="_Toc184310298"/>
      <w:bookmarkEnd w:id="253"/>
      <w:bookmarkStart w:id="254" w:name="_Toc184310278"/>
      <w:bookmarkEnd w:id="254"/>
      <w:bookmarkStart w:id="255" w:name="_Toc184313246"/>
      <w:bookmarkEnd w:id="255"/>
      <w:bookmarkStart w:id="256" w:name="_Toc184310343"/>
      <w:bookmarkEnd w:id="256"/>
      <w:bookmarkStart w:id="257" w:name="_Toc184308047"/>
      <w:bookmarkEnd w:id="257"/>
      <w:bookmarkStart w:id="258" w:name="_Toc184313304"/>
      <w:bookmarkEnd w:id="258"/>
      <w:bookmarkStart w:id="259" w:name="_Toc184310276"/>
      <w:bookmarkEnd w:id="259"/>
      <w:bookmarkStart w:id="260" w:name="_Toc184308054"/>
      <w:bookmarkEnd w:id="260"/>
      <w:bookmarkStart w:id="261" w:name="_Toc184308080"/>
      <w:bookmarkEnd w:id="261"/>
      <w:bookmarkStart w:id="262" w:name="_Toc184314468"/>
      <w:bookmarkEnd w:id="262"/>
      <w:bookmarkStart w:id="263" w:name="_Toc184312099"/>
      <w:bookmarkEnd w:id="263"/>
      <w:bookmarkStart w:id="264" w:name="_Toc184314438"/>
      <w:bookmarkEnd w:id="264"/>
      <w:bookmarkStart w:id="265" w:name="_Toc184312108"/>
      <w:bookmarkEnd w:id="265"/>
      <w:bookmarkStart w:id="266" w:name="_Toc184313238"/>
      <w:bookmarkEnd w:id="266"/>
      <w:bookmarkStart w:id="267" w:name="_Toc184314481"/>
      <w:bookmarkEnd w:id="267"/>
      <w:bookmarkStart w:id="268" w:name="_Toc184308070"/>
      <w:bookmarkEnd w:id="268"/>
      <w:bookmarkStart w:id="269" w:name="_Toc184312074"/>
      <w:bookmarkEnd w:id="269"/>
      <w:bookmarkStart w:id="270" w:name="_Toc184308098"/>
      <w:bookmarkEnd w:id="270"/>
      <w:bookmarkStart w:id="271" w:name="_Toc184313291"/>
      <w:bookmarkEnd w:id="271"/>
      <w:bookmarkStart w:id="272" w:name="_Toc184312124"/>
      <w:bookmarkEnd w:id="272"/>
      <w:bookmarkStart w:id="273" w:name="_Toc184314410"/>
      <w:bookmarkEnd w:id="273"/>
      <w:bookmarkStart w:id="274" w:name="_Toc184314427"/>
      <w:bookmarkEnd w:id="274"/>
      <w:bookmarkStart w:id="275" w:name="_Toc184314477"/>
      <w:bookmarkEnd w:id="275"/>
      <w:bookmarkStart w:id="276" w:name="_Toc184308044"/>
      <w:bookmarkEnd w:id="276"/>
      <w:bookmarkStart w:id="277" w:name="_Toc184308063"/>
      <w:bookmarkEnd w:id="277"/>
      <w:bookmarkStart w:id="278" w:name="_Toc184313293"/>
      <w:bookmarkEnd w:id="278"/>
      <w:bookmarkStart w:id="279" w:name="_Toc184313242"/>
      <w:bookmarkEnd w:id="279"/>
      <w:bookmarkStart w:id="280" w:name="_Toc184313310"/>
      <w:bookmarkEnd w:id="280"/>
      <w:bookmarkStart w:id="281" w:name="_Toc184313290"/>
      <w:bookmarkEnd w:id="281"/>
      <w:bookmarkStart w:id="282" w:name="_Toc184310294"/>
      <w:bookmarkEnd w:id="282"/>
      <w:bookmarkStart w:id="283" w:name="_Toc184308056"/>
      <w:bookmarkEnd w:id="283"/>
      <w:bookmarkStart w:id="284" w:name="_Toc184308078"/>
      <w:bookmarkEnd w:id="284"/>
      <w:bookmarkStart w:id="285" w:name="_Toc184310282"/>
      <w:bookmarkEnd w:id="285"/>
      <w:bookmarkStart w:id="286" w:name="_Toc184310275"/>
      <w:bookmarkEnd w:id="286"/>
      <w:bookmarkStart w:id="287" w:name="_Toc184308058"/>
      <w:bookmarkEnd w:id="287"/>
      <w:bookmarkStart w:id="288" w:name="_Toc184313259"/>
      <w:bookmarkEnd w:id="288"/>
      <w:bookmarkStart w:id="289" w:name="_Toc184313261"/>
      <w:bookmarkEnd w:id="289"/>
      <w:bookmarkStart w:id="290" w:name="_Toc184310321"/>
      <w:bookmarkEnd w:id="290"/>
      <w:bookmarkStart w:id="291" w:name="_Toc184312137"/>
      <w:bookmarkEnd w:id="291"/>
      <w:bookmarkStart w:id="292" w:name="_Toc184308039"/>
      <w:bookmarkEnd w:id="292"/>
      <w:bookmarkStart w:id="293" w:name="_Toc184310338"/>
      <w:bookmarkEnd w:id="293"/>
      <w:bookmarkStart w:id="294" w:name="_Toc184312130"/>
      <w:bookmarkEnd w:id="294"/>
      <w:bookmarkStart w:id="295" w:name="_Toc184310336"/>
      <w:bookmarkEnd w:id="295"/>
      <w:bookmarkStart w:id="296" w:name="_Toc184313269"/>
      <w:bookmarkEnd w:id="296"/>
      <w:bookmarkStart w:id="297" w:name="_Toc184310330"/>
      <w:bookmarkEnd w:id="297"/>
      <w:bookmarkStart w:id="298" w:name="_Toc184313279"/>
      <w:bookmarkEnd w:id="298"/>
      <w:bookmarkStart w:id="299" w:name="_Toc184308089"/>
      <w:bookmarkEnd w:id="299"/>
      <w:bookmarkStart w:id="300" w:name="_Toc184312090"/>
      <w:bookmarkEnd w:id="300"/>
      <w:bookmarkStart w:id="301" w:name="_Toc184314473"/>
      <w:bookmarkEnd w:id="301"/>
      <w:bookmarkStart w:id="302" w:name="_Toc184310281"/>
      <w:bookmarkEnd w:id="302"/>
      <w:bookmarkStart w:id="303" w:name="_Toc184308061"/>
      <w:bookmarkEnd w:id="303"/>
      <w:bookmarkStart w:id="304" w:name="_Toc184312112"/>
      <w:bookmarkEnd w:id="304"/>
      <w:bookmarkStart w:id="305" w:name="_Toc184314421"/>
      <w:bookmarkEnd w:id="305"/>
      <w:bookmarkStart w:id="306" w:name="_Toc184313294"/>
      <w:bookmarkEnd w:id="306"/>
      <w:bookmarkStart w:id="307" w:name="_Toc184313288"/>
      <w:bookmarkEnd w:id="307"/>
      <w:bookmarkStart w:id="308" w:name="_Toc184308064"/>
      <w:bookmarkEnd w:id="308"/>
      <w:bookmarkStart w:id="309" w:name="_Toc184314439"/>
      <w:bookmarkEnd w:id="309"/>
      <w:bookmarkStart w:id="310" w:name="_Toc184314482"/>
      <w:bookmarkEnd w:id="310"/>
      <w:bookmarkStart w:id="311" w:name="_Toc184313297"/>
      <w:bookmarkEnd w:id="311"/>
      <w:bookmarkStart w:id="312" w:name="_Toc184308107"/>
      <w:bookmarkEnd w:id="312"/>
      <w:bookmarkStart w:id="313" w:name="_Toc184313284"/>
      <w:bookmarkEnd w:id="313"/>
      <w:bookmarkStart w:id="314" w:name="_Toc184310272"/>
      <w:bookmarkEnd w:id="314"/>
      <w:bookmarkStart w:id="315" w:name="_Toc184313266"/>
      <w:bookmarkEnd w:id="315"/>
      <w:bookmarkStart w:id="316" w:name="_Toc184314469"/>
      <w:bookmarkEnd w:id="316"/>
      <w:bookmarkStart w:id="317" w:name="_Toc184310292"/>
      <w:bookmarkEnd w:id="317"/>
      <w:bookmarkStart w:id="318" w:name="_Toc184312069"/>
      <w:bookmarkEnd w:id="318"/>
      <w:bookmarkStart w:id="319" w:name="_Toc184313289"/>
      <w:bookmarkEnd w:id="319"/>
      <w:bookmarkStart w:id="320" w:name="_Toc184312092"/>
      <w:bookmarkEnd w:id="320"/>
      <w:bookmarkStart w:id="321" w:name="_Toc184313249"/>
      <w:bookmarkEnd w:id="321"/>
      <w:bookmarkStart w:id="322" w:name="_Toc184308060"/>
      <w:bookmarkEnd w:id="322"/>
      <w:bookmarkStart w:id="323" w:name="_Toc184312119"/>
      <w:bookmarkEnd w:id="323"/>
      <w:bookmarkStart w:id="324" w:name="_Toc184313258"/>
      <w:bookmarkEnd w:id="324"/>
      <w:bookmarkStart w:id="325" w:name="_Toc184310283"/>
      <w:bookmarkEnd w:id="325"/>
      <w:bookmarkStart w:id="326" w:name="_Toc184308057"/>
      <w:bookmarkEnd w:id="326"/>
      <w:bookmarkStart w:id="327" w:name="_Toc184312093"/>
      <w:bookmarkEnd w:id="327"/>
      <w:bookmarkStart w:id="328" w:name="_Toc184308052"/>
      <w:bookmarkEnd w:id="328"/>
      <w:bookmarkStart w:id="329" w:name="_Toc184314436"/>
      <w:bookmarkEnd w:id="329"/>
      <w:bookmarkStart w:id="330" w:name="_Toc184308093"/>
      <w:bookmarkEnd w:id="330"/>
      <w:bookmarkStart w:id="331" w:name="_Toc184313262"/>
      <w:bookmarkEnd w:id="331"/>
      <w:bookmarkStart w:id="332" w:name="_Toc184310337"/>
      <w:bookmarkEnd w:id="332"/>
      <w:bookmarkStart w:id="333" w:name="_Toc184312098"/>
      <w:bookmarkEnd w:id="333"/>
      <w:bookmarkStart w:id="334" w:name="_Toc184308079"/>
      <w:bookmarkEnd w:id="334"/>
      <w:bookmarkStart w:id="335" w:name="_Toc184310319"/>
      <w:bookmarkEnd w:id="335"/>
      <w:bookmarkStart w:id="336" w:name="_Toc184313295"/>
      <w:bookmarkEnd w:id="336"/>
      <w:bookmarkStart w:id="337" w:name="_Toc184313296"/>
      <w:bookmarkEnd w:id="337"/>
      <w:bookmarkStart w:id="338" w:name="_Toc184313255"/>
      <w:bookmarkEnd w:id="338"/>
      <w:bookmarkStart w:id="339" w:name="_Toc184312107"/>
      <w:bookmarkEnd w:id="339"/>
      <w:bookmarkStart w:id="340" w:name="_Toc184314422"/>
      <w:bookmarkEnd w:id="340"/>
      <w:bookmarkStart w:id="341" w:name="_Toc184312104"/>
      <w:bookmarkEnd w:id="341"/>
      <w:bookmarkStart w:id="342" w:name="_Toc184310323"/>
      <w:bookmarkEnd w:id="342"/>
      <w:bookmarkStart w:id="343" w:name="_Toc184313282"/>
      <w:bookmarkEnd w:id="343"/>
      <w:bookmarkStart w:id="344" w:name="_Toc184313274"/>
      <w:bookmarkEnd w:id="344"/>
      <w:bookmarkStart w:id="345" w:name="_Toc184308051"/>
      <w:bookmarkEnd w:id="345"/>
      <w:bookmarkStart w:id="346" w:name="_Toc184312111"/>
      <w:bookmarkEnd w:id="346"/>
      <w:bookmarkStart w:id="347" w:name="_Toc184313285"/>
      <w:bookmarkEnd w:id="347"/>
      <w:bookmarkStart w:id="348" w:name="_Toc184312103"/>
      <w:bookmarkEnd w:id="348"/>
      <w:bookmarkStart w:id="349" w:name="_Toc184312105"/>
      <w:bookmarkEnd w:id="349"/>
      <w:bookmarkStart w:id="350" w:name="_Toc184308036"/>
      <w:bookmarkEnd w:id="350"/>
      <w:bookmarkStart w:id="351" w:name="_Toc184312073"/>
      <w:bookmarkEnd w:id="351"/>
      <w:bookmarkStart w:id="352" w:name="_Toc184313245"/>
      <w:bookmarkEnd w:id="352"/>
      <w:bookmarkStart w:id="353" w:name="_Toc184313300"/>
      <w:bookmarkEnd w:id="353"/>
      <w:bookmarkStart w:id="354" w:name="_Toc184308084"/>
      <w:bookmarkEnd w:id="354"/>
      <w:bookmarkStart w:id="355" w:name="_Toc184312089"/>
      <w:bookmarkEnd w:id="355"/>
      <w:bookmarkStart w:id="356" w:name="_Toc184312085"/>
      <w:bookmarkEnd w:id="356"/>
      <w:bookmarkStart w:id="357" w:name="_Toc184310314"/>
      <w:bookmarkEnd w:id="357"/>
      <w:bookmarkStart w:id="358" w:name="_Toc184314447"/>
      <w:bookmarkEnd w:id="358"/>
      <w:bookmarkStart w:id="359" w:name="_Toc184308053"/>
      <w:bookmarkEnd w:id="359"/>
      <w:bookmarkStart w:id="360" w:name="_Toc184313271"/>
      <w:bookmarkEnd w:id="360"/>
      <w:bookmarkStart w:id="361" w:name="_Toc184310312"/>
      <w:bookmarkEnd w:id="361"/>
      <w:bookmarkStart w:id="362" w:name="_Toc184314462"/>
      <w:bookmarkEnd w:id="362"/>
      <w:bookmarkStart w:id="363" w:name="_Toc184312128"/>
      <w:bookmarkEnd w:id="363"/>
      <w:bookmarkStart w:id="364" w:name="_Toc184314445"/>
      <w:bookmarkEnd w:id="364"/>
      <w:bookmarkStart w:id="365" w:name="_Toc184312086"/>
      <w:bookmarkEnd w:id="365"/>
      <w:bookmarkStart w:id="366" w:name="_Toc184312106"/>
      <w:bookmarkEnd w:id="366"/>
      <w:bookmarkStart w:id="367" w:name="_Toc184313283"/>
      <w:bookmarkEnd w:id="367"/>
      <w:bookmarkStart w:id="368" w:name="_Toc184308050"/>
      <w:bookmarkEnd w:id="368"/>
      <w:bookmarkStart w:id="369" w:name="_Toc184314414"/>
      <w:bookmarkEnd w:id="369"/>
      <w:bookmarkStart w:id="370" w:name="_Toc184314450"/>
      <w:bookmarkEnd w:id="370"/>
      <w:bookmarkStart w:id="371" w:name="_Toc184308066"/>
      <w:bookmarkEnd w:id="371"/>
      <w:bookmarkStart w:id="372" w:name="_Toc184310300"/>
      <w:bookmarkEnd w:id="372"/>
      <w:bookmarkStart w:id="373" w:name="_Toc184313301"/>
      <w:bookmarkEnd w:id="373"/>
      <w:bookmarkStart w:id="374" w:name="_Toc184313275"/>
      <w:bookmarkEnd w:id="374"/>
      <w:bookmarkStart w:id="375" w:name="_Toc184310328"/>
      <w:bookmarkEnd w:id="375"/>
      <w:bookmarkStart w:id="376" w:name="_Toc184314416"/>
      <w:bookmarkEnd w:id="376"/>
      <w:bookmarkStart w:id="377" w:name="_Toc184310308"/>
      <w:bookmarkEnd w:id="377"/>
      <w:bookmarkStart w:id="378" w:name="_Toc184310316"/>
      <w:bookmarkEnd w:id="378"/>
      <w:bookmarkStart w:id="379" w:name="_Toc184308104"/>
      <w:bookmarkEnd w:id="379"/>
      <w:bookmarkStart w:id="380" w:name="_Toc184308083"/>
      <w:bookmarkEnd w:id="380"/>
      <w:bookmarkStart w:id="381" w:name="_Toc184314433"/>
      <w:bookmarkEnd w:id="381"/>
      <w:bookmarkStart w:id="382" w:name="_Toc184312067"/>
      <w:bookmarkEnd w:id="382"/>
      <w:bookmarkStart w:id="383" w:name="_Toc184314429"/>
      <w:bookmarkEnd w:id="383"/>
      <w:bookmarkStart w:id="384" w:name="_Toc184312097"/>
      <w:bookmarkEnd w:id="384"/>
      <w:bookmarkStart w:id="385" w:name="_Toc184314451"/>
      <w:bookmarkEnd w:id="385"/>
      <w:bookmarkStart w:id="386" w:name="_Toc184310333"/>
      <w:bookmarkEnd w:id="386"/>
      <w:bookmarkStart w:id="387" w:name="_Toc184314419"/>
      <w:bookmarkEnd w:id="387"/>
      <w:bookmarkStart w:id="388" w:name="_Toc184314472"/>
      <w:bookmarkEnd w:id="388"/>
      <w:bookmarkStart w:id="389" w:name="_Toc184310285"/>
      <w:bookmarkEnd w:id="389"/>
      <w:bookmarkStart w:id="390" w:name="_Toc184312133"/>
      <w:bookmarkEnd w:id="390"/>
      <w:bookmarkStart w:id="391" w:name="_Toc184308101"/>
      <w:bookmarkEnd w:id="391"/>
      <w:bookmarkStart w:id="392" w:name="_Toc184314444"/>
      <w:bookmarkEnd w:id="392"/>
      <w:bookmarkStart w:id="393" w:name="_Toc184312129"/>
      <w:bookmarkEnd w:id="393"/>
      <w:bookmarkStart w:id="394" w:name="_Toc184314480"/>
      <w:bookmarkEnd w:id="394"/>
      <w:bookmarkStart w:id="395" w:name="_Toc184313305"/>
      <w:bookmarkEnd w:id="395"/>
      <w:bookmarkStart w:id="396" w:name="_Toc184314420"/>
      <w:bookmarkEnd w:id="396"/>
      <w:bookmarkStart w:id="397" w:name="_Toc184313268"/>
      <w:bookmarkEnd w:id="397"/>
      <w:r>
        <w:rPr>
          <w:rFonts w:hint="eastAsia" w:ascii="宋体" w:hAnsi="宋体" w:cs="宋体"/>
          <w:b/>
          <w:color w:val="auto"/>
          <w:sz w:val="36"/>
          <w:szCs w:val="20"/>
        </w:rPr>
        <w:t xml:space="preserve"> 评审办法</w:t>
      </w:r>
    </w:p>
    <w:p w14:paraId="7BC9C9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0"/>
          <w:szCs w:val="20"/>
          <w:shd w:val="clear" w:color="auto" w:fill="FFFFFF"/>
        </w:rPr>
      </w:pPr>
      <w:r>
        <w:rPr>
          <w:rFonts w:hint="eastAsia" w:ascii="宋体" w:hAnsi="宋体" w:cs="宋体"/>
          <w:b/>
          <w:color w:val="auto"/>
          <w:sz w:val="32"/>
          <w:szCs w:val="20"/>
        </w:rPr>
        <w:t>评审办法前附表</w:t>
      </w:r>
    </w:p>
    <w:tbl>
      <w:tblPr>
        <w:tblStyle w:val="63"/>
        <w:tblpPr w:leftFromText="180" w:rightFromText="180" w:vertAnchor="text" w:horzAnchor="page" w:tblpX="663" w:tblpY="1292"/>
        <w:tblOverlap w:val="never"/>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938"/>
        <w:gridCol w:w="715"/>
        <w:gridCol w:w="1135"/>
        <w:gridCol w:w="5863"/>
      </w:tblGrid>
      <w:tr w14:paraId="0DB8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1183A145">
            <w:pPr>
              <w:snapToGrid w:val="0"/>
              <w:spacing w:line="360" w:lineRule="auto"/>
              <w:jc w:val="center"/>
              <w:rPr>
                <w:rFonts w:hint="eastAsia" w:ascii="宋体" w:hAnsi="宋体" w:eastAsia="宋体" w:cs="宋体"/>
                <w:b/>
                <w:bCs/>
                <w:color w:val="auto"/>
                <w:sz w:val="21"/>
                <w:szCs w:val="21"/>
                <w:shd w:val="clear" w:color="auto" w:fill="FFFFFF"/>
                <w:vertAlign w:val="baseline"/>
                <w:lang w:val="en-US" w:eastAsia="zh-CN"/>
              </w:rPr>
            </w:pPr>
            <w:r>
              <w:rPr>
                <w:rFonts w:hint="eastAsia" w:ascii="宋体" w:hAnsi="宋体" w:eastAsia="宋体" w:cs="宋体"/>
                <w:b/>
                <w:bCs/>
                <w:color w:val="auto"/>
                <w:sz w:val="21"/>
                <w:szCs w:val="21"/>
                <w:shd w:val="clear" w:color="auto" w:fill="FFFFFF"/>
                <w:vertAlign w:val="baseline"/>
                <w:lang w:val="en-US" w:eastAsia="zh-CN"/>
              </w:rPr>
              <w:t>序号</w:t>
            </w:r>
          </w:p>
        </w:tc>
        <w:tc>
          <w:tcPr>
            <w:tcW w:w="1938" w:type="dxa"/>
            <w:vAlign w:val="center"/>
          </w:tcPr>
          <w:p w14:paraId="1DEF565B">
            <w:pPr>
              <w:pStyle w:val="32"/>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评分项目</w:t>
            </w:r>
          </w:p>
        </w:tc>
        <w:tc>
          <w:tcPr>
            <w:tcW w:w="715" w:type="dxa"/>
            <w:vAlign w:val="center"/>
          </w:tcPr>
          <w:p w14:paraId="08BE1190">
            <w:pPr>
              <w:pStyle w:val="32"/>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分值</w:t>
            </w:r>
          </w:p>
        </w:tc>
        <w:tc>
          <w:tcPr>
            <w:tcW w:w="1135" w:type="dxa"/>
            <w:vAlign w:val="center"/>
          </w:tcPr>
          <w:p w14:paraId="5414F41A">
            <w:pPr>
              <w:pStyle w:val="32"/>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分值类型</w:t>
            </w:r>
          </w:p>
        </w:tc>
        <w:tc>
          <w:tcPr>
            <w:tcW w:w="5863" w:type="dxa"/>
            <w:vAlign w:val="center"/>
          </w:tcPr>
          <w:p w14:paraId="59A2681D">
            <w:pPr>
              <w:pStyle w:val="32"/>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评分内容</w:t>
            </w:r>
          </w:p>
        </w:tc>
      </w:tr>
      <w:tr w14:paraId="6F8A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526" w:type="dxa"/>
            <w:vAlign w:val="center"/>
          </w:tcPr>
          <w:p w14:paraId="0B66987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w:t>
            </w:r>
          </w:p>
        </w:tc>
        <w:tc>
          <w:tcPr>
            <w:tcW w:w="1938" w:type="dxa"/>
            <w:vAlign w:val="center"/>
          </w:tcPr>
          <w:p w14:paraId="2F62E5BD">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投标人业绩</w:t>
            </w:r>
          </w:p>
        </w:tc>
        <w:tc>
          <w:tcPr>
            <w:tcW w:w="715" w:type="dxa"/>
            <w:vAlign w:val="center"/>
          </w:tcPr>
          <w:p w14:paraId="6B7466EC">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1.5</w:t>
            </w:r>
          </w:p>
        </w:tc>
        <w:tc>
          <w:tcPr>
            <w:tcW w:w="1135" w:type="dxa"/>
            <w:vAlign w:val="center"/>
          </w:tcPr>
          <w:p w14:paraId="29BE0984">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客观</w:t>
            </w:r>
          </w:p>
        </w:tc>
        <w:tc>
          <w:tcPr>
            <w:tcW w:w="5863" w:type="dxa"/>
            <w:vAlign w:val="center"/>
          </w:tcPr>
          <w:p w14:paraId="5431F7C5">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自20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年1月1日至投标截止日止（时间以工程竣工日期或竣工验收日期为准），投标人</w:t>
            </w:r>
            <w:r>
              <w:rPr>
                <w:rFonts w:hint="eastAsia" w:ascii="宋体" w:hAnsi="宋体" w:eastAsia="宋体" w:cs="宋体"/>
                <w:bCs/>
                <w:color w:val="auto"/>
                <w:sz w:val="21"/>
                <w:szCs w:val="21"/>
              </w:rPr>
              <w:t>完成过</w:t>
            </w:r>
            <w:r>
              <w:rPr>
                <w:rFonts w:hint="eastAsia" w:ascii="宋体" w:hAnsi="宋体" w:eastAsia="宋体" w:cs="宋体"/>
                <w:bCs/>
                <w:color w:val="auto"/>
                <w:sz w:val="21"/>
                <w:szCs w:val="21"/>
                <w:lang w:val="en-US" w:eastAsia="zh-CN"/>
              </w:rPr>
              <w:t>类似</w:t>
            </w:r>
            <w:r>
              <w:rPr>
                <w:rFonts w:hint="eastAsia" w:ascii="宋体" w:hAnsi="宋体" w:eastAsia="宋体" w:cs="宋体"/>
                <w:bCs/>
                <w:color w:val="auto"/>
                <w:sz w:val="21"/>
                <w:szCs w:val="21"/>
              </w:rPr>
              <w:t>项目</w:t>
            </w:r>
            <w:r>
              <w:rPr>
                <w:rFonts w:hint="eastAsia" w:ascii="宋体" w:hAnsi="宋体" w:eastAsia="宋体" w:cs="宋体"/>
                <w:color w:val="auto"/>
                <w:sz w:val="21"/>
                <w:szCs w:val="21"/>
              </w:rPr>
              <w:t>。每具有1个业绩得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14:paraId="7B4CEFE6">
            <w:pPr>
              <w:pStyle w:val="32"/>
              <w:adjustRightInd w:val="0"/>
              <w:snapToGrid w:val="0"/>
              <w:spacing w:before="0" w:beforeLines="0" w:after="0" w:afterLines="0" w:line="240" w:lineRule="auto"/>
              <w:ind w:left="420" w:hanging="420" w:hanging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评分依据为：</w:t>
            </w:r>
          </w:p>
          <w:p w14:paraId="28231C71">
            <w:pPr>
              <w:pStyle w:val="32"/>
              <w:adjustRightInd w:val="0"/>
              <w:snapToGrid w:val="0"/>
              <w:spacing w:before="0" w:beforeLines="0" w:after="0" w:afterLines="0" w:line="240" w:lineRule="auto"/>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①中标通知书（如有，法定招标时需提供）、②施工合同、③竣工验收资料（提供的竣工验收资料需有建设单位、设计单位、施工单位、监理单位盖章方有效，缺一不可），三项资料确认（若前述三项资料不能体现评审因素的，还需提供合同中甲方出具的证明资料或让磋商小组足以信服的其他证明资料，否则该项业绩不予计分）。</w:t>
            </w:r>
          </w:p>
        </w:tc>
      </w:tr>
      <w:tr w14:paraId="4472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26" w:type="dxa"/>
            <w:vAlign w:val="center"/>
          </w:tcPr>
          <w:p w14:paraId="303C4224">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2</w:t>
            </w:r>
          </w:p>
        </w:tc>
        <w:tc>
          <w:tcPr>
            <w:tcW w:w="1938" w:type="dxa"/>
            <w:vAlign w:val="center"/>
          </w:tcPr>
          <w:p w14:paraId="5E0562D4">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zh-CN"/>
              </w:rPr>
              <w:t>政府采购政策</w:t>
            </w:r>
          </w:p>
        </w:tc>
        <w:tc>
          <w:tcPr>
            <w:tcW w:w="715" w:type="dxa"/>
            <w:vAlign w:val="center"/>
          </w:tcPr>
          <w:p w14:paraId="1C5A92D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1.5</w:t>
            </w:r>
          </w:p>
        </w:tc>
        <w:tc>
          <w:tcPr>
            <w:tcW w:w="1135" w:type="dxa"/>
            <w:vAlign w:val="center"/>
          </w:tcPr>
          <w:p w14:paraId="1622D6E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客观</w:t>
            </w:r>
          </w:p>
        </w:tc>
        <w:tc>
          <w:tcPr>
            <w:tcW w:w="5863" w:type="dxa"/>
            <w:vAlign w:val="center"/>
          </w:tcPr>
          <w:p w14:paraId="70CB63D1">
            <w:pPr>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val="zh-CN"/>
              </w:rPr>
              <w:t>是国家认定的少数民族地区企业的得1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分。（如有，投标文件附相关证明资料复印件加盖公章）。</w:t>
            </w:r>
          </w:p>
        </w:tc>
      </w:tr>
      <w:tr w14:paraId="3B4F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26" w:type="dxa"/>
            <w:vAlign w:val="center"/>
          </w:tcPr>
          <w:p w14:paraId="30C6BDCE">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3</w:t>
            </w:r>
          </w:p>
        </w:tc>
        <w:tc>
          <w:tcPr>
            <w:tcW w:w="1938" w:type="dxa"/>
            <w:vAlign w:val="center"/>
          </w:tcPr>
          <w:p w14:paraId="15E216EA">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拟派项目经理资格</w:t>
            </w:r>
          </w:p>
        </w:tc>
        <w:tc>
          <w:tcPr>
            <w:tcW w:w="715" w:type="dxa"/>
            <w:vAlign w:val="center"/>
          </w:tcPr>
          <w:p w14:paraId="185834DA">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135" w:type="dxa"/>
            <w:vAlign w:val="center"/>
          </w:tcPr>
          <w:p w14:paraId="3E31D23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010BCFD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投标人拟派遣项目经理具备水利水电</w:t>
            </w:r>
            <w:r>
              <w:rPr>
                <w:rFonts w:hint="eastAsia" w:ascii="宋体" w:hAnsi="宋体" w:cs="宋体"/>
                <w:color w:val="auto"/>
                <w:sz w:val="21"/>
                <w:szCs w:val="21"/>
                <w:highlight w:val="none"/>
                <w:lang w:eastAsia="zh-CN"/>
              </w:rPr>
              <w:t>工程</w:t>
            </w:r>
            <w:r>
              <w:rPr>
                <w:rFonts w:hint="eastAsia" w:ascii="宋体" w:hAnsi="宋体" w:eastAsia="宋体" w:cs="宋体"/>
                <w:color w:val="auto"/>
                <w:sz w:val="21"/>
                <w:szCs w:val="21"/>
                <w:highlight w:val="none"/>
                <w:lang w:eastAsia="zh-CN"/>
              </w:rPr>
              <w:t>专业壹</w:t>
            </w:r>
            <w:r>
              <w:rPr>
                <w:rFonts w:hint="eastAsia" w:ascii="宋体" w:hAnsi="宋体" w:eastAsia="宋体" w:cs="宋体"/>
                <w:color w:val="auto"/>
                <w:sz w:val="21"/>
                <w:szCs w:val="21"/>
                <w:highlight w:val="none"/>
              </w:rPr>
              <w:t>级建造师注册证书的得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分；具备水利水电</w:t>
            </w:r>
            <w:r>
              <w:rPr>
                <w:rFonts w:hint="eastAsia" w:ascii="宋体" w:hAnsi="宋体" w:cs="宋体"/>
                <w:color w:val="auto"/>
                <w:sz w:val="21"/>
                <w:szCs w:val="21"/>
                <w:highlight w:val="none"/>
                <w:lang w:eastAsia="zh-CN"/>
              </w:rPr>
              <w:t>工程</w:t>
            </w:r>
            <w:r>
              <w:rPr>
                <w:rFonts w:hint="eastAsia" w:ascii="宋体" w:hAnsi="宋体" w:eastAsia="宋体" w:cs="宋体"/>
                <w:color w:val="auto"/>
                <w:sz w:val="21"/>
                <w:szCs w:val="21"/>
                <w:highlight w:val="none"/>
                <w:lang w:eastAsia="zh-CN"/>
              </w:rPr>
              <w:t>专业贰</w:t>
            </w:r>
            <w:r>
              <w:rPr>
                <w:rFonts w:hint="eastAsia" w:ascii="宋体" w:hAnsi="宋体" w:eastAsia="宋体" w:cs="宋体"/>
                <w:color w:val="auto"/>
                <w:sz w:val="21"/>
                <w:szCs w:val="21"/>
                <w:highlight w:val="none"/>
              </w:rPr>
              <w:t>级建造师注册证书的得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710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526" w:type="dxa"/>
            <w:vAlign w:val="center"/>
          </w:tcPr>
          <w:p w14:paraId="43038F17">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4</w:t>
            </w:r>
          </w:p>
        </w:tc>
        <w:tc>
          <w:tcPr>
            <w:tcW w:w="1938" w:type="dxa"/>
            <w:vAlign w:val="center"/>
          </w:tcPr>
          <w:p w14:paraId="163C654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质量管理体系证书</w:t>
            </w:r>
          </w:p>
        </w:tc>
        <w:tc>
          <w:tcPr>
            <w:tcW w:w="715" w:type="dxa"/>
            <w:vAlign w:val="center"/>
          </w:tcPr>
          <w:p w14:paraId="3404D244">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135" w:type="dxa"/>
            <w:vAlign w:val="center"/>
          </w:tcPr>
          <w:p w14:paraId="1969E9DE">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0099DD34">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投标人具有质量管理体系、环境管理体系、职业健康安全管理体系，每证得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分，(投标文件中须提供体系认证证书扫描件及全国认证认可信息公共服务平台查询页面截图（http://cx.cnca.cn/CertECloud/index/index/page，认证状态须为有效)</w:t>
            </w:r>
          </w:p>
        </w:tc>
      </w:tr>
      <w:tr w14:paraId="0D13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526" w:type="dxa"/>
            <w:vAlign w:val="center"/>
          </w:tcPr>
          <w:p w14:paraId="162D573E">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5</w:t>
            </w:r>
          </w:p>
        </w:tc>
        <w:tc>
          <w:tcPr>
            <w:tcW w:w="1938" w:type="dxa"/>
            <w:vAlign w:val="center"/>
          </w:tcPr>
          <w:p w14:paraId="2517D94F">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项目组其他成员</w:t>
            </w:r>
          </w:p>
        </w:tc>
        <w:tc>
          <w:tcPr>
            <w:tcW w:w="715" w:type="dxa"/>
            <w:vAlign w:val="center"/>
          </w:tcPr>
          <w:p w14:paraId="4014A39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19DC8C9">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91DBF88">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根据投标人提供的拟派本项目除项目经理外的其他管理人员的</w:t>
            </w:r>
            <w:r>
              <w:rPr>
                <w:rFonts w:hint="eastAsia" w:ascii="宋体" w:hAnsi="宋体" w:eastAsia="宋体" w:cs="宋体"/>
                <w:bCs/>
                <w:color w:val="auto"/>
                <w:spacing w:val="-3"/>
                <w:sz w:val="21"/>
                <w:szCs w:val="21"/>
                <w:highlight w:val="none"/>
              </w:rPr>
              <w:t>技术能力、工作履历、类似项目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color w:val="auto"/>
                <w:sz w:val="21"/>
                <w:szCs w:val="21"/>
                <w:highlight w:val="none"/>
              </w:rPr>
              <w:t>等情况进行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评议</w:t>
            </w:r>
            <w:r>
              <w:rPr>
                <w:rFonts w:hint="eastAsia" w:ascii="宋体" w:hAnsi="宋体" w:cs="宋体"/>
                <w:color w:val="auto"/>
                <w:sz w:val="21"/>
                <w:szCs w:val="21"/>
                <w:highlight w:val="none"/>
                <w:lang w:eastAsia="zh-CN"/>
              </w:rPr>
              <w:t>：</w:t>
            </w:r>
          </w:p>
          <w:p w14:paraId="1E943CF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1822770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3A015D9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06F9D9B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726934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7664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6" w:type="dxa"/>
            <w:vAlign w:val="center"/>
          </w:tcPr>
          <w:p w14:paraId="4389091A">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6</w:t>
            </w:r>
          </w:p>
        </w:tc>
        <w:tc>
          <w:tcPr>
            <w:tcW w:w="1938" w:type="dxa"/>
            <w:vAlign w:val="center"/>
          </w:tcPr>
          <w:p w14:paraId="2A32C478">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本项目现状的调查与问题剖析</w:t>
            </w:r>
          </w:p>
        </w:tc>
        <w:tc>
          <w:tcPr>
            <w:tcW w:w="715" w:type="dxa"/>
            <w:vAlign w:val="center"/>
          </w:tcPr>
          <w:p w14:paraId="0FA084A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68614FBB">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AB8E73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根据投标人分析本项目的实际现状、总结施工过程中可能存在的相应问题并提出相应的解决措施等进行综合评议</w:t>
            </w:r>
            <w:r>
              <w:rPr>
                <w:rFonts w:hint="eastAsia" w:ascii="宋体" w:hAnsi="宋体" w:cs="宋体"/>
                <w:color w:val="auto"/>
                <w:sz w:val="21"/>
                <w:szCs w:val="21"/>
                <w:highlight w:val="none"/>
                <w:lang w:eastAsia="zh-CN"/>
              </w:rPr>
              <w:t>：</w:t>
            </w:r>
          </w:p>
          <w:p w14:paraId="4F2E14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62C2053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C1B3E8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10D973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237DBC07">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0D5A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6" w:type="dxa"/>
            <w:vAlign w:val="center"/>
          </w:tcPr>
          <w:p w14:paraId="62D935DA">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7</w:t>
            </w:r>
          </w:p>
        </w:tc>
        <w:tc>
          <w:tcPr>
            <w:tcW w:w="1938" w:type="dxa"/>
            <w:vAlign w:val="center"/>
          </w:tcPr>
          <w:p w14:paraId="1418D03A">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施工方案</w:t>
            </w:r>
          </w:p>
        </w:tc>
        <w:tc>
          <w:tcPr>
            <w:tcW w:w="715" w:type="dxa"/>
            <w:vAlign w:val="center"/>
          </w:tcPr>
          <w:p w14:paraId="227071F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090E521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66071BB1">
            <w:pPr>
              <w:pStyle w:val="23"/>
              <w:spacing w:after="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根据投标人整体施工方案的完整性、详细程度、合理性，进行评分</w:t>
            </w:r>
            <w:r>
              <w:rPr>
                <w:rFonts w:hint="eastAsia" w:hAnsi="宋体" w:cs="宋体"/>
                <w:color w:val="auto"/>
                <w:kern w:val="2"/>
                <w:sz w:val="21"/>
                <w:szCs w:val="21"/>
                <w:highlight w:val="none"/>
                <w:lang w:val="en-US" w:eastAsia="zh-CN" w:bidi="ar-SA"/>
              </w:rPr>
              <w:t>：</w:t>
            </w:r>
          </w:p>
          <w:p w14:paraId="6CD47AE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w:t>
            </w:r>
            <w:r>
              <w:rPr>
                <w:rFonts w:hint="eastAsia" w:ascii="Arial" w:hAnsi="Arial" w:eastAsia="宋体" w:cs="Arial"/>
                <w:color w:val="auto"/>
                <w:sz w:val="21"/>
                <w:szCs w:val="21"/>
                <w:highlight w:val="none"/>
                <w:lang w:val="en-US" w:eastAsia="zh-CN"/>
              </w:rPr>
              <w:t>完整</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详细</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合理性</w:t>
            </w:r>
            <w:r>
              <w:rPr>
                <w:rFonts w:hint="default" w:ascii="Arial" w:hAnsi="Arial" w:eastAsia="宋体" w:cs="Arial"/>
                <w:color w:val="auto"/>
                <w:sz w:val="21"/>
                <w:szCs w:val="21"/>
                <w:highlight w:val="none"/>
              </w:rPr>
              <w:t>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1249E74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较为全面完整合理的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30EEB0E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2292766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3102E900">
            <w:pPr>
              <w:pStyle w:val="60"/>
              <w:ind w:left="0" w:leftChars="0" w:firstLine="0" w:firstLineChars="0"/>
              <w:rPr>
                <w:rFonts w:hint="eastAsia"/>
                <w:color w:val="auto"/>
                <w:lang w:val="zh-CN" w:eastAsia="zh-CN"/>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612F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6" w:type="dxa"/>
            <w:vAlign w:val="center"/>
          </w:tcPr>
          <w:p w14:paraId="630D307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8</w:t>
            </w:r>
          </w:p>
        </w:tc>
        <w:tc>
          <w:tcPr>
            <w:tcW w:w="1938" w:type="dxa"/>
            <w:vAlign w:val="center"/>
          </w:tcPr>
          <w:p w14:paraId="4FA0DDA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施工现场平面布置</w:t>
            </w:r>
          </w:p>
        </w:tc>
        <w:tc>
          <w:tcPr>
            <w:tcW w:w="715" w:type="dxa"/>
            <w:vAlign w:val="center"/>
          </w:tcPr>
          <w:p w14:paraId="688B6D6D">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A1D761F">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262E623">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根据投标人针对本项目拟定的施工现场平面布置情况进行综合评议</w:t>
            </w:r>
            <w:r>
              <w:rPr>
                <w:rFonts w:hint="eastAsia" w:ascii="宋体" w:hAnsi="宋体" w:eastAsia="宋体" w:cs="宋体"/>
                <w:color w:val="auto"/>
                <w:sz w:val="21"/>
                <w:szCs w:val="21"/>
                <w:highlight w:val="none"/>
                <w:lang w:eastAsia="zh-CN"/>
              </w:rPr>
              <w:t>。</w:t>
            </w:r>
          </w:p>
          <w:p w14:paraId="487D6D1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1）拟定的施工现场平面布置情况优秀</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2D10F1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Arial" w:hAnsi="Arial" w:eastAsia="宋体" w:cs="Arial"/>
                <w:color w:val="auto"/>
                <w:sz w:val="21"/>
                <w:szCs w:val="21"/>
                <w:highlight w:val="none"/>
                <w:lang w:val="en-US" w:eastAsia="zh-CN"/>
              </w:rPr>
              <w:t>拟定的施工现场平面布置情况良好，</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2B6F5A0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Arial" w:hAnsi="Arial" w:eastAsia="宋体" w:cs="Arial"/>
                <w:color w:val="auto"/>
                <w:sz w:val="21"/>
                <w:szCs w:val="21"/>
                <w:highlight w:val="none"/>
                <w:lang w:val="en-US" w:eastAsia="zh-CN"/>
              </w:rPr>
              <w:t>拟定的施工现场平面布置情况一般</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034F45D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eastAsia" w:ascii="Arial" w:hAnsi="Arial" w:eastAsia="宋体" w:cs="Arial"/>
                <w:color w:val="auto"/>
                <w:sz w:val="21"/>
                <w:szCs w:val="21"/>
                <w:highlight w:val="none"/>
                <w:lang w:val="en-US" w:eastAsia="zh-CN"/>
              </w:rPr>
              <w:t>拟定的施工现场平面布置情况较弱</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7EBF5B74">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5）拟定的施工现场平面布置情况简单</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4BD3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6" w:type="dxa"/>
            <w:vAlign w:val="center"/>
          </w:tcPr>
          <w:p w14:paraId="29A6A1A9">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9</w:t>
            </w:r>
          </w:p>
        </w:tc>
        <w:tc>
          <w:tcPr>
            <w:tcW w:w="1938" w:type="dxa"/>
            <w:vAlign w:val="center"/>
          </w:tcPr>
          <w:p w14:paraId="6BC654AC">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Cs/>
                <w:color w:val="auto"/>
                <w:sz w:val="21"/>
                <w:szCs w:val="21"/>
                <w:lang w:val="zh-CN"/>
              </w:rPr>
              <w:t>工程质量保证措施</w:t>
            </w:r>
          </w:p>
        </w:tc>
        <w:tc>
          <w:tcPr>
            <w:tcW w:w="715" w:type="dxa"/>
            <w:vAlign w:val="center"/>
          </w:tcPr>
          <w:p w14:paraId="25F4F974">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43E34539">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062BB0B7">
            <w:p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根据投标人针对本项目拟定的</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检验手段进行综合评议</w:t>
            </w:r>
            <w:r>
              <w:rPr>
                <w:rFonts w:hint="eastAsia" w:ascii="宋体" w:hAnsi="宋体" w:eastAsia="宋体" w:cs="宋体"/>
                <w:color w:val="auto"/>
                <w:sz w:val="21"/>
                <w:szCs w:val="21"/>
                <w:lang w:eastAsia="zh-CN"/>
              </w:rPr>
              <w:t>。</w:t>
            </w:r>
          </w:p>
          <w:p w14:paraId="33AB607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eastAsia" w:ascii="宋体" w:hAnsi="宋体" w:eastAsia="宋体" w:cs="宋体"/>
                <w:color w:val="auto"/>
                <w:sz w:val="21"/>
                <w:szCs w:val="21"/>
              </w:rPr>
              <w:t>拟定</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w:t>
            </w:r>
            <w:r>
              <w:rPr>
                <w:rFonts w:hint="eastAsia" w:ascii="Arial" w:hAnsi="Arial" w:eastAsia="宋体" w:cs="Arial"/>
                <w:color w:val="auto"/>
                <w:sz w:val="21"/>
                <w:szCs w:val="21"/>
                <w:highlight w:val="none"/>
                <w:lang w:val="en-US" w:eastAsia="zh-CN"/>
              </w:rPr>
              <w:t>完整</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合理</w:t>
            </w:r>
            <w:r>
              <w:rPr>
                <w:rFonts w:hint="default" w:ascii="Arial" w:hAnsi="Arial" w:eastAsia="宋体" w:cs="Arial"/>
                <w:color w:val="auto"/>
                <w:sz w:val="21"/>
                <w:szCs w:val="21"/>
                <w:highlight w:val="none"/>
              </w:rPr>
              <w:t>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6839473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宋体" w:hAnsi="宋体" w:eastAsia="宋体" w:cs="宋体"/>
                <w:color w:val="auto"/>
                <w:sz w:val="21"/>
                <w:szCs w:val="21"/>
              </w:rPr>
              <w:t>拟定</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w:t>
            </w:r>
            <w:r>
              <w:rPr>
                <w:rFonts w:hint="eastAsia" w:ascii="Arial" w:hAnsi="Arial" w:eastAsia="宋体" w:cs="Arial"/>
                <w:color w:val="auto"/>
                <w:sz w:val="21"/>
                <w:szCs w:val="21"/>
                <w:highlight w:val="none"/>
                <w:lang w:val="en-US" w:eastAsia="zh-CN"/>
              </w:rPr>
              <w:t>基本合理，</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2D5B1DC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宋体" w:hAnsi="宋体" w:eastAsia="宋体" w:cs="宋体"/>
                <w:color w:val="auto"/>
                <w:sz w:val="21"/>
                <w:szCs w:val="21"/>
              </w:rPr>
              <w:t>拟定</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4EDC585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4）拟定工程质量保证措施、检验手段</w:t>
            </w:r>
            <w:r>
              <w:rPr>
                <w:rFonts w:hint="default" w:ascii="Arial" w:hAnsi="Arial" w:eastAsia="宋体" w:cs="Arial"/>
                <w:color w:val="auto"/>
                <w:sz w:val="21"/>
                <w:szCs w:val="21"/>
                <w:highlight w:val="none"/>
              </w:rPr>
              <w:t>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182BEEAC">
            <w:pPr>
              <w:spacing w:line="240" w:lineRule="auto"/>
              <w:rPr>
                <w:rFonts w:hint="eastAsia" w:ascii="宋体" w:hAnsi="宋体" w:eastAsia="宋体" w:cs="宋体"/>
                <w:color w:val="auto"/>
                <w:sz w:val="21"/>
                <w:szCs w:val="21"/>
                <w:lang w:val="en-US" w:eastAsia="zh-CN"/>
              </w:rPr>
            </w:pPr>
            <w:r>
              <w:rPr>
                <w:rFonts w:hint="eastAsia" w:ascii="Arial" w:hAnsi="Arial" w:eastAsia="宋体" w:cs="Arial"/>
                <w:color w:val="auto"/>
                <w:sz w:val="21"/>
                <w:szCs w:val="21"/>
                <w:highlight w:val="none"/>
                <w:lang w:val="en-US" w:eastAsia="zh-CN"/>
              </w:rPr>
              <w:t>5）</w:t>
            </w:r>
            <w:r>
              <w:rPr>
                <w:rFonts w:hint="eastAsia" w:ascii="宋体" w:hAnsi="宋体" w:eastAsia="宋体" w:cs="宋体"/>
                <w:color w:val="auto"/>
                <w:sz w:val="21"/>
                <w:szCs w:val="21"/>
              </w:rPr>
              <w:t>拟定</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w:t>
            </w:r>
            <w:r>
              <w:rPr>
                <w:rFonts w:hint="eastAsia" w:ascii="宋体" w:hAnsi="宋体" w:eastAsia="宋体" w:cs="宋体"/>
                <w:color w:val="auto"/>
                <w:sz w:val="21"/>
                <w:szCs w:val="21"/>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3C26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5FAE09A5">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10</w:t>
            </w:r>
          </w:p>
        </w:tc>
        <w:tc>
          <w:tcPr>
            <w:tcW w:w="1938" w:type="dxa"/>
            <w:vAlign w:val="center"/>
          </w:tcPr>
          <w:p w14:paraId="74D61AB5">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rPr>
              <w:t>施工进度计划及保证措施</w:t>
            </w:r>
          </w:p>
        </w:tc>
        <w:tc>
          <w:tcPr>
            <w:tcW w:w="715" w:type="dxa"/>
            <w:vAlign w:val="center"/>
          </w:tcPr>
          <w:p w14:paraId="79962EEB">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423893C5">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6E569291">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根据投标人针对本项目拟定的施工进度计划及保证措施进行综合评议。</w:t>
            </w:r>
          </w:p>
          <w:p w14:paraId="6DE7EB2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优秀的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0783C55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良好的，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16A1E3E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60E1E1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较弱的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391E762F">
            <w:pPr>
              <w:spacing w:line="240" w:lineRule="auto"/>
              <w:rPr>
                <w:rFonts w:hint="eastAsia" w:ascii="宋体" w:hAnsi="宋体" w:eastAsia="宋体" w:cs="宋体"/>
                <w:color w:val="auto"/>
                <w:sz w:val="21"/>
                <w:szCs w:val="21"/>
                <w:lang w:val="en-US" w:eastAsia="zh-CN"/>
              </w:rPr>
            </w:pPr>
            <w:r>
              <w:rPr>
                <w:rFonts w:hint="eastAsia" w:ascii="Arial" w:hAnsi="Arial" w:eastAsia="宋体" w:cs="Arial"/>
                <w:color w:val="auto"/>
                <w:sz w:val="21"/>
                <w:szCs w:val="21"/>
                <w:highlight w:val="none"/>
                <w:lang w:val="en-US" w:eastAsia="zh-CN"/>
              </w:rPr>
              <w:t>5）</w:t>
            </w: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1F4E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0AD7D551">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11</w:t>
            </w:r>
          </w:p>
        </w:tc>
        <w:tc>
          <w:tcPr>
            <w:tcW w:w="1938" w:type="dxa"/>
            <w:vAlign w:val="center"/>
          </w:tcPr>
          <w:p w14:paraId="11A4F6DF">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Cs/>
                <w:color w:val="auto"/>
                <w:sz w:val="21"/>
                <w:szCs w:val="21"/>
                <w:lang w:val="zh-CN"/>
              </w:rPr>
              <w:t>安全生产、文明施工</w:t>
            </w:r>
          </w:p>
        </w:tc>
        <w:tc>
          <w:tcPr>
            <w:tcW w:w="715" w:type="dxa"/>
            <w:vAlign w:val="center"/>
          </w:tcPr>
          <w:p w14:paraId="2ADDB1E8">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4C322CC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4200F597">
            <w:p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根据投标人针对本项目拟定的</w:t>
            </w:r>
            <w:r>
              <w:rPr>
                <w:rFonts w:hint="eastAsia" w:ascii="宋体" w:hAnsi="宋体" w:eastAsia="宋体" w:cs="宋体"/>
                <w:bCs/>
                <w:color w:val="auto"/>
                <w:sz w:val="21"/>
                <w:szCs w:val="21"/>
                <w:lang w:val="zh-CN"/>
              </w:rPr>
              <w:t>安全生产、文明施工</w:t>
            </w:r>
            <w:r>
              <w:rPr>
                <w:rFonts w:hint="eastAsia" w:ascii="宋体" w:hAnsi="宋体" w:eastAsia="宋体" w:cs="宋体"/>
                <w:color w:val="auto"/>
                <w:sz w:val="21"/>
                <w:szCs w:val="21"/>
              </w:rPr>
              <w:t>进行综合评议</w:t>
            </w:r>
            <w:r>
              <w:rPr>
                <w:rFonts w:hint="eastAsia" w:ascii="宋体" w:hAnsi="宋体" w:eastAsia="宋体" w:cs="宋体"/>
                <w:color w:val="auto"/>
                <w:sz w:val="21"/>
                <w:szCs w:val="21"/>
                <w:lang w:eastAsia="zh-CN"/>
              </w:rPr>
              <w:t>。</w:t>
            </w:r>
          </w:p>
          <w:p w14:paraId="1CBCC63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eastAsia" w:ascii="Arial" w:hAnsi="Arial" w:eastAsia="宋体" w:cs="Arial"/>
                <w:color w:val="auto"/>
                <w:sz w:val="21"/>
                <w:szCs w:val="21"/>
                <w:highlight w:val="none"/>
                <w:lang w:val="en-US" w:eastAsia="zh-CN"/>
              </w:rPr>
              <w:t>完整</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合理</w:t>
            </w:r>
            <w:r>
              <w:rPr>
                <w:rFonts w:hint="default" w:ascii="Arial" w:hAnsi="Arial" w:eastAsia="宋体" w:cs="Arial"/>
                <w:color w:val="auto"/>
                <w:sz w:val="21"/>
                <w:szCs w:val="21"/>
                <w:highlight w:val="none"/>
              </w:rPr>
              <w:t>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3D8BDB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eastAsia" w:ascii="Arial" w:hAnsi="Arial" w:eastAsia="宋体" w:cs="Arial"/>
                <w:color w:val="auto"/>
                <w:sz w:val="21"/>
                <w:szCs w:val="21"/>
                <w:highlight w:val="none"/>
                <w:lang w:val="en-US" w:eastAsia="zh-CN"/>
              </w:rPr>
              <w:t>基本合理，</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6B9068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3819B12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default" w:ascii="Arial" w:hAnsi="Arial" w:eastAsia="宋体" w:cs="Arial"/>
                <w:color w:val="auto"/>
                <w:sz w:val="21"/>
                <w:szCs w:val="21"/>
                <w:highlight w:val="none"/>
              </w:rPr>
              <w:t>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0FC7EB38">
            <w:pPr>
              <w:spacing w:line="240" w:lineRule="auto"/>
              <w:rPr>
                <w:rFonts w:hint="eastAsia" w:ascii="宋体" w:hAnsi="宋体" w:eastAsia="宋体" w:cs="宋体"/>
                <w:color w:val="auto"/>
                <w:sz w:val="21"/>
                <w:szCs w:val="21"/>
                <w:lang w:val="en-US" w:eastAsia="zh-CN"/>
              </w:rPr>
            </w:pPr>
            <w:r>
              <w:rPr>
                <w:rFonts w:hint="eastAsia" w:ascii="Arial" w:hAnsi="Arial" w:eastAsia="宋体" w:cs="Arial"/>
                <w:color w:val="auto"/>
                <w:sz w:val="21"/>
                <w:szCs w:val="21"/>
                <w:highlight w:val="none"/>
                <w:lang w:val="en-US" w:eastAsia="zh-CN"/>
              </w:rPr>
              <w:t>5）</w:t>
            </w: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eastAsia" w:ascii="宋体" w:hAnsi="宋体" w:eastAsia="宋体" w:cs="宋体"/>
                <w:color w:val="auto"/>
                <w:sz w:val="21"/>
                <w:szCs w:val="21"/>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4E3D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7A4CA255">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12</w:t>
            </w:r>
          </w:p>
        </w:tc>
        <w:tc>
          <w:tcPr>
            <w:tcW w:w="1938" w:type="dxa"/>
            <w:vAlign w:val="center"/>
          </w:tcPr>
          <w:p w14:paraId="2F369265">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rPr>
              <w:t>施工关键点、重难点分析</w:t>
            </w:r>
          </w:p>
        </w:tc>
        <w:tc>
          <w:tcPr>
            <w:tcW w:w="715" w:type="dxa"/>
            <w:vAlign w:val="center"/>
          </w:tcPr>
          <w:p w14:paraId="311723B3">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46281F87">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3348C0BA">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根据投标人针对本项目拟定的施工关键点、重难点分析进行综合评议。</w:t>
            </w:r>
          </w:p>
          <w:p w14:paraId="7837AC3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334BE73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2F10EE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745CE00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1E7864E2">
            <w:pPr>
              <w:spacing w:line="240" w:lineRule="auto"/>
              <w:rPr>
                <w:rFonts w:hint="eastAsia" w:ascii="宋体" w:hAnsi="宋体" w:eastAsia="宋体" w:cs="宋体"/>
                <w:color w:val="auto"/>
                <w:sz w:val="21"/>
                <w:szCs w:val="21"/>
                <w:lang w:val="en-US" w:eastAsia="zh-CN"/>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58CC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2CD890B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13</w:t>
            </w:r>
          </w:p>
        </w:tc>
        <w:tc>
          <w:tcPr>
            <w:tcW w:w="1938" w:type="dxa"/>
            <w:vAlign w:val="center"/>
          </w:tcPr>
          <w:p w14:paraId="6ABCFF1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竣工资料整理方案</w:t>
            </w:r>
          </w:p>
        </w:tc>
        <w:tc>
          <w:tcPr>
            <w:tcW w:w="715" w:type="dxa"/>
            <w:vAlign w:val="center"/>
          </w:tcPr>
          <w:p w14:paraId="6B5BDB29">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57DA6C4A">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4EA67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根据投标人针对本项目拟定的竣工资料整理方案</w:t>
            </w:r>
            <w:r>
              <w:rPr>
                <w:rFonts w:hint="eastAsia" w:ascii="宋体" w:hAnsi="宋体" w:eastAsia="宋体" w:cs="宋体"/>
                <w:color w:val="auto"/>
                <w:sz w:val="21"/>
                <w:szCs w:val="21"/>
                <w:highlight w:val="none"/>
                <w:lang w:val="en-US" w:eastAsia="zh-CN"/>
              </w:rPr>
              <w:t>完善性、合理性等情况</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进行综合评议。</w:t>
            </w:r>
          </w:p>
          <w:p w14:paraId="23452C9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优秀的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4A34EF5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良好的，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09AB336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540738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较弱的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7925E7A2">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2BA9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4E5178C8">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14</w:t>
            </w:r>
          </w:p>
        </w:tc>
        <w:tc>
          <w:tcPr>
            <w:tcW w:w="1938" w:type="dxa"/>
            <w:vAlign w:val="center"/>
          </w:tcPr>
          <w:p w14:paraId="0B19D7A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具体实施管理方案（汛期、非汛期）</w:t>
            </w:r>
          </w:p>
        </w:tc>
        <w:tc>
          <w:tcPr>
            <w:tcW w:w="715" w:type="dxa"/>
            <w:vAlign w:val="center"/>
          </w:tcPr>
          <w:p w14:paraId="30799A5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503FA95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D90FAA4">
            <w:pPr>
              <w:pStyle w:val="55"/>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根据投标人针对汛期和非汛期方案内容详实，符合项目实际需求，切实可行等进行综合评议。</w:t>
            </w:r>
          </w:p>
          <w:p w14:paraId="0B0497C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72BACAA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961168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1409D3F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0D097270">
            <w:pPr>
              <w:pStyle w:val="55"/>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32F3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2C563E48">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15</w:t>
            </w:r>
          </w:p>
        </w:tc>
        <w:tc>
          <w:tcPr>
            <w:tcW w:w="1938" w:type="dxa"/>
            <w:vAlign w:val="center"/>
          </w:tcPr>
          <w:p w14:paraId="37C03F42">
            <w:pPr>
              <w:pStyle w:val="32"/>
              <w:snapToGrid w:val="0"/>
              <w:jc w:val="center"/>
              <w:rPr>
                <w:rFonts w:hint="eastAsia" w:ascii="宋体" w:hAnsi="宋体" w:eastAsia="宋体" w:cs="宋体"/>
                <w:color w:val="auto"/>
                <w:sz w:val="21"/>
                <w:szCs w:val="21"/>
                <w:highlight w:val="none"/>
              </w:rPr>
            </w:pPr>
            <w:r>
              <w:rPr>
                <w:rFonts w:hint="eastAsia" w:hAnsi="宋体" w:cs="宋体"/>
                <w:lang w:val="en-US" w:eastAsia="zh-CN"/>
              </w:rPr>
              <w:t>合理化建议</w:t>
            </w:r>
          </w:p>
        </w:tc>
        <w:tc>
          <w:tcPr>
            <w:tcW w:w="715" w:type="dxa"/>
            <w:vAlign w:val="center"/>
          </w:tcPr>
          <w:p w14:paraId="3B44644B">
            <w:pPr>
              <w:pStyle w:val="32"/>
              <w:snapToGrid w:val="0"/>
              <w:jc w:val="center"/>
              <w:rPr>
                <w:rFonts w:hint="eastAsia" w:ascii="宋体" w:hAnsi="宋体" w:eastAsia="宋体" w:cs="宋体"/>
                <w:color w:val="auto"/>
                <w:sz w:val="21"/>
                <w:szCs w:val="21"/>
                <w:highlight w:val="none"/>
                <w:lang w:val="en-US" w:eastAsia="zh-CN"/>
              </w:rPr>
            </w:pPr>
            <w:r>
              <w:rPr>
                <w:rFonts w:hint="eastAsia" w:hAnsi="宋体" w:cs="宋体"/>
              </w:rPr>
              <w:t>2</w:t>
            </w:r>
          </w:p>
        </w:tc>
        <w:tc>
          <w:tcPr>
            <w:tcW w:w="1135" w:type="dxa"/>
            <w:vAlign w:val="center"/>
          </w:tcPr>
          <w:p w14:paraId="6476574F">
            <w:pPr>
              <w:pStyle w:val="32"/>
              <w:snapToGrid w:val="0"/>
              <w:jc w:val="center"/>
              <w:rPr>
                <w:rFonts w:hint="eastAsia" w:ascii="宋体" w:hAnsi="宋体" w:eastAsia="宋体" w:cs="宋体"/>
                <w:color w:val="auto"/>
                <w:sz w:val="21"/>
                <w:szCs w:val="21"/>
                <w:highlight w:val="none"/>
                <w:lang w:val="en-US" w:eastAsia="zh-CN"/>
              </w:rPr>
            </w:pPr>
            <w:r>
              <w:rPr>
                <w:rFonts w:hint="eastAsia" w:hAnsi="宋体" w:cs="宋体"/>
                <w:lang w:val="en-US" w:eastAsia="zh-CN"/>
              </w:rPr>
              <w:t>主</w:t>
            </w:r>
            <w:r>
              <w:rPr>
                <w:rFonts w:hint="eastAsia" w:hAnsi="宋体" w:cs="宋体"/>
              </w:rPr>
              <w:t>观</w:t>
            </w:r>
          </w:p>
        </w:tc>
        <w:tc>
          <w:tcPr>
            <w:tcW w:w="5863" w:type="dxa"/>
            <w:vAlign w:val="center"/>
          </w:tcPr>
          <w:p w14:paraId="05AAE9A4">
            <w:pPr>
              <w:tabs>
                <w:tab w:val="left" w:pos="4915"/>
              </w:tabs>
              <w:spacing w:line="340" w:lineRule="exact"/>
              <w:rPr>
                <w:rFonts w:hint="eastAsia" w:ascii="Arial" w:hAnsi="Arial" w:eastAsia="宋体" w:cs="Arial"/>
                <w:color w:val="auto"/>
                <w:sz w:val="21"/>
                <w:szCs w:val="21"/>
                <w:highlight w:val="none"/>
                <w:lang w:val="en-US" w:eastAsia="zh-CN"/>
              </w:rPr>
            </w:pPr>
            <w:r>
              <w:rPr>
                <w:rFonts w:hint="eastAsia" w:ascii="宋体" w:hAnsi="宋体" w:cs="宋体"/>
                <w:szCs w:val="21"/>
              </w:rPr>
              <w:t>根据供应商提出的针对本项目的合理化建议与承诺进行评议</w:t>
            </w:r>
            <w:r>
              <w:rPr>
                <w:rFonts w:hint="eastAsia" w:ascii="宋体" w:hAnsi="宋体" w:cs="宋体"/>
                <w:szCs w:val="21"/>
                <w:lang w:eastAsia="zh-CN"/>
              </w:rPr>
              <w:t>。</w:t>
            </w:r>
            <w:r>
              <w:rPr>
                <w:rFonts w:hint="eastAsia" w:ascii="宋体" w:hAnsi="宋体" w:cs="宋体"/>
                <w:szCs w:val="21"/>
              </w:rPr>
              <w:t>与本项目履约无关的建议与承诺不予认可。</w:t>
            </w:r>
          </w:p>
        </w:tc>
      </w:tr>
      <w:tr w14:paraId="0216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26" w:type="dxa"/>
            <w:vAlign w:val="center"/>
          </w:tcPr>
          <w:p w14:paraId="30F1D8A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16</w:t>
            </w:r>
          </w:p>
        </w:tc>
        <w:tc>
          <w:tcPr>
            <w:tcW w:w="1938" w:type="dxa"/>
            <w:vAlign w:val="center"/>
          </w:tcPr>
          <w:p w14:paraId="0750A31B">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应急保障措施</w:t>
            </w:r>
          </w:p>
        </w:tc>
        <w:tc>
          <w:tcPr>
            <w:tcW w:w="715" w:type="dxa"/>
            <w:vAlign w:val="center"/>
          </w:tcPr>
          <w:p w14:paraId="6A3639E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359463F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67F9D82B">
            <w:pPr>
              <w:pStyle w:val="32"/>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val="0"/>
                <w:bCs w:val="0"/>
                <w:strike w:val="0"/>
                <w:dstrike w:val="0"/>
                <w:color w:val="auto"/>
                <w:sz w:val="21"/>
                <w:szCs w:val="21"/>
                <w:highlight w:val="none"/>
                <w:lang w:val="en-US" w:eastAsia="zh-CN"/>
              </w:rPr>
              <w:t>①保障措施可行有效、详细</w:t>
            </w:r>
            <w:r>
              <w:rPr>
                <w:rFonts w:hint="eastAsia" w:ascii="宋体" w:hAnsi="宋体" w:eastAsia="宋体" w:cs="宋体"/>
                <w:b w:val="0"/>
                <w:bCs w:val="0"/>
                <w:strike w:val="0"/>
                <w:dstrike w:val="0"/>
                <w:color w:val="auto"/>
                <w:sz w:val="21"/>
                <w:szCs w:val="21"/>
                <w:highlight w:val="none"/>
                <w:lang w:val="zh-CN" w:eastAsia="zh-CN"/>
              </w:rPr>
              <w:t>细致</w:t>
            </w:r>
            <w:r>
              <w:rPr>
                <w:rFonts w:hint="eastAsia" w:ascii="宋体" w:hAnsi="宋体" w:eastAsia="宋体" w:cs="宋体"/>
                <w:b w:val="0"/>
                <w:bCs w:val="0"/>
                <w:strike w:val="0"/>
                <w:dstrike w:val="0"/>
                <w:color w:val="auto"/>
                <w:sz w:val="21"/>
                <w:szCs w:val="21"/>
                <w:highlight w:val="none"/>
                <w:lang w:val="en-US" w:eastAsia="zh-CN"/>
              </w:rPr>
              <w:t>，严谨合理的得5分；②保障措施相对</w:t>
            </w:r>
            <w:r>
              <w:rPr>
                <w:rFonts w:hint="eastAsia" w:ascii="宋体" w:hAnsi="宋体" w:eastAsia="宋体" w:cs="宋体"/>
                <w:b w:val="0"/>
                <w:bCs w:val="0"/>
                <w:strike w:val="0"/>
                <w:dstrike w:val="0"/>
                <w:color w:val="auto"/>
                <w:sz w:val="21"/>
                <w:szCs w:val="21"/>
                <w:highlight w:val="none"/>
                <w:lang w:val="zh-CN" w:eastAsia="zh-CN"/>
              </w:rPr>
              <w:t>可行有效、合理的得</w:t>
            </w:r>
            <w:r>
              <w:rPr>
                <w:rFonts w:hint="eastAsia" w:ascii="宋体" w:hAnsi="宋体" w:eastAsia="宋体" w:cs="宋体"/>
                <w:b w:val="0"/>
                <w:bCs w:val="0"/>
                <w:strike w:val="0"/>
                <w:dstrike w:val="0"/>
                <w:color w:val="auto"/>
                <w:sz w:val="21"/>
                <w:szCs w:val="21"/>
                <w:highlight w:val="none"/>
                <w:lang w:val="en-US" w:eastAsia="zh-CN"/>
              </w:rPr>
              <w:t>4分</w:t>
            </w:r>
            <w:r>
              <w:rPr>
                <w:rFonts w:hint="eastAsia" w:ascii="宋体" w:hAnsi="宋体" w:eastAsia="宋体" w:cs="宋体"/>
                <w:b w:val="0"/>
                <w:bCs w:val="0"/>
                <w:strike w:val="0"/>
                <w:dstrike w:val="0"/>
                <w:color w:val="auto"/>
                <w:sz w:val="21"/>
                <w:szCs w:val="21"/>
                <w:highlight w:val="none"/>
                <w:lang w:val="zh-CN" w:eastAsia="zh-CN"/>
              </w:rPr>
              <w:t>；③</w:t>
            </w:r>
            <w:r>
              <w:rPr>
                <w:rFonts w:hint="eastAsia" w:ascii="宋体" w:hAnsi="宋体" w:eastAsia="宋体" w:cs="宋体"/>
                <w:b w:val="0"/>
                <w:bCs w:val="0"/>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可行性、合理性一般的得</w:t>
            </w:r>
            <w:r>
              <w:rPr>
                <w:rFonts w:hint="eastAsia" w:ascii="宋体" w:hAnsi="宋体" w:eastAsia="宋体" w:cs="宋体"/>
                <w:b w:val="0"/>
                <w:bCs w:val="0"/>
                <w:strike w:val="0"/>
                <w:dstrike w:val="0"/>
                <w:color w:val="auto"/>
                <w:sz w:val="21"/>
                <w:szCs w:val="21"/>
                <w:highlight w:val="none"/>
                <w:lang w:val="en-US" w:eastAsia="zh-CN"/>
              </w:rPr>
              <w:t>3分；④保障措施</w:t>
            </w:r>
            <w:r>
              <w:rPr>
                <w:rFonts w:hint="eastAsia" w:ascii="宋体" w:hAnsi="宋体" w:eastAsia="宋体" w:cs="宋体"/>
                <w:b w:val="0"/>
                <w:bCs w:val="0"/>
                <w:strike w:val="0"/>
                <w:dstrike w:val="0"/>
                <w:color w:val="auto"/>
                <w:sz w:val="21"/>
                <w:szCs w:val="21"/>
                <w:highlight w:val="none"/>
                <w:lang w:val="zh-CN" w:eastAsia="zh-CN"/>
              </w:rPr>
              <w:t>可行性、合理性略有欠缺的得</w:t>
            </w:r>
            <w:r>
              <w:rPr>
                <w:rFonts w:hint="eastAsia" w:ascii="宋体" w:hAnsi="宋体" w:eastAsia="宋体" w:cs="宋体"/>
                <w:b w:val="0"/>
                <w:bCs w:val="0"/>
                <w:strike w:val="0"/>
                <w:dstrike w:val="0"/>
                <w:color w:val="auto"/>
                <w:sz w:val="21"/>
                <w:szCs w:val="21"/>
                <w:highlight w:val="none"/>
                <w:lang w:val="en-US" w:eastAsia="zh-CN"/>
              </w:rPr>
              <w:t>2分</w:t>
            </w:r>
            <w:r>
              <w:rPr>
                <w:rFonts w:hint="eastAsia" w:ascii="宋体" w:hAnsi="宋体" w:eastAsia="宋体" w:cs="宋体"/>
                <w:b w:val="0"/>
                <w:bCs w:val="0"/>
                <w:strike w:val="0"/>
                <w:dstrike w:val="0"/>
                <w:color w:val="auto"/>
                <w:sz w:val="21"/>
                <w:szCs w:val="21"/>
                <w:highlight w:val="none"/>
                <w:lang w:val="zh-CN" w:eastAsia="zh-CN"/>
              </w:rPr>
              <w:t>；⑤</w:t>
            </w:r>
            <w:r>
              <w:rPr>
                <w:rFonts w:hint="eastAsia" w:ascii="宋体" w:hAnsi="宋体" w:eastAsia="宋体" w:cs="宋体"/>
                <w:b w:val="0"/>
                <w:bCs w:val="0"/>
                <w:strike w:val="0"/>
                <w:dstrike w:val="0"/>
                <w:color w:val="auto"/>
                <w:sz w:val="21"/>
                <w:szCs w:val="21"/>
                <w:highlight w:val="none"/>
                <w:lang w:val="en-US" w:eastAsia="zh-CN"/>
              </w:rPr>
              <w:t>保障措施可行性较差</w:t>
            </w:r>
            <w:r>
              <w:rPr>
                <w:rFonts w:hint="eastAsia" w:ascii="宋体" w:hAnsi="宋体" w:eastAsia="宋体" w:cs="宋体"/>
                <w:b w:val="0"/>
                <w:bCs w:val="0"/>
                <w:strike w:val="0"/>
                <w:dstrike w:val="0"/>
                <w:color w:val="auto"/>
                <w:sz w:val="21"/>
                <w:szCs w:val="21"/>
                <w:highlight w:val="none"/>
                <w:lang w:val="zh-CN" w:eastAsia="zh-CN"/>
              </w:rPr>
              <w:t>，内容不全的得1分；</w:t>
            </w:r>
            <w:r>
              <w:rPr>
                <w:rFonts w:hint="eastAsia" w:ascii="宋体" w:hAnsi="宋体" w:eastAsia="宋体" w:cs="宋体"/>
                <w:b w:val="0"/>
                <w:bCs w:val="0"/>
                <w:strike w:val="0"/>
                <w:dstrike w:val="0"/>
                <w:color w:val="auto"/>
                <w:sz w:val="21"/>
                <w:szCs w:val="21"/>
                <w:highlight w:val="none"/>
                <w:lang w:val="en-US"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r>
      <w:tr w14:paraId="2D5D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526" w:type="dxa"/>
            <w:vAlign w:val="center"/>
          </w:tcPr>
          <w:p w14:paraId="37727E6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17</w:t>
            </w:r>
          </w:p>
        </w:tc>
        <w:tc>
          <w:tcPr>
            <w:tcW w:w="1938" w:type="dxa"/>
            <w:vAlign w:val="center"/>
          </w:tcPr>
          <w:p w14:paraId="61DA0D00">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应急保障机构设置</w:t>
            </w:r>
          </w:p>
        </w:tc>
        <w:tc>
          <w:tcPr>
            <w:tcW w:w="715" w:type="dxa"/>
            <w:vAlign w:val="center"/>
          </w:tcPr>
          <w:p w14:paraId="77C0CD89">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6CE22E28">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650C482B">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应急保障机构设置：</w:t>
            </w:r>
          </w:p>
          <w:p w14:paraId="1AB440A3">
            <w:pPr>
              <w:pStyle w:val="32"/>
              <w:adjustRightInd w:val="0"/>
              <w:snapToGrid w:val="0"/>
              <w:spacing w:before="0" w:beforeLines="0" w:after="0" w:afterLines="0" w:line="240" w:lineRule="auto"/>
              <w:jc w:val="left"/>
              <w:rPr>
                <w:rFonts w:hint="eastAsia" w:ascii="宋体" w:hAnsi="宋体" w:eastAsia="宋体" w:cs="宋体"/>
                <w:b w:val="0"/>
                <w:bCs w:val="0"/>
                <w:strike w:val="0"/>
                <w:dstrike w:val="0"/>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的得5分；②方案内容详细，工作思路清楚，基本符合项目实际情况，合理可行的得4分；③方案内容比较简单，虽然存在一些不足但无明显重大缺陷的得3分；④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2分；⑤提交的方案与实际情况存在一定偏差的得1分；缺项不得分。</w:t>
            </w:r>
          </w:p>
        </w:tc>
      </w:tr>
      <w:tr w14:paraId="763C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26" w:type="dxa"/>
            <w:vAlign w:val="center"/>
          </w:tcPr>
          <w:p w14:paraId="3A1D93CE">
            <w:pPr>
              <w:snapToGrid w:val="0"/>
              <w:spacing w:line="360" w:lineRule="auto"/>
              <w:jc w:val="center"/>
              <w:rPr>
                <w:rFonts w:hint="default"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18</w:t>
            </w:r>
          </w:p>
        </w:tc>
        <w:tc>
          <w:tcPr>
            <w:tcW w:w="1938" w:type="dxa"/>
            <w:vAlign w:val="center"/>
          </w:tcPr>
          <w:p w14:paraId="650E4D9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价格部分30分</w:t>
            </w:r>
          </w:p>
        </w:tc>
        <w:tc>
          <w:tcPr>
            <w:tcW w:w="715" w:type="dxa"/>
            <w:vAlign w:val="center"/>
          </w:tcPr>
          <w:p w14:paraId="7CCC5E2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30</w:t>
            </w:r>
          </w:p>
        </w:tc>
        <w:tc>
          <w:tcPr>
            <w:tcW w:w="1135" w:type="dxa"/>
            <w:vAlign w:val="center"/>
          </w:tcPr>
          <w:p w14:paraId="79DEE765">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投标报价（30分）</w:t>
            </w:r>
          </w:p>
        </w:tc>
        <w:tc>
          <w:tcPr>
            <w:tcW w:w="5863" w:type="dxa"/>
            <w:vAlign w:val="center"/>
          </w:tcPr>
          <w:p w14:paraId="675ED9C8">
            <w:pPr>
              <w:pStyle w:val="32"/>
              <w:adjustRightInd w:val="0"/>
              <w:snapToGrid w:val="0"/>
              <w:spacing w:before="0" w:beforeLines="0" w:after="0" w:afterLines="0"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满足采购文件要求且参与评审价格最低为评标基准价，其价格分为满分，其余投标人的价格分以下列公式计算：</w:t>
            </w:r>
          </w:p>
          <w:p w14:paraId="7632B7E7">
            <w:pPr>
              <w:pStyle w:val="32"/>
              <w:adjustRightInd w:val="0"/>
              <w:snapToGrid w:val="0"/>
              <w:spacing w:before="0" w:beforeLines="0" w:after="0" w:afterLines="0"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投标报价得分=（评标基准价/参与评审的价格）×30%×100</w:t>
            </w:r>
          </w:p>
          <w:p w14:paraId="7813C069">
            <w:pPr>
              <w:pStyle w:val="32"/>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参与评审价格=投标价格</w:t>
            </w:r>
          </w:p>
        </w:tc>
      </w:tr>
    </w:tbl>
    <w:p w14:paraId="330FCD61">
      <w:pPr>
        <w:snapToGrid w:val="0"/>
        <w:spacing w:line="360" w:lineRule="auto"/>
        <w:rPr>
          <w:rFonts w:hint="eastAsia" w:ascii="宋体" w:hAnsi="宋体" w:cs="宋体"/>
          <w:color w:val="auto"/>
          <w:sz w:val="20"/>
          <w:szCs w:val="20"/>
          <w:shd w:val="clear" w:color="auto" w:fill="FFFFFF"/>
        </w:rPr>
      </w:pPr>
    </w:p>
    <w:p w14:paraId="0C7CCAAF">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供应商编制响应文件（商务技术文件部分）时，建议按此目录（序号和内容）提供评审标准相应的商务技术资料。 </w:t>
      </w:r>
    </w:p>
    <w:p w14:paraId="1575B10F">
      <w:pPr>
        <w:jc w:val="left"/>
        <w:rPr>
          <w:rFonts w:ascii="宋体" w:hAnsi="宋体" w:cs="宋体"/>
          <w:b/>
          <w:color w:val="auto"/>
          <w:sz w:val="32"/>
        </w:rPr>
      </w:pPr>
      <w:r>
        <w:rPr>
          <w:rFonts w:hint="eastAsia" w:ascii="宋体" w:hAnsi="宋体" w:cs="宋体"/>
          <w:b/>
          <w:color w:val="auto"/>
          <w:sz w:val="32"/>
        </w:rPr>
        <w:br w:type="page"/>
      </w:r>
    </w:p>
    <w:p w14:paraId="592EAAB2">
      <w:pPr>
        <w:snapToGrid w:val="0"/>
        <w:spacing w:line="360" w:lineRule="auto"/>
        <w:jc w:val="center"/>
        <w:rPr>
          <w:rFonts w:ascii="宋体" w:hAnsi="宋体" w:cs="宋体"/>
          <w:b/>
          <w:color w:val="auto"/>
          <w:sz w:val="28"/>
          <w:szCs w:val="28"/>
        </w:rPr>
      </w:pPr>
      <w:r>
        <w:rPr>
          <w:rFonts w:hint="eastAsia" w:ascii="宋体" w:hAnsi="宋体" w:cs="宋体"/>
          <w:b/>
          <w:color w:val="auto"/>
          <w:sz w:val="32"/>
        </w:rPr>
        <w:t>一、评审方法</w:t>
      </w:r>
    </w:p>
    <w:p w14:paraId="257536F8">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p>
    <w:p w14:paraId="035A75C1">
      <w:pPr>
        <w:snapToGrid w:val="0"/>
        <w:spacing w:line="360" w:lineRule="auto"/>
        <w:jc w:val="center"/>
        <w:rPr>
          <w:rFonts w:ascii="宋体" w:hAnsi="宋体" w:cs="宋体"/>
          <w:b/>
          <w:color w:val="auto"/>
          <w:sz w:val="32"/>
        </w:rPr>
      </w:pPr>
      <w:r>
        <w:rPr>
          <w:rFonts w:hint="eastAsia" w:ascii="宋体" w:hAnsi="宋体" w:cs="宋体"/>
          <w:b/>
          <w:color w:val="auto"/>
          <w:sz w:val="32"/>
        </w:rPr>
        <w:t>二、评审标准</w:t>
      </w:r>
    </w:p>
    <w:p w14:paraId="286030D2">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见评审办法前附表。</w:t>
      </w:r>
    </w:p>
    <w:p w14:paraId="30A6E9DB">
      <w:pPr>
        <w:snapToGrid w:val="0"/>
        <w:spacing w:line="360" w:lineRule="auto"/>
        <w:jc w:val="center"/>
        <w:rPr>
          <w:rFonts w:ascii="宋体" w:hAnsi="宋体" w:cs="宋体"/>
          <w:b/>
          <w:color w:val="auto"/>
          <w:sz w:val="32"/>
        </w:rPr>
      </w:pPr>
      <w:r>
        <w:rPr>
          <w:rFonts w:hint="eastAsia" w:ascii="宋体" w:hAnsi="宋体" w:cs="宋体"/>
          <w:b/>
          <w:color w:val="auto"/>
          <w:sz w:val="32"/>
        </w:rPr>
        <w:t>三、评审程序</w:t>
      </w:r>
    </w:p>
    <w:p w14:paraId="20F5170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磋商小组应当对符合资格的供应商的响应文件进行符合性审查，以确定其是否满足采购文件的实质性要求。不满足采购文件的实质性要求的，响应文件无效。</w:t>
      </w:r>
    </w:p>
    <w:p w14:paraId="61D4F7AE">
      <w:pPr>
        <w:spacing w:line="360" w:lineRule="auto"/>
        <w:ind w:firstLine="472" w:firstLineChars="196"/>
        <w:rPr>
          <w:rFonts w:ascii="宋体" w:hAnsi="宋体" w:cs="宋体"/>
          <w:color w:val="auto"/>
          <w:sz w:val="24"/>
        </w:rPr>
      </w:pPr>
      <w:r>
        <w:rPr>
          <w:rFonts w:hint="eastAsia" w:ascii="宋体" w:hAnsi="宋体" w:cs="宋体"/>
          <w:b/>
          <w:color w:val="auto"/>
          <w:kern w:val="0"/>
          <w:sz w:val="24"/>
        </w:rPr>
        <w:t>3.2 磋商。</w:t>
      </w:r>
      <w:r>
        <w:rPr>
          <w:rFonts w:hint="eastAsia" w:ascii="宋体" w:hAnsi="宋体" w:cs="宋体"/>
          <w:color w:val="auto"/>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rPr>
        <w:t>符合性审查合格的</w:t>
      </w:r>
      <w:r>
        <w:rPr>
          <w:rFonts w:hint="eastAsia" w:ascii="宋体" w:hAnsi="宋体" w:cs="宋体"/>
          <w:color w:val="auto"/>
          <w:sz w:val="24"/>
        </w:rPr>
        <w:t>供应商逐一进行磋商。</w:t>
      </w:r>
    </w:p>
    <w:p w14:paraId="35C07658">
      <w:pPr>
        <w:spacing w:line="360" w:lineRule="auto"/>
        <w:ind w:firstLine="470" w:firstLineChars="196"/>
        <w:rPr>
          <w:rFonts w:ascii="宋体" w:hAnsi="宋体" w:cs="宋体"/>
          <w:b/>
          <w:color w:val="auto"/>
          <w:sz w:val="24"/>
        </w:rPr>
      </w:pPr>
      <w:r>
        <w:rPr>
          <w:rFonts w:hint="eastAsia" w:ascii="宋体" w:hAnsi="宋体" w:cs="宋体"/>
          <w:bCs/>
          <w:color w:val="auto"/>
          <w:sz w:val="24"/>
        </w:rPr>
        <w:t xml:space="preserve">3.2.1 </w:t>
      </w:r>
      <w:r>
        <w:rPr>
          <w:rFonts w:hint="eastAsia" w:ascii="宋体" w:hAnsi="宋体" w:cs="宋体"/>
          <w:color w:val="auto"/>
          <w:sz w:val="24"/>
        </w:rPr>
        <w:t>供应商逐家回答磋商小组的提问；</w:t>
      </w:r>
      <w:r>
        <w:rPr>
          <w:rFonts w:hint="eastAsia" w:ascii="宋体" w:hAnsi="宋体" w:cs="宋体"/>
          <w:b/>
          <w:color w:val="auto"/>
          <w:sz w:val="24"/>
        </w:rPr>
        <w:t>逐家磋商一次为一个轮次，磋商轮次根据实际情况进行。</w:t>
      </w:r>
    </w:p>
    <w:p w14:paraId="5648DE05">
      <w:pPr>
        <w:spacing w:line="360" w:lineRule="auto"/>
        <w:ind w:firstLine="470" w:firstLineChars="196"/>
        <w:rPr>
          <w:rFonts w:ascii="宋体" w:hAnsi="宋体" w:cs="宋体"/>
          <w:color w:val="auto"/>
          <w:sz w:val="24"/>
        </w:rPr>
      </w:pPr>
      <w:r>
        <w:rPr>
          <w:rFonts w:hint="eastAsia" w:ascii="宋体" w:hAnsi="宋体" w:cs="宋体"/>
          <w:bCs/>
          <w:color w:val="auto"/>
          <w:sz w:val="24"/>
        </w:rPr>
        <w:t xml:space="preserve">3.2.2 </w:t>
      </w:r>
      <w:r>
        <w:rPr>
          <w:rFonts w:hint="eastAsia" w:ascii="宋体" w:hAnsi="宋体" w:cs="宋体"/>
          <w:color w:val="auto"/>
          <w:sz w:val="24"/>
        </w:rPr>
        <w:t>供应商应按磋商小组通知的时间在线或以邮件回复做出承诺或回复，承诺或回复的内容须由供应商法定代表人或授权代表签署，并作为响应文件的补充部分。</w:t>
      </w:r>
    </w:p>
    <w:p w14:paraId="3F69BFFA">
      <w:pPr>
        <w:spacing w:line="360" w:lineRule="auto"/>
        <w:ind w:firstLine="470" w:firstLineChars="196"/>
        <w:rPr>
          <w:rFonts w:ascii="宋体" w:hAnsi="宋体" w:cs="宋体"/>
          <w:bCs/>
          <w:color w:val="auto"/>
          <w:kern w:val="0"/>
          <w:sz w:val="24"/>
        </w:rPr>
      </w:pPr>
      <w:r>
        <w:rPr>
          <w:rFonts w:hint="eastAsia" w:ascii="宋体" w:hAnsi="宋体" w:cs="宋体"/>
          <w:color w:val="auto"/>
          <w:sz w:val="24"/>
        </w:rPr>
        <w:t xml:space="preserve">3.2.3 </w:t>
      </w:r>
      <w:r>
        <w:rPr>
          <w:rFonts w:hint="eastAsia" w:ascii="宋体" w:hAnsi="宋体" w:cs="宋体"/>
          <w:b/>
          <w:bCs/>
          <w:color w:val="auto"/>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rPr>
        <w:t>实质性变动的内容，须经采购人代表确认。磋商文件有实质性变动的，磋商小组将以书面形式通知所有</w:t>
      </w:r>
      <w:r>
        <w:rPr>
          <w:rFonts w:hint="eastAsia" w:ascii="宋体" w:hAnsi="宋体" w:cs="宋体"/>
          <w:color w:val="auto"/>
          <w:kern w:val="0"/>
          <w:sz w:val="24"/>
        </w:rPr>
        <w:t>符合性审查合格的</w:t>
      </w:r>
      <w:r>
        <w:rPr>
          <w:rFonts w:hint="eastAsia" w:ascii="宋体" w:hAnsi="宋体" w:cs="宋体"/>
          <w:color w:val="auto"/>
          <w:sz w:val="24"/>
        </w:rPr>
        <w:t xml:space="preserve">供应商。 </w:t>
      </w:r>
    </w:p>
    <w:p w14:paraId="7EA57E68">
      <w:pPr>
        <w:spacing w:line="360" w:lineRule="auto"/>
        <w:ind w:firstLine="472" w:firstLineChars="196"/>
        <w:rPr>
          <w:rFonts w:ascii="宋体" w:hAnsi="宋体" w:cs="宋体"/>
          <w:b/>
          <w:bCs/>
          <w:color w:val="auto"/>
          <w:kern w:val="0"/>
          <w:sz w:val="24"/>
        </w:rPr>
      </w:pPr>
      <w:r>
        <w:rPr>
          <w:rFonts w:hint="eastAsia" w:ascii="宋体" w:hAnsi="宋体" w:cs="宋体"/>
          <w:b/>
          <w:bCs/>
          <w:color w:val="auto"/>
          <w:kern w:val="0"/>
          <w:sz w:val="24"/>
        </w:rPr>
        <w:t>3.3最后报价</w:t>
      </w:r>
    </w:p>
    <w:p w14:paraId="53EC554C">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5C7CD921">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090B42B">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3.3.3 已提交响应文件的供应商，在提交最后报价之前，可以根据磋商情况退出磋商</w:t>
      </w:r>
    </w:p>
    <w:p w14:paraId="774B115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3.4 综合评分。</w:t>
      </w:r>
      <w:r>
        <w:rPr>
          <w:rFonts w:hint="eastAsia" w:ascii="宋体" w:hAnsi="宋体" w:cs="宋体"/>
          <w:bCs/>
          <w:color w:val="auto"/>
          <w:kern w:val="0"/>
          <w:sz w:val="24"/>
        </w:rPr>
        <w:t>经磋商确定最终采购需求和提交最后报价的供应商后，</w:t>
      </w:r>
      <w:r>
        <w:rPr>
          <w:rFonts w:hint="eastAsia" w:ascii="宋体" w:hAnsi="宋体" w:cs="宋体"/>
          <w:color w:val="auto"/>
          <w:kern w:val="0"/>
          <w:sz w:val="24"/>
        </w:rPr>
        <w:t>磋商小组应当按照采购文件中规定的评审标准，对符合性审查合格的响应文件进行综合评分。磋商文件中没有规定的评审标准不得作为评审依据。</w:t>
      </w:r>
    </w:p>
    <w:p w14:paraId="2F8D428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3.5汇总商务技术得分。</w:t>
      </w:r>
      <w:r>
        <w:rPr>
          <w:rFonts w:hint="eastAsia" w:ascii="宋体" w:hAnsi="宋体" w:cs="宋体"/>
          <w:color w:val="auto"/>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rPr>
        <w:t>30%以上的，由</w:t>
      </w:r>
      <w:r>
        <w:rPr>
          <w:rFonts w:hint="eastAsia" w:ascii="宋体" w:hAnsi="宋体" w:cs="宋体"/>
          <w:color w:val="auto"/>
          <w:kern w:val="0"/>
          <w:sz w:val="24"/>
        </w:rPr>
        <w:t>磋商小组</w:t>
      </w:r>
      <w:r>
        <w:rPr>
          <w:rFonts w:ascii="宋体" w:hAnsi="宋体" w:cs="宋体"/>
          <w:color w:val="auto"/>
          <w:kern w:val="0"/>
          <w:sz w:val="24"/>
        </w:rPr>
        <w:t>启动评分畸高、畸低行为认定程序</w:t>
      </w:r>
      <w:r>
        <w:rPr>
          <w:rFonts w:hint="eastAsia" w:ascii="宋体" w:hAnsi="宋体" w:cs="宋体"/>
          <w:color w:val="auto"/>
          <w:kern w:val="0"/>
          <w:sz w:val="24"/>
        </w:rPr>
        <w:t>，磋商小组组长应提醒相关评审人员进行复核或书面说明理由，评审人员拒绝说明的，由现场监督员据实记录；评审人员的评审、修改记录应保留原件，随项目其他资料一并存档。</w:t>
      </w:r>
    </w:p>
    <w:p w14:paraId="6A389639">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3.6报价评审。</w:t>
      </w:r>
    </w:p>
    <w:p w14:paraId="3353EC9B">
      <w:pPr>
        <w:pStyle w:val="130"/>
        <w:spacing w:before="0"/>
        <w:ind w:firstLine="508" w:firstLineChars="212"/>
        <w:rPr>
          <w:rFonts w:ascii="宋体" w:hAnsi="宋体" w:cs="宋体"/>
          <w:color w:val="auto"/>
          <w:kern w:val="0"/>
        </w:rPr>
      </w:pPr>
      <w:r>
        <w:rPr>
          <w:rFonts w:hint="eastAsia" w:ascii="宋体" w:hAnsi="宋体" w:cs="宋体"/>
          <w:color w:val="auto"/>
          <w:kern w:val="0"/>
        </w:rPr>
        <w:t>3.6.1响应文件报价出现前后不一致的，按照下列规定修正：</w:t>
      </w:r>
    </w:p>
    <w:p w14:paraId="39DA7F1C">
      <w:pPr>
        <w:pStyle w:val="130"/>
        <w:spacing w:before="0"/>
        <w:ind w:firstLine="480"/>
        <w:rPr>
          <w:rFonts w:ascii="宋体" w:hAnsi="宋体" w:cs="宋体"/>
          <w:color w:val="auto"/>
          <w:kern w:val="0"/>
          <w:szCs w:val="24"/>
        </w:rPr>
      </w:pPr>
      <w:r>
        <w:rPr>
          <w:rFonts w:hint="eastAsia" w:ascii="宋体" w:hAnsi="宋体" w:cs="宋体"/>
          <w:color w:val="auto"/>
          <w:kern w:val="0"/>
          <w:szCs w:val="24"/>
        </w:rPr>
        <w:t>3.6.1.1响应文件中已标价工程量清单内容与响应文件中相应内容不一致的，以已标价工程量清单为准;</w:t>
      </w:r>
    </w:p>
    <w:p w14:paraId="35F4E1BE">
      <w:pPr>
        <w:pStyle w:val="130"/>
        <w:spacing w:before="0"/>
        <w:ind w:firstLine="480"/>
        <w:rPr>
          <w:rFonts w:ascii="宋体" w:hAnsi="宋体" w:cs="宋体"/>
          <w:color w:val="auto"/>
          <w:kern w:val="0"/>
          <w:szCs w:val="24"/>
        </w:rPr>
      </w:pPr>
      <w:r>
        <w:rPr>
          <w:rFonts w:hint="eastAsia" w:ascii="宋体" w:hAnsi="宋体" w:cs="宋体"/>
          <w:color w:val="auto"/>
          <w:kern w:val="0"/>
          <w:szCs w:val="24"/>
        </w:rPr>
        <w:t>3.6.1.2大写金额和小写金额不一致的，以大写金额为准;</w:t>
      </w:r>
    </w:p>
    <w:p w14:paraId="0889A673">
      <w:pPr>
        <w:pStyle w:val="130"/>
        <w:spacing w:before="0"/>
        <w:ind w:firstLine="480"/>
        <w:rPr>
          <w:rFonts w:ascii="宋体" w:hAnsi="宋体" w:cs="宋体"/>
          <w:color w:val="auto"/>
          <w:kern w:val="0"/>
          <w:szCs w:val="24"/>
        </w:rPr>
      </w:pPr>
      <w:r>
        <w:rPr>
          <w:rFonts w:hint="eastAsia" w:ascii="宋体" w:hAnsi="宋体" w:cs="宋体"/>
          <w:color w:val="auto"/>
          <w:kern w:val="0"/>
          <w:szCs w:val="24"/>
        </w:rPr>
        <w:t>3.6.1.3单价金额小数点或者百分比有明显错位的，以已标价工程量清单的总价为准，并修改单价;</w:t>
      </w:r>
    </w:p>
    <w:p w14:paraId="2F8F9634">
      <w:pPr>
        <w:pStyle w:val="130"/>
        <w:spacing w:before="0"/>
        <w:ind w:firstLine="480"/>
        <w:rPr>
          <w:rFonts w:ascii="宋体" w:hAnsi="宋体" w:cs="宋体"/>
          <w:color w:val="auto"/>
          <w:kern w:val="0"/>
          <w:szCs w:val="24"/>
        </w:rPr>
      </w:pPr>
      <w:r>
        <w:rPr>
          <w:rFonts w:hint="eastAsia" w:ascii="宋体" w:hAnsi="宋体" w:cs="宋体"/>
          <w:color w:val="auto"/>
          <w:kern w:val="0"/>
          <w:szCs w:val="24"/>
        </w:rPr>
        <w:t>3.6.1.4总价金额与按单价汇总金额不一致的，以单价金额计算结果为准。</w:t>
      </w:r>
    </w:p>
    <w:p w14:paraId="35ABB623">
      <w:pPr>
        <w:pStyle w:val="130"/>
        <w:spacing w:before="0"/>
        <w:ind w:firstLine="480"/>
        <w:rPr>
          <w:rFonts w:ascii="宋体" w:hAnsi="宋体" w:cs="宋体"/>
          <w:color w:val="auto"/>
          <w:kern w:val="0"/>
          <w:szCs w:val="24"/>
        </w:rPr>
      </w:pPr>
      <w:r>
        <w:rPr>
          <w:rFonts w:hint="eastAsia" w:ascii="宋体" w:hAnsi="宋体" w:cs="宋体"/>
          <w:color w:val="auto"/>
          <w:kern w:val="0"/>
          <w:szCs w:val="24"/>
        </w:rPr>
        <w:t>3.6.1.5同时出现两种以上不一致的，按照3.6.1规定的顺序修正。修正后的报价经供应商确认后产生约束力。</w:t>
      </w:r>
    </w:p>
    <w:p w14:paraId="0902CD2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3.6.2响应文件出现不是唯一的、有选择性最后报价的，响应文件无效。</w:t>
      </w:r>
    </w:p>
    <w:p w14:paraId="5EBBC38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3.6.3最后报价超过采购文件中规定的预算金额或者最高限价的，响应文件无效。</w:t>
      </w:r>
    </w:p>
    <w:p w14:paraId="79881DA3">
      <w:pPr>
        <w:pStyle w:val="130"/>
        <w:spacing w:before="0"/>
        <w:ind w:firstLine="480"/>
        <w:rPr>
          <w:rFonts w:ascii="宋体" w:hAnsi="宋体" w:cs="宋体"/>
          <w:color w:val="auto"/>
          <w:kern w:val="0"/>
          <w:szCs w:val="24"/>
        </w:rPr>
      </w:pPr>
      <w:r>
        <w:rPr>
          <w:rFonts w:hint="eastAsia" w:ascii="宋体" w:hAnsi="宋体" w:cs="宋体"/>
          <w:color w:val="auto"/>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572FF65">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3.7排序与推荐。</w:t>
      </w:r>
      <w:r>
        <w:rPr>
          <w:rFonts w:hint="eastAsia" w:ascii="宋体" w:hAnsi="宋体" w:cs="宋体"/>
          <w:color w:val="auto"/>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32B6252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3.8编写评审报告。</w:t>
      </w:r>
      <w:r>
        <w:rPr>
          <w:rFonts w:hint="eastAsia" w:ascii="宋体" w:hAnsi="宋体" w:cs="宋体"/>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5C62EE8">
      <w:pPr>
        <w:snapToGrid w:val="0"/>
        <w:spacing w:line="360" w:lineRule="auto"/>
        <w:jc w:val="center"/>
        <w:rPr>
          <w:rFonts w:ascii="宋体" w:hAnsi="宋体" w:cs="宋体"/>
          <w:b/>
          <w:color w:val="auto"/>
          <w:sz w:val="32"/>
        </w:rPr>
      </w:pPr>
      <w:r>
        <w:rPr>
          <w:rFonts w:hint="eastAsia" w:ascii="宋体" w:hAnsi="宋体" w:cs="宋体"/>
          <w:b/>
          <w:color w:val="auto"/>
          <w:sz w:val="32"/>
        </w:rPr>
        <w:t>四、评审中的其他事项</w:t>
      </w:r>
    </w:p>
    <w:p w14:paraId="0BAEDD18">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3844587">
      <w:pPr>
        <w:pStyle w:val="24"/>
        <w:spacing w:line="360" w:lineRule="auto"/>
        <w:ind w:left="954" w:leftChars="226" w:hanging="479" w:firstLineChars="0"/>
        <w:rPr>
          <w:rFonts w:cs="宋体"/>
          <w:color w:val="auto"/>
          <w:szCs w:val="21"/>
        </w:rPr>
      </w:pPr>
      <w:r>
        <w:rPr>
          <w:rFonts w:hint="eastAsia" w:cs="宋体"/>
          <w:b/>
          <w:color w:val="auto"/>
          <w:kern w:val="0"/>
        </w:rPr>
        <w:t>4.2响应文件无效。</w:t>
      </w:r>
      <w:r>
        <w:rPr>
          <w:rFonts w:hint="eastAsia" w:cs="宋体"/>
          <w:color w:val="auto"/>
          <w:szCs w:val="21"/>
        </w:rPr>
        <w:t>有下列情形之一的，响应文件无效：</w:t>
      </w:r>
    </w:p>
    <w:p w14:paraId="50EF3AE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14:paraId="436E45E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14:paraId="19893DB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4.2.3采购人拟采购的产品属于政府强制采购的节能产品品目清单范围的，供应商未按采购文件要求提供国家确定的认证机构出具的、处于有效期之内的节能产品认证证书的；</w:t>
      </w:r>
    </w:p>
    <w:p w14:paraId="08BAB6A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4.2.4响应文件含有采购人不能接受的附加条件的；</w:t>
      </w:r>
    </w:p>
    <w:p w14:paraId="18A3CFD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4.2.5响应文件中承诺的响应文件有效期少于采购文件中载明的响应文件有效期的；</w:t>
      </w:r>
    </w:p>
    <w:p w14:paraId="73BBA01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4.2.6响应文件出现不是唯一的、有选择性最后报价的;</w:t>
      </w:r>
    </w:p>
    <w:p w14:paraId="42D8E0C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4.2.7最后报价超过采购文件中规定的预算金额或者最高限价的;</w:t>
      </w:r>
    </w:p>
    <w:p w14:paraId="6DAF485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4.2.8报价明显低于其他通过符合性审查供应商的报价，有可能影响产品质量或者不能诚信履约的，未能按要求提供书面说明或者提交相关证明材料，不能证明其报价合理性的;</w:t>
      </w:r>
    </w:p>
    <w:p w14:paraId="6B56943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4.2.9供应商对根据修正原则修正后的报价不确认的；</w:t>
      </w:r>
    </w:p>
    <w:p w14:paraId="312CA9F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4.2.10供应商提供虚假材料响应的；</w:t>
      </w:r>
    </w:p>
    <w:p w14:paraId="501D1CA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4.2.11供应商有恶意串通、妨碍其他供应商的竞争行为、损害采购人或者其他供应商的合法权益情形的；</w:t>
      </w:r>
    </w:p>
    <w:p w14:paraId="1E0F01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4.2.12供应商仅提交备份响应文件，未在电子交易平台传输递交响应文件的，响应文件无效；</w:t>
      </w:r>
    </w:p>
    <w:p w14:paraId="43A058C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 响应文件不满足采购文件的其它实质性要求的；</w:t>
      </w:r>
    </w:p>
    <w:p w14:paraId="1C361574">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4.2.14</w:t>
      </w:r>
      <w:r>
        <w:rPr>
          <w:rFonts w:hint="eastAsia" w:ascii="宋体" w:hAnsi="宋体" w:eastAsia="宋体" w:cs="宋体"/>
          <w:color w:val="auto"/>
          <w:kern w:val="0"/>
          <w:sz w:val="24"/>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60DE3832">
      <w:pPr>
        <w:spacing w:line="360" w:lineRule="auto"/>
        <w:rPr>
          <w:rFonts w:hint="eastAsia" w:ascii="宋体" w:hAnsi="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5</w:t>
      </w:r>
      <w:r>
        <w:rPr>
          <w:rFonts w:hint="eastAsia" w:ascii="宋体" w:hAnsi="宋体" w:eastAsia="宋体" w:cs="宋体"/>
          <w:snapToGrid w:val="0"/>
          <w:color w:val="auto"/>
          <w:kern w:val="28"/>
          <w:sz w:val="24"/>
          <w:szCs w:val="24"/>
          <w:lang w:eastAsia="zh-CN"/>
        </w:rPr>
        <w:t>投标人未提供《中小企业声明函》或未按照招标文件所附的《中小企业声明函》格式提供的；</w:t>
      </w:r>
    </w:p>
    <w:p w14:paraId="3BB3DAED">
      <w:pPr>
        <w:spacing w:line="360" w:lineRule="auto"/>
        <w:rPr>
          <w:rFonts w:ascii="宋体" w:hAnsi="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376E8D8B">
      <w:pPr>
        <w:pStyle w:val="24"/>
        <w:snapToGrid w:val="0"/>
        <w:spacing w:line="360" w:lineRule="auto"/>
        <w:ind w:firstLine="472" w:firstLineChars="196"/>
        <w:rPr>
          <w:rFonts w:cs="宋体"/>
          <w:color w:val="auto"/>
        </w:rPr>
      </w:pPr>
      <w:r>
        <w:rPr>
          <w:rFonts w:hint="eastAsia" w:cs="宋体"/>
          <w:b/>
          <w:color w:val="auto"/>
        </w:rPr>
        <w:t>5.终止竞争性磋商采购活动。</w:t>
      </w:r>
      <w:r>
        <w:rPr>
          <w:rFonts w:hint="eastAsia" w:cs="宋体"/>
          <w:color w:val="auto"/>
        </w:rPr>
        <w:t>出现下列情形之一的，采购人或者采购代理机构应当终止竞争性磋商采购活动，发布项目终止公告并说明原因，重新开展采购活动：</w:t>
      </w:r>
    </w:p>
    <w:p w14:paraId="6B30918B">
      <w:pPr>
        <w:pStyle w:val="24"/>
        <w:snapToGrid w:val="0"/>
        <w:spacing w:line="360" w:lineRule="auto"/>
        <w:rPr>
          <w:rFonts w:cs="宋体"/>
          <w:color w:val="auto"/>
        </w:rPr>
      </w:pPr>
      <w:r>
        <w:rPr>
          <w:rFonts w:hint="eastAsia" w:cs="宋体"/>
          <w:color w:val="auto"/>
        </w:rPr>
        <w:t>5.1因情况变化，不再符合规定的竞争性磋商采购方式适用情形的；</w:t>
      </w:r>
    </w:p>
    <w:p w14:paraId="70D1743A">
      <w:pPr>
        <w:pStyle w:val="24"/>
        <w:snapToGrid w:val="0"/>
        <w:spacing w:line="360" w:lineRule="auto"/>
        <w:rPr>
          <w:rFonts w:cs="宋体"/>
          <w:color w:val="auto"/>
        </w:rPr>
      </w:pPr>
      <w:r>
        <w:rPr>
          <w:rFonts w:hint="eastAsia" w:cs="宋体"/>
          <w:color w:val="auto"/>
        </w:rPr>
        <w:t>5.2出现影响采购公正的违法、违规行为的；</w:t>
      </w:r>
    </w:p>
    <w:p w14:paraId="62D2F948">
      <w:pPr>
        <w:pStyle w:val="24"/>
        <w:snapToGrid w:val="0"/>
        <w:spacing w:line="360" w:lineRule="auto"/>
        <w:rPr>
          <w:rFonts w:cs="宋体"/>
          <w:color w:val="auto"/>
        </w:rPr>
      </w:pPr>
      <w:r>
        <w:rPr>
          <w:rFonts w:hint="eastAsia" w:cs="宋体"/>
          <w:color w:val="auto"/>
        </w:rPr>
        <w:t>5.3除本办法第二十一条第三款规定的情形外，在采购过程中符合要求的供应商或者报价未超过采购预算的供应商不足3家的。</w:t>
      </w:r>
    </w:p>
    <w:p w14:paraId="4CCE0649">
      <w:pPr>
        <w:pStyle w:val="24"/>
        <w:snapToGrid w:val="0"/>
        <w:spacing w:line="360" w:lineRule="auto"/>
        <w:rPr>
          <w:rFonts w:cs="宋体"/>
          <w:color w:val="auto"/>
        </w:rPr>
      </w:pPr>
      <w:r>
        <w:rPr>
          <w:rFonts w:hint="eastAsia" w:cs="宋体"/>
          <w:color w:val="auto"/>
        </w:rPr>
        <w:t>5.4在采购活动中因重大变故，采购任务取消的，采购人或者采购代理机构应当终止采购活动，通知所有参加采购活动的供应商，并将项目实施情况和采购任务取消原因报送本级财政部门。</w:t>
      </w:r>
    </w:p>
    <w:p w14:paraId="36640E08">
      <w:pPr>
        <w:pStyle w:val="24"/>
        <w:snapToGrid w:val="0"/>
        <w:spacing w:line="360" w:lineRule="auto"/>
        <w:ind w:firstLine="482"/>
        <w:rPr>
          <w:rFonts w:cs="宋体"/>
          <w:color w:val="auto"/>
        </w:rPr>
      </w:pPr>
      <w:r>
        <w:rPr>
          <w:rFonts w:hint="eastAsia" w:cs="宋体"/>
          <w:b/>
          <w:color w:val="auto"/>
          <w:kern w:val="0"/>
        </w:rPr>
        <w:t>6.重新开展采购。</w:t>
      </w:r>
      <w:r>
        <w:rPr>
          <w:rFonts w:hint="eastAsia" w:cs="宋体"/>
          <w:color w:val="auto"/>
        </w:rPr>
        <w:t>有政府采购法第七十一条、第七十二条规定的违法行为之一，影响或者可能影响成交结果的，依照下列规定处理：</w:t>
      </w:r>
    </w:p>
    <w:p w14:paraId="68C3BF9E">
      <w:pPr>
        <w:pStyle w:val="24"/>
        <w:snapToGrid w:val="0"/>
        <w:spacing w:line="360" w:lineRule="auto"/>
        <w:rPr>
          <w:rFonts w:cs="宋体"/>
          <w:color w:val="auto"/>
        </w:rPr>
      </w:pPr>
      <w:r>
        <w:rPr>
          <w:rFonts w:hint="eastAsia" w:cs="宋体"/>
          <w:color w:val="auto"/>
        </w:rPr>
        <w:t>6.1未确定成交供应商的，终止本次政府采购活动，重新开展政府采购活动。</w:t>
      </w:r>
    </w:p>
    <w:p w14:paraId="0869EAF5">
      <w:pPr>
        <w:pStyle w:val="24"/>
        <w:snapToGrid w:val="0"/>
        <w:spacing w:line="360" w:lineRule="auto"/>
        <w:rPr>
          <w:rFonts w:cs="宋体"/>
          <w:color w:val="auto"/>
        </w:rPr>
      </w:pPr>
      <w:r>
        <w:rPr>
          <w:rFonts w:hint="eastAsia" w:cs="宋体"/>
          <w:color w:val="auto"/>
        </w:rPr>
        <w:t>6.2已确定成交供应商但尚未签订政府采购合同的，成交结果无效，从合格的成交候选供应商中另行确定成交供应商；没有合格的成交候选供应商的，重新开展政府采购活动。</w:t>
      </w:r>
    </w:p>
    <w:p w14:paraId="5424B5D5">
      <w:pPr>
        <w:pStyle w:val="24"/>
        <w:snapToGrid w:val="0"/>
        <w:spacing w:line="360" w:lineRule="auto"/>
        <w:rPr>
          <w:rFonts w:cs="宋体"/>
          <w:color w:val="auto"/>
        </w:rPr>
      </w:pPr>
      <w:r>
        <w:rPr>
          <w:rFonts w:hint="eastAsia" w:cs="宋体"/>
          <w:color w:val="auto"/>
        </w:rPr>
        <w:t>6.3政府采购合同已签订但尚未履行的，撤销合同，从合格的成交候选供应商中另行确定成交供应商；没有合格的成交候选供应商的，重新开展政府采购活动。</w:t>
      </w:r>
    </w:p>
    <w:p w14:paraId="1CD80428">
      <w:pPr>
        <w:pStyle w:val="24"/>
        <w:snapToGrid w:val="0"/>
        <w:spacing w:line="360" w:lineRule="auto"/>
        <w:rPr>
          <w:rFonts w:cs="宋体"/>
          <w:color w:val="auto"/>
        </w:rPr>
      </w:pPr>
      <w:r>
        <w:rPr>
          <w:rFonts w:hint="eastAsia" w:cs="宋体"/>
          <w:color w:val="auto"/>
        </w:rPr>
        <w:t>6.4政府采购合同已经履行，给采购人、供应商造成损失的，由责任人承担赔偿责任。</w:t>
      </w:r>
    </w:p>
    <w:p w14:paraId="793B6598">
      <w:pPr>
        <w:pStyle w:val="24"/>
        <w:snapToGrid w:val="0"/>
        <w:spacing w:line="360" w:lineRule="auto"/>
        <w:rPr>
          <w:rFonts w:cs="宋体"/>
          <w:color w:val="auto"/>
        </w:rPr>
      </w:pPr>
      <w:r>
        <w:rPr>
          <w:rFonts w:hint="eastAsia" w:cs="宋体"/>
          <w:color w:val="auto"/>
        </w:rPr>
        <w:t>6.5政府采购当事人有其他违反政府采购法或者政府采购法实施条例等法律法规规定的行为，经改正后仍然影响或者可能影响成交结果或者依法被认定为成交无效的，依照6.1-6.4规定处理。</w:t>
      </w:r>
    </w:p>
    <w:p w14:paraId="1419F842">
      <w:pPr>
        <w:pStyle w:val="24"/>
        <w:snapToGrid w:val="0"/>
        <w:spacing w:line="360" w:lineRule="auto"/>
        <w:ind w:firstLine="0" w:firstLineChars="0"/>
        <w:rPr>
          <w:rFonts w:cs="宋体"/>
          <w:color w:val="auto"/>
        </w:rPr>
        <w:sectPr>
          <w:pgSz w:w="11907" w:h="16840"/>
          <w:pgMar w:top="1440" w:right="1080" w:bottom="1440" w:left="1080" w:header="851" w:footer="851" w:gutter="0"/>
          <w:pgNumType w:fmt="decimal"/>
          <w:cols w:space="720" w:num="1"/>
        </w:sectPr>
      </w:pPr>
    </w:p>
    <w:bookmarkEnd w:id="31"/>
    <w:p w14:paraId="05A25E98">
      <w:pPr>
        <w:spacing w:line="360" w:lineRule="auto"/>
        <w:jc w:val="center"/>
        <w:outlineLvl w:val="0"/>
        <w:rPr>
          <w:rFonts w:ascii="宋体" w:hAnsi="宋体" w:cs="宋体"/>
          <w:b/>
          <w:color w:val="auto"/>
          <w:sz w:val="36"/>
          <w:szCs w:val="36"/>
        </w:rPr>
      </w:pPr>
      <w:bookmarkStart w:id="398" w:name="第五部分"/>
      <w:bookmarkStart w:id="399" w:name="_Toc86217003"/>
      <w:r>
        <w:rPr>
          <w:rFonts w:hint="eastAsia" w:ascii="宋体" w:hAnsi="宋体" w:cs="宋体"/>
          <w:b/>
          <w:color w:val="auto"/>
          <w:sz w:val="36"/>
          <w:szCs w:val="36"/>
        </w:rPr>
        <w:t>第五部分 拟签订的合同文本</w:t>
      </w:r>
    </w:p>
    <w:p w14:paraId="13755FF3">
      <w:pPr>
        <w:pStyle w:val="3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协 议 书（格式）</w:t>
      </w:r>
    </w:p>
    <w:p w14:paraId="32C182DA">
      <w:pPr>
        <w:pStyle w:val="32"/>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合同名称：</w:t>
      </w:r>
    </w:p>
    <w:p w14:paraId="5831FA43">
      <w:pPr>
        <w:pStyle w:val="32"/>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r>
        <w:rPr>
          <w:rFonts w:hint="eastAsia" w:ascii="宋体" w:hAnsi="宋体" w:eastAsia="宋体" w:cs="宋体"/>
          <w:color w:val="auto"/>
          <w:kern w:val="2"/>
          <w:sz w:val="24"/>
          <w:szCs w:val="24"/>
          <w:lang w:val="en-US" w:eastAsia="zh-CN" w:bidi="ar-SA"/>
        </w:rPr>
        <w:t xml:space="preserve">：                           </w:t>
      </w:r>
    </w:p>
    <w:p w14:paraId="69ACC85F">
      <w:pPr>
        <w:spacing w:line="360" w:lineRule="auto"/>
        <w:ind w:firstLine="470" w:firstLineChars="196"/>
        <w:jc w:val="left"/>
        <w:rPr>
          <w:rFonts w:hint="eastAsia" w:ascii="宋体" w:hAnsi="宋体" w:eastAsia="宋体" w:cs="宋体"/>
          <w:b/>
          <w:bCs/>
          <w:snapToGrid w:val="0"/>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(发包人名称) </w:t>
      </w:r>
      <w:r>
        <w:rPr>
          <w:rFonts w:hint="eastAsia" w:ascii="宋体" w:hAnsi="宋体" w:eastAsia="宋体" w:cs="宋体"/>
          <w:color w:val="auto"/>
          <w:sz w:val="24"/>
          <w:szCs w:val="24"/>
          <w:highlight w:val="none"/>
        </w:rPr>
        <w:t>（以下称发包人）拟修建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工程，接受了</w:t>
      </w:r>
      <w:r>
        <w:rPr>
          <w:rFonts w:hint="eastAsia" w:ascii="宋体" w:hAnsi="宋体" w:eastAsia="宋体" w:cs="宋体"/>
          <w:color w:val="auto"/>
          <w:sz w:val="24"/>
          <w:szCs w:val="24"/>
          <w:highlight w:val="none"/>
          <w:u w:val="single"/>
        </w:rPr>
        <w:t xml:space="preserve">（承包人名称） </w:t>
      </w:r>
      <w:r>
        <w:rPr>
          <w:rFonts w:hint="eastAsia" w:ascii="宋体" w:hAnsi="宋体" w:eastAsia="宋体" w:cs="宋体"/>
          <w:color w:val="auto"/>
          <w:sz w:val="24"/>
          <w:szCs w:val="24"/>
          <w:highlight w:val="none"/>
        </w:rPr>
        <w:t>（以下称承包人）的投标，双方达成如下协议，并于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日签订了本协议书，</w:t>
      </w:r>
      <w:r>
        <w:rPr>
          <w:rFonts w:hint="eastAsia" w:ascii="宋体" w:hAnsi="宋体" w:eastAsia="宋体" w:cs="宋体"/>
          <w:snapToGrid w:val="0"/>
          <w:color w:val="auto"/>
          <w:sz w:val="24"/>
          <w:szCs w:val="24"/>
          <w:highlight w:val="none"/>
        </w:rPr>
        <w:t>合同工期</w:t>
      </w:r>
      <w:r>
        <w:rPr>
          <w:rFonts w:hint="eastAsia" w:ascii="宋体" w:hAnsi="宋体" w:eastAsia="宋体" w:cs="宋体"/>
          <w:bCs/>
          <w:snapToGrid w:val="0"/>
          <w:color w:val="auto"/>
          <w:sz w:val="24"/>
          <w:szCs w:val="24"/>
          <w:highlight w:val="none"/>
          <w:u w:val="single"/>
        </w:rPr>
        <w:t xml:space="preserve">   日历天</w:t>
      </w:r>
      <w:r>
        <w:rPr>
          <w:rFonts w:hint="eastAsia" w:ascii="宋体" w:hAnsi="宋体" w:eastAsia="宋体" w:cs="宋体"/>
          <w:snapToGrid w:val="0"/>
          <w:color w:val="auto"/>
          <w:sz w:val="24"/>
          <w:szCs w:val="24"/>
          <w:highlight w:val="none"/>
        </w:rPr>
        <w:t>，工程质量标准为</w:t>
      </w:r>
      <w:r>
        <w:rPr>
          <w:rFonts w:hint="eastAsia" w:ascii="宋体" w:hAnsi="宋体" w:eastAsia="宋体" w:cs="宋体"/>
          <w:bCs/>
          <w:iCs/>
          <w:color w:val="auto"/>
          <w:sz w:val="24"/>
          <w:szCs w:val="24"/>
          <w:highlight w:val="none"/>
          <w:u w:val="single"/>
        </w:rPr>
        <w:t xml:space="preserve">    </w:t>
      </w:r>
      <w:r>
        <w:rPr>
          <w:rFonts w:hint="eastAsia" w:ascii="宋体" w:hAnsi="宋体" w:eastAsia="宋体" w:cs="宋体"/>
          <w:bCs/>
          <w:iCs/>
          <w:color w:val="auto"/>
          <w:sz w:val="24"/>
          <w:szCs w:val="24"/>
          <w:highlight w:val="none"/>
        </w:rPr>
        <w:t>，</w:t>
      </w:r>
      <w:r>
        <w:rPr>
          <w:rFonts w:hint="eastAsia" w:ascii="宋体" w:hAnsi="宋体" w:eastAsia="宋体" w:cs="宋体"/>
          <w:snapToGrid w:val="0"/>
          <w:color w:val="auto"/>
          <w:sz w:val="24"/>
          <w:szCs w:val="24"/>
          <w:highlight w:val="none"/>
        </w:rPr>
        <w:t xml:space="preserve">合同总金额为人民币（大写）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整</w:t>
      </w:r>
      <w:r>
        <w:rPr>
          <w:rFonts w:hint="eastAsia" w:ascii="宋体" w:hAnsi="宋体" w:eastAsia="宋体" w:cs="宋体"/>
          <w:bCs/>
          <w:iCs/>
          <w:color w:val="auto"/>
          <w:sz w:val="24"/>
          <w:szCs w:val="24"/>
          <w:highlight w:val="none"/>
        </w:rPr>
        <w:t>（￥：</w:t>
      </w:r>
      <w:r>
        <w:rPr>
          <w:rFonts w:hint="eastAsia" w:ascii="宋体" w:hAnsi="宋体" w:eastAsia="宋体" w:cs="宋体"/>
          <w:bCs/>
          <w:iCs/>
          <w:color w:val="auto"/>
          <w:sz w:val="24"/>
          <w:szCs w:val="24"/>
          <w:highlight w:val="none"/>
          <w:u w:val="single"/>
        </w:rPr>
        <w:t xml:space="preserve">     </w:t>
      </w:r>
      <w:r>
        <w:rPr>
          <w:rFonts w:hint="eastAsia" w:ascii="宋体" w:hAnsi="宋体" w:eastAsia="宋体" w:cs="宋体"/>
          <w:bCs/>
          <w:iCs/>
          <w:color w:val="auto"/>
          <w:sz w:val="24"/>
          <w:szCs w:val="24"/>
          <w:highlight w:val="none"/>
        </w:rPr>
        <w:t>元）</w:t>
      </w:r>
      <w:r>
        <w:rPr>
          <w:rFonts w:hint="eastAsia" w:ascii="宋体" w:hAnsi="宋体" w:eastAsia="宋体" w:cs="宋体"/>
          <w:snapToGrid w:val="0"/>
          <w:color w:val="auto"/>
          <w:sz w:val="24"/>
          <w:szCs w:val="24"/>
          <w:highlight w:val="none"/>
        </w:rPr>
        <w:t>。</w:t>
      </w:r>
    </w:p>
    <w:p w14:paraId="51ABFC15">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lang w:val="en-US" w:eastAsia="zh-CN" w:bidi="ar-SA"/>
        </w:rPr>
        <w:t>1．本协议书中的词语涵义与下述第2条所列的专用合同条款和通用合同条款中的词语涵义相同。</w:t>
      </w:r>
    </w:p>
    <w:p w14:paraId="5EF9F86C">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2．本合同包括下列文件： </w:t>
      </w:r>
    </w:p>
    <w:p w14:paraId="2402DD9B">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(1)协议书（包括补充协议）；</w:t>
      </w:r>
    </w:p>
    <w:p w14:paraId="42001F88">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(2)中标通知书；</w:t>
      </w:r>
    </w:p>
    <w:p w14:paraId="0F412572">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(3)专用合同条款；</w:t>
      </w:r>
    </w:p>
    <w:p w14:paraId="305E139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(4)通用合同条款；</w:t>
      </w:r>
    </w:p>
    <w:p w14:paraId="4F4433A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(5)技术条款；</w:t>
      </w:r>
    </w:p>
    <w:p w14:paraId="7C5DFF43">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(6)图纸；</w:t>
      </w:r>
    </w:p>
    <w:p w14:paraId="2A3E05F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(7)已标价的工程量清单；</w:t>
      </w:r>
    </w:p>
    <w:p w14:paraId="661C47BE">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(8)经双方确认进入合同的其他文件。</w:t>
      </w:r>
    </w:p>
    <w:p w14:paraId="405EFEB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当组成合同各文件不一致时，应按上述排列的优先顺序作出解释。</w:t>
      </w:r>
    </w:p>
    <w:p w14:paraId="5E22CD5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上列文件汇集并代替了本协议书签订前双方为本合同签订的所有协议、会谈记录以及相互承诺的一切文件。</w:t>
      </w:r>
    </w:p>
    <w:p w14:paraId="4B10045D">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3．承包人保证按照合同规定全面完成各项承包工作，并承担合同规定的承包人的全部义务和责任。</w:t>
      </w:r>
    </w:p>
    <w:p w14:paraId="669CDEF8">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4．发包人保证按照合同规定付款并承担合同规定的发包人的全部义务和责任。</w:t>
      </w:r>
    </w:p>
    <w:p w14:paraId="48DE794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5．本协议书经双方法定代表人或其委托代理人签名并分别盖本单位公章后生效（若需公证或鉴证时尚需办理公证或鉴证手续后生效）。</w:t>
      </w:r>
    </w:p>
    <w:p w14:paraId="2C56DAD7">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6．本合同壹式壹拾贰份。其中正本贰份,双方各执壹份,副本拾份，发包人执叁份，承包人执叁份，其余副本由发包人分送有关单位。</w:t>
      </w:r>
    </w:p>
    <w:p w14:paraId="21C81726">
      <w:pPr>
        <w:pStyle w:val="32"/>
        <w:spacing w:line="240" w:lineRule="auto"/>
        <w:rPr>
          <w:rFonts w:hint="eastAsia" w:ascii="宋体" w:hAnsi="宋体" w:eastAsia="宋体" w:cs="宋体"/>
          <w:color w:val="auto"/>
          <w:sz w:val="24"/>
          <w:szCs w:val="24"/>
          <w:highlight w:val="none"/>
        </w:rPr>
      </w:pPr>
    </w:p>
    <w:p w14:paraId="01E9B4D7">
      <w:pPr>
        <w:pStyle w:val="32"/>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发包人：</w:t>
      </w:r>
      <w:r>
        <w:rPr>
          <w:rFonts w:hint="eastAsia" w:ascii="宋体" w:hAnsi="宋体" w:eastAsia="宋体" w:cs="宋体"/>
          <w:b/>
          <w:bCs/>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u w:val="single"/>
        </w:rPr>
        <w:t>（名称）</w:t>
      </w:r>
      <w:r>
        <w:rPr>
          <w:rFonts w:hint="eastAsia" w:ascii="宋体" w:hAnsi="宋体" w:eastAsia="宋体" w:cs="宋体"/>
          <w:b/>
          <w:bCs/>
          <w:snapToGrid w:val="0"/>
          <w:color w:val="auto"/>
          <w:sz w:val="24"/>
          <w:szCs w:val="24"/>
          <w:highlight w:val="none"/>
          <w:u w:val="single"/>
        </w:rPr>
        <w:t xml:space="preserve">        </w:t>
      </w:r>
      <w:r>
        <w:rPr>
          <w:rFonts w:hint="eastAsia" w:ascii="宋体" w:hAnsi="宋体" w:eastAsia="宋体" w:cs="宋体"/>
          <w:b/>
          <w:bCs/>
          <w:snapToGrid w:val="0"/>
          <w:color w:val="auto"/>
          <w:sz w:val="24"/>
          <w:szCs w:val="24"/>
          <w:highlight w:val="none"/>
        </w:rPr>
        <w:t xml:space="preserve">      </w:t>
      </w:r>
      <w:r>
        <w:rPr>
          <w:rFonts w:hint="eastAsia" w:ascii="宋体" w:hAnsi="宋体" w:eastAsia="宋体" w:cs="宋体"/>
          <w:snapToGrid w:val="0"/>
          <w:color w:val="auto"/>
          <w:sz w:val="24"/>
          <w:szCs w:val="24"/>
          <w:highlight w:val="none"/>
        </w:rPr>
        <w:t>承包人：</w:t>
      </w:r>
      <w:r>
        <w:rPr>
          <w:rFonts w:hint="eastAsia" w:ascii="宋体" w:hAnsi="宋体" w:eastAsia="宋体" w:cs="宋体"/>
          <w:snapToGrid w:val="0"/>
          <w:color w:val="auto"/>
          <w:sz w:val="24"/>
          <w:szCs w:val="24"/>
          <w:highlight w:val="none"/>
          <w:u w:val="single"/>
        </w:rPr>
        <w:t xml:space="preserve">          （名称）        </w:t>
      </w:r>
    </w:p>
    <w:p w14:paraId="0AEDE393">
      <w:pPr>
        <w:pStyle w:val="32"/>
        <w:spacing w:line="360" w:lineRule="auto"/>
        <w:ind w:firstLine="1440" w:firstLineChars="6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（盖单位章）                            （盖单位章）</w:t>
      </w:r>
    </w:p>
    <w:p w14:paraId="4096E7FB">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w:t>
      </w:r>
      <w:r>
        <w:rPr>
          <w:rFonts w:hint="eastAsia" w:ascii="宋体" w:hAnsi="宋体" w:eastAsia="宋体" w:cs="宋体"/>
          <w:snapToGrid w:val="0"/>
          <w:color w:val="auto"/>
          <w:sz w:val="24"/>
          <w:szCs w:val="24"/>
          <w:highlight w:val="none"/>
          <w:u w:val="single"/>
        </w:rPr>
        <w:t xml:space="preserve">    （姓名）      </w:t>
      </w:r>
      <w:r>
        <w:rPr>
          <w:rFonts w:hint="eastAsia" w:ascii="宋体" w:hAnsi="宋体" w:eastAsia="宋体" w:cs="宋体"/>
          <w:snapToGrid w:val="0"/>
          <w:color w:val="auto"/>
          <w:sz w:val="24"/>
          <w:szCs w:val="24"/>
          <w:highlight w:val="none"/>
        </w:rPr>
        <w:t xml:space="preserve">       法定代表人：</w:t>
      </w:r>
      <w:r>
        <w:rPr>
          <w:rFonts w:hint="eastAsia" w:ascii="宋体" w:hAnsi="宋体" w:eastAsia="宋体" w:cs="宋体"/>
          <w:snapToGrid w:val="0"/>
          <w:color w:val="auto"/>
          <w:sz w:val="24"/>
          <w:szCs w:val="24"/>
          <w:highlight w:val="none"/>
          <w:u w:val="single"/>
        </w:rPr>
        <w:t xml:space="preserve">      （姓名）       </w:t>
      </w:r>
    </w:p>
    <w:p w14:paraId="5B077AF5">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或委托代理人    （签名）             或委托代理人      （签名）</w:t>
      </w:r>
    </w:p>
    <w:p w14:paraId="5372F469">
      <w:pPr>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地     址：</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 xml:space="preserve"> </w:t>
      </w:r>
      <w:r>
        <w:rPr>
          <w:rFonts w:hint="eastAsia" w:ascii="宋体" w:hAnsi="宋体" w:eastAsia="宋体" w:cs="宋体"/>
          <w:snapToGrid w:val="0"/>
          <w:color w:val="auto"/>
          <w:sz w:val="24"/>
          <w:szCs w:val="24"/>
          <w:highlight w:val="none"/>
        </w:rPr>
        <w:t xml:space="preserve">    地    址：</w:t>
      </w:r>
      <w:r>
        <w:rPr>
          <w:rFonts w:hint="eastAsia" w:ascii="宋体" w:hAnsi="宋体" w:eastAsia="宋体" w:cs="宋体"/>
          <w:snapToGrid w:val="0"/>
          <w:color w:val="auto"/>
          <w:sz w:val="24"/>
          <w:szCs w:val="24"/>
          <w:highlight w:val="none"/>
          <w:u w:val="single"/>
        </w:rPr>
        <w:t xml:space="preserve">                       </w:t>
      </w:r>
    </w:p>
    <w:p w14:paraId="28B012EF">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网     址：</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网    址：</w:t>
      </w:r>
      <w:r>
        <w:rPr>
          <w:rFonts w:hint="eastAsia" w:ascii="宋体" w:hAnsi="宋体" w:eastAsia="宋体" w:cs="宋体"/>
          <w:snapToGrid w:val="0"/>
          <w:color w:val="auto"/>
          <w:sz w:val="24"/>
          <w:szCs w:val="24"/>
          <w:highlight w:val="none"/>
          <w:u w:val="single"/>
        </w:rPr>
        <w:t xml:space="preserve">                       </w:t>
      </w:r>
    </w:p>
    <w:p w14:paraId="5495D5A0">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     话：</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电    话：</w:t>
      </w:r>
      <w:r>
        <w:rPr>
          <w:rFonts w:hint="eastAsia" w:ascii="宋体" w:hAnsi="宋体" w:eastAsia="宋体" w:cs="宋体"/>
          <w:snapToGrid w:val="0"/>
          <w:color w:val="auto"/>
          <w:sz w:val="24"/>
          <w:szCs w:val="24"/>
          <w:highlight w:val="none"/>
          <w:u w:val="single"/>
        </w:rPr>
        <w:t xml:space="preserve">                       </w:t>
      </w:r>
    </w:p>
    <w:p w14:paraId="0D8DF3AC">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传     真：</w:t>
      </w:r>
      <w:r>
        <w:rPr>
          <w:rFonts w:hint="eastAsia" w:ascii="宋体" w:hAnsi="宋体" w:eastAsia="宋体" w:cs="宋体"/>
          <w:b/>
          <w:color w:val="auto"/>
          <w:spacing w:val="5"/>
          <w:sz w:val="24"/>
          <w:szCs w:val="24"/>
          <w:highlight w:val="none"/>
          <w:u w:val="singl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传    真：</w:t>
      </w:r>
      <w:r>
        <w:rPr>
          <w:rFonts w:hint="eastAsia" w:ascii="宋体" w:hAnsi="宋体" w:eastAsia="宋体" w:cs="宋体"/>
          <w:snapToGrid w:val="0"/>
          <w:color w:val="auto"/>
          <w:sz w:val="24"/>
          <w:szCs w:val="24"/>
          <w:highlight w:val="none"/>
          <w:u w:val="single"/>
        </w:rPr>
        <w:t xml:space="preserve">                       </w:t>
      </w:r>
    </w:p>
    <w:p w14:paraId="193D4814">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邮政编码：</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邮政编码：</w:t>
      </w:r>
      <w:r>
        <w:rPr>
          <w:rFonts w:hint="eastAsia" w:ascii="宋体" w:hAnsi="宋体" w:eastAsia="宋体" w:cs="宋体"/>
          <w:snapToGrid w:val="0"/>
          <w:color w:val="auto"/>
          <w:sz w:val="24"/>
          <w:szCs w:val="24"/>
          <w:highlight w:val="none"/>
          <w:u w:val="single"/>
        </w:rPr>
        <w:t xml:space="preserve">                       </w:t>
      </w:r>
    </w:p>
    <w:p w14:paraId="090D9253">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开户银行：</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开户银行：</w:t>
      </w:r>
      <w:r>
        <w:rPr>
          <w:rFonts w:hint="eastAsia" w:ascii="宋体" w:hAnsi="宋体" w:eastAsia="宋体" w:cs="宋体"/>
          <w:snapToGrid w:val="0"/>
          <w:color w:val="auto"/>
          <w:sz w:val="24"/>
          <w:szCs w:val="24"/>
          <w:highlight w:val="none"/>
          <w:u w:val="single"/>
        </w:rPr>
        <w:t xml:space="preserve">                       </w:t>
      </w:r>
    </w:p>
    <w:p w14:paraId="5123188F">
      <w:pPr>
        <w:pStyle w:val="32"/>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账    号：</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账    号：</w:t>
      </w:r>
      <w:r>
        <w:rPr>
          <w:rFonts w:hint="eastAsia" w:ascii="宋体" w:hAnsi="宋体" w:eastAsia="宋体" w:cs="宋体"/>
          <w:snapToGrid w:val="0"/>
          <w:color w:val="auto"/>
          <w:sz w:val="24"/>
          <w:szCs w:val="24"/>
          <w:highlight w:val="none"/>
          <w:u w:val="single"/>
        </w:rPr>
        <w:t xml:space="preserve">                       </w:t>
      </w:r>
    </w:p>
    <w:p w14:paraId="76FF9B92">
      <w:pPr>
        <w:pStyle w:val="32"/>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u w:val="none"/>
          <w:lang w:val="en-US" w:eastAsia="zh-CN"/>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92A850F">
      <w:pPr>
        <w:pStyle w:val="32"/>
        <w:spacing w:line="360" w:lineRule="auto"/>
        <w:rPr>
          <w:rFonts w:hint="eastAsia" w:ascii="宋体" w:hAnsi="宋体" w:eastAsia="宋体" w:cs="宋体"/>
          <w:snapToGrid w:val="0"/>
          <w:color w:val="auto"/>
          <w:sz w:val="24"/>
          <w:szCs w:val="24"/>
          <w:highlight w:val="none"/>
          <w:u w:val="single"/>
        </w:rPr>
      </w:pPr>
    </w:p>
    <w:p w14:paraId="20BFFBE3">
      <w:pPr>
        <w:pStyle w:val="32"/>
        <w:spacing w:line="360" w:lineRule="auto"/>
        <w:rPr>
          <w:rFonts w:hint="eastAsia" w:hAnsi="宋体" w:eastAsia="宋体" w:cs="宋体"/>
          <w:snapToGrid w:val="0"/>
          <w:color w:val="auto"/>
          <w:sz w:val="24"/>
          <w:szCs w:val="24"/>
          <w:highlight w:val="none"/>
          <w:u w:val="single"/>
          <w:lang w:eastAsia="zh-CN"/>
        </w:rPr>
      </w:pPr>
      <w:r>
        <w:rPr>
          <w:rFonts w:hint="eastAsia" w:ascii="宋体" w:hAnsi="宋体" w:eastAsia="宋体" w:cs="宋体"/>
          <w:snapToGrid w:val="0"/>
          <w:color w:val="auto"/>
          <w:sz w:val="24"/>
          <w:szCs w:val="24"/>
          <w:highlight w:val="none"/>
          <w:u w:val="none"/>
          <w:lang w:eastAsia="zh-CN"/>
        </w:rPr>
        <w:t>合同鉴证方：</w:t>
      </w:r>
      <w:r>
        <w:rPr>
          <w:rFonts w:hint="eastAsia" w:hAnsi="宋体" w:eastAsia="宋体" w:cs="宋体"/>
          <w:snapToGrid w:val="0"/>
          <w:color w:val="auto"/>
          <w:sz w:val="24"/>
          <w:szCs w:val="24"/>
          <w:highlight w:val="none"/>
          <w:u w:val="single"/>
          <w:lang w:eastAsia="zh-CN"/>
        </w:rPr>
        <w:t>温州中源工程项目管理有限公司</w:t>
      </w:r>
    </w:p>
    <w:p w14:paraId="192E1F34">
      <w:pPr>
        <w:pStyle w:val="33"/>
        <w:rPr>
          <w:rFonts w:hint="eastAsia"/>
          <w:lang w:eastAsia="zh-CN"/>
        </w:rPr>
      </w:pPr>
    </w:p>
    <w:p w14:paraId="5637CE41">
      <w:pPr>
        <w:rPr>
          <w:rFonts w:hint="eastAsia"/>
          <w:sz w:val="24"/>
          <w:szCs w:val="24"/>
          <w:lang w:eastAsia="zh-CN"/>
        </w:rPr>
        <w:sectPr>
          <w:headerReference r:id="rId7" w:type="first"/>
          <w:footerReference r:id="rId9" w:type="first"/>
          <w:footerReference r:id="rId8" w:type="default"/>
          <w:pgSz w:w="11906" w:h="16838"/>
          <w:pgMar w:top="1440" w:right="1080" w:bottom="1440" w:left="1080" w:header="851" w:footer="992" w:gutter="0"/>
          <w:pgNumType w:fmt="decimal"/>
          <w:cols w:space="720" w:num="1"/>
          <w:titlePg/>
          <w:docGrid w:linePitch="312" w:charSpace="0"/>
        </w:sectPr>
      </w:pPr>
      <w:r>
        <w:rPr>
          <w:rFonts w:hint="eastAsia" w:hAnsi="宋体" w:cs="宋体"/>
          <w:snapToGrid w:val="0"/>
          <w:color w:val="auto"/>
          <w:sz w:val="24"/>
          <w:szCs w:val="24"/>
          <w:highlight w:val="none"/>
          <w:u w:val="none"/>
          <w:lang w:val="en-US"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C1D2E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通用合同条款</w:t>
      </w:r>
    </w:p>
    <w:p w14:paraId="5D3E13FD">
      <w:pPr>
        <w:pStyle w:val="96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全文引用《浙江省水利水电工程施工招标文件示范文本》2022年版第4章第1节的通用合同条款。</w:t>
      </w:r>
    </w:p>
    <w:p w14:paraId="154580E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专用合同条款</w:t>
      </w:r>
    </w:p>
    <w:p w14:paraId="4A393921">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highlight w:val="none"/>
        </w:rPr>
      </w:pPr>
      <w:bookmarkStart w:id="400" w:name="_Toc370459050"/>
      <w:bookmarkStart w:id="401" w:name="_Toc307478972"/>
      <w:bookmarkStart w:id="402" w:name="_Toc381776143"/>
      <w:bookmarkStart w:id="403" w:name="_Toc344282749"/>
      <w:bookmarkStart w:id="404" w:name="_Toc362883273"/>
      <w:bookmarkStart w:id="405" w:name="_Toc217819038"/>
      <w:bookmarkStart w:id="406" w:name="_Toc266998242"/>
      <w:r>
        <w:rPr>
          <w:rFonts w:hint="eastAsia" w:asciiTheme="minorEastAsia" w:hAnsiTheme="minorEastAsia" w:eastAsiaTheme="minorEastAsia" w:cstheme="minorEastAsia"/>
          <w:b/>
          <w:snapToGrid w:val="0"/>
          <w:color w:val="auto"/>
          <w:sz w:val="24"/>
          <w:szCs w:val="24"/>
          <w:highlight w:val="none"/>
        </w:rPr>
        <w:t>1 一般约定</w:t>
      </w:r>
      <w:bookmarkEnd w:id="400"/>
      <w:bookmarkEnd w:id="401"/>
      <w:bookmarkEnd w:id="402"/>
      <w:bookmarkEnd w:id="403"/>
      <w:bookmarkEnd w:id="404"/>
      <w:bookmarkEnd w:id="405"/>
      <w:bookmarkEnd w:id="406"/>
    </w:p>
    <w:p w14:paraId="12BB224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highlight w:val="none"/>
        </w:rPr>
      </w:pPr>
      <w:r>
        <w:rPr>
          <w:rFonts w:hint="eastAsia" w:asciiTheme="minorEastAsia" w:hAnsiTheme="minorEastAsia" w:eastAsiaTheme="minorEastAsia" w:cstheme="minorEastAsia"/>
          <w:b/>
          <w:color w:val="auto"/>
          <w:spacing w:val="20"/>
          <w:sz w:val="24"/>
          <w:szCs w:val="24"/>
          <w:highlight w:val="none"/>
        </w:rPr>
        <w:t>1.1 词语定义</w:t>
      </w:r>
    </w:p>
    <w:p w14:paraId="344C6F74">
      <w:pPr>
        <w:autoSpaceDE w:val="0"/>
        <w:autoSpaceDN w:val="0"/>
        <w:adjustRightInd w:val="0"/>
        <w:spacing w:line="400" w:lineRule="exact"/>
        <w:textAlignment w:val="baseline"/>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 xml:space="preserve">    1.1.1 合同</w:t>
      </w:r>
    </w:p>
    <w:p w14:paraId="04204429">
      <w:pPr>
        <w:autoSpaceDE w:val="0"/>
        <w:autoSpaceDN w:val="0"/>
        <w:adjustRightIn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1.1.1.9其他合同文件包括：</w:t>
      </w:r>
      <w:r>
        <w:rPr>
          <w:rFonts w:hint="eastAsia" w:asciiTheme="minorEastAsia" w:hAnsiTheme="minorEastAsia" w:eastAsiaTheme="minorEastAsia" w:cstheme="minorEastAsia"/>
          <w:snapToGrid w:val="0"/>
          <w:color w:val="auto"/>
          <w:sz w:val="24"/>
          <w:szCs w:val="24"/>
          <w:highlight w:val="none"/>
          <w:u w:val="single"/>
        </w:rPr>
        <w:t>招标文件以及双方与合同有关的工程设计变更联系单、洽商、签证等书面协议或文件。</w:t>
      </w:r>
      <w:r>
        <w:rPr>
          <w:rFonts w:hint="eastAsia" w:asciiTheme="minorEastAsia" w:hAnsiTheme="minorEastAsia" w:eastAsiaTheme="minorEastAsia" w:cstheme="minorEastAsia"/>
          <w:snapToGrid w:val="0"/>
          <w:color w:val="auto"/>
          <w:sz w:val="24"/>
          <w:szCs w:val="24"/>
          <w:highlight w:val="none"/>
        </w:rPr>
        <w:t xml:space="preserve">   </w:t>
      </w:r>
    </w:p>
    <w:p w14:paraId="23F39783">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1.1.2 合同当事人和人员</w:t>
      </w:r>
    </w:p>
    <w:p w14:paraId="2FD48102">
      <w:pPr>
        <w:tabs>
          <w:tab w:val="left" w:pos="36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1.1.2.2 发包人：</w:t>
      </w:r>
      <w:r>
        <w:rPr>
          <w:rFonts w:hint="eastAsia" w:asciiTheme="minorEastAsia" w:hAnsiTheme="minorEastAsia" w:eastAsiaTheme="minorEastAsia" w:cstheme="minorEastAsia"/>
          <w:snapToGrid w:val="0"/>
          <w:color w:val="auto"/>
          <w:sz w:val="24"/>
          <w:szCs w:val="24"/>
          <w:highlight w:val="none"/>
          <w:u w:val="single"/>
          <w:lang w:eastAsia="zh-CN"/>
        </w:rPr>
        <w:t>宁海县胡陈乡人民政府</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w:t>
      </w:r>
    </w:p>
    <w:p w14:paraId="7D444D9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1.1.2.3 承包人：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（签约后填入）。</w:t>
      </w:r>
    </w:p>
    <w:p w14:paraId="5BF9A8A2">
      <w:pPr>
        <w:snapToGrid w:val="0"/>
        <w:spacing w:line="400" w:lineRule="exact"/>
        <w:ind w:firstLine="480" w:firstLineChars="2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1.1.2.5 分包人：</w:t>
      </w:r>
      <w:r>
        <w:rPr>
          <w:rFonts w:hint="eastAsia" w:asciiTheme="minorEastAsia" w:hAnsiTheme="minorEastAsia" w:eastAsiaTheme="minorEastAsia" w:cstheme="minorEastAsia"/>
          <w:snapToGrid w:val="0"/>
          <w:color w:val="auto"/>
          <w:sz w:val="24"/>
          <w:szCs w:val="24"/>
          <w:highlight w:val="none"/>
          <w:u w:val="single"/>
        </w:rPr>
        <w:t xml:space="preserve">           /            </w:t>
      </w:r>
      <w:r>
        <w:rPr>
          <w:rFonts w:hint="eastAsia" w:asciiTheme="minorEastAsia" w:hAnsiTheme="minorEastAsia" w:eastAsiaTheme="minorEastAsia" w:cstheme="minorEastAsia"/>
          <w:snapToGrid w:val="0"/>
          <w:color w:val="auto"/>
          <w:sz w:val="24"/>
          <w:szCs w:val="24"/>
          <w:highlight w:val="none"/>
        </w:rPr>
        <w:t>。</w:t>
      </w:r>
    </w:p>
    <w:p w14:paraId="3787E6C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1.1.2.6 监理人：______________________。</w:t>
      </w:r>
    </w:p>
    <w:p w14:paraId="27162DC1">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1.1.3 工程和设备</w:t>
      </w:r>
    </w:p>
    <w:p w14:paraId="42E872C7">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1.1.3.4 单位工程： </w:t>
      </w:r>
      <w:r>
        <w:rPr>
          <w:rFonts w:hint="eastAsia" w:asciiTheme="minorEastAsia" w:hAnsiTheme="minorEastAsia" w:eastAsiaTheme="minorEastAsia" w:cstheme="minorEastAsia"/>
          <w:snapToGrid w:val="0"/>
          <w:color w:val="auto"/>
          <w:sz w:val="24"/>
          <w:szCs w:val="24"/>
          <w:highlight w:val="none"/>
          <w:u w:val="single"/>
        </w:rPr>
        <w:t>指经工程质量监督机构确认的工程项目划分表中确定的具有独立发挥作用或独立施工条件的永久建筑物</w:t>
      </w:r>
      <w:r>
        <w:rPr>
          <w:rFonts w:hint="eastAsia" w:asciiTheme="minorEastAsia" w:hAnsiTheme="minorEastAsia" w:eastAsiaTheme="minorEastAsia" w:cstheme="minorEastAsia"/>
          <w:snapToGrid w:val="0"/>
          <w:color w:val="auto"/>
          <w:sz w:val="24"/>
          <w:szCs w:val="24"/>
          <w:highlight w:val="none"/>
        </w:rPr>
        <w:t xml:space="preserve"> 。</w:t>
      </w:r>
    </w:p>
    <w:p w14:paraId="67F7D2C9">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highlight w:val="none"/>
        </w:rPr>
      </w:pPr>
      <w:bookmarkStart w:id="407" w:name="_Toc113763821"/>
      <w:bookmarkStart w:id="408" w:name="_Toc140459354"/>
      <w:bookmarkStart w:id="409" w:name="_Toc134275845"/>
      <w:bookmarkStart w:id="410" w:name="_Toc118022200"/>
      <w:bookmarkStart w:id="411" w:name="_Toc140459440"/>
      <w:bookmarkStart w:id="412" w:name="_Toc212607207"/>
      <w:r>
        <w:rPr>
          <w:rFonts w:hint="eastAsia" w:asciiTheme="minorEastAsia" w:hAnsiTheme="minorEastAsia" w:eastAsiaTheme="minorEastAsia" w:cstheme="minorEastAsia"/>
          <w:b/>
          <w:snapToGrid w:val="0"/>
          <w:color w:val="auto"/>
          <w:sz w:val="24"/>
          <w:szCs w:val="24"/>
          <w:highlight w:val="none"/>
        </w:rPr>
        <w:t>1.1.4 日期</w:t>
      </w:r>
    </w:p>
    <w:p w14:paraId="4DB348A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1.1.4.5 缺陷责任期（工程质量保修期）：为</w:t>
      </w:r>
      <w:r>
        <w:rPr>
          <w:rFonts w:hint="eastAsia" w:asciiTheme="minorEastAsia" w:hAnsiTheme="minorEastAsia" w:eastAsiaTheme="minorEastAsia" w:cstheme="minorEastAsia"/>
          <w:snapToGrid w:val="0"/>
          <w:color w:val="auto"/>
          <w:sz w:val="24"/>
          <w:szCs w:val="24"/>
          <w:highlight w:val="none"/>
          <w:u w:val="single"/>
        </w:rPr>
        <w:t xml:space="preserve"> 1 </w:t>
      </w:r>
      <w:r>
        <w:rPr>
          <w:rFonts w:hint="eastAsia" w:asciiTheme="minorEastAsia" w:hAnsiTheme="minorEastAsia" w:eastAsiaTheme="minorEastAsia" w:cstheme="minorEastAsia"/>
          <w:snapToGrid w:val="0"/>
          <w:color w:val="auto"/>
          <w:sz w:val="24"/>
          <w:szCs w:val="24"/>
          <w:highlight w:val="none"/>
        </w:rPr>
        <w:t>年。</w:t>
      </w:r>
    </w:p>
    <w:p w14:paraId="74F7AC63">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1.1.6 其他</w:t>
      </w:r>
    </w:p>
    <w:p w14:paraId="7D504E4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1.1.6.2 完工验收：指《水利水电建设工程验收规程》中的合同工程完工验收。通用合同条款中“竣工验收”一词具有相同含义。</w:t>
      </w:r>
    </w:p>
    <w:p w14:paraId="4FE06780">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highlight w:val="none"/>
        </w:rPr>
      </w:pPr>
      <w:r>
        <w:rPr>
          <w:rFonts w:hint="eastAsia" w:asciiTheme="minorEastAsia" w:hAnsiTheme="minorEastAsia" w:eastAsiaTheme="minorEastAsia" w:cstheme="minorEastAsia"/>
          <w:b/>
          <w:color w:val="auto"/>
          <w:spacing w:val="20"/>
          <w:sz w:val="24"/>
          <w:szCs w:val="24"/>
          <w:highlight w:val="none"/>
        </w:rPr>
        <w:t>1.4 合同文件的优先顺序</w:t>
      </w:r>
      <w:bookmarkEnd w:id="407"/>
      <w:bookmarkEnd w:id="408"/>
      <w:bookmarkEnd w:id="409"/>
      <w:bookmarkEnd w:id="410"/>
      <w:bookmarkEnd w:id="411"/>
      <w:bookmarkEnd w:id="412"/>
    </w:p>
    <w:p w14:paraId="3A5D0C8D">
      <w:pPr>
        <w:autoSpaceDE w:val="0"/>
        <w:autoSpaceDN w:val="0"/>
        <w:adjustRightInd w:val="0"/>
        <w:snapToGrid w:val="0"/>
        <w:spacing w:line="400" w:lineRule="exact"/>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除合同另有规定外，解释合同文件的优先顺序如下： </w:t>
      </w:r>
    </w:p>
    <w:p w14:paraId="7494F7B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⑴ 合同协议书（包括补充协议书）；</w:t>
      </w:r>
    </w:p>
    <w:p w14:paraId="24379885">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⑵ 中标通知书；</w:t>
      </w:r>
    </w:p>
    <w:p w14:paraId="315236BC">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⑶ 投标函及投标函附录；</w:t>
      </w:r>
    </w:p>
    <w:p w14:paraId="110047FE">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⑷ 招投标文件澄清问题、澄清问题的复函、补充通知等相关资料；</w:t>
      </w:r>
    </w:p>
    <w:p w14:paraId="3BB429E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⑸ 专用合同条款；</w:t>
      </w:r>
    </w:p>
    <w:p w14:paraId="5F0D9F2F">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⑹ 通用合同条款；</w:t>
      </w:r>
    </w:p>
    <w:p w14:paraId="26936B7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⑺ 技术标准和要求；</w:t>
      </w:r>
    </w:p>
    <w:p w14:paraId="1C1D3FD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⑻ 图纸；</w:t>
      </w:r>
    </w:p>
    <w:p w14:paraId="61CE5D35">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⑼ 已标价的工程量清单</w:t>
      </w:r>
    </w:p>
    <w:p w14:paraId="6B87A98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⑽ 经双方确认进入合同的其他文件。</w:t>
      </w:r>
    </w:p>
    <w:p w14:paraId="4CC4C7A4">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13" w:name="_Toc217819044"/>
      <w:r>
        <w:rPr>
          <w:rFonts w:hint="eastAsia" w:asciiTheme="minorEastAsia" w:hAnsiTheme="minorEastAsia" w:eastAsiaTheme="minorEastAsia" w:cstheme="minorEastAsia"/>
          <w:b/>
          <w:color w:val="auto"/>
          <w:spacing w:val="20"/>
          <w:sz w:val="24"/>
          <w:szCs w:val="24"/>
        </w:rPr>
        <w:t>1.7 联络</w:t>
      </w:r>
    </w:p>
    <w:p w14:paraId="14B6DA1E">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1.7.2 来往函件均应按技术标准和要求（合同技术条款）约定的期限送达</w:t>
      </w:r>
      <w:r>
        <w:rPr>
          <w:rFonts w:hint="eastAsia" w:asciiTheme="minorEastAsia" w:hAnsiTheme="minorEastAsia" w:eastAsiaTheme="minorEastAsia" w:cstheme="minorEastAsia"/>
          <w:snapToGrid w:val="0"/>
          <w:color w:val="auto"/>
          <w:sz w:val="24"/>
          <w:szCs w:val="24"/>
          <w:u w:val="single"/>
          <w:lang w:eastAsia="zh-CN"/>
        </w:rPr>
        <w:t>宁海县胡陈乡人民政府</w:t>
      </w:r>
      <w:r>
        <w:rPr>
          <w:rFonts w:hint="eastAsia" w:asciiTheme="minorEastAsia" w:hAnsiTheme="minorEastAsia" w:eastAsiaTheme="minorEastAsia" w:cstheme="minorEastAsia"/>
          <w:snapToGrid w:val="0"/>
          <w:color w:val="auto"/>
          <w:sz w:val="24"/>
          <w:szCs w:val="24"/>
        </w:rPr>
        <w:t>。</w:t>
      </w:r>
    </w:p>
    <w:p w14:paraId="41B055AE">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14" w:name="_Toc370459051"/>
      <w:bookmarkStart w:id="415" w:name="_Toc266998243"/>
      <w:bookmarkStart w:id="416" w:name="_Toc307478973"/>
      <w:bookmarkStart w:id="417" w:name="_Toc381776144"/>
      <w:bookmarkStart w:id="418" w:name="_Toc344282750"/>
      <w:bookmarkStart w:id="419" w:name="_Toc362883274"/>
      <w:r>
        <w:rPr>
          <w:rFonts w:hint="eastAsia" w:asciiTheme="minorEastAsia" w:hAnsiTheme="minorEastAsia" w:eastAsiaTheme="minorEastAsia" w:cstheme="minorEastAsia"/>
          <w:b/>
          <w:snapToGrid w:val="0"/>
          <w:color w:val="auto"/>
          <w:sz w:val="24"/>
          <w:szCs w:val="24"/>
        </w:rPr>
        <w:t>2 发包人义务</w:t>
      </w:r>
      <w:bookmarkEnd w:id="413"/>
      <w:bookmarkEnd w:id="414"/>
      <w:bookmarkEnd w:id="415"/>
      <w:bookmarkEnd w:id="416"/>
      <w:bookmarkEnd w:id="417"/>
      <w:bookmarkEnd w:id="418"/>
      <w:bookmarkEnd w:id="419"/>
    </w:p>
    <w:p w14:paraId="4C1AFC23">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20" w:name="_Toc211414960"/>
      <w:r>
        <w:rPr>
          <w:rFonts w:hint="eastAsia" w:asciiTheme="minorEastAsia" w:hAnsiTheme="minorEastAsia" w:eastAsiaTheme="minorEastAsia" w:cstheme="minorEastAsia"/>
          <w:b/>
          <w:color w:val="auto"/>
          <w:spacing w:val="20"/>
          <w:sz w:val="24"/>
          <w:szCs w:val="24"/>
        </w:rPr>
        <w:t>2.3 提供施工场地</w:t>
      </w:r>
    </w:p>
    <w:bookmarkEnd w:id="420"/>
    <w:p w14:paraId="77C7B44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2.3.2 发包人提供的用地范围为：</w:t>
      </w:r>
      <w:r>
        <w:rPr>
          <w:rFonts w:hint="eastAsia" w:asciiTheme="minorEastAsia" w:hAnsiTheme="minorEastAsia" w:eastAsiaTheme="minorEastAsia" w:cstheme="minorEastAsia"/>
          <w:snapToGrid w:val="0"/>
          <w:color w:val="auto"/>
          <w:sz w:val="24"/>
          <w:szCs w:val="24"/>
          <w:u w:val="single"/>
        </w:rPr>
        <w:t xml:space="preserve"> </w:t>
      </w:r>
      <w:r>
        <w:rPr>
          <w:rFonts w:hint="eastAsia" w:asciiTheme="minorEastAsia" w:hAnsiTheme="minorEastAsia" w:eastAsiaTheme="minorEastAsia" w:cstheme="minorEastAsia"/>
          <w:color w:val="auto"/>
          <w:sz w:val="24"/>
          <w:szCs w:val="24"/>
          <w:u w:val="single"/>
        </w:rPr>
        <w:t>征地红线范围内（</w:t>
      </w:r>
      <w:r>
        <w:rPr>
          <w:rFonts w:hint="eastAsia" w:asciiTheme="minorEastAsia" w:hAnsiTheme="minorEastAsia" w:eastAsiaTheme="minorEastAsia" w:cstheme="minorEastAsia"/>
          <w:snapToGrid w:val="0"/>
          <w:color w:val="auto"/>
          <w:sz w:val="24"/>
          <w:szCs w:val="24"/>
          <w:u w:val="single"/>
        </w:rPr>
        <w:t>即工程招标征地范围图之内</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snapToGrid w:val="0"/>
          <w:color w:val="auto"/>
          <w:sz w:val="24"/>
          <w:szCs w:val="24"/>
        </w:rPr>
        <w:t>。</w:t>
      </w:r>
    </w:p>
    <w:p w14:paraId="73763D90">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21" w:name="_Toc381776145"/>
      <w:bookmarkStart w:id="422" w:name="_Toc362883275"/>
      <w:bookmarkStart w:id="423" w:name="_Toc344282751"/>
      <w:bookmarkStart w:id="424" w:name="_Toc307478974"/>
      <w:bookmarkStart w:id="425" w:name="_Toc370459052"/>
      <w:bookmarkStart w:id="426" w:name="_Toc217819045"/>
      <w:bookmarkStart w:id="427" w:name="_Toc266998244"/>
      <w:r>
        <w:rPr>
          <w:rFonts w:hint="eastAsia" w:asciiTheme="minorEastAsia" w:hAnsiTheme="minorEastAsia" w:eastAsiaTheme="minorEastAsia" w:cstheme="minorEastAsia"/>
          <w:b/>
          <w:snapToGrid w:val="0"/>
          <w:color w:val="auto"/>
          <w:sz w:val="24"/>
          <w:szCs w:val="24"/>
        </w:rPr>
        <w:t>3 监理人</w:t>
      </w:r>
      <w:bookmarkEnd w:id="421"/>
      <w:bookmarkEnd w:id="422"/>
      <w:bookmarkEnd w:id="423"/>
      <w:bookmarkEnd w:id="424"/>
      <w:bookmarkEnd w:id="425"/>
      <w:bookmarkEnd w:id="426"/>
      <w:bookmarkEnd w:id="427"/>
    </w:p>
    <w:p w14:paraId="4A18EC78">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28" w:name="_Toc134275850"/>
      <w:bookmarkStart w:id="429" w:name="_Toc140459359"/>
      <w:bookmarkStart w:id="430" w:name="_Toc140459445"/>
      <w:bookmarkStart w:id="431" w:name="_Toc118022205"/>
      <w:bookmarkStart w:id="432" w:name="_Toc211414965"/>
      <w:bookmarkStart w:id="433" w:name="_Toc113763826"/>
      <w:r>
        <w:rPr>
          <w:rFonts w:hint="eastAsia" w:asciiTheme="minorEastAsia" w:hAnsiTheme="minorEastAsia" w:eastAsiaTheme="minorEastAsia" w:cstheme="minorEastAsia"/>
          <w:b/>
          <w:color w:val="auto"/>
          <w:spacing w:val="20"/>
          <w:sz w:val="24"/>
          <w:szCs w:val="24"/>
        </w:rPr>
        <w:t xml:space="preserve">3.1 </w:t>
      </w:r>
      <w:bookmarkEnd w:id="428"/>
      <w:bookmarkEnd w:id="429"/>
      <w:bookmarkEnd w:id="430"/>
      <w:bookmarkEnd w:id="431"/>
      <w:bookmarkEnd w:id="432"/>
      <w:bookmarkEnd w:id="433"/>
      <w:bookmarkStart w:id="434" w:name="_Toc118022206"/>
      <w:bookmarkStart w:id="435" w:name="_Toc113763827"/>
      <w:r>
        <w:rPr>
          <w:rFonts w:hint="eastAsia" w:asciiTheme="minorEastAsia" w:hAnsiTheme="minorEastAsia" w:eastAsiaTheme="minorEastAsia" w:cstheme="minorEastAsia"/>
          <w:b/>
          <w:color w:val="auto"/>
          <w:spacing w:val="20"/>
          <w:sz w:val="24"/>
          <w:szCs w:val="24"/>
        </w:rPr>
        <w:t>监理人的职责和权力</w:t>
      </w:r>
      <w:bookmarkEnd w:id="434"/>
      <w:bookmarkEnd w:id="435"/>
    </w:p>
    <w:p w14:paraId="7CC58150">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3.1.1 监理人在行使下列权力前须得到发包人的事先批准：</w:t>
      </w:r>
    </w:p>
    <w:p w14:paraId="5AF30D30">
      <w:pPr>
        <w:autoSpaceDE w:val="0"/>
        <w:autoSpaceDN w:val="0"/>
        <w:adjustRightInd w:val="0"/>
        <w:snapToGrid w:val="0"/>
        <w:spacing w:line="400" w:lineRule="exact"/>
        <w:ind w:firstLine="240" w:firstLineChars="1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⑴</w:t>
      </w:r>
      <w:r>
        <w:rPr>
          <w:rFonts w:hint="eastAsia" w:asciiTheme="minorEastAsia" w:hAnsiTheme="minorEastAsia" w:eastAsiaTheme="minorEastAsia" w:cstheme="minorEastAsia"/>
          <w:snapToGrid w:val="0"/>
          <w:color w:val="auto"/>
          <w:sz w:val="24"/>
          <w:szCs w:val="24"/>
          <w:u w:val="single"/>
        </w:rPr>
        <w:t xml:space="preserve"> 按第4.3条规定，批准工程分包 </w:t>
      </w:r>
      <w:r>
        <w:rPr>
          <w:rFonts w:hint="eastAsia" w:asciiTheme="minorEastAsia" w:hAnsiTheme="minorEastAsia" w:eastAsiaTheme="minorEastAsia" w:cstheme="minorEastAsia"/>
          <w:snapToGrid w:val="0"/>
          <w:color w:val="auto"/>
          <w:sz w:val="24"/>
          <w:szCs w:val="24"/>
        </w:rPr>
        <w:t>；</w:t>
      </w:r>
    </w:p>
    <w:p w14:paraId="4150EA6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⑵</w:t>
      </w:r>
      <w:r>
        <w:rPr>
          <w:rFonts w:hint="eastAsia" w:asciiTheme="minorEastAsia" w:hAnsiTheme="minorEastAsia" w:eastAsiaTheme="minorEastAsia" w:cstheme="minorEastAsia"/>
          <w:snapToGrid w:val="0"/>
          <w:color w:val="auto"/>
          <w:sz w:val="24"/>
          <w:szCs w:val="24"/>
          <w:u w:val="single"/>
        </w:rPr>
        <w:t xml:space="preserve"> 按第11.3款规定，确定延长完工期限 </w:t>
      </w:r>
      <w:r>
        <w:rPr>
          <w:rFonts w:hint="eastAsia" w:asciiTheme="minorEastAsia" w:hAnsiTheme="minorEastAsia" w:eastAsiaTheme="minorEastAsia" w:cstheme="minorEastAsia"/>
          <w:snapToGrid w:val="0"/>
          <w:color w:val="auto"/>
          <w:sz w:val="24"/>
          <w:szCs w:val="24"/>
        </w:rPr>
        <w:t>；</w:t>
      </w:r>
    </w:p>
    <w:p w14:paraId="0675F05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⑶</w:t>
      </w:r>
      <w:r>
        <w:rPr>
          <w:rFonts w:hint="eastAsia" w:asciiTheme="minorEastAsia" w:hAnsiTheme="minorEastAsia" w:eastAsiaTheme="minorEastAsia" w:cstheme="minorEastAsia"/>
          <w:snapToGrid w:val="0"/>
          <w:color w:val="auto"/>
          <w:sz w:val="24"/>
          <w:szCs w:val="24"/>
          <w:u w:val="single"/>
        </w:rPr>
        <w:t xml:space="preserve"> 按第15.6条规定，批准暂列金额的使用 </w:t>
      </w:r>
      <w:r>
        <w:rPr>
          <w:rFonts w:hint="eastAsia" w:asciiTheme="minorEastAsia" w:hAnsiTheme="minorEastAsia" w:eastAsiaTheme="minorEastAsia" w:cstheme="minorEastAsia"/>
          <w:snapToGrid w:val="0"/>
          <w:color w:val="auto"/>
          <w:sz w:val="24"/>
          <w:szCs w:val="24"/>
        </w:rPr>
        <w:t>；</w:t>
      </w:r>
    </w:p>
    <w:p w14:paraId="1AA16542">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36" w:name="_Toc266998245"/>
      <w:bookmarkStart w:id="437" w:name="_Toc344282752"/>
      <w:bookmarkStart w:id="438" w:name="_Toc259456738"/>
      <w:bookmarkStart w:id="439" w:name="_Toc307478975"/>
      <w:bookmarkStart w:id="440" w:name="_Toc362883276"/>
      <w:bookmarkStart w:id="441" w:name="_Toc370459053"/>
      <w:bookmarkStart w:id="442" w:name="_Toc381776146"/>
      <w:bookmarkStart w:id="443" w:name="_Toc259451999"/>
      <w:r>
        <w:rPr>
          <w:rFonts w:hint="eastAsia" w:asciiTheme="minorEastAsia" w:hAnsiTheme="minorEastAsia" w:eastAsiaTheme="minorEastAsia" w:cstheme="minorEastAsia"/>
          <w:b/>
          <w:snapToGrid w:val="0"/>
          <w:color w:val="auto"/>
          <w:sz w:val="24"/>
          <w:szCs w:val="24"/>
        </w:rPr>
        <w:t>4 承包人</w:t>
      </w:r>
      <w:bookmarkEnd w:id="436"/>
      <w:bookmarkEnd w:id="437"/>
      <w:bookmarkEnd w:id="438"/>
      <w:bookmarkEnd w:id="439"/>
      <w:bookmarkEnd w:id="440"/>
      <w:bookmarkEnd w:id="441"/>
      <w:bookmarkEnd w:id="442"/>
      <w:bookmarkEnd w:id="443"/>
    </w:p>
    <w:p w14:paraId="5CD95E5B">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4.1 承包人一般义务</w:t>
      </w:r>
    </w:p>
    <w:p w14:paraId="65782FB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4.1.10 其它义务</w:t>
      </w:r>
    </w:p>
    <w:p w14:paraId="04BE1F3E">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(1)承担施工安全保卫工作及施工照明的责任和要求：根据工程需要，提供和维修施工使用的照明、围栏设施，并负责安全保卫。</w:t>
      </w:r>
    </w:p>
    <w:p w14:paraId="5ADDF79E">
      <w:pPr>
        <w:tabs>
          <w:tab w:val="left" w:pos="279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3ECCC2AE">
      <w:pPr>
        <w:tabs>
          <w:tab w:val="left" w:pos="279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14:paraId="23B46F56">
      <w:pPr>
        <w:autoSpaceDE w:val="0"/>
        <w:autoSpaceDN w:val="0"/>
        <w:adjustRightInd w:val="0"/>
        <w:snapToGrid w:val="0"/>
        <w:spacing w:line="400" w:lineRule="exact"/>
        <w:ind w:firstLine="360" w:firstLineChars="15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（4）施工现场清洁卫生的要求：保证施工场地清洁符合环境卫生管理的有关规定，竣工验收通过后30天内工完场清，并承担因自身原因违反有关规定造成的损失和罚款。</w:t>
      </w:r>
    </w:p>
    <w:p w14:paraId="7C474D29">
      <w:pPr>
        <w:autoSpaceDE w:val="0"/>
        <w:autoSpaceDN w:val="0"/>
        <w:adjustRightInd w:val="0"/>
        <w:snapToGrid w:val="0"/>
        <w:spacing w:line="400" w:lineRule="exact"/>
        <w:ind w:firstLine="360" w:firstLineChars="15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（5）双方约定承包人应做的其他工作：</w:t>
      </w:r>
    </w:p>
    <w:p w14:paraId="68F90D73">
      <w:pPr>
        <w:autoSpaceDE w:val="0"/>
        <w:autoSpaceDN w:val="0"/>
        <w:adjustRightInd w:val="0"/>
        <w:snapToGrid w:val="0"/>
        <w:spacing w:line="400" w:lineRule="exact"/>
        <w:ind w:firstLine="488"/>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1) 按时向发包人（或工程师）提交开竣工报告、隐蔽工程验收报告、质量自检记录、交工验收报告及工程事故报告等资料。 </w:t>
      </w:r>
    </w:p>
    <w:p w14:paraId="40E707CB">
      <w:pPr>
        <w:autoSpaceDE w:val="0"/>
        <w:autoSpaceDN w:val="0"/>
        <w:adjustRightInd w:val="0"/>
        <w:snapToGrid w:val="0"/>
        <w:spacing w:line="400" w:lineRule="exact"/>
        <w:ind w:firstLine="480" w:firstLineChars="20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 文明施工按宁海县政府有关部门颁发的文明施工要求及招标文件中技术条款执行。施工区域范围内必须采取全封闭措施，搞好市容环境卫生，并接受有关主管部门和发包人、工程师的检查；环境保护按招标文件的要求执行。因承包人原因造成工程损失或人身伤害，由承包人承担全部责任及费用。</w:t>
      </w:r>
    </w:p>
    <w:p w14:paraId="0DDD348A">
      <w:pPr>
        <w:autoSpaceDE w:val="0"/>
        <w:autoSpaceDN w:val="0"/>
        <w:adjustRightInd w:val="0"/>
        <w:snapToGrid w:val="0"/>
        <w:spacing w:line="400" w:lineRule="exact"/>
        <w:ind w:firstLine="480" w:firstLineChars="20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3) 负责放样、测量。每次测量成果均应有复核记录，并及时将测量成果记录书面送交监理人确认。承包人应对测量成果承担全部责任。</w:t>
      </w:r>
    </w:p>
    <w:p w14:paraId="1679B734">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4) 必须接受发包人的管理或其委托的监理单位的监理，并为其开展工作和生活提供方便，按照要求提供完整真实的原始记录、检测记录等技术资料及各种报表。</w:t>
      </w:r>
    </w:p>
    <w:p w14:paraId="0EAEDAFE">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5) 承包人必须开展工程施工合同质量管理，密切配合工程师全面质量管理、环境管理和职业安全健康管理等工作的进行。</w:t>
      </w:r>
    </w:p>
    <w:p w14:paraId="0782BC21">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6) 承包人不按合同约定完成以上工作，发包人有权限令其停止施工并进行整改，由此引起的损失由承包人承担。</w:t>
      </w:r>
    </w:p>
    <w:p w14:paraId="1F83228D">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7) 承包人应执行发包人对工程管理所制定的各项管理制度。</w:t>
      </w:r>
    </w:p>
    <w:p w14:paraId="3D7F0072">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8) 发生工程质量事故或工伤事故后，须按水利部、宁海县有关规定及时电话联系发包人或监理，按规定上报事故书面报告一式二份，同时按政府有关部门要求采取措施，发生的费用由承包人承担。</w:t>
      </w:r>
    </w:p>
    <w:p w14:paraId="42FB4AE8">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9) 参加发包人召开的与本工程相关的会议，并作好会前有关资料的准备。在保修期内要及时做好回访工作，属保修责任范围的事项应及时按质检标准修好。</w:t>
      </w:r>
    </w:p>
    <w:p w14:paraId="3B8D19C4">
      <w:pPr>
        <w:autoSpaceDE w:val="0"/>
        <w:autoSpaceDN w:val="0"/>
        <w:adjustRightInd w:val="0"/>
        <w:snapToGrid w:val="0"/>
        <w:spacing w:line="400" w:lineRule="exact"/>
        <w:ind w:firstLine="432"/>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10) 承包人做好工程开工仪式现场相关准备工作，主要工作内容包括：必要的临时设施布置、场地平整，会场平台搭设，必要的施工机械设备、施工队伍展示等工作。</w:t>
      </w:r>
    </w:p>
    <w:p w14:paraId="12680F7A">
      <w:pPr>
        <w:autoSpaceDE w:val="0"/>
        <w:autoSpaceDN w:val="0"/>
        <w:adjustRightInd w:val="0"/>
        <w:snapToGrid w:val="0"/>
        <w:spacing w:line="400" w:lineRule="exact"/>
        <w:ind w:firstLine="360" w:firstLineChars="15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（6）上述（1）至（5）各条款涉及的各类费用均应列入措施费内，发包人不再向承包人另行支付。如因此类原因导致工期延误，工期不予顺延，并由承包人承担相应的责任及费用。</w:t>
      </w:r>
    </w:p>
    <w:p w14:paraId="6AE7D2B1">
      <w:pPr>
        <w:autoSpaceDE w:val="0"/>
        <w:autoSpaceDN w:val="0"/>
        <w:adjustRightInd w:val="0"/>
        <w:snapToGrid w:val="0"/>
        <w:spacing w:line="400" w:lineRule="exact"/>
        <w:ind w:firstLine="360" w:firstLineChars="15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（7）其他参建单位可无偿共用承包人建造的道路、码头等交通设施。</w:t>
      </w:r>
    </w:p>
    <w:p w14:paraId="6535AB49">
      <w:pPr>
        <w:autoSpaceDE w:val="0"/>
        <w:autoSpaceDN w:val="0"/>
        <w:adjustRightInd w:val="0"/>
        <w:snapToGrid w:val="0"/>
        <w:spacing w:line="400" w:lineRule="exact"/>
        <w:textAlignment w:val="bottom"/>
        <w:rPr>
          <w:rFonts w:hint="eastAsia" w:asciiTheme="minorEastAsia" w:hAnsiTheme="minorEastAsia" w:eastAsiaTheme="minorEastAsia" w:cstheme="minorEastAsia"/>
          <w:b/>
          <w:snapToGrid w:val="0"/>
          <w:color w:val="auto"/>
          <w:sz w:val="24"/>
          <w:szCs w:val="24"/>
        </w:rPr>
      </w:pPr>
      <w:r>
        <w:rPr>
          <w:rFonts w:hint="eastAsia" w:asciiTheme="minorEastAsia" w:hAnsiTheme="minorEastAsia" w:eastAsiaTheme="minorEastAsia" w:cstheme="minorEastAsia"/>
          <w:b/>
          <w:snapToGrid w:val="0"/>
          <w:color w:val="auto"/>
          <w:sz w:val="24"/>
          <w:szCs w:val="24"/>
        </w:rPr>
        <w:t>4.2  履约担保</w:t>
      </w:r>
    </w:p>
    <w:p w14:paraId="2F66FF09">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4.2.1 承包人是否提供履约担保：</w:t>
      </w:r>
      <w:r>
        <w:rPr>
          <w:rFonts w:hint="eastAsia" w:asciiTheme="minorEastAsia" w:hAnsiTheme="minorEastAsia" w:eastAsiaTheme="minorEastAsia" w:cstheme="minorEastAsia"/>
          <w:b/>
          <w:bCs/>
          <w:snapToGrid w:val="0"/>
          <w:color w:val="auto"/>
          <w:sz w:val="24"/>
          <w:szCs w:val="24"/>
          <w:u w:val="single"/>
        </w:rPr>
        <w:t xml:space="preserve">   是   </w:t>
      </w:r>
      <w:r>
        <w:rPr>
          <w:rFonts w:hint="eastAsia" w:asciiTheme="minorEastAsia" w:hAnsiTheme="minorEastAsia" w:eastAsiaTheme="minorEastAsia" w:cstheme="minorEastAsia"/>
          <w:b/>
          <w:bCs/>
          <w:snapToGrid w:val="0"/>
          <w:color w:val="auto"/>
          <w:sz w:val="24"/>
          <w:szCs w:val="24"/>
        </w:rPr>
        <w:t>。</w:t>
      </w:r>
    </w:p>
    <w:p w14:paraId="47E0C962">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4.2.2 承包人提供履约担保的形式、金额及期限的约定：</w:t>
      </w:r>
    </w:p>
    <w:p w14:paraId="2EB84E8A">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 xml:space="preserve">承包人提供的履约保函形式为： </w:t>
      </w:r>
      <w:r>
        <w:rPr>
          <w:rFonts w:hint="eastAsia" w:asciiTheme="minorEastAsia" w:hAnsiTheme="minorEastAsia" w:eastAsiaTheme="minorEastAsia" w:cstheme="minorEastAsia"/>
          <w:b/>
          <w:bCs/>
          <w:snapToGrid w:val="0"/>
          <w:color w:val="auto"/>
          <w:sz w:val="24"/>
          <w:szCs w:val="24"/>
          <w:u w:val="single"/>
        </w:rPr>
        <w:t>银行保函或保险机构保证保险保单</w:t>
      </w:r>
      <w:r>
        <w:rPr>
          <w:rFonts w:hint="eastAsia" w:asciiTheme="minorEastAsia" w:hAnsiTheme="minorEastAsia" w:eastAsiaTheme="minorEastAsia" w:cstheme="minorEastAsia"/>
          <w:b/>
          <w:bCs/>
          <w:snapToGrid w:val="0"/>
          <w:color w:val="auto"/>
          <w:sz w:val="24"/>
          <w:szCs w:val="24"/>
        </w:rPr>
        <w:t xml:space="preserve">。 </w:t>
      </w:r>
    </w:p>
    <w:p w14:paraId="178B8653">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lang w:val="zh-CN" w:eastAsia="zh-CN"/>
        </w:rPr>
      </w:pPr>
      <w:r>
        <w:rPr>
          <w:rFonts w:hint="eastAsia" w:asciiTheme="minorEastAsia" w:hAnsiTheme="minorEastAsia" w:eastAsiaTheme="minorEastAsia" w:cstheme="minorEastAsia"/>
          <w:b/>
          <w:bCs/>
          <w:snapToGrid w:val="0"/>
          <w:color w:val="auto"/>
          <w:sz w:val="24"/>
          <w:szCs w:val="24"/>
        </w:rPr>
        <w:t>履约保证金金额：</w:t>
      </w:r>
      <w:r>
        <w:rPr>
          <w:rFonts w:hint="eastAsia" w:asciiTheme="minorEastAsia" w:hAnsiTheme="minorEastAsia" w:eastAsiaTheme="minorEastAsia" w:cstheme="minorEastAsia"/>
          <w:b/>
          <w:bCs/>
          <w:snapToGrid w:val="0"/>
          <w:color w:val="auto"/>
          <w:sz w:val="24"/>
          <w:szCs w:val="24"/>
          <w:lang w:val="zh-CN" w:eastAsia="zh-CN"/>
        </w:rPr>
        <w:t>合同总价的</w:t>
      </w:r>
      <w:r>
        <w:rPr>
          <w:rFonts w:hint="eastAsia" w:asciiTheme="minorEastAsia" w:hAnsiTheme="minorEastAsia" w:eastAsiaTheme="minorEastAsia" w:cstheme="minorEastAsia"/>
          <w:b/>
          <w:bCs/>
          <w:snapToGrid w:val="0"/>
          <w:color w:val="auto"/>
          <w:sz w:val="24"/>
          <w:szCs w:val="24"/>
          <w:u w:val="single"/>
          <w:lang w:val="zh-CN" w:eastAsia="zh-CN"/>
        </w:rPr>
        <w:t xml:space="preserve"> 1% </w:t>
      </w:r>
      <w:r>
        <w:rPr>
          <w:rFonts w:hint="eastAsia" w:asciiTheme="minorEastAsia" w:hAnsiTheme="minorEastAsia" w:eastAsiaTheme="minorEastAsia" w:cstheme="minorEastAsia"/>
          <w:b/>
          <w:bCs/>
          <w:snapToGrid w:val="0"/>
          <w:color w:val="auto"/>
          <w:sz w:val="24"/>
          <w:szCs w:val="24"/>
          <w:lang w:val="zh-CN" w:eastAsia="zh-CN"/>
        </w:rPr>
        <w:t>。</w:t>
      </w:r>
    </w:p>
    <w:p w14:paraId="431D20D5">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履约保证金</w:t>
      </w:r>
      <w:r>
        <w:rPr>
          <w:rFonts w:hint="eastAsia" w:asciiTheme="minorEastAsia" w:hAnsiTheme="minorEastAsia" w:eastAsiaTheme="minorEastAsia" w:cstheme="minorEastAsia"/>
          <w:b/>
          <w:bCs/>
          <w:snapToGrid w:val="0"/>
          <w:color w:val="auto"/>
          <w:sz w:val="24"/>
          <w:szCs w:val="24"/>
          <w:lang w:val="en-US" w:eastAsia="zh-CN"/>
        </w:rPr>
        <w:t>期限：</w:t>
      </w:r>
      <w:r>
        <w:rPr>
          <w:rFonts w:hint="eastAsia" w:asciiTheme="minorEastAsia" w:hAnsiTheme="minorEastAsia" w:eastAsiaTheme="minorEastAsia" w:cstheme="minorEastAsia"/>
          <w:b/>
          <w:bCs/>
          <w:snapToGrid w:val="0"/>
          <w:color w:val="auto"/>
          <w:sz w:val="24"/>
          <w:szCs w:val="24"/>
        </w:rPr>
        <w:t>在合同工程通过完工验收后10日内，承包人凭相关证明材料，办理撤保手续。</w:t>
      </w:r>
    </w:p>
    <w:p w14:paraId="7F5EA5D9">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4.2.</w:t>
      </w:r>
      <w:r>
        <w:rPr>
          <w:rFonts w:hint="eastAsia" w:asciiTheme="minorEastAsia" w:hAnsiTheme="minorEastAsia" w:eastAsiaTheme="minorEastAsia" w:cstheme="minorEastAsia"/>
          <w:b/>
          <w:bCs/>
          <w:snapToGrid w:val="0"/>
          <w:color w:val="auto"/>
          <w:sz w:val="24"/>
          <w:szCs w:val="24"/>
          <w:lang w:val="en-US" w:eastAsia="zh-CN"/>
        </w:rPr>
        <w:t>3</w:t>
      </w:r>
      <w:r>
        <w:rPr>
          <w:rFonts w:hint="eastAsia" w:asciiTheme="minorEastAsia" w:hAnsiTheme="minorEastAsia" w:eastAsiaTheme="minorEastAsia" w:cstheme="minorEastAsia"/>
          <w:b/>
          <w:bCs/>
          <w:snapToGrid w:val="0"/>
          <w:color w:val="auto"/>
          <w:sz w:val="24"/>
          <w:szCs w:val="24"/>
        </w:rPr>
        <w:t xml:space="preserve"> 实名制管理、工资分账管理等根治欠薪制度落实到位、连续两年未被欠薪立案且未纳入建筑市场严重失信名单的建筑业企业，可免缴农民工工资保证金，已缴纳的予以全额返还；对根治欠薪制度落实不到位或者被欠薪立案的建筑业企业，提高其农民工工资保证金缴纳金额，最高不超过其应缴金额的3倍。</w:t>
      </w:r>
    </w:p>
    <w:p w14:paraId="236E6927">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4.2.</w:t>
      </w:r>
      <w:r>
        <w:rPr>
          <w:rFonts w:hint="eastAsia" w:asciiTheme="minorEastAsia" w:hAnsiTheme="minorEastAsia" w:eastAsiaTheme="minorEastAsia" w:cstheme="minorEastAsia"/>
          <w:b/>
          <w:bCs/>
          <w:snapToGrid w:val="0"/>
          <w:color w:val="auto"/>
          <w:sz w:val="24"/>
          <w:szCs w:val="24"/>
          <w:lang w:val="en-US" w:eastAsia="zh-CN"/>
        </w:rPr>
        <w:t>4</w:t>
      </w:r>
      <w:r>
        <w:rPr>
          <w:rFonts w:hint="eastAsia" w:asciiTheme="minorEastAsia" w:hAnsiTheme="minorEastAsia" w:eastAsiaTheme="minorEastAsia" w:cstheme="minorEastAsia"/>
          <w:b/>
          <w:bCs/>
          <w:snapToGrid w:val="0"/>
          <w:color w:val="auto"/>
          <w:sz w:val="24"/>
          <w:szCs w:val="24"/>
        </w:rPr>
        <w:t xml:space="preserve"> 承包人与履约担保有关的任何利息或其它类似的费用或者收益由承包人承担；承包人由于自身原因而未能履行合同义务时，由发包人凭相关证明材料向第三方担保人提出不超过履约保证金额度的经济损失赔偿。承包人违约造成发包人经济损失超过履约担保额度的，不足部分，发包人可继续向承包人索赔，追究其责任。</w:t>
      </w:r>
    </w:p>
    <w:p w14:paraId="6909DC7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4.3 分包</w:t>
      </w:r>
    </w:p>
    <w:p w14:paraId="2A87B0C4">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4.3.2允许承包人分包的工程项目、工作内容如下：</w:t>
      </w:r>
    </w:p>
    <w:p w14:paraId="086035E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 工程项目：</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4971108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 工作内容：</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06FAAFE7">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本款补充如下：</w:t>
      </w:r>
      <w:r>
        <w:rPr>
          <w:rFonts w:hint="eastAsia" w:asciiTheme="minorEastAsia" w:hAnsiTheme="minorEastAsia" w:eastAsiaTheme="minorEastAsia" w:cstheme="minorEastAsia"/>
          <w:snapToGrid w:val="0"/>
          <w:color w:val="auto"/>
          <w:sz w:val="24"/>
          <w:szCs w:val="24"/>
          <w:u w:val="single"/>
        </w:rPr>
        <w:t xml:space="preserve">  /。</w:t>
      </w:r>
    </w:p>
    <w:p w14:paraId="0D30562D">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4.5 承包人项目负责人</w:t>
      </w:r>
    </w:p>
    <w:p w14:paraId="3747F5D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补充4.5.5款：</w:t>
      </w:r>
    </w:p>
    <w:p w14:paraId="74F03E01">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4.5.5 项目负责人每月驻工地的天数不少于22天。</w:t>
      </w:r>
    </w:p>
    <w:p w14:paraId="6FE8F3E6">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4.6承包人人员的管理</w:t>
      </w:r>
    </w:p>
    <w:p w14:paraId="2ECF603D">
      <w:pPr>
        <w:tabs>
          <w:tab w:val="left" w:pos="618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补充4.6.5款：</w:t>
      </w:r>
      <w:r>
        <w:rPr>
          <w:rFonts w:hint="eastAsia" w:asciiTheme="minorEastAsia" w:hAnsiTheme="minorEastAsia" w:eastAsiaTheme="minorEastAsia" w:cstheme="minorEastAsia"/>
          <w:snapToGrid w:val="0"/>
          <w:color w:val="auto"/>
          <w:sz w:val="24"/>
          <w:szCs w:val="24"/>
        </w:rPr>
        <w:tab/>
      </w:r>
    </w:p>
    <w:p w14:paraId="6FB4450C">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4.6.5 项目技术负责人每月驻工地时间不得少于</w:t>
      </w:r>
      <w:r>
        <w:rPr>
          <w:rFonts w:hint="eastAsia" w:asciiTheme="minorEastAsia" w:hAnsiTheme="minorEastAsia" w:eastAsiaTheme="minorEastAsia" w:cstheme="minorEastAsia"/>
          <w:snapToGrid w:val="0"/>
          <w:color w:val="auto"/>
          <w:sz w:val="24"/>
          <w:szCs w:val="24"/>
          <w:u w:val="single"/>
        </w:rPr>
        <w:t xml:space="preserve"> 22 </w:t>
      </w:r>
      <w:r>
        <w:rPr>
          <w:rFonts w:hint="eastAsia" w:asciiTheme="minorEastAsia" w:hAnsiTheme="minorEastAsia" w:eastAsiaTheme="minorEastAsia" w:cstheme="minorEastAsia"/>
          <w:snapToGrid w:val="0"/>
          <w:color w:val="auto"/>
          <w:sz w:val="24"/>
          <w:szCs w:val="24"/>
        </w:rPr>
        <w:t>天。</w:t>
      </w:r>
    </w:p>
    <w:p w14:paraId="51D2DC8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4.6.6 项目施工员、质检（量）员、安全员每月驻工地时间不得少于</w:t>
      </w:r>
      <w:r>
        <w:rPr>
          <w:rFonts w:hint="eastAsia" w:asciiTheme="minorEastAsia" w:hAnsiTheme="minorEastAsia" w:eastAsiaTheme="minorEastAsia" w:cstheme="minorEastAsia"/>
          <w:snapToGrid w:val="0"/>
          <w:color w:val="auto"/>
          <w:sz w:val="24"/>
          <w:szCs w:val="24"/>
          <w:u w:val="single"/>
        </w:rPr>
        <w:t xml:space="preserve"> 25 </w:t>
      </w:r>
      <w:r>
        <w:rPr>
          <w:rFonts w:hint="eastAsia" w:asciiTheme="minorEastAsia" w:hAnsiTheme="minorEastAsia" w:eastAsiaTheme="minorEastAsia" w:cstheme="minorEastAsia"/>
          <w:snapToGrid w:val="0"/>
          <w:color w:val="auto"/>
          <w:sz w:val="24"/>
          <w:szCs w:val="24"/>
        </w:rPr>
        <w:t>天。</w:t>
      </w:r>
    </w:p>
    <w:p w14:paraId="3F5B14C3">
      <w:pPr>
        <w:autoSpaceDE w:val="0"/>
        <w:autoSpaceDN w:val="0"/>
        <w:adjustRightInd w:val="0"/>
        <w:snapToGrid w:val="0"/>
        <w:spacing w:line="400" w:lineRule="exact"/>
        <w:textAlignment w:val="baseline"/>
        <w:rPr>
          <w:rFonts w:hint="eastAsia" w:asciiTheme="minorEastAsia" w:hAnsiTheme="minorEastAsia" w:eastAsiaTheme="minorEastAsia" w:cstheme="minorEastAsia"/>
          <w:b/>
          <w:snapToGrid w:val="0"/>
          <w:color w:val="auto"/>
          <w:sz w:val="24"/>
          <w:szCs w:val="24"/>
        </w:rPr>
      </w:pPr>
      <w:r>
        <w:rPr>
          <w:rFonts w:hint="eastAsia" w:asciiTheme="minorEastAsia" w:hAnsiTheme="minorEastAsia" w:eastAsiaTheme="minorEastAsia" w:cstheme="minorEastAsia"/>
          <w:b/>
          <w:snapToGrid w:val="0"/>
          <w:color w:val="auto"/>
          <w:sz w:val="24"/>
          <w:szCs w:val="24"/>
        </w:rPr>
        <w:t>4.11  不利物质条件</w:t>
      </w:r>
    </w:p>
    <w:p w14:paraId="0740DF97">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rPr>
      </w:pPr>
      <w:r>
        <w:rPr>
          <w:rFonts w:hint="eastAsia" w:asciiTheme="minorEastAsia" w:hAnsiTheme="minorEastAsia" w:eastAsiaTheme="minorEastAsia" w:cstheme="minorEastAsia"/>
          <w:b/>
          <w:snapToGrid w:val="0"/>
          <w:color w:val="auto"/>
          <w:sz w:val="24"/>
          <w:szCs w:val="24"/>
        </w:rPr>
        <w:t>4.11.1 不利物质条件的范围：施工中遇到文物或古迹。</w:t>
      </w:r>
    </w:p>
    <w:p w14:paraId="52B0A380">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44" w:name="_Toc381776147"/>
      <w:bookmarkStart w:id="445" w:name="_Toc217819047"/>
      <w:bookmarkStart w:id="446" w:name="_Toc344282753"/>
      <w:bookmarkStart w:id="447" w:name="_Toc362883277"/>
      <w:bookmarkStart w:id="448" w:name="_Toc370459054"/>
      <w:bookmarkStart w:id="449" w:name="_Toc266998246"/>
      <w:bookmarkStart w:id="450" w:name="_Toc307478976"/>
      <w:r>
        <w:rPr>
          <w:rFonts w:hint="eastAsia" w:asciiTheme="minorEastAsia" w:hAnsiTheme="minorEastAsia" w:eastAsiaTheme="minorEastAsia" w:cstheme="minorEastAsia"/>
          <w:b/>
          <w:snapToGrid w:val="0"/>
          <w:color w:val="auto"/>
          <w:sz w:val="24"/>
          <w:szCs w:val="24"/>
        </w:rPr>
        <w:t>5 材料和工程设备</w:t>
      </w:r>
      <w:bookmarkEnd w:id="444"/>
      <w:bookmarkEnd w:id="445"/>
      <w:bookmarkEnd w:id="446"/>
      <w:bookmarkEnd w:id="447"/>
      <w:bookmarkEnd w:id="448"/>
      <w:bookmarkEnd w:id="449"/>
      <w:bookmarkEnd w:id="450"/>
    </w:p>
    <w:p w14:paraId="38FB8AF4">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51" w:name="_Toc362883278"/>
      <w:bookmarkStart w:id="452" w:name="_Toc381776148"/>
      <w:bookmarkStart w:id="453" w:name="_Toc370459055"/>
      <w:r>
        <w:rPr>
          <w:rFonts w:hint="eastAsia" w:asciiTheme="minorEastAsia" w:hAnsiTheme="minorEastAsia" w:eastAsiaTheme="minorEastAsia" w:cstheme="minorEastAsia"/>
          <w:b/>
          <w:color w:val="auto"/>
          <w:spacing w:val="20"/>
          <w:sz w:val="24"/>
          <w:szCs w:val="24"/>
        </w:rPr>
        <w:t>5.2 发包人提供的材料和工程设备</w:t>
      </w:r>
      <w:bookmarkEnd w:id="451"/>
      <w:bookmarkEnd w:id="452"/>
      <w:bookmarkEnd w:id="453"/>
    </w:p>
    <w:p w14:paraId="12D64815">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bookmarkStart w:id="454" w:name="_Toc241374751"/>
      <w:r>
        <w:rPr>
          <w:rFonts w:hint="eastAsia" w:asciiTheme="minorEastAsia" w:hAnsiTheme="minorEastAsia" w:eastAsiaTheme="minorEastAsia" w:cstheme="minorEastAsia"/>
          <w:snapToGrid w:val="0"/>
          <w:color w:val="auto"/>
          <w:sz w:val="24"/>
          <w:szCs w:val="24"/>
        </w:rPr>
        <w:t>删除本款全文，代之以：</w:t>
      </w:r>
    </w:p>
    <w:p w14:paraId="3A651DEE">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u w:val="single"/>
        </w:rPr>
        <w:t>发包人不提供材料和工程设备</w:t>
      </w:r>
      <w:r>
        <w:rPr>
          <w:rFonts w:hint="eastAsia" w:asciiTheme="minorEastAsia" w:hAnsiTheme="minorEastAsia" w:eastAsiaTheme="minorEastAsia" w:cstheme="minorEastAsia"/>
          <w:snapToGrid w:val="0"/>
          <w:color w:val="auto"/>
          <w:sz w:val="24"/>
          <w:szCs w:val="24"/>
        </w:rPr>
        <w:t>。</w:t>
      </w:r>
    </w:p>
    <w:p w14:paraId="2915CFD7">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55" w:name="_Toc307478977"/>
      <w:bookmarkStart w:id="456" w:name="_Toc344282754"/>
      <w:bookmarkStart w:id="457" w:name="_Toc370459056"/>
      <w:bookmarkStart w:id="458" w:name="_Toc266998247"/>
      <w:bookmarkStart w:id="459" w:name="_Toc362883279"/>
      <w:bookmarkStart w:id="460" w:name="_Toc381776149"/>
      <w:r>
        <w:rPr>
          <w:rFonts w:hint="eastAsia" w:asciiTheme="minorEastAsia" w:hAnsiTheme="minorEastAsia" w:eastAsiaTheme="minorEastAsia" w:cstheme="minorEastAsia"/>
          <w:b/>
          <w:snapToGrid w:val="0"/>
          <w:color w:val="auto"/>
          <w:sz w:val="24"/>
          <w:szCs w:val="24"/>
        </w:rPr>
        <w:t>6 施工设备和临时设施</w:t>
      </w:r>
      <w:bookmarkEnd w:id="454"/>
      <w:bookmarkEnd w:id="455"/>
      <w:bookmarkEnd w:id="456"/>
      <w:bookmarkEnd w:id="457"/>
      <w:bookmarkEnd w:id="458"/>
      <w:bookmarkEnd w:id="459"/>
      <w:bookmarkEnd w:id="460"/>
    </w:p>
    <w:p w14:paraId="3DACA9EF">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61" w:name="_Toc370459057"/>
      <w:bookmarkStart w:id="462" w:name="_Toc381776150"/>
      <w:bookmarkStart w:id="463" w:name="_Toc362883280"/>
      <w:r>
        <w:rPr>
          <w:rFonts w:hint="eastAsia" w:asciiTheme="minorEastAsia" w:hAnsiTheme="minorEastAsia" w:eastAsiaTheme="minorEastAsia" w:cstheme="minorEastAsia"/>
          <w:b/>
          <w:color w:val="auto"/>
          <w:spacing w:val="20"/>
          <w:sz w:val="24"/>
          <w:szCs w:val="24"/>
        </w:rPr>
        <w:t>6.1 承包人提供的施工设备和临时设施</w:t>
      </w:r>
    </w:p>
    <w:p w14:paraId="4EB8171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z w:val="24"/>
          <w:szCs w:val="24"/>
        </w:rPr>
        <w:t xml:space="preserve">6.1.2 </w:t>
      </w:r>
      <w:r>
        <w:rPr>
          <w:rFonts w:hint="eastAsia" w:asciiTheme="minorEastAsia" w:hAnsiTheme="minorEastAsia" w:eastAsiaTheme="minorEastAsia" w:cstheme="minorEastAsia"/>
          <w:color w:val="auto"/>
          <w:sz w:val="24"/>
          <w:szCs w:val="24"/>
        </w:rPr>
        <w:t>承包人应提供合理的临时用地方案，报发包人同意；发包人有权指定临时用地</w:t>
      </w:r>
      <w:r>
        <w:rPr>
          <w:rFonts w:hint="eastAsia" w:asciiTheme="minorEastAsia" w:hAnsiTheme="minorEastAsia" w:eastAsiaTheme="minorEastAsia" w:cstheme="minorEastAsia"/>
          <w:snapToGrid w:val="0"/>
          <w:color w:val="auto"/>
          <w:sz w:val="24"/>
          <w:szCs w:val="24"/>
        </w:rPr>
        <w:t>。</w:t>
      </w:r>
      <w:r>
        <w:rPr>
          <w:rFonts w:hint="eastAsia" w:asciiTheme="minorEastAsia" w:hAnsiTheme="minorEastAsia" w:eastAsiaTheme="minorEastAsia" w:cstheme="minorEastAsia"/>
          <w:color w:val="auto"/>
          <w:sz w:val="24"/>
          <w:szCs w:val="24"/>
        </w:rPr>
        <w:t>临时用地审批及租赁费由发包人负责，承包人应自行承担修建临时设施的费用。</w:t>
      </w:r>
    </w:p>
    <w:p w14:paraId="0C62CAD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6.2 发包人提供的施工设备和临时设施</w:t>
      </w:r>
      <w:bookmarkEnd w:id="461"/>
      <w:bookmarkEnd w:id="462"/>
      <w:bookmarkEnd w:id="463"/>
    </w:p>
    <w:p w14:paraId="002088C7">
      <w:pPr>
        <w:tabs>
          <w:tab w:val="left" w:pos="279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u w:val="single"/>
        </w:rPr>
        <w:t>发包人不提供施工设备和临时设施</w:t>
      </w:r>
      <w:r>
        <w:rPr>
          <w:rFonts w:hint="eastAsia" w:asciiTheme="minorEastAsia" w:hAnsiTheme="minorEastAsia" w:eastAsiaTheme="minorEastAsia" w:cstheme="minorEastAsia"/>
          <w:snapToGrid w:val="0"/>
          <w:color w:val="auto"/>
          <w:sz w:val="24"/>
          <w:szCs w:val="24"/>
        </w:rPr>
        <w:t xml:space="preserve">。  </w:t>
      </w:r>
    </w:p>
    <w:p w14:paraId="1A44093B">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64" w:name="_Toc266998249"/>
      <w:bookmarkStart w:id="465" w:name="_Toc205630997"/>
      <w:bookmarkStart w:id="466" w:name="_Toc381776152"/>
      <w:bookmarkStart w:id="467" w:name="_Toc42486664"/>
      <w:bookmarkStart w:id="468" w:name="_Toc45083852"/>
      <w:bookmarkStart w:id="469" w:name="_Toc307478979"/>
      <w:bookmarkStart w:id="470" w:name="_Toc344282756"/>
      <w:bookmarkStart w:id="471" w:name="_Toc180571570"/>
      <w:bookmarkStart w:id="472" w:name="_Toc370459059"/>
      <w:bookmarkStart w:id="473" w:name="_Toc140637786"/>
      <w:bookmarkStart w:id="474" w:name="_Toc217819050"/>
      <w:bookmarkStart w:id="475" w:name="_Toc211414973"/>
      <w:bookmarkStart w:id="476" w:name="_Toc362883282"/>
      <w:bookmarkStart w:id="477" w:name="_Toc139938722"/>
      <w:r>
        <w:rPr>
          <w:rFonts w:hint="eastAsia" w:asciiTheme="minorEastAsia" w:hAnsiTheme="minorEastAsia" w:eastAsiaTheme="minorEastAsia" w:cstheme="minorEastAsia"/>
          <w:b/>
          <w:snapToGrid w:val="0"/>
          <w:color w:val="auto"/>
          <w:sz w:val="24"/>
          <w:szCs w:val="24"/>
        </w:rPr>
        <w:t>8 测量放线</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6B3618F">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78" w:name="_Toc42486665"/>
      <w:bookmarkStart w:id="479" w:name="_Toc139938723"/>
      <w:bookmarkStart w:id="480" w:name="_Toc140637787"/>
      <w:bookmarkStart w:id="481" w:name="_Toc180571571"/>
      <w:bookmarkStart w:id="482" w:name="_Toc45083853"/>
      <w:r>
        <w:rPr>
          <w:rFonts w:hint="eastAsia" w:asciiTheme="minorEastAsia" w:hAnsiTheme="minorEastAsia" w:eastAsiaTheme="minorEastAsia" w:cstheme="minorEastAsia"/>
          <w:b/>
          <w:color w:val="auto"/>
          <w:spacing w:val="20"/>
          <w:sz w:val="24"/>
          <w:szCs w:val="24"/>
        </w:rPr>
        <w:t>8.1 施工控制网</w:t>
      </w:r>
      <w:bookmarkEnd w:id="478"/>
      <w:bookmarkEnd w:id="479"/>
      <w:bookmarkEnd w:id="480"/>
      <w:bookmarkEnd w:id="481"/>
      <w:bookmarkEnd w:id="482"/>
    </w:p>
    <w:p w14:paraId="1517C5B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u w:val="single"/>
        </w:rPr>
      </w:pPr>
      <w:r>
        <w:rPr>
          <w:rFonts w:hint="eastAsia" w:asciiTheme="minorEastAsia" w:hAnsiTheme="minorEastAsia" w:eastAsiaTheme="minorEastAsia" w:cstheme="minorEastAsia"/>
          <w:snapToGrid w:val="0"/>
          <w:color w:val="auto"/>
          <w:sz w:val="24"/>
          <w:szCs w:val="24"/>
        </w:rPr>
        <w:t>8.1.1 施工控制网的约定：</w:t>
      </w:r>
      <w:r>
        <w:rPr>
          <w:rFonts w:hint="eastAsia" w:asciiTheme="minorEastAsia" w:hAnsiTheme="minorEastAsia" w:eastAsiaTheme="minorEastAsia" w:cstheme="minorEastAsia"/>
          <w:snapToGrid w:val="0"/>
          <w:color w:val="auto"/>
          <w:sz w:val="24"/>
          <w:szCs w:val="24"/>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14:paraId="3E61C047">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83" w:name="_Toc381776153"/>
      <w:bookmarkStart w:id="484" w:name="_Toc307478980"/>
      <w:bookmarkStart w:id="485" w:name="_Toc266998250"/>
      <w:bookmarkStart w:id="486" w:name="_Toc259802231"/>
      <w:bookmarkStart w:id="487" w:name="_Toc344282757"/>
      <w:bookmarkStart w:id="488" w:name="_Toc362883283"/>
      <w:bookmarkStart w:id="489" w:name="_Toc370459060"/>
      <w:r>
        <w:rPr>
          <w:rFonts w:hint="eastAsia" w:asciiTheme="minorEastAsia" w:hAnsiTheme="minorEastAsia" w:eastAsiaTheme="minorEastAsia" w:cstheme="minorEastAsia"/>
          <w:b/>
          <w:snapToGrid w:val="0"/>
          <w:color w:val="auto"/>
          <w:sz w:val="24"/>
          <w:szCs w:val="24"/>
        </w:rPr>
        <w:t>9 施工安全、治安保卫和环境保护</w:t>
      </w:r>
      <w:bookmarkEnd w:id="483"/>
      <w:bookmarkEnd w:id="484"/>
      <w:bookmarkEnd w:id="485"/>
      <w:bookmarkEnd w:id="486"/>
      <w:bookmarkEnd w:id="487"/>
      <w:bookmarkEnd w:id="488"/>
      <w:bookmarkEnd w:id="489"/>
    </w:p>
    <w:p w14:paraId="402659DE">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9.2 承包人的施工安全责任</w:t>
      </w:r>
    </w:p>
    <w:p w14:paraId="13502C90">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u w:val="single"/>
        </w:rPr>
      </w:pPr>
      <w:r>
        <w:rPr>
          <w:rFonts w:hint="eastAsia" w:asciiTheme="minorEastAsia" w:hAnsiTheme="minorEastAsia" w:eastAsiaTheme="minorEastAsia" w:cstheme="minorEastAsia"/>
          <w:snapToGrid w:val="0"/>
          <w:color w:val="auto"/>
          <w:sz w:val="24"/>
          <w:szCs w:val="24"/>
        </w:rPr>
        <w:t xml:space="preserve">9.2.5 </w:t>
      </w:r>
      <w:r>
        <w:rPr>
          <w:rFonts w:hint="eastAsia" w:asciiTheme="minorEastAsia" w:hAnsiTheme="minorEastAsia" w:eastAsiaTheme="minorEastAsia" w:cstheme="minorEastAsia"/>
          <w:snapToGrid w:val="0"/>
          <w:color w:val="auto"/>
          <w:sz w:val="24"/>
          <w:szCs w:val="24"/>
          <w:u w:val="single"/>
        </w:rPr>
        <w:t>安全施工费按《浙江省水利水电工程设计概（预）算编制规定（2021年）》 执行。如承包人在此基础上增加安全生产费用以满足项目施工需要，则承包人应在本项目工程量清单其他相关子目的单价或总额价中予以考虑，发包人不再另行支付。</w:t>
      </w:r>
    </w:p>
    <w:p w14:paraId="3250DAE0">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9.7 文明工地</w:t>
      </w:r>
    </w:p>
    <w:p w14:paraId="04ECBD34">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本合同文明工地的约</w:t>
      </w:r>
      <w:r>
        <w:rPr>
          <w:rFonts w:hint="eastAsia" w:asciiTheme="minorEastAsia" w:hAnsiTheme="minorEastAsia" w:eastAsiaTheme="minorEastAsia" w:cstheme="minorEastAsia"/>
          <w:snapToGrid w:val="0"/>
          <w:color w:val="auto"/>
          <w:sz w:val="24"/>
          <w:szCs w:val="24"/>
          <w:highlight w:val="none"/>
        </w:rPr>
        <w:t>定：</w:t>
      </w:r>
      <w:r>
        <w:rPr>
          <w:rFonts w:hint="eastAsia" w:asciiTheme="minorEastAsia" w:hAnsiTheme="minorEastAsia" w:eastAsiaTheme="minorEastAsia" w:cstheme="minorEastAsia"/>
          <w:snapToGrid w:val="0"/>
          <w:color w:val="auto"/>
          <w:sz w:val="24"/>
          <w:szCs w:val="24"/>
          <w:highlight w:val="none"/>
          <w:u w:val="single"/>
          <w:lang w:val="en-US" w:eastAsia="zh-CN"/>
        </w:rPr>
        <w:t>/</w:t>
      </w:r>
      <w:r>
        <w:rPr>
          <w:rFonts w:hint="eastAsia" w:asciiTheme="minorEastAsia" w:hAnsiTheme="minorEastAsia" w:eastAsiaTheme="minorEastAsia" w:cstheme="minorEastAsia"/>
          <w:snapToGrid w:val="0"/>
          <w:color w:val="auto"/>
          <w:sz w:val="24"/>
          <w:szCs w:val="24"/>
          <w:highlight w:val="none"/>
        </w:rPr>
        <w:t>。</w:t>
      </w:r>
    </w:p>
    <w:p w14:paraId="7E8ADBF0">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90" w:name="_Toc281852224"/>
      <w:bookmarkStart w:id="491" w:name="_Toc283728729"/>
      <w:bookmarkStart w:id="492" w:name="_Toc294467361"/>
      <w:bookmarkStart w:id="493" w:name="_Toc281852088"/>
      <w:bookmarkStart w:id="494" w:name="_Toc307478981"/>
      <w:bookmarkStart w:id="495" w:name="_Toc344282758"/>
      <w:bookmarkStart w:id="496" w:name="_Toc362883284"/>
      <w:bookmarkStart w:id="497" w:name="_Toc381776154"/>
      <w:bookmarkStart w:id="498" w:name="_Toc370459061"/>
      <w:r>
        <w:rPr>
          <w:rFonts w:hint="eastAsia" w:asciiTheme="minorEastAsia" w:hAnsiTheme="minorEastAsia" w:eastAsiaTheme="minorEastAsia" w:cstheme="minorEastAsia"/>
          <w:b/>
          <w:snapToGrid w:val="0"/>
          <w:color w:val="auto"/>
          <w:sz w:val="24"/>
          <w:szCs w:val="24"/>
        </w:rPr>
        <w:t>11 开工和竣工（完工</w:t>
      </w:r>
      <w:bookmarkEnd w:id="490"/>
      <w:bookmarkEnd w:id="491"/>
      <w:bookmarkEnd w:id="492"/>
      <w:bookmarkEnd w:id="493"/>
      <w:bookmarkEnd w:id="494"/>
      <w:bookmarkEnd w:id="495"/>
      <w:r>
        <w:rPr>
          <w:rFonts w:hint="eastAsia" w:asciiTheme="minorEastAsia" w:hAnsiTheme="minorEastAsia" w:eastAsiaTheme="minorEastAsia" w:cstheme="minorEastAsia"/>
          <w:b/>
          <w:snapToGrid w:val="0"/>
          <w:color w:val="auto"/>
          <w:sz w:val="24"/>
          <w:szCs w:val="24"/>
        </w:rPr>
        <w:t>）</w:t>
      </w:r>
      <w:bookmarkEnd w:id="496"/>
      <w:bookmarkEnd w:id="497"/>
      <w:bookmarkEnd w:id="498"/>
    </w:p>
    <w:p w14:paraId="19286254">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99" w:name="_Toc381776155"/>
      <w:bookmarkStart w:id="500" w:name="_Toc370459062"/>
      <w:bookmarkStart w:id="501" w:name="_Toc362883285"/>
      <w:bookmarkStart w:id="502" w:name="_Toc283728730"/>
      <w:r>
        <w:rPr>
          <w:rFonts w:hint="eastAsia" w:asciiTheme="minorEastAsia" w:hAnsiTheme="minorEastAsia" w:eastAsiaTheme="minorEastAsia" w:cstheme="minorEastAsia"/>
          <w:b/>
          <w:color w:val="auto"/>
          <w:spacing w:val="20"/>
          <w:sz w:val="24"/>
          <w:szCs w:val="24"/>
        </w:rPr>
        <w:t>11.4 异常恶劣的气候条件</w:t>
      </w:r>
      <w:bookmarkEnd w:id="499"/>
      <w:bookmarkEnd w:id="500"/>
      <w:bookmarkEnd w:id="501"/>
      <w:bookmarkEnd w:id="502"/>
    </w:p>
    <w:p w14:paraId="4CB8724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11.4.3 本合同工程界定异常恶劣的气候条件的范围为：</w:t>
      </w:r>
    </w:p>
    <w:p w14:paraId="3FC19EC7">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⑴ 日降雨量大于</w:t>
      </w:r>
      <w:r>
        <w:rPr>
          <w:rFonts w:hint="eastAsia" w:asciiTheme="minorEastAsia" w:hAnsiTheme="minorEastAsia" w:eastAsiaTheme="minorEastAsia" w:cstheme="minorEastAsia"/>
          <w:snapToGrid w:val="0"/>
          <w:color w:val="auto"/>
          <w:sz w:val="24"/>
          <w:szCs w:val="24"/>
          <w:u w:val="single"/>
        </w:rPr>
        <w:t xml:space="preserve"> 50 </w:t>
      </w:r>
      <w:r>
        <w:rPr>
          <w:rFonts w:hint="eastAsia" w:asciiTheme="minorEastAsia" w:hAnsiTheme="minorEastAsia" w:eastAsiaTheme="minorEastAsia" w:cstheme="minorEastAsia"/>
          <w:snapToGrid w:val="0"/>
          <w:color w:val="auto"/>
          <w:sz w:val="24"/>
          <w:szCs w:val="24"/>
        </w:rPr>
        <w:t>mm的雨日超过</w:t>
      </w:r>
      <w:r>
        <w:rPr>
          <w:rFonts w:hint="eastAsia" w:asciiTheme="minorEastAsia" w:hAnsiTheme="minorEastAsia" w:eastAsiaTheme="minorEastAsia" w:cstheme="minorEastAsia"/>
          <w:snapToGrid w:val="0"/>
          <w:color w:val="auto"/>
          <w:sz w:val="24"/>
          <w:szCs w:val="24"/>
          <w:u w:val="single"/>
        </w:rPr>
        <w:t xml:space="preserve"> 7 </w:t>
      </w:r>
      <w:r>
        <w:rPr>
          <w:rFonts w:hint="eastAsia" w:asciiTheme="minorEastAsia" w:hAnsiTheme="minorEastAsia" w:eastAsiaTheme="minorEastAsia" w:cstheme="minorEastAsia"/>
          <w:snapToGrid w:val="0"/>
          <w:color w:val="auto"/>
          <w:sz w:val="24"/>
          <w:szCs w:val="24"/>
        </w:rPr>
        <w:t>天；</w:t>
      </w:r>
    </w:p>
    <w:p w14:paraId="13866EC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⑵ </w:t>
      </w:r>
      <w:r>
        <w:rPr>
          <w:rFonts w:hint="eastAsia" w:asciiTheme="minorEastAsia" w:hAnsiTheme="minorEastAsia" w:eastAsiaTheme="minorEastAsia" w:cstheme="minorEastAsia"/>
          <w:snapToGrid w:val="0"/>
          <w:color w:val="auto"/>
          <w:sz w:val="24"/>
          <w:szCs w:val="24"/>
          <w:u w:val="single"/>
        </w:rPr>
        <w:t xml:space="preserve"> 9 </w:t>
      </w:r>
      <w:r>
        <w:rPr>
          <w:rFonts w:hint="eastAsia" w:asciiTheme="minorEastAsia" w:hAnsiTheme="minorEastAsia" w:eastAsiaTheme="minorEastAsia" w:cstheme="minorEastAsia"/>
          <w:snapToGrid w:val="0"/>
          <w:color w:val="auto"/>
          <w:sz w:val="24"/>
          <w:szCs w:val="24"/>
        </w:rPr>
        <w:t>级及以上台风灾害；</w:t>
      </w:r>
    </w:p>
    <w:p w14:paraId="34A49EAD">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⑶ 日气温超过</w:t>
      </w:r>
      <w:r>
        <w:rPr>
          <w:rFonts w:hint="eastAsia" w:asciiTheme="minorEastAsia" w:hAnsiTheme="minorEastAsia" w:eastAsiaTheme="minorEastAsia" w:cstheme="minorEastAsia"/>
          <w:snapToGrid w:val="0"/>
          <w:color w:val="auto"/>
          <w:sz w:val="24"/>
          <w:szCs w:val="24"/>
          <w:u w:val="single"/>
        </w:rPr>
        <w:t xml:space="preserve"> 40 </w:t>
      </w:r>
      <w:r>
        <w:rPr>
          <w:rFonts w:hint="eastAsia" w:asciiTheme="minorEastAsia" w:hAnsiTheme="minorEastAsia" w:eastAsiaTheme="minorEastAsia" w:cstheme="minorEastAsia"/>
          <w:snapToGrid w:val="0"/>
          <w:color w:val="auto"/>
          <w:sz w:val="24"/>
          <w:szCs w:val="24"/>
        </w:rPr>
        <w:t>℃的高温大于</w:t>
      </w:r>
      <w:r>
        <w:rPr>
          <w:rFonts w:hint="eastAsia" w:asciiTheme="minorEastAsia" w:hAnsiTheme="minorEastAsia" w:eastAsiaTheme="minorEastAsia" w:cstheme="minorEastAsia"/>
          <w:snapToGrid w:val="0"/>
          <w:color w:val="auto"/>
          <w:sz w:val="24"/>
          <w:szCs w:val="24"/>
          <w:u w:val="single"/>
        </w:rPr>
        <w:t xml:space="preserve"> 3 </w:t>
      </w:r>
      <w:r>
        <w:rPr>
          <w:rFonts w:hint="eastAsia" w:asciiTheme="minorEastAsia" w:hAnsiTheme="minorEastAsia" w:eastAsiaTheme="minorEastAsia" w:cstheme="minorEastAsia"/>
          <w:snapToGrid w:val="0"/>
          <w:color w:val="auto"/>
          <w:sz w:val="24"/>
          <w:szCs w:val="24"/>
        </w:rPr>
        <w:t>天；</w:t>
      </w:r>
    </w:p>
    <w:p w14:paraId="1F3545E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⑷ 日气温低于</w:t>
      </w:r>
      <w:r>
        <w:rPr>
          <w:rFonts w:hint="eastAsia" w:asciiTheme="minorEastAsia" w:hAnsiTheme="minorEastAsia" w:eastAsiaTheme="minorEastAsia" w:cstheme="minorEastAsia"/>
          <w:snapToGrid w:val="0"/>
          <w:color w:val="auto"/>
          <w:sz w:val="24"/>
          <w:szCs w:val="24"/>
          <w:u w:val="single"/>
        </w:rPr>
        <w:t xml:space="preserve"> -5 </w:t>
      </w:r>
      <w:r>
        <w:rPr>
          <w:rFonts w:hint="eastAsia" w:asciiTheme="minorEastAsia" w:hAnsiTheme="minorEastAsia" w:eastAsiaTheme="minorEastAsia" w:cstheme="minorEastAsia"/>
          <w:snapToGrid w:val="0"/>
          <w:color w:val="auto"/>
          <w:sz w:val="24"/>
          <w:szCs w:val="24"/>
        </w:rPr>
        <w:t>℃的严寒大于</w:t>
      </w:r>
      <w:r>
        <w:rPr>
          <w:rFonts w:hint="eastAsia" w:asciiTheme="minorEastAsia" w:hAnsiTheme="minorEastAsia" w:eastAsiaTheme="minorEastAsia" w:cstheme="minorEastAsia"/>
          <w:snapToGrid w:val="0"/>
          <w:color w:val="auto"/>
          <w:sz w:val="24"/>
          <w:szCs w:val="24"/>
          <w:u w:val="single"/>
        </w:rPr>
        <w:t xml:space="preserve"> 3 </w:t>
      </w:r>
      <w:r>
        <w:rPr>
          <w:rFonts w:hint="eastAsia" w:asciiTheme="minorEastAsia" w:hAnsiTheme="minorEastAsia" w:eastAsiaTheme="minorEastAsia" w:cstheme="minorEastAsia"/>
          <w:snapToGrid w:val="0"/>
          <w:color w:val="auto"/>
          <w:sz w:val="24"/>
          <w:szCs w:val="24"/>
        </w:rPr>
        <w:t>天；</w:t>
      </w:r>
    </w:p>
    <w:p w14:paraId="5432F4C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⑸ 造成工程损失的冰雹和大雪灾害：</w:t>
      </w:r>
      <w:r>
        <w:rPr>
          <w:rFonts w:hint="eastAsia" w:asciiTheme="minorEastAsia" w:hAnsiTheme="minorEastAsia" w:eastAsiaTheme="minorEastAsia" w:cstheme="minorEastAsia"/>
          <w:snapToGrid w:val="0"/>
          <w:color w:val="auto"/>
          <w:sz w:val="24"/>
          <w:szCs w:val="24"/>
          <w:u w:val="single"/>
        </w:rPr>
        <w:t xml:space="preserve"> 日降雪量10mm及以上 </w:t>
      </w:r>
      <w:r>
        <w:rPr>
          <w:rFonts w:hint="eastAsia" w:asciiTheme="minorEastAsia" w:hAnsiTheme="minorEastAsia" w:eastAsiaTheme="minorEastAsia" w:cstheme="minorEastAsia"/>
          <w:snapToGrid w:val="0"/>
          <w:color w:val="auto"/>
          <w:sz w:val="24"/>
          <w:szCs w:val="24"/>
        </w:rPr>
        <w:t>；</w:t>
      </w:r>
    </w:p>
    <w:p w14:paraId="3C875ED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⑹ 其它异常恶劣气候灾害。</w:t>
      </w:r>
    </w:p>
    <w:p w14:paraId="2A59B016">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503" w:name="_Toc283728731"/>
      <w:bookmarkStart w:id="504" w:name="_Toc381776156"/>
      <w:bookmarkStart w:id="505" w:name="_Toc370459063"/>
      <w:bookmarkStart w:id="506" w:name="_Toc362883286"/>
      <w:r>
        <w:rPr>
          <w:rFonts w:hint="eastAsia" w:asciiTheme="minorEastAsia" w:hAnsiTheme="minorEastAsia" w:eastAsiaTheme="minorEastAsia" w:cstheme="minorEastAsia"/>
          <w:b/>
          <w:color w:val="auto"/>
          <w:spacing w:val="20"/>
          <w:sz w:val="24"/>
          <w:szCs w:val="24"/>
        </w:rPr>
        <w:t>11.5 承包人的工期延误</w:t>
      </w:r>
      <w:bookmarkEnd w:id="503"/>
      <w:bookmarkEnd w:id="504"/>
      <w:bookmarkEnd w:id="505"/>
      <w:bookmarkEnd w:id="506"/>
    </w:p>
    <w:p w14:paraId="703BE7FD">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⑴ 逾期完工违约金表。</w:t>
      </w:r>
    </w:p>
    <w:p w14:paraId="5DBE7898">
      <w:pPr>
        <w:autoSpaceDE w:val="0"/>
        <w:autoSpaceDN w:val="0"/>
        <w:adjustRightInd w:val="0"/>
        <w:snapToGrid w:val="0"/>
        <w:spacing w:line="400" w:lineRule="exact"/>
        <w:ind w:firstLine="482" w:firstLineChars="200"/>
        <w:jc w:val="center"/>
        <w:textAlignment w:val="baseline"/>
        <w:rPr>
          <w:rFonts w:hint="eastAsia" w:asciiTheme="minorEastAsia" w:hAnsiTheme="minorEastAsia" w:eastAsiaTheme="minorEastAsia" w:cstheme="minorEastAsia"/>
          <w:b/>
          <w:snapToGrid w:val="0"/>
          <w:color w:val="auto"/>
          <w:sz w:val="24"/>
          <w:szCs w:val="24"/>
        </w:rPr>
      </w:pPr>
      <w:r>
        <w:rPr>
          <w:rFonts w:hint="eastAsia" w:asciiTheme="minorEastAsia" w:hAnsiTheme="minorEastAsia" w:eastAsiaTheme="minorEastAsia" w:cstheme="minorEastAsia"/>
          <w:b/>
          <w:snapToGrid w:val="0"/>
          <w:color w:val="auto"/>
          <w:sz w:val="24"/>
          <w:szCs w:val="24"/>
        </w:rPr>
        <w:t>逾期完工违约金表</w:t>
      </w:r>
    </w:p>
    <w:tbl>
      <w:tblPr>
        <w:tblStyle w:val="62"/>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514"/>
        <w:gridCol w:w="2263"/>
      </w:tblGrid>
      <w:tr w14:paraId="49619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noWrap w:val="0"/>
            <w:vAlign w:val="center"/>
          </w:tcPr>
          <w:p w14:paraId="11D8D0AC">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序号</w:t>
            </w:r>
          </w:p>
        </w:tc>
        <w:tc>
          <w:tcPr>
            <w:tcW w:w="2306" w:type="dxa"/>
            <w:noWrap w:val="0"/>
            <w:vAlign w:val="center"/>
          </w:tcPr>
          <w:p w14:paraId="76657B0C">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项目及其说明</w:t>
            </w:r>
          </w:p>
        </w:tc>
        <w:tc>
          <w:tcPr>
            <w:tcW w:w="3514" w:type="dxa"/>
            <w:noWrap w:val="0"/>
            <w:vAlign w:val="center"/>
          </w:tcPr>
          <w:p w14:paraId="0F1FB5E4">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要求完工日期</w:t>
            </w:r>
          </w:p>
        </w:tc>
        <w:tc>
          <w:tcPr>
            <w:tcW w:w="2263" w:type="dxa"/>
            <w:noWrap w:val="0"/>
            <w:vAlign w:val="center"/>
          </w:tcPr>
          <w:p w14:paraId="7F77512D">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违约金（元/天）</w:t>
            </w:r>
          </w:p>
        </w:tc>
      </w:tr>
      <w:tr w14:paraId="3C85B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noWrap w:val="0"/>
            <w:vAlign w:val="center"/>
          </w:tcPr>
          <w:p w14:paraId="3D045829">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w:t>
            </w:r>
          </w:p>
        </w:tc>
        <w:tc>
          <w:tcPr>
            <w:tcW w:w="2306" w:type="dxa"/>
            <w:noWrap w:val="0"/>
            <w:vAlign w:val="center"/>
          </w:tcPr>
          <w:p w14:paraId="760761C4">
            <w:pPr>
              <w:autoSpaceDE w:val="0"/>
              <w:autoSpaceDN w:val="0"/>
              <w:adjustRightIn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全部工程</w:t>
            </w:r>
          </w:p>
        </w:tc>
        <w:tc>
          <w:tcPr>
            <w:tcW w:w="3514" w:type="dxa"/>
            <w:noWrap w:val="0"/>
            <w:vAlign w:val="center"/>
          </w:tcPr>
          <w:p w14:paraId="72592ACE">
            <w:pPr>
              <w:autoSpaceDE w:val="0"/>
              <w:autoSpaceDN w:val="0"/>
              <w:adjustRightIn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highlight w:val="none"/>
                <w:lang w:val="en-US" w:eastAsia="zh-CN"/>
              </w:rPr>
              <w:t>180日历天</w:t>
            </w:r>
          </w:p>
        </w:tc>
        <w:tc>
          <w:tcPr>
            <w:tcW w:w="2263" w:type="dxa"/>
            <w:noWrap w:val="0"/>
            <w:vAlign w:val="center"/>
          </w:tcPr>
          <w:p w14:paraId="5C98E390">
            <w:pPr>
              <w:autoSpaceDE w:val="0"/>
              <w:autoSpaceDN w:val="0"/>
              <w:adjustRightInd w:val="0"/>
              <w:spacing w:line="400" w:lineRule="exact"/>
              <w:ind w:left="24" w:hanging="24" w:hangingChars="10"/>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2000</w:t>
            </w:r>
          </w:p>
        </w:tc>
      </w:tr>
    </w:tbl>
    <w:p w14:paraId="3509CF5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⑵ 全部逾期完工违约金的总限额为不超过签约合同价（扣除预留金）的</w:t>
      </w:r>
      <w:r>
        <w:rPr>
          <w:rFonts w:hint="eastAsia" w:asciiTheme="minorEastAsia" w:hAnsiTheme="minorEastAsia" w:eastAsiaTheme="minorEastAsia" w:cstheme="minorEastAsia"/>
          <w:snapToGrid w:val="0"/>
          <w:color w:val="auto"/>
          <w:sz w:val="24"/>
          <w:szCs w:val="24"/>
          <w:u w:val="single"/>
        </w:rPr>
        <w:t xml:space="preserve"> 2 </w:t>
      </w:r>
      <w:r>
        <w:rPr>
          <w:rFonts w:hint="eastAsia" w:asciiTheme="minorEastAsia" w:hAnsiTheme="minorEastAsia" w:eastAsiaTheme="minorEastAsia" w:cstheme="minorEastAsia"/>
          <w:snapToGrid w:val="0"/>
          <w:color w:val="auto"/>
          <w:sz w:val="24"/>
          <w:szCs w:val="24"/>
        </w:rPr>
        <w:t>%。</w:t>
      </w:r>
    </w:p>
    <w:p w14:paraId="61AFC5A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507" w:name="_Toc283728732"/>
      <w:bookmarkStart w:id="508" w:name="_Toc381776157"/>
      <w:bookmarkStart w:id="509" w:name="_Toc370459064"/>
      <w:bookmarkStart w:id="510" w:name="_Toc362883287"/>
      <w:r>
        <w:rPr>
          <w:rFonts w:hint="eastAsia" w:asciiTheme="minorEastAsia" w:hAnsiTheme="minorEastAsia" w:eastAsiaTheme="minorEastAsia" w:cstheme="minorEastAsia"/>
          <w:b/>
          <w:color w:val="auto"/>
          <w:spacing w:val="20"/>
          <w:sz w:val="24"/>
          <w:szCs w:val="24"/>
        </w:rPr>
        <w:t>11.6 工期提前</w:t>
      </w:r>
      <w:bookmarkEnd w:id="507"/>
      <w:bookmarkEnd w:id="508"/>
      <w:bookmarkEnd w:id="509"/>
      <w:bookmarkEnd w:id="510"/>
    </w:p>
    <w:p w14:paraId="7D079C7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工期提前的奖金约定：</w:t>
      </w:r>
      <w:r>
        <w:rPr>
          <w:rFonts w:hint="eastAsia" w:asciiTheme="minorEastAsia" w:hAnsiTheme="minorEastAsia" w:eastAsiaTheme="minorEastAsia" w:cstheme="minorEastAsia"/>
          <w:snapToGrid w:val="0"/>
          <w:color w:val="auto"/>
          <w:sz w:val="24"/>
          <w:szCs w:val="24"/>
          <w:u w:val="single"/>
        </w:rPr>
        <w:t xml:space="preserve"> 工期提前不奖励 </w:t>
      </w:r>
      <w:r>
        <w:rPr>
          <w:rFonts w:hint="eastAsia" w:asciiTheme="minorEastAsia" w:hAnsiTheme="minorEastAsia" w:eastAsiaTheme="minorEastAsia" w:cstheme="minorEastAsia"/>
          <w:snapToGrid w:val="0"/>
          <w:color w:val="auto"/>
          <w:sz w:val="24"/>
          <w:szCs w:val="24"/>
        </w:rPr>
        <w:t>。</w:t>
      </w:r>
    </w:p>
    <w:p w14:paraId="724ABFDB">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511" w:name="_Toc307478982"/>
      <w:bookmarkStart w:id="512" w:name="_Toc344282759"/>
      <w:bookmarkStart w:id="513" w:name="_Toc381776158"/>
      <w:bookmarkStart w:id="514" w:name="_Toc362883288"/>
      <w:bookmarkStart w:id="515" w:name="_Toc370459065"/>
      <w:bookmarkStart w:id="516" w:name="_Toc266998253"/>
      <w:bookmarkStart w:id="517" w:name="_Toc259802233"/>
      <w:bookmarkStart w:id="518" w:name="_Toc217819052"/>
      <w:r>
        <w:rPr>
          <w:rFonts w:hint="eastAsia" w:asciiTheme="minorEastAsia" w:hAnsiTheme="minorEastAsia" w:eastAsiaTheme="minorEastAsia" w:cstheme="minorEastAsia"/>
          <w:b/>
          <w:snapToGrid w:val="0"/>
          <w:color w:val="auto"/>
          <w:sz w:val="24"/>
          <w:szCs w:val="24"/>
        </w:rPr>
        <w:t>12 暂停施工</w:t>
      </w:r>
      <w:bookmarkEnd w:id="511"/>
      <w:bookmarkEnd w:id="512"/>
      <w:bookmarkEnd w:id="513"/>
      <w:bookmarkEnd w:id="514"/>
      <w:bookmarkEnd w:id="515"/>
      <w:bookmarkEnd w:id="516"/>
      <w:bookmarkEnd w:id="517"/>
    </w:p>
    <w:p w14:paraId="07094542">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12.1 承包人暂停施工的责任</w:t>
      </w:r>
    </w:p>
    <w:p w14:paraId="0A23EF51">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⑸ 承包人承担暂停施工责任的其他情形：</w:t>
      </w:r>
      <w:r>
        <w:rPr>
          <w:rFonts w:hint="eastAsia" w:asciiTheme="minorEastAsia" w:hAnsiTheme="minorEastAsia" w:eastAsiaTheme="minorEastAsia" w:cstheme="minorEastAsia"/>
          <w:snapToGrid w:val="0"/>
          <w:color w:val="auto"/>
          <w:sz w:val="24"/>
          <w:szCs w:val="24"/>
          <w:u w:val="single"/>
        </w:rPr>
        <w:t xml:space="preserve"> 现场气候条件导致的必要停工（第11.4.3项规定的异常恶劣的气候条件除外） </w:t>
      </w:r>
      <w:r>
        <w:rPr>
          <w:rFonts w:hint="eastAsia" w:asciiTheme="minorEastAsia" w:hAnsiTheme="minorEastAsia" w:eastAsiaTheme="minorEastAsia" w:cstheme="minorEastAsia"/>
          <w:snapToGrid w:val="0"/>
          <w:color w:val="auto"/>
          <w:sz w:val="24"/>
          <w:szCs w:val="24"/>
        </w:rPr>
        <w:t>。</w:t>
      </w:r>
    </w:p>
    <w:p w14:paraId="72105F50">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12.2 发包人暂停施工的责任</w:t>
      </w:r>
    </w:p>
    <w:p w14:paraId="023BB20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⑶ 发包人承担暂停施工责任的其他情形：</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672E8D8B">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519" w:name="_Toc381776159"/>
      <w:bookmarkStart w:id="520" w:name="_Toc266998254"/>
      <w:bookmarkStart w:id="521" w:name="_Toc344282760"/>
      <w:bookmarkStart w:id="522" w:name="_Toc307478983"/>
      <w:bookmarkStart w:id="523" w:name="_Toc362883289"/>
      <w:bookmarkStart w:id="524" w:name="_Toc370459066"/>
      <w:r>
        <w:rPr>
          <w:rFonts w:hint="eastAsia" w:asciiTheme="minorEastAsia" w:hAnsiTheme="minorEastAsia" w:eastAsiaTheme="minorEastAsia" w:cstheme="minorEastAsia"/>
          <w:b/>
          <w:snapToGrid w:val="0"/>
          <w:color w:val="auto"/>
          <w:sz w:val="24"/>
          <w:szCs w:val="24"/>
        </w:rPr>
        <w:t>13 工程质量</w:t>
      </w:r>
      <w:bookmarkEnd w:id="518"/>
      <w:bookmarkEnd w:id="519"/>
      <w:bookmarkEnd w:id="520"/>
      <w:bookmarkEnd w:id="521"/>
      <w:bookmarkEnd w:id="522"/>
      <w:bookmarkEnd w:id="523"/>
      <w:bookmarkEnd w:id="524"/>
    </w:p>
    <w:p w14:paraId="7954C3D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525" w:name="_Toc362883290"/>
      <w:bookmarkStart w:id="526" w:name="_Toc381776160"/>
      <w:bookmarkStart w:id="527" w:name="_Toc370459067"/>
      <w:bookmarkStart w:id="528" w:name="_Toc217819053"/>
      <w:r>
        <w:rPr>
          <w:rFonts w:hint="eastAsia" w:asciiTheme="minorEastAsia" w:hAnsiTheme="minorEastAsia" w:eastAsiaTheme="minorEastAsia" w:cstheme="minorEastAsia"/>
          <w:b/>
          <w:color w:val="auto"/>
          <w:spacing w:val="20"/>
          <w:sz w:val="24"/>
          <w:szCs w:val="24"/>
        </w:rPr>
        <w:t>13.7 质量评定</w:t>
      </w:r>
      <w:bookmarkEnd w:id="525"/>
      <w:bookmarkEnd w:id="526"/>
      <w:bookmarkEnd w:id="527"/>
    </w:p>
    <w:p w14:paraId="6F3DA09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13.7.4 重要隐蔽单元工程和关键部位单元工程质量评定的约定：</w:t>
      </w:r>
      <w:r>
        <w:rPr>
          <w:rFonts w:hint="eastAsia" w:asciiTheme="minorEastAsia" w:hAnsiTheme="minorEastAsia" w:eastAsiaTheme="minorEastAsia" w:cstheme="minorEastAsia"/>
          <w:snapToGrid w:val="0"/>
          <w:color w:val="auto"/>
          <w:sz w:val="24"/>
          <w:szCs w:val="24"/>
          <w:u w:val="single"/>
        </w:rPr>
        <w:t xml:space="preserve"> 合格 </w:t>
      </w:r>
      <w:r>
        <w:rPr>
          <w:rFonts w:hint="eastAsia" w:asciiTheme="minorEastAsia" w:hAnsiTheme="minorEastAsia" w:eastAsiaTheme="minorEastAsia" w:cstheme="minorEastAsia"/>
          <w:snapToGrid w:val="0"/>
          <w:color w:val="auto"/>
          <w:sz w:val="24"/>
          <w:szCs w:val="24"/>
        </w:rPr>
        <w:t>。</w:t>
      </w:r>
    </w:p>
    <w:p w14:paraId="62E5B1E1">
      <w:pPr>
        <w:autoSpaceDE w:val="0"/>
        <w:autoSpaceDN w:val="0"/>
        <w:adjustRightInd w:val="0"/>
        <w:snapToGrid w:val="0"/>
        <w:spacing w:line="400" w:lineRule="exact"/>
        <w:ind w:firstLine="501" w:firstLineChars="209"/>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13.7.7 工程合格标准为</w:t>
      </w:r>
      <w:r>
        <w:rPr>
          <w:rFonts w:hint="eastAsia" w:asciiTheme="minorEastAsia" w:hAnsiTheme="minorEastAsia" w:eastAsiaTheme="minorEastAsia" w:cstheme="minorEastAsia"/>
          <w:snapToGrid w:val="0"/>
          <w:color w:val="auto"/>
          <w:sz w:val="24"/>
          <w:szCs w:val="24"/>
          <w:u w:val="single"/>
        </w:rPr>
        <w:t xml:space="preserve"> ①单位工程质量全部合格；②工程施工期及试运行期，各单位工程观测资料分析结果均符合国家和行业技术标准以及合同约定的标准要求 </w:t>
      </w:r>
      <w:r>
        <w:rPr>
          <w:rFonts w:hint="eastAsia" w:asciiTheme="minorEastAsia" w:hAnsiTheme="minorEastAsia" w:eastAsiaTheme="minorEastAsia" w:cstheme="minorEastAsia"/>
          <w:snapToGrid w:val="0"/>
          <w:color w:val="auto"/>
          <w:sz w:val="24"/>
          <w:szCs w:val="24"/>
        </w:rPr>
        <w:t>；优良标准为</w:t>
      </w:r>
      <w:r>
        <w:rPr>
          <w:rFonts w:hint="eastAsia" w:asciiTheme="minorEastAsia" w:hAnsiTheme="minorEastAsia" w:eastAsiaTheme="minorEastAsia" w:cstheme="minorEastAsia"/>
          <w:snapToGrid w:val="0"/>
          <w:color w:val="auto"/>
          <w:sz w:val="24"/>
          <w:szCs w:val="24"/>
          <w:u w:val="single"/>
        </w:rPr>
        <w:t xml:space="preserve"> ①单位工程质量全部合格，其中70%以上单位工程质量达到优良等级，且主要单位工程质量全部优良；②工程施工期及试运行期，各单位工程观测资料分析结果均符合国家和行业技术标准以及合同约定的标准要求 </w:t>
      </w:r>
      <w:r>
        <w:rPr>
          <w:rFonts w:hint="eastAsia" w:asciiTheme="minorEastAsia" w:hAnsiTheme="minorEastAsia" w:eastAsiaTheme="minorEastAsia" w:cstheme="minorEastAsia"/>
          <w:snapToGrid w:val="0"/>
          <w:color w:val="auto"/>
          <w:sz w:val="24"/>
          <w:szCs w:val="24"/>
        </w:rPr>
        <w:t>。达到优良的奖金为</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7A60865C">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529" w:name="_Toc370459068"/>
      <w:bookmarkStart w:id="530" w:name="_Toc259802235"/>
      <w:bookmarkStart w:id="531" w:name="_Toc266998255"/>
      <w:bookmarkStart w:id="532" w:name="_Toc307478984"/>
      <w:bookmarkStart w:id="533" w:name="_Toc362883291"/>
      <w:bookmarkStart w:id="534" w:name="_Toc381776161"/>
      <w:bookmarkStart w:id="535" w:name="_Toc344282761"/>
      <w:r>
        <w:rPr>
          <w:rFonts w:hint="eastAsia" w:asciiTheme="minorEastAsia" w:hAnsiTheme="minorEastAsia" w:eastAsiaTheme="minorEastAsia" w:cstheme="minorEastAsia"/>
          <w:b/>
          <w:snapToGrid w:val="0"/>
          <w:color w:val="auto"/>
          <w:sz w:val="24"/>
          <w:szCs w:val="24"/>
        </w:rPr>
        <w:t>14 试验和检验</w:t>
      </w:r>
      <w:bookmarkEnd w:id="529"/>
      <w:bookmarkEnd w:id="530"/>
      <w:bookmarkEnd w:id="531"/>
      <w:bookmarkEnd w:id="532"/>
      <w:bookmarkEnd w:id="533"/>
      <w:bookmarkEnd w:id="534"/>
      <w:bookmarkEnd w:id="535"/>
    </w:p>
    <w:p w14:paraId="56CCCC43">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14.1 材料、工程设备和工程的试验和检验</w:t>
      </w:r>
    </w:p>
    <w:p w14:paraId="23E5FB24">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14.1.5 水工金属结构、启闭机及机电产品进场后的交货检查和验收中，承包人负责</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5993C00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14.1.6 本工程实行见证取样的试块、试件及有关材料：</w:t>
      </w:r>
      <w:r>
        <w:rPr>
          <w:rFonts w:hint="eastAsia" w:asciiTheme="minorEastAsia" w:hAnsiTheme="minorEastAsia" w:eastAsiaTheme="minorEastAsia" w:cstheme="minorEastAsia"/>
          <w:snapToGrid w:val="0"/>
          <w:color w:val="auto"/>
          <w:sz w:val="24"/>
          <w:szCs w:val="24"/>
          <w:u w:val="single"/>
        </w:rPr>
        <w:t xml:space="preserve"> 砼、钢筋原材料、钢筋焊接件、块石、水泥、混凝土骨料、土工材料、沥青等。</w:t>
      </w:r>
    </w:p>
    <w:p w14:paraId="095753E8">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536" w:name="_Toc381776162"/>
      <w:bookmarkStart w:id="537" w:name="_Toc266998256"/>
      <w:bookmarkStart w:id="538" w:name="_Toc307478985"/>
      <w:bookmarkStart w:id="539" w:name="_Toc344282762"/>
      <w:bookmarkStart w:id="540" w:name="_Toc370459069"/>
      <w:bookmarkStart w:id="541" w:name="_Toc362883292"/>
      <w:r>
        <w:rPr>
          <w:rFonts w:hint="eastAsia" w:asciiTheme="minorEastAsia" w:hAnsiTheme="minorEastAsia" w:eastAsiaTheme="minorEastAsia" w:cstheme="minorEastAsia"/>
          <w:b/>
          <w:snapToGrid w:val="0"/>
          <w:color w:val="auto"/>
          <w:sz w:val="24"/>
          <w:szCs w:val="24"/>
        </w:rPr>
        <w:t>15 变更</w:t>
      </w:r>
      <w:bookmarkEnd w:id="528"/>
      <w:bookmarkEnd w:id="536"/>
      <w:bookmarkEnd w:id="537"/>
      <w:bookmarkEnd w:id="538"/>
      <w:bookmarkEnd w:id="539"/>
      <w:bookmarkEnd w:id="540"/>
      <w:bookmarkEnd w:id="541"/>
    </w:p>
    <w:p w14:paraId="644FFCFC">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pacing w:val="20"/>
          <w:sz w:val="24"/>
          <w:szCs w:val="24"/>
        </w:rPr>
        <w:t>15.</w:t>
      </w:r>
      <w:r>
        <w:rPr>
          <w:rFonts w:hint="eastAsia" w:asciiTheme="minorEastAsia" w:hAnsiTheme="minorEastAsia" w:eastAsiaTheme="minorEastAsia" w:cstheme="minorEastAsia"/>
          <w:b/>
          <w:color w:val="auto"/>
          <w:spacing w:val="20"/>
          <w:sz w:val="24"/>
          <w:szCs w:val="24"/>
          <w:lang w:val="en-US" w:eastAsia="zh-CN"/>
        </w:rPr>
        <w:t>1</w:t>
      </w:r>
      <w:r>
        <w:rPr>
          <w:rFonts w:hint="eastAsia" w:asciiTheme="minorEastAsia" w:hAnsiTheme="minorEastAsia" w:eastAsiaTheme="minorEastAsia" w:cstheme="minorEastAsia"/>
          <w:b/>
          <w:color w:val="auto"/>
          <w:spacing w:val="20"/>
          <w:sz w:val="24"/>
          <w:szCs w:val="24"/>
        </w:rPr>
        <w:t xml:space="preserve"> 变更的估价原则</w:t>
      </w:r>
    </w:p>
    <w:p w14:paraId="70F36410">
      <w:pPr>
        <w:autoSpaceDE w:val="0"/>
        <w:autoSpaceDN w:val="0"/>
        <w:adjustRightInd w:val="0"/>
        <w:spacing w:line="400" w:lineRule="exact"/>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15.</w:t>
      </w:r>
      <w:r>
        <w:rPr>
          <w:rFonts w:hint="eastAsia" w:asciiTheme="minorEastAsia" w:hAnsiTheme="minorEastAsia" w:eastAsiaTheme="minorEastAsia" w:cstheme="minorEastAsia"/>
          <w:snapToGrid w:val="0"/>
          <w:color w:val="auto"/>
          <w:sz w:val="24"/>
          <w:szCs w:val="24"/>
          <w:lang w:val="en-US" w:eastAsia="zh-CN"/>
        </w:rPr>
        <w:t>1</w:t>
      </w:r>
      <w:r>
        <w:rPr>
          <w:rFonts w:hint="eastAsia" w:asciiTheme="minorEastAsia" w:hAnsiTheme="minorEastAsia" w:eastAsiaTheme="minorEastAsia" w:cstheme="minorEastAsia"/>
          <w:snapToGrid w:val="0"/>
          <w:color w:val="auto"/>
          <w:sz w:val="24"/>
          <w:szCs w:val="24"/>
        </w:rPr>
        <w:t>.</w:t>
      </w:r>
      <w:r>
        <w:rPr>
          <w:rFonts w:hint="eastAsia" w:asciiTheme="minorEastAsia" w:hAnsiTheme="minorEastAsia" w:eastAsiaTheme="minorEastAsia" w:cstheme="minorEastAsia"/>
          <w:snapToGrid w:val="0"/>
          <w:color w:val="auto"/>
          <w:sz w:val="24"/>
          <w:szCs w:val="24"/>
          <w:lang w:val="en-US" w:eastAsia="zh-CN"/>
        </w:rPr>
        <w:t>1</w:t>
      </w:r>
      <w:r>
        <w:rPr>
          <w:rFonts w:hint="eastAsia" w:asciiTheme="minorEastAsia" w:hAnsiTheme="minorEastAsia" w:eastAsiaTheme="minorEastAsia" w:cstheme="minorEastAsia"/>
          <w:snapToGrid w:val="0"/>
          <w:color w:val="auto"/>
          <w:sz w:val="24"/>
          <w:szCs w:val="24"/>
        </w:rPr>
        <w:t xml:space="preserve"> 细化为：工程量清单中的项目及数量发生增减，除下列情况下外，结算时执行合同原有价格：</w:t>
      </w:r>
    </w:p>
    <w:p w14:paraId="3FC287DC">
      <w:pPr>
        <w:autoSpaceDE w:val="0"/>
        <w:autoSpaceDN w:val="0"/>
        <w:adjustRightInd w:val="0"/>
        <w:snapToGrid w:val="0"/>
        <w:spacing w:line="400" w:lineRule="exact"/>
        <w:ind w:firstLine="360" w:firstLineChars="15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（1）施工过程中发生工程变更，承包人按照经发包人认可的变更设计文件进行变更施工，其中重大设计变更（包括工程量和材料的变更），发包人需按规定程序报批后方可施工。</w:t>
      </w:r>
    </w:p>
    <w:p w14:paraId="017BFC8B">
      <w:pPr>
        <w:autoSpaceDE w:val="0"/>
        <w:autoSpaceDN w:val="0"/>
        <w:adjustRightInd w:val="0"/>
        <w:snapToGrid w:val="0"/>
        <w:spacing w:line="400" w:lineRule="exact"/>
        <w:ind w:firstLine="360" w:firstLineChars="15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发包人提供的工程量清单有数量误差，或设计变更引起工程量清单项目工程数量的增减，如其工程量增加或减少超过本项目工程数量15%，其增加部分工程量（指超过15%以上部分）或减少后剩余部分工程量的相应单价由发、承包人根据招标文件和合同中约定的计价依据和组价原则，按确定的下浮率下浮结算。具体的下浮率为【1-（中标总价-非竞争项目费用）/（</w:t>
      </w:r>
      <w:r>
        <w:rPr>
          <w:rFonts w:hint="eastAsia" w:asciiTheme="minorEastAsia" w:hAnsiTheme="minorEastAsia" w:eastAsiaTheme="minorEastAsia" w:cstheme="minorEastAsia"/>
          <w:snapToGrid w:val="0"/>
          <w:color w:val="auto"/>
          <w:sz w:val="24"/>
          <w:szCs w:val="24"/>
          <w:lang w:eastAsia="zh-CN"/>
        </w:rPr>
        <w:t>预算价</w:t>
      </w:r>
      <w:r>
        <w:rPr>
          <w:rFonts w:hint="eastAsia" w:asciiTheme="minorEastAsia" w:hAnsiTheme="minorEastAsia" w:eastAsiaTheme="minorEastAsia" w:cstheme="minorEastAsia"/>
          <w:snapToGrid w:val="0"/>
          <w:color w:val="auto"/>
          <w:sz w:val="24"/>
          <w:szCs w:val="24"/>
        </w:rPr>
        <w:t>-非竞争项目费用）】*100%。</w:t>
      </w:r>
    </w:p>
    <w:p w14:paraId="6BD53C7C">
      <w:pPr>
        <w:autoSpaceDE w:val="0"/>
        <w:autoSpaceDN w:val="0"/>
        <w:adjustRightInd w:val="0"/>
        <w:snapToGrid w:val="0"/>
        <w:spacing w:line="400" w:lineRule="exact"/>
        <w:ind w:firstLine="361" w:firstLineChars="150"/>
        <w:textAlignment w:val="baseline"/>
        <w:rPr>
          <w:rFonts w:hint="eastAsia" w:asciiTheme="minorEastAsia" w:hAnsiTheme="minorEastAsia" w:eastAsiaTheme="minorEastAsia" w:cstheme="minorEastAsia"/>
          <w:b/>
          <w:snapToGrid w:val="0"/>
          <w:color w:val="auto"/>
          <w:sz w:val="24"/>
          <w:szCs w:val="24"/>
          <w:highlight w:val="yellow"/>
          <w:lang w:eastAsia="zh-CN"/>
        </w:rPr>
      </w:pPr>
      <w:r>
        <w:rPr>
          <w:rFonts w:hint="eastAsia" w:asciiTheme="minorEastAsia" w:hAnsiTheme="minorEastAsia" w:eastAsiaTheme="minorEastAsia" w:cstheme="minorEastAsia"/>
          <w:b/>
          <w:snapToGrid w:val="0"/>
          <w:color w:val="auto"/>
          <w:sz w:val="24"/>
          <w:szCs w:val="24"/>
        </w:rPr>
        <w:t xml:space="preserve">  </w:t>
      </w:r>
      <w:r>
        <w:rPr>
          <w:rFonts w:hint="eastAsia" w:asciiTheme="minorEastAsia" w:hAnsiTheme="minorEastAsia" w:eastAsiaTheme="minorEastAsia" w:cstheme="minorEastAsia"/>
          <w:b/>
          <w:snapToGrid w:val="0"/>
          <w:color w:val="auto"/>
          <w:sz w:val="24"/>
          <w:szCs w:val="24"/>
          <w:lang w:eastAsia="zh-CN"/>
        </w:rPr>
        <w:t>预算</w:t>
      </w:r>
      <w:r>
        <w:rPr>
          <w:rFonts w:hint="eastAsia" w:asciiTheme="minorEastAsia" w:hAnsiTheme="minorEastAsia" w:eastAsiaTheme="minorEastAsia" w:cstheme="minorEastAsia"/>
          <w:b/>
          <w:snapToGrid w:val="0"/>
          <w:color w:val="auto"/>
          <w:sz w:val="24"/>
          <w:szCs w:val="24"/>
          <w:highlight w:val="none"/>
          <w:lang w:eastAsia="zh-CN"/>
        </w:rPr>
        <w:t>价</w:t>
      </w:r>
      <w:r>
        <w:rPr>
          <w:rFonts w:hint="eastAsia" w:asciiTheme="minorEastAsia" w:hAnsiTheme="minorEastAsia" w:eastAsiaTheme="minorEastAsia" w:cstheme="minorEastAsia"/>
          <w:b/>
          <w:snapToGrid w:val="0"/>
          <w:color w:val="auto"/>
          <w:sz w:val="24"/>
          <w:szCs w:val="24"/>
          <w:highlight w:val="none"/>
        </w:rPr>
        <w:t>为</w:t>
      </w:r>
      <w:r>
        <w:rPr>
          <w:rFonts w:hint="eastAsia" w:asciiTheme="minorEastAsia" w:hAnsiTheme="minorEastAsia" w:eastAsiaTheme="minorEastAsia" w:cstheme="minorEastAsia"/>
          <w:b/>
          <w:snapToGrid w:val="0"/>
          <w:color w:val="auto"/>
          <w:sz w:val="24"/>
          <w:szCs w:val="24"/>
          <w:highlight w:val="none"/>
          <w:u w:val="single"/>
          <w:lang w:val="en-US" w:eastAsia="zh-CN"/>
        </w:rPr>
        <w:t xml:space="preserve"> 2690900 </w:t>
      </w:r>
      <w:r>
        <w:rPr>
          <w:rFonts w:hint="eastAsia" w:asciiTheme="minorEastAsia" w:hAnsiTheme="minorEastAsia" w:eastAsiaTheme="minorEastAsia" w:cstheme="minorEastAsia"/>
          <w:b/>
          <w:color w:val="auto"/>
          <w:sz w:val="24"/>
          <w:szCs w:val="24"/>
          <w:highlight w:val="none"/>
        </w:rPr>
        <w:t>元；非竞争项目费用</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b/>
          <w:color w:val="auto"/>
          <w:sz w:val="24"/>
          <w:szCs w:val="24"/>
          <w:highlight w:val="none"/>
          <w:u w:val="single"/>
          <w:lang w:eastAsia="zh-CN"/>
        </w:rPr>
        <w:t>173292</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b/>
          <w:color w:val="auto"/>
          <w:sz w:val="24"/>
          <w:szCs w:val="24"/>
          <w:highlight w:val="none"/>
        </w:rPr>
        <w:t>元</w:t>
      </w:r>
      <w:r>
        <w:rPr>
          <w:rFonts w:hint="eastAsia" w:asciiTheme="minorEastAsia" w:hAnsiTheme="minorEastAsia" w:eastAsiaTheme="minorEastAsia" w:cstheme="minorEastAsia"/>
          <w:b/>
          <w:color w:val="auto"/>
          <w:sz w:val="24"/>
          <w:szCs w:val="24"/>
          <w:highlight w:val="none"/>
          <w:lang w:eastAsia="zh-CN"/>
        </w:rPr>
        <w:t>；</w:t>
      </w:r>
    </w:p>
    <w:p w14:paraId="2D127C2E">
      <w:pPr>
        <w:autoSpaceDE w:val="0"/>
        <w:autoSpaceDN w:val="0"/>
        <w:adjustRightInd w:val="0"/>
        <w:snapToGrid w:val="0"/>
        <w:spacing w:line="400" w:lineRule="exact"/>
        <w:ind w:firstLine="360" w:firstLineChars="15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（3）发包人提供的工程量清单项目漏项，或设计变更引起新的工程项目，其相应单价的确定方法为：</w:t>
      </w:r>
    </w:p>
    <w:p w14:paraId="73A83E3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1、合同中已有适用于变更工程的单价，按合同中已有的单价执行；</w:t>
      </w:r>
    </w:p>
    <w:p w14:paraId="556DDB7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2、合同中有类似工程项目单价的，可以参照类似项目的单价经计算确定；</w:t>
      </w:r>
    </w:p>
    <w:p w14:paraId="477D89A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3、合同中没有适用或类似于变更工程的单价，则由发、承包人根据招标文件和合同约定的计价依据和组价原则，按确定的下浮率下浮结算。具体的下浮率为【1-（中标总价-非竞争项目费用）/（预算价-非竞争项目费用）】*100%。</w:t>
      </w:r>
    </w:p>
    <w:p w14:paraId="36281BF0">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现行定额：《浙江省水利水电建筑工程预算定额（2021）》；</w:t>
      </w:r>
      <w:r>
        <w:rPr>
          <w:rFonts w:hint="eastAsia" w:asciiTheme="minorEastAsia" w:hAnsiTheme="minorEastAsia" w:eastAsiaTheme="minorEastAsia" w:cstheme="minorEastAsia"/>
          <w:snapToGrid w:val="0"/>
          <w:color w:val="auto"/>
          <w:sz w:val="24"/>
          <w:szCs w:val="24"/>
          <w:highlight w:val="none"/>
          <w:lang w:val="en-US" w:eastAsia="zh-CN"/>
        </w:rPr>
        <w:t>《浙江省市政工程预算定额（2018版）》；</w:t>
      </w:r>
      <w:r>
        <w:rPr>
          <w:rFonts w:hint="eastAsia" w:asciiTheme="minorEastAsia" w:hAnsiTheme="minorEastAsia" w:eastAsiaTheme="minorEastAsia" w:cstheme="minorEastAsia"/>
          <w:snapToGrid w:val="0"/>
          <w:color w:val="auto"/>
          <w:sz w:val="24"/>
          <w:szCs w:val="24"/>
          <w:highlight w:val="none"/>
        </w:rPr>
        <w:t>《浙江省水利水电工程施工机械台班费定额（2021）》；《浙江省水利工程工程量清单计价办法》不足部分参照国家有关定额。</w:t>
      </w:r>
    </w:p>
    <w:p w14:paraId="1C5EC850">
      <w:pPr>
        <w:spacing w:line="46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（4）取费费率：按照承包人投标时不同工程类别选取费率。对于新增的合同中无相同或类似单价的工程项目费率，取费费率取各项弹性区间费率的中间值。</w:t>
      </w:r>
    </w:p>
    <w:p w14:paraId="0D58EF4A">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监理人与承包人协商确定变更后的单价或合价，报请发包人批准后实施。</w:t>
      </w:r>
    </w:p>
    <w:p w14:paraId="1F98639F">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具体执行《宁海县政府投资项目建设工程造价管控办法》（宁发改〔202</w:t>
      </w: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51</w:t>
      </w:r>
      <w:r>
        <w:rPr>
          <w:rFonts w:hint="eastAsia" w:ascii="宋体" w:hAnsi="宋体" w:eastAsia="宋体" w:cs="宋体"/>
          <w:snapToGrid w:val="0"/>
          <w:color w:val="auto"/>
          <w:sz w:val="24"/>
          <w:szCs w:val="24"/>
          <w:highlight w:val="none"/>
        </w:rPr>
        <w:t>号文件）、《宁海县水利工程项目建设工程变更管理实施细则》（宁水〔2015〕80号文件）</w:t>
      </w:r>
      <w:r>
        <w:rPr>
          <w:rFonts w:hint="eastAsia" w:ascii="宋体" w:hAnsi="宋体" w:eastAsia="宋体" w:cs="宋体"/>
          <w:snapToGrid w:val="0"/>
          <w:color w:val="auto"/>
          <w:sz w:val="24"/>
          <w:szCs w:val="24"/>
          <w:highlight w:val="none"/>
          <w:lang w:val="en-US" w:eastAsia="zh-CN"/>
        </w:rPr>
        <w:t>、《宁海县人民政府办公室关于印发宁海县政府投资项目全流程管理办法（试行） 55 的通知》（宁政办发[2022]38 号文件），以上文件若有冲突，以后发者为准。</w:t>
      </w:r>
    </w:p>
    <w:p w14:paraId="3CA1F170">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《浙江省水利厅关于水利工程营业税改增值税后计价依据的调整》的通知（浙水建〔2016〕14号）文件中的一般计税方法。</w:t>
      </w:r>
    </w:p>
    <w:p w14:paraId="6937CD02">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15.</w:t>
      </w:r>
      <w:r>
        <w:rPr>
          <w:rFonts w:hint="eastAsia" w:ascii="宋体" w:hAnsi="宋体" w:eastAsia="宋体" w:cs="宋体"/>
          <w:b/>
          <w:color w:val="auto"/>
          <w:spacing w:val="20"/>
          <w:sz w:val="24"/>
          <w:szCs w:val="24"/>
          <w:lang w:val="en-US" w:eastAsia="zh-CN"/>
        </w:rPr>
        <w:t>2</w:t>
      </w:r>
      <w:r>
        <w:rPr>
          <w:rFonts w:hint="eastAsia" w:ascii="宋体" w:hAnsi="宋体" w:eastAsia="宋体" w:cs="宋体"/>
          <w:b/>
          <w:color w:val="auto"/>
          <w:spacing w:val="20"/>
          <w:sz w:val="24"/>
          <w:szCs w:val="24"/>
        </w:rPr>
        <w:t xml:space="preserve"> 承包人的合理化建议</w:t>
      </w:r>
    </w:p>
    <w:p w14:paraId="17E1DA3D">
      <w:pPr>
        <w:autoSpaceDE w:val="0"/>
        <w:autoSpaceDN w:val="0"/>
        <w:adjustRightInd w:val="0"/>
        <w:snapToGrid w:val="0"/>
        <w:spacing w:line="400" w:lineRule="exact"/>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15.</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 xml:space="preserve"> 承包人实现合理化建议的奖励金额为：</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7493CE70">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15.</w:t>
      </w:r>
      <w:r>
        <w:rPr>
          <w:rFonts w:hint="eastAsia" w:ascii="宋体" w:hAnsi="宋体" w:eastAsia="宋体" w:cs="宋体"/>
          <w:b/>
          <w:color w:val="auto"/>
          <w:spacing w:val="20"/>
          <w:sz w:val="24"/>
          <w:szCs w:val="24"/>
          <w:lang w:val="en-US" w:eastAsia="zh-CN"/>
        </w:rPr>
        <w:t>3</w:t>
      </w:r>
      <w:r>
        <w:rPr>
          <w:rFonts w:hint="eastAsia" w:ascii="宋体" w:hAnsi="宋体" w:eastAsia="宋体" w:cs="宋体"/>
          <w:b/>
          <w:color w:val="auto"/>
          <w:spacing w:val="20"/>
          <w:sz w:val="24"/>
          <w:szCs w:val="24"/>
        </w:rPr>
        <w:t xml:space="preserve"> 暂估价</w:t>
      </w:r>
    </w:p>
    <w:p w14:paraId="38778111">
      <w:pPr>
        <w:autoSpaceDE w:val="0"/>
        <w:autoSpaceDN w:val="0"/>
        <w:adjustRightInd w:val="0"/>
        <w:snapToGrid w:val="0"/>
        <w:spacing w:line="400" w:lineRule="exact"/>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15.</w:t>
      </w:r>
      <w:r>
        <w:rPr>
          <w:rFonts w:hint="eastAsia" w:ascii="宋体" w:hAnsi="宋体" w:eastAsia="宋体" w:cs="宋体"/>
          <w:snapToGrid w:val="0"/>
          <w:color w:val="auto"/>
          <w:sz w:val="24"/>
          <w:szCs w:val="24"/>
          <w:lang w:val="en-US" w:eastAsia="zh-CN"/>
        </w:rPr>
        <w:t>3</w:t>
      </w:r>
      <w:r>
        <w:rPr>
          <w:rFonts w:hint="eastAsia" w:ascii="宋体" w:hAnsi="宋体" w:eastAsia="宋体" w:cs="宋体"/>
          <w:snapToGrid w:val="0"/>
          <w:color w:val="auto"/>
          <w:sz w:val="24"/>
          <w:szCs w:val="24"/>
        </w:rPr>
        <w:t>.1</w:t>
      </w:r>
    </w:p>
    <w:p w14:paraId="19346C96">
      <w:pPr>
        <w:autoSpaceDE w:val="0"/>
        <w:autoSpaceDN w:val="0"/>
        <w:adjustRightInd w:val="0"/>
        <w:snapToGrid w:val="0"/>
        <w:spacing w:line="400" w:lineRule="exact"/>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⑴ 发包人和承包人组织招标的暂估价项目：</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；发包人组织招标的暂估价项目：</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32A774D0">
      <w:pPr>
        <w:autoSpaceDE w:val="0"/>
        <w:autoSpaceDN w:val="0"/>
        <w:adjustRightInd w:val="0"/>
        <w:snapToGrid w:val="0"/>
        <w:spacing w:line="400" w:lineRule="exact"/>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⑵ 发包人和承包人以招标方式选择暂估价项目供应商或分包人时，双方的权利义务系：</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202648AD">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42" w:name="_Toc370459070"/>
      <w:bookmarkStart w:id="543" w:name="_Toc344282763"/>
      <w:bookmarkStart w:id="544" w:name="_Toc362883293"/>
      <w:bookmarkStart w:id="545" w:name="_Toc266998257"/>
      <w:bookmarkStart w:id="546" w:name="_Toc381776163"/>
      <w:bookmarkStart w:id="547" w:name="_Toc217819054"/>
      <w:bookmarkStart w:id="548" w:name="_Toc307478986"/>
      <w:r>
        <w:rPr>
          <w:rFonts w:hint="eastAsia" w:ascii="宋体" w:hAnsi="宋体" w:eastAsia="宋体" w:cs="宋体"/>
          <w:b/>
          <w:snapToGrid w:val="0"/>
          <w:color w:val="auto"/>
          <w:sz w:val="24"/>
          <w:szCs w:val="24"/>
        </w:rPr>
        <w:t>16 价格调整</w:t>
      </w:r>
      <w:bookmarkEnd w:id="542"/>
      <w:bookmarkEnd w:id="543"/>
      <w:bookmarkEnd w:id="544"/>
      <w:bookmarkEnd w:id="545"/>
      <w:bookmarkEnd w:id="546"/>
      <w:bookmarkEnd w:id="547"/>
      <w:bookmarkEnd w:id="548"/>
    </w:p>
    <w:p w14:paraId="1B518FB8">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16.1 物价波动引起的价格调整</w:t>
      </w:r>
    </w:p>
    <w:p w14:paraId="7D2EF5F8">
      <w:pPr>
        <w:spacing w:line="400" w:lineRule="exact"/>
        <w:ind w:firstLine="488"/>
        <w:rPr>
          <w:rFonts w:hint="eastAsia" w:ascii="宋体" w:hAnsi="宋体" w:eastAsia="宋体" w:cs="宋体"/>
          <w:snapToGrid w:val="0"/>
          <w:color w:val="auto"/>
          <w:sz w:val="24"/>
          <w:szCs w:val="24"/>
        </w:rPr>
      </w:pPr>
      <w:bookmarkStart w:id="549" w:name="_Toc184635114"/>
      <w:bookmarkStart w:id="550" w:name="_Toc217819055"/>
      <w:bookmarkStart w:id="551" w:name="_Toc241374758"/>
      <w:r>
        <w:rPr>
          <w:rFonts w:hint="eastAsia" w:ascii="宋体" w:hAnsi="宋体" w:eastAsia="宋体" w:cs="宋体"/>
          <w:snapToGrid w:val="0"/>
          <w:color w:val="auto"/>
          <w:sz w:val="24"/>
          <w:szCs w:val="24"/>
        </w:rPr>
        <w:t>删去本条全文，并代之以：</w:t>
      </w:r>
    </w:p>
    <w:bookmarkEnd w:id="549"/>
    <w:bookmarkEnd w:id="550"/>
    <w:p w14:paraId="3093FF7C">
      <w:pPr>
        <w:spacing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在合同履行过程中，除主要材料外的其他材料的价格按当前的市场价考虑风险系数进入单价，在合同执行期内不作调整。具体调整方法为：</w:t>
      </w:r>
      <w:r>
        <w:rPr>
          <w:rFonts w:hint="eastAsia" w:ascii="宋体" w:hAnsi="宋体" w:eastAsia="宋体" w:cs="宋体"/>
          <w:color w:val="auto"/>
          <w:sz w:val="24"/>
          <w:szCs w:val="24"/>
          <w:highlight w:val="none"/>
        </w:rPr>
        <w:t>《详见关于明确政府投资建设工程要素价格风险的通知》（宁发改[2014]24号）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调整材料明细：水泥，钢材，柴油，外购砂、石料，商品混凝土，外购条石，木材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。（注：《宁波建设工程造价信息综合版》（2025年4月刊）宁海县栏价格，宁海县栏无信息价部分参照宁波市区栏价格，宁波市栏无价格部分考虑市场价进入预算）。</w:t>
      </w:r>
    </w:p>
    <w:p w14:paraId="31CA92D4">
      <w:pPr>
        <w:pStyle w:val="783"/>
        <w:spacing w:line="500" w:lineRule="exact"/>
        <w:ind w:firstLine="48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绿化工程</w:t>
      </w:r>
    </w:p>
    <w:p w14:paraId="41C7B7E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本工程量清单未列的新增苗木单价，按宁波市建设工程造价信息园林苗木专刊202</w:t>
      </w:r>
      <w:r>
        <w:rPr>
          <w:rFonts w:hint="eastAsia" w:ascii="宋体" w:hAnsi="宋体" w:eastAsia="宋体" w:cs="宋体"/>
          <w:color w:val="auto"/>
          <w:sz w:val="24"/>
          <w:szCs w:val="24"/>
          <w:highlight w:val="none"/>
          <w:u w:val="single"/>
          <w:lang w:val="en-US" w:eastAsia="zh-CN" w:bidi="ar"/>
        </w:rPr>
        <w:t>3</w:t>
      </w:r>
      <w:r>
        <w:rPr>
          <w:rFonts w:hint="eastAsia" w:ascii="宋体" w:hAnsi="宋体" w:eastAsia="宋体" w:cs="宋体"/>
          <w:color w:val="auto"/>
          <w:sz w:val="24"/>
          <w:szCs w:val="24"/>
          <w:highlight w:val="none"/>
          <w:u w:val="single"/>
          <w:lang w:bidi="ar"/>
        </w:rPr>
        <w:t>年</w:t>
      </w:r>
      <w:r>
        <w:rPr>
          <w:rFonts w:hint="eastAsia" w:ascii="宋体" w:hAnsi="宋体" w:eastAsia="宋体" w:cs="宋体"/>
          <w:color w:val="auto"/>
          <w:sz w:val="24"/>
          <w:szCs w:val="24"/>
          <w:highlight w:val="none"/>
          <w:u w:val="single"/>
          <w:lang w:val="en-US" w:eastAsia="zh-CN" w:bidi="ar"/>
        </w:rPr>
        <w:t>12</w:t>
      </w:r>
      <w:r>
        <w:rPr>
          <w:rFonts w:hint="eastAsia" w:ascii="宋体" w:hAnsi="宋体" w:eastAsia="宋体" w:cs="宋体"/>
          <w:color w:val="auto"/>
          <w:sz w:val="24"/>
          <w:szCs w:val="24"/>
          <w:highlight w:val="none"/>
          <w:u w:val="single"/>
          <w:lang w:bidi="ar"/>
        </w:rPr>
        <w:t>月份信息价结合相应定额及取费并</w:t>
      </w:r>
      <w:r>
        <w:rPr>
          <w:rFonts w:hint="eastAsia" w:ascii="宋体" w:hAnsi="宋体" w:eastAsia="宋体" w:cs="宋体"/>
          <w:snapToGrid w:val="0"/>
          <w:color w:val="auto"/>
          <w:sz w:val="24"/>
          <w:szCs w:val="24"/>
          <w:highlight w:val="none"/>
          <w:u w:val="single"/>
        </w:rPr>
        <w:t>按确定的下浮率下浮结算。具体的下浮率为（1-（中标总价-非竞争项目费用）/（</w:t>
      </w:r>
      <w:r>
        <w:rPr>
          <w:rFonts w:hint="eastAsia" w:ascii="宋体" w:hAnsi="宋体" w:eastAsia="宋体" w:cs="宋体"/>
          <w:snapToGrid w:val="0"/>
          <w:color w:val="auto"/>
          <w:sz w:val="24"/>
          <w:szCs w:val="24"/>
          <w:highlight w:val="none"/>
          <w:u w:val="single"/>
          <w:lang w:eastAsia="zh-CN"/>
        </w:rPr>
        <w:t>预算价</w:t>
      </w:r>
      <w:r>
        <w:rPr>
          <w:rFonts w:hint="eastAsia" w:ascii="宋体" w:hAnsi="宋体" w:eastAsia="宋体" w:cs="宋体"/>
          <w:snapToGrid w:val="0"/>
          <w:color w:val="auto"/>
          <w:sz w:val="24"/>
          <w:szCs w:val="24"/>
          <w:highlight w:val="none"/>
          <w:u w:val="single"/>
        </w:rPr>
        <w:t>-非竞争项目费用）*100%</w:t>
      </w:r>
      <w:r>
        <w:rPr>
          <w:rFonts w:hint="eastAsia" w:ascii="宋体" w:hAnsi="宋体" w:eastAsia="宋体" w:cs="宋体"/>
          <w:color w:val="auto"/>
          <w:sz w:val="24"/>
          <w:szCs w:val="24"/>
          <w:highlight w:val="none"/>
          <w:u w:val="single"/>
          <w:lang w:bidi="ar"/>
        </w:rPr>
        <w:t>。无信息价的特殊苗木按双方协商确定综合单价。</w:t>
      </w:r>
    </w:p>
    <w:p w14:paraId="4EEBDBA1">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如国家的法律、法规、规章和政策发生变化影响工程造价的，应按其规定调整合同价款。</w:t>
      </w:r>
    </w:p>
    <w:p w14:paraId="5864362C">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highlight w:val="none"/>
        </w:rPr>
      </w:pPr>
      <w:bookmarkStart w:id="552" w:name="_Toc362883294"/>
      <w:bookmarkStart w:id="553" w:name="_Toc344282764"/>
      <w:bookmarkStart w:id="554" w:name="_Toc307478987"/>
      <w:bookmarkStart w:id="555" w:name="_Toc266998258"/>
      <w:bookmarkStart w:id="556" w:name="_Toc370459071"/>
      <w:bookmarkStart w:id="557" w:name="_Toc381776164"/>
      <w:r>
        <w:rPr>
          <w:rFonts w:hint="eastAsia" w:ascii="宋体" w:hAnsi="宋体" w:eastAsia="宋体" w:cs="宋体"/>
          <w:b/>
          <w:snapToGrid w:val="0"/>
          <w:color w:val="auto"/>
          <w:sz w:val="24"/>
          <w:szCs w:val="24"/>
          <w:highlight w:val="none"/>
        </w:rPr>
        <w:t>17 计量与支付</w:t>
      </w:r>
      <w:bookmarkEnd w:id="551"/>
      <w:bookmarkEnd w:id="552"/>
      <w:bookmarkEnd w:id="553"/>
      <w:bookmarkEnd w:id="554"/>
      <w:bookmarkEnd w:id="555"/>
      <w:bookmarkEnd w:id="556"/>
      <w:bookmarkEnd w:id="557"/>
    </w:p>
    <w:p w14:paraId="1151C850">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1</w:t>
      </w:r>
      <w:r>
        <w:rPr>
          <w:rFonts w:hint="eastAsia" w:ascii="宋体" w:hAnsi="宋体" w:eastAsia="宋体" w:cs="宋体"/>
          <w:b/>
          <w:color w:val="auto"/>
          <w:spacing w:val="20"/>
          <w:sz w:val="24"/>
          <w:szCs w:val="24"/>
        </w:rPr>
        <w:t xml:space="preserve"> 工程进度付款</w:t>
      </w:r>
    </w:p>
    <w:p w14:paraId="785EC7CD">
      <w:pPr>
        <w:autoSpaceDE w:val="0"/>
        <w:autoSpaceDN w:val="0"/>
        <w:adjustRightInd w:val="0"/>
        <w:snapToGrid w:val="0"/>
        <w:spacing w:line="400" w:lineRule="exact"/>
        <w:ind w:left="210" w:leftChars="100" w:firstLine="240" w:firstLineChars="1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 xml:space="preserve"> 进度付款申请单</w:t>
      </w:r>
    </w:p>
    <w:p w14:paraId="3CA6F055">
      <w:pPr>
        <w:autoSpaceDE w:val="0"/>
        <w:autoSpaceDN w:val="0"/>
        <w:adjustRightInd w:val="0"/>
        <w:snapToGrid w:val="0"/>
        <w:spacing w:line="400" w:lineRule="exact"/>
        <w:ind w:left="210" w:leftChars="100" w:firstLine="240" w:firstLineChars="100"/>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每个付款周期末为</w:t>
      </w:r>
      <w:r>
        <w:rPr>
          <w:rFonts w:hint="eastAsia" w:ascii="宋体" w:hAnsi="宋体" w:eastAsia="宋体" w:cs="宋体"/>
          <w:snapToGrid w:val="0"/>
          <w:color w:val="auto"/>
          <w:sz w:val="24"/>
          <w:szCs w:val="24"/>
          <w:u w:val="single"/>
        </w:rPr>
        <w:t xml:space="preserve"> 每月25日 </w:t>
      </w:r>
      <w:r>
        <w:rPr>
          <w:rFonts w:hint="eastAsia" w:ascii="宋体" w:hAnsi="宋体" w:eastAsia="宋体" w:cs="宋体"/>
          <w:snapToGrid w:val="0"/>
          <w:color w:val="auto"/>
          <w:sz w:val="24"/>
          <w:szCs w:val="24"/>
        </w:rPr>
        <w:t>，份数为</w:t>
      </w:r>
      <w:r>
        <w:rPr>
          <w:rFonts w:hint="eastAsia" w:ascii="宋体" w:hAnsi="宋体" w:eastAsia="宋体" w:cs="宋体"/>
          <w:snapToGrid w:val="0"/>
          <w:color w:val="auto"/>
          <w:sz w:val="24"/>
          <w:szCs w:val="24"/>
          <w:u w:val="single"/>
        </w:rPr>
        <w:t xml:space="preserve"> 7 </w:t>
      </w:r>
      <w:r>
        <w:rPr>
          <w:rFonts w:hint="eastAsia" w:ascii="宋体" w:hAnsi="宋体" w:eastAsia="宋体" w:cs="宋体"/>
          <w:snapToGrid w:val="0"/>
          <w:color w:val="auto"/>
          <w:sz w:val="24"/>
          <w:szCs w:val="24"/>
        </w:rPr>
        <w:t>份。</w:t>
      </w:r>
    </w:p>
    <w:p w14:paraId="78CF7CAA">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 xml:space="preserve"> 进度付款证书和支付时间</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30F5AA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2F4C6C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58" w:type="dxa"/>
            <w:shd w:val="clear" w:color="auto" w:fill="auto"/>
            <w:vAlign w:val="center"/>
          </w:tcPr>
          <w:p w14:paraId="000D720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付款比例（%）</w:t>
            </w:r>
          </w:p>
        </w:tc>
        <w:tc>
          <w:tcPr>
            <w:tcW w:w="6002" w:type="dxa"/>
            <w:shd w:val="clear" w:color="auto" w:fill="auto"/>
            <w:vAlign w:val="center"/>
          </w:tcPr>
          <w:p w14:paraId="5121BC4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r>
      <w:tr w14:paraId="1909DE0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6202E56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58" w:type="dxa"/>
            <w:shd w:val="clear" w:color="auto" w:fill="auto"/>
          </w:tcPr>
          <w:p w14:paraId="7E96599D">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支付合同价的40%</w:t>
            </w:r>
          </w:p>
        </w:tc>
        <w:tc>
          <w:tcPr>
            <w:tcW w:w="6002" w:type="dxa"/>
            <w:shd w:val="clear" w:color="auto" w:fill="auto"/>
          </w:tcPr>
          <w:p w14:paraId="230C6ED8">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合同生效以及具备实施条件后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w:t>
            </w:r>
          </w:p>
        </w:tc>
      </w:tr>
      <w:tr w14:paraId="6D5C1D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2100BD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58" w:type="dxa"/>
            <w:shd w:val="clear" w:color="auto" w:fill="auto"/>
          </w:tcPr>
          <w:p w14:paraId="51E3852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支付合同价的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tc>
        <w:tc>
          <w:tcPr>
            <w:tcW w:w="6002" w:type="dxa"/>
            <w:shd w:val="clear" w:color="auto" w:fill="auto"/>
          </w:tcPr>
          <w:p w14:paraId="3ACA03BA">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满足合同约定支付条件的，</w:t>
            </w:r>
            <w:r>
              <w:rPr>
                <w:rFonts w:hint="eastAsia" w:ascii="宋体" w:hAnsi="宋体" w:eastAsia="宋体" w:cs="宋体"/>
                <w:color w:val="auto"/>
                <w:sz w:val="24"/>
                <w:szCs w:val="24"/>
                <w:lang w:val="en-US" w:eastAsia="zh-CN"/>
              </w:rPr>
              <w:t>并</w:t>
            </w:r>
            <w:r>
              <w:rPr>
                <w:rFonts w:hint="eastAsia" w:ascii="宋体" w:hAnsi="宋体" w:eastAsia="宋体" w:cs="宋体"/>
                <w:snapToGrid w:val="0"/>
                <w:color w:val="auto"/>
                <w:sz w:val="24"/>
                <w:szCs w:val="24"/>
              </w:rPr>
              <w:t>完成合同工程量的80％</w:t>
            </w:r>
            <w:r>
              <w:rPr>
                <w:rFonts w:hint="eastAsia" w:ascii="宋体" w:hAnsi="宋体" w:eastAsia="宋体" w:cs="宋体"/>
                <w:snapToGrid w:val="0"/>
                <w:color w:val="auto"/>
                <w:sz w:val="24"/>
                <w:szCs w:val="24"/>
                <w:lang w:eastAsia="zh-CN"/>
              </w:rPr>
              <w:t>，</w:t>
            </w:r>
            <w:r>
              <w:rPr>
                <w:rFonts w:hint="eastAsia" w:ascii="宋体" w:hAnsi="宋体" w:eastAsia="宋体" w:cs="宋体"/>
                <w:color w:val="auto"/>
                <w:sz w:val="24"/>
                <w:szCs w:val="24"/>
              </w:rPr>
              <w:t>自收到发票后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w:t>
            </w:r>
          </w:p>
        </w:tc>
      </w:tr>
      <w:tr w14:paraId="72E893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B31BF3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358" w:type="dxa"/>
            <w:shd w:val="clear" w:color="auto" w:fill="auto"/>
          </w:tcPr>
          <w:p w14:paraId="70B2F7A5">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支付剩余款项</w:t>
            </w:r>
          </w:p>
        </w:tc>
        <w:tc>
          <w:tcPr>
            <w:tcW w:w="6002" w:type="dxa"/>
            <w:shd w:val="clear" w:color="auto" w:fill="auto"/>
          </w:tcPr>
          <w:p w14:paraId="39397A41">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项目验收合格并办理交付手续后7个工作日内</w:t>
            </w:r>
          </w:p>
        </w:tc>
      </w:tr>
    </w:tbl>
    <w:p w14:paraId="1AA07FF6">
      <w:pPr>
        <w:spacing w:line="400" w:lineRule="exact"/>
        <w:ind w:firstLine="480"/>
        <w:rPr>
          <w:rFonts w:hint="eastAsia" w:ascii="宋体" w:hAnsi="宋体" w:eastAsia="宋体" w:cs="宋体"/>
          <w:b/>
          <w:bCs/>
          <w:color w:val="auto"/>
          <w:sz w:val="24"/>
          <w:szCs w:val="24"/>
        </w:rPr>
      </w:pPr>
    </w:p>
    <w:p w14:paraId="14003259">
      <w:pPr>
        <w:spacing w:line="400" w:lineRule="exact"/>
        <w:ind w:firstLine="48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农民工工资</w:t>
      </w:r>
    </w:p>
    <w:p w14:paraId="0DBF2367">
      <w:pPr>
        <w:spacing w:line="4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按宁波市人力资源和社会保障局等6部门关于印发《宁波市工程建设领域农民工工资专用账户管理实施细则（试行）》的通知（甬人社发[2022]29号）文件及有关规定做好农民工工资保证金的缴纳，并规范农民工工资专用账户资金管理。</w:t>
      </w:r>
    </w:p>
    <w:p w14:paraId="418294AF">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2</w:t>
      </w:r>
      <w:r>
        <w:rPr>
          <w:rFonts w:hint="eastAsia" w:ascii="宋体" w:hAnsi="宋体" w:eastAsia="宋体" w:cs="宋体"/>
          <w:b/>
          <w:color w:val="auto"/>
          <w:spacing w:val="20"/>
          <w:sz w:val="24"/>
          <w:szCs w:val="24"/>
        </w:rPr>
        <w:t xml:space="preserve"> 质量保证金</w:t>
      </w:r>
    </w:p>
    <w:p w14:paraId="321545CA">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 xml:space="preserve">.1 工程质量保证金的约定： </w:t>
      </w:r>
    </w:p>
    <w:p w14:paraId="770BE512">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按照《宁波市水利建设工程担保管理办法》</w:t>
      </w:r>
      <w:r>
        <w:rPr>
          <w:rFonts w:hint="eastAsia" w:ascii="宋体" w:hAnsi="宋体" w:eastAsia="宋体" w:cs="宋体"/>
          <w:snapToGrid w:val="0"/>
          <w:color w:val="auto"/>
          <w:sz w:val="24"/>
          <w:szCs w:val="24"/>
          <w:lang w:eastAsia="zh-CN"/>
        </w:rPr>
        <w:t>（甬水建安〔2020〕6号）</w:t>
      </w:r>
      <w:r>
        <w:rPr>
          <w:rFonts w:hint="eastAsia" w:ascii="宋体" w:hAnsi="宋体" w:eastAsia="宋体" w:cs="宋体"/>
          <w:snapToGrid w:val="0"/>
          <w:color w:val="auto"/>
          <w:sz w:val="24"/>
          <w:szCs w:val="24"/>
        </w:rPr>
        <w:t>文件规定，承包人向发包人提供质量保证金保函的形式为：</w:t>
      </w:r>
      <w:r>
        <w:rPr>
          <w:rFonts w:hint="eastAsia" w:ascii="宋体" w:hAnsi="宋体" w:eastAsia="宋体" w:cs="宋体"/>
          <w:snapToGrid w:val="0"/>
          <w:color w:val="auto"/>
          <w:sz w:val="24"/>
          <w:szCs w:val="24"/>
          <w:u w:val="single"/>
        </w:rPr>
        <w:t>银行保函或保险机构保证保险保单</w:t>
      </w:r>
      <w:r>
        <w:rPr>
          <w:rFonts w:hint="eastAsia" w:ascii="宋体" w:hAnsi="宋体" w:eastAsia="宋体" w:cs="宋体"/>
          <w:snapToGrid w:val="0"/>
          <w:color w:val="auto"/>
          <w:sz w:val="24"/>
          <w:szCs w:val="24"/>
        </w:rPr>
        <w:t>。</w:t>
      </w:r>
    </w:p>
    <w:p w14:paraId="49BE3480">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snapToGrid w:val="0"/>
          <w:color w:val="auto"/>
          <w:sz w:val="24"/>
          <w:szCs w:val="24"/>
        </w:rPr>
        <w:t>承包人最迟在缺陷责任期开始前</w:t>
      </w:r>
      <w:r>
        <w:rPr>
          <w:rFonts w:hint="eastAsia" w:ascii="宋体" w:hAnsi="宋体" w:eastAsia="宋体" w:cs="宋体"/>
          <w:snapToGrid w:val="0"/>
          <w:color w:val="auto"/>
          <w:sz w:val="24"/>
          <w:szCs w:val="24"/>
          <w:u w:val="single"/>
        </w:rPr>
        <w:t xml:space="preserve"> 7</w:t>
      </w:r>
      <w:r>
        <w:rPr>
          <w:rFonts w:hint="eastAsia" w:ascii="宋体" w:hAnsi="宋体" w:eastAsia="宋体" w:cs="宋体"/>
          <w:snapToGrid w:val="0"/>
          <w:color w:val="auto"/>
          <w:sz w:val="24"/>
          <w:szCs w:val="24"/>
        </w:rPr>
        <w:t xml:space="preserve"> 日将向发包人提供符合质量保证担保，发包人收到质量保证担保的同时应退还在合同尾款中扣留的保证金。缺陷责任期延长的，承包人最迟应在原缺陷责任期届满之日前</w:t>
      </w:r>
      <w:r>
        <w:rPr>
          <w:rFonts w:hint="eastAsia" w:ascii="宋体" w:hAnsi="宋体" w:eastAsia="宋体" w:cs="宋体"/>
          <w:snapToGrid w:val="0"/>
          <w:color w:val="auto"/>
          <w:sz w:val="24"/>
          <w:szCs w:val="24"/>
          <w:u w:val="single"/>
        </w:rPr>
        <w:t xml:space="preserve"> 14 </w:t>
      </w:r>
      <w:r>
        <w:rPr>
          <w:rFonts w:hint="eastAsia" w:ascii="宋体" w:hAnsi="宋体" w:eastAsia="宋体" w:cs="宋体"/>
          <w:snapToGrid w:val="0"/>
          <w:color w:val="auto"/>
          <w:sz w:val="24"/>
          <w:szCs w:val="24"/>
        </w:rPr>
        <w:t>天向发包人提交延长缺陷责任期的质量保证担保，否则发包人有权向承包人提出索赔。</w:t>
      </w:r>
    </w:p>
    <w:p w14:paraId="33A70C69">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.2 质量保证金保函担保期限与合同中约定的缺陷责任期保持一致。</w:t>
      </w:r>
    </w:p>
    <w:p w14:paraId="7334BA18">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lang w:val="en-US" w:eastAsia="zh-CN"/>
        </w:rPr>
        <w:t>17.2.3 质量保证金额度为工程价款结算总额的1.5%确定。</w:t>
      </w:r>
    </w:p>
    <w:p w14:paraId="245E379B">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4</w:t>
      </w:r>
      <w:r>
        <w:rPr>
          <w:rFonts w:hint="eastAsia" w:ascii="宋体" w:hAnsi="宋体" w:eastAsia="宋体" w:cs="宋体"/>
          <w:snapToGrid w:val="0"/>
          <w:color w:val="auto"/>
          <w:sz w:val="24"/>
          <w:szCs w:val="24"/>
        </w:rPr>
        <w:t>承包人与质量保证担保有关的任何利息或其它类似的费用或者收益由承包人承担；缺陷责任期内，工程在正常运行条件下，经第三方有资质的质量检测机构鉴定，因施工缺陷引发的质量问题，承包人应积极履行修复义务。承包人由于自身原因未能履行修复义务时，发包人有权委托他人修复，修复的实际费用由第三方担保人先行赔偿。第三方担保的金额不足以支付维修费用时，第三方担保人或发包人可根据质量责任向承包人追偿。</w:t>
      </w:r>
    </w:p>
    <w:p w14:paraId="7945F86C">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5</w:t>
      </w:r>
      <w:r>
        <w:rPr>
          <w:rFonts w:hint="eastAsia" w:ascii="宋体" w:hAnsi="宋体" w:eastAsia="宋体" w:cs="宋体"/>
          <w:snapToGrid w:val="0"/>
          <w:color w:val="auto"/>
          <w:sz w:val="24"/>
          <w:szCs w:val="24"/>
        </w:rPr>
        <w:t xml:space="preserve"> 承包人应于缺陷责任期满后 7 日内向发包人发出缺陷责任期届满通知，发包人在收到缺陷责任期届满通知后 14 天内核实承包人的缺陷责任修复义务并结清相关修复费用。发包人在收到缺陷责任期届满通知后 14 天内向承包人颁发缺陷责任期终止证书，同时承包人向发包人取回质量保证担保，办理撤保手续。</w:t>
      </w:r>
    </w:p>
    <w:p w14:paraId="0EB033E0">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6</w:t>
      </w:r>
      <w:r>
        <w:rPr>
          <w:rFonts w:hint="eastAsia" w:ascii="宋体" w:hAnsi="宋体" w:eastAsia="宋体" w:cs="宋体"/>
          <w:snapToGrid w:val="0"/>
          <w:color w:val="auto"/>
          <w:sz w:val="24"/>
          <w:szCs w:val="24"/>
        </w:rPr>
        <w:t>因发包人原因导致质量保证逾期退还的，发包人应承担相应的违约责任。</w:t>
      </w:r>
    </w:p>
    <w:p w14:paraId="26D47C1D">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补充条款：</w:t>
      </w:r>
    </w:p>
    <w:p w14:paraId="6C0770B1">
      <w:pPr>
        <w:autoSpaceDE w:val="0"/>
        <w:autoSpaceDN w:val="0"/>
        <w:adjustRightInd w:val="0"/>
        <w:snapToGrid w:val="0"/>
        <w:spacing w:line="400" w:lineRule="exact"/>
        <w:ind w:firstLine="482" w:firstLineChars="200"/>
        <w:textAlignment w:val="baseline"/>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1 、发包人在法人验收合格后，向承包人支付合同规定的工程价款前，在《 今日 宁海》上发布关于清理该工程欠薪的公告，经确认无拖欠农民工工资后，发包人方可支付工程价款。</w:t>
      </w:r>
    </w:p>
    <w:p w14:paraId="557DAAD4">
      <w:pPr>
        <w:autoSpaceDE w:val="0"/>
        <w:autoSpaceDN w:val="0"/>
        <w:adjustRightInd w:val="0"/>
        <w:snapToGrid w:val="0"/>
        <w:spacing w:line="400" w:lineRule="exact"/>
        <w:ind w:firstLine="482" w:firstLineChars="200"/>
        <w:textAlignment w:val="baseline"/>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2 、承包单位若拖欠工程建设的人工工资，则业主有权扣除工程款或履约担保用于支付拖欠的人工工资，扣除的办法为 1.2倍拖欠的人工工资。</w:t>
      </w:r>
    </w:p>
    <w:p w14:paraId="1FBA4ED9">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bookmarkStart w:id="558" w:name="_Toc241374759"/>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3</w:t>
      </w:r>
      <w:r>
        <w:rPr>
          <w:rFonts w:hint="eastAsia" w:ascii="宋体" w:hAnsi="宋体" w:eastAsia="宋体" w:cs="宋体"/>
          <w:b/>
          <w:color w:val="auto"/>
          <w:spacing w:val="20"/>
          <w:sz w:val="24"/>
          <w:szCs w:val="24"/>
        </w:rPr>
        <w:t xml:space="preserve"> 竣工（完工）结算</w:t>
      </w:r>
    </w:p>
    <w:p w14:paraId="27A8A841">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3</w:t>
      </w:r>
      <w:r>
        <w:rPr>
          <w:rFonts w:hint="eastAsia" w:ascii="宋体" w:hAnsi="宋体" w:eastAsia="宋体" w:cs="宋体"/>
          <w:snapToGrid w:val="0"/>
          <w:color w:val="auto"/>
          <w:sz w:val="24"/>
          <w:szCs w:val="24"/>
        </w:rPr>
        <w:t>.1 竣工（完工）付款申请单</w:t>
      </w:r>
    </w:p>
    <w:p w14:paraId="75881BBF">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⑴ 承包人应提交完工付款申请单一式</w:t>
      </w:r>
      <w:r>
        <w:rPr>
          <w:rFonts w:hint="eastAsia" w:ascii="宋体" w:hAnsi="宋体" w:eastAsia="宋体" w:cs="宋体"/>
          <w:snapToGrid w:val="0"/>
          <w:color w:val="auto"/>
          <w:sz w:val="24"/>
          <w:szCs w:val="24"/>
          <w:u w:val="single"/>
        </w:rPr>
        <w:t xml:space="preserve"> 8 </w:t>
      </w:r>
      <w:r>
        <w:rPr>
          <w:rFonts w:hint="eastAsia" w:ascii="宋体" w:hAnsi="宋体" w:eastAsia="宋体" w:cs="宋体"/>
          <w:snapToGrid w:val="0"/>
          <w:color w:val="auto"/>
          <w:sz w:val="24"/>
          <w:szCs w:val="24"/>
        </w:rPr>
        <w:t>份。</w:t>
      </w:r>
    </w:p>
    <w:p w14:paraId="05801EAE">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4</w:t>
      </w:r>
      <w:r>
        <w:rPr>
          <w:rFonts w:hint="eastAsia" w:ascii="宋体" w:hAnsi="宋体" w:eastAsia="宋体" w:cs="宋体"/>
          <w:b/>
          <w:color w:val="auto"/>
          <w:spacing w:val="20"/>
          <w:sz w:val="24"/>
          <w:szCs w:val="24"/>
        </w:rPr>
        <w:t xml:space="preserve"> 最终结清</w:t>
      </w:r>
    </w:p>
    <w:p w14:paraId="5DCB3654">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xml:space="preserve">17. </w:t>
      </w:r>
      <w:r>
        <w:rPr>
          <w:rFonts w:hint="eastAsia" w:ascii="宋体" w:hAnsi="宋体" w:eastAsia="宋体" w:cs="宋体"/>
          <w:snapToGrid w:val="0"/>
          <w:color w:val="auto"/>
          <w:sz w:val="24"/>
          <w:szCs w:val="24"/>
          <w:lang w:val="en-US" w:eastAsia="zh-CN"/>
        </w:rPr>
        <w:t>4</w:t>
      </w:r>
      <w:r>
        <w:rPr>
          <w:rFonts w:hint="eastAsia" w:ascii="宋体" w:hAnsi="宋体" w:eastAsia="宋体" w:cs="宋体"/>
          <w:snapToGrid w:val="0"/>
          <w:color w:val="auto"/>
          <w:sz w:val="24"/>
          <w:szCs w:val="24"/>
        </w:rPr>
        <w:t>.1 最终结清申请单</w:t>
      </w:r>
    </w:p>
    <w:p w14:paraId="00B19389">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⑴ 承包人应提交最终结清申请单一式</w:t>
      </w:r>
      <w:r>
        <w:rPr>
          <w:rFonts w:hint="eastAsia" w:ascii="宋体" w:hAnsi="宋体" w:eastAsia="宋体" w:cs="宋体"/>
          <w:snapToGrid w:val="0"/>
          <w:color w:val="auto"/>
          <w:sz w:val="24"/>
          <w:szCs w:val="24"/>
          <w:u w:val="single"/>
        </w:rPr>
        <w:t xml:space="preserve">8 </w:t>
      </w:r>
      <w:r>
        <w:rPr>
          <w:rFonts w:hint="eastAsia" w:ascii="宋体" w:hAnsi="宋体" w:eastAsia="宋体" w:cs="宋体"/>
          <w:snapToGrid w:val="0"/>
          <w:color w:val="auto"/>
          <w:sz w:val="24"/>
          <w:szCs w:val="24"/>
        </w:rPr>
        <w:t>份。</w:t>
      </w:r>
    </w:p>
    <w:p w14:paraId="09BB8BBC">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5</w:t>
      </w:r>
      <w:r>
        <w:rPr>
          <w:rFonts w:hint="eastAsia" w:ascii="宋体" w:hAnsi="宋体" w:eastAsia="宋体" w:cs="宋体"/>
          <w:b/>
          <w:color w:val="auto"/>
          <w:spacing w:val="20"/>
          <w:sz w:val="24"/>
          <w:szCs w:val="24"/>
        </w:rPr>
        <w:t xml:space="preserve"> 竣工财务决算</w:t>
      </w:r>
    </w:p>
    <w:p w14:paraId="10CE2A27">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承包人应为竣工财务决算编制提供的资料：</w:t>
      </w:r>
      <w:r>
        <w:rPr>
          <w:rFonts w:hint="eastAsia" w:ascii="宋体" w:hAnsi="宋体" w:eastAsia="宋体" w:cs="宋体"/>
          <w:snapToGrid w:val="0"/>
          <w:color w:val="auto"/>
          <w:sz w:val="24"/>
          <w:szCs w:val="24"/>
          <w:u w:val="single"/>
        </w:rPr>
        <w:t xml:space="preserve"> 财务决算所需的一切资料 </w:t>
      </w:r>
      <w:r>
        <w:rPr>
          <w:rFonts w:hint="eastAsia" w:ascii="宋体" w:hAnsi="宋体" w:eastAsia="宋体" w:cs="宋体"/>
          <w:snapToGrid w:val="0"/>
          <w:color w:val="auto"/>
          <w:sz w:val="24"/>
          <w:szCs w:val="24"/>
        </w:rPr>
        <w:t>。</w:t>
      </w:r>
    </w:p>
    <w:p w14:paraId="3FA69366">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59" w:name="_Toc266998259"/>
      <w:bookmarkStart w:id="560" w:name="_Toc344282765"/>
      <w:bookmarkStart w:id="561" w:name="_Toc370459073"/>
      <w:bookmarkStart w:id="562" w:name="_Toc307478988"/>
      <w:bookmarkStart w:id="563" w:name="_Toc381776166"/>
      <w:bookmarkStart w:id="564" w:name="_Toc362883296"/>
      <w:bookmarkStart w:id="565" w:name="_Toc259802239"/>
      <w:r>
        <w:rPr>
          <w:rFonts w:hint="eastAsia" w:ascii="宋体" w:hAnsi="宋体" w:eastAsia="宋体" w:cs="宋体"/>
          <w:b/>
          <w:snapToGrid w:val="0"/>
          <w:color w:val="auto"/>
          <w:sz w:val="24"/>
          <w:szCs w:val="24"/>
        </w:rPr>
        <w:t>18 工程验收</w:t>
      </w:r>
      <w:bookmarkEnd w:id="559"/>
      <w:bookmarkEnd w:id="560"/>
      <w:bookmarkEnd w:id="561"/>
      <w:bookmarkEnd w:id="562"/>
      <w:bookmarkEnd w:id="563"/>
      <w:bookmarkEnd w:id="564"/>
      <w:bookmarkEnd w:id="565"/>
    </w:p>
    <w:p w14:paraId="5F197C2A">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18.1 验收工作分类</w:t>
      </w:r>
    </w:p>
    <w:p w14:paraId="253C5722">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本工程法人验收包括：</w:t>
      </w:r>
      <w:r>
        <w:rPr>
          <w:rFonts w:hint="eastAsia" w:ascii="宋体" w:hAnsi="宋体" w:eastAsia="宋体" w:cs="宋体"/>
          <w:snapToGrid w:val="0"/>
          <w:color w:val="auto"/>
          <w:sz w:val="24"/>
          <w:szCs w:val="24"/>
          <w:u w:val="single"/>
        </w:rPr>
        <w:t xml:space="preserve">分部工程验收、单位工程验收、合同工程完工验收等 </w:t>
      </w:r>
      <w:r>
        <w:rPr>
          <w:rFonts w:hint="eastAsia" w:ascii="宋体" w:hAnsi="宋体" w:eastAsia="宋体" w:cs="宋体"/>
          <w:snapToGrid w:val="0"/>
          <w:color w:val="auto"/>
          <w:sz w:val="24"/>
          <w:szCs w:val="24"/>
        </w:rPr>
        <w:t>；政府验收包括：</w:t>
      </w:r>
      <w:r>
        <w:rPr>
          <w:rFonts w:hint="eastAsia" w:ascii="宋体" w:hAnsi="宋体" w:eastAsia="宋体" w:cs="宋体"/>
          <w:snapToGrid w:val="0"/>
          <w:color w:val="auto"/>
          <w:sz w:val="24"/>
          <w:szCs w:val="24"/>
          <w:u w:val="single"/>
        </w:rPr>
        <w:t xml:space="preserve"> 阶段验收、专项验收、竣工验收 </w:t>
      </w:r>
      <w:r>
        <w:rPr>
          <w:rFonts w:hint="eastAsia" w:ascii="宋体" w:hAnsi="宋体" w:eastAsia="宋体" w:cs="宋体"/>
          <w:snapToGrid w:val="0"/>
          <w:color w:val="auto"/>
          <w:sz w:val="24"/>
          <w:szCs w:val="24"/>
        </w:rPr>
        <w:t>。验收条件及验收程序参照《水利水电建设工程验收规程》（SL223-2008）执行。</w:t>
      </w:r>
    </w:p>
    <w:p w14:paraId="5545B197">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18.2 分部工程验收</w:t>
      </w:r>
    </w:p>
    <w:p w14:paraId="140F4D55">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18.2.2 本工程由发包人主持的分部工程验收为</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，其余由监理人主持。</w:t>
      </w:r>
    </w:p>
    <w:p w14:paraId="6653FE77">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18.3 单位工程验收</w:t>
      </w:r>
    </w:p>
    <w:p w14:paraId="7A19588A">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18.3.4 提前投入使用的单位工程包括：</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67E8EF07">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18.5 阶段验收</w:t>
      </w:r>
    </w:p>
    <w:p w14:paraId="36523086">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18.5.1 本合同工程阶段验收类别包括：</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21CD560B">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18.6 专项验收</w:t>
      </w:r>
    </w:p>
    <w:p w14:paraId="7EFFE7DC">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18.6.2 本合同工程专项验收类别包括：</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4A9E3409">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18.7 竣工验收</w:t>
      </w:r>
    </w:p>
    <w:p w14:paraId="118974EA">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18.7.3 本工程</w:t>
      </w:r>
      <w:r>
        <w:rPr>
          <w:rFonts w:hint="eastAsia" w:ascii="宋体" w:hAnsi="宋体" w:eastAsia="宋体" w:cs="宋体"/>
          <w:snapToGrid w:val="0"/>
          <w:color w:val="auto"/>
          <w:sz w:val="24"/>
          <w:szCs w:val="24"/>
          <w:u w:val="single"/>
        </w:rPr>
        <w:t xml:space="preserve"> 不需要 </w:t>
      </w:r>
      <w:r>
        <w:rPr>
          <w:rFonts w:hint="eastAsia" w:ascii="宋体" w:hAnsi="宋体" w:eastAsia="宋体" w:cs="宋体"/>
          <w:snapToGrid w:val="0"/>
          <w:color w:val="auto"/>
          <w:sz w:val="24"/>
          <w:szCs w:val="24"/>
        </w:rPr>
        <w:t>竣工验收技术鉴定（蓄水安全鉴定）。</w:t>
      </w:r>
    </w:p>
    <w:p w14:paraId="65ED1631">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18.8 施工期运行</w:t>
      </w:r>
    </w:p>
    <w:p w14:paraId="2210B57B">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18.8.1 需要在施工期运行的单位工程或工程设备为：</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4B6BEAAC">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18.9 试运行</w:t>
      </w:r>
    </w:p>
    <w:p w14:paraId="7E80AFC0">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18.9.1 试运行的组织：</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；费用承担：</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792F91B5">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66" w:name="_Toc344282766"/>
      <w:bookmarkStart w:id="567" w:name="_Toc370459074"/>
      <w:bookmarkStart w:id="568" w:name="_Toc307478989"/>
      <w:bookmarkStart w:id="569" w:name="_Toc362883297"/>
      <w:bookmarkStart w:id="570" w:name="_Toc381776167"/>
      <w:bookmarkStart w:id="571" w:name="_Toc266998260"/>
      <w:r>
        <w:rPr>
          <w:rFonts w:hint="eastAsia" w:ascii="宋体" w:hAnsi="宋体" w:eastAsia="宋体" w:cs="宋体"/>
          <w:b/>
          <w:snapToGrid w:val="0"/>
          <w:color w:val="auto"/>
          <w:sz w:val="24"/>
          <w:szCs w:val="24"/>
        </w:rPr>
        <w:t>19 缺陷责任与保修责任</w:t>
      </w:r>
      <w:bookmarkEnd w:id="558"/>
      <w:bookmarkEnd w:id="566"/>
      <w:bookmarkEnd w:id="567"/>
      <w:bookmarkEnd w:id="568"/>
      <w:bookmarkEnd w:id="569"/>
      <w:bookmarkEnd w:id="570"/>
      <w:bookmarkEnd w:id="571"/>
    </w:p>
    <w:p w14:paraId="55E14D95">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19.1 缺陷责任期（工程质量保修期）的起算时间</w:t>
      </w:r>
    </w:p>
    <w:p w14:paraId="58B1361C">
      <w:pPr>
        <w:autoSpaceDE w:val="0"/>
        <w:autoSpaceDN w:val="0"/>
        <w:adjustRightInd w:val="0"/>
        <w:snapToGrid w:val="0"/>
        <w:spacing w:line="400" w:lineRule="exact"/>
        <w:ind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本工程缺陷责任期（工程质量保修期）为 </w:t>
      </w:r>
      <w:r>
        <w:rPr>
          <w:rFonts w:hint="eastAsia" w:ascii="宋体" w:hAnsi="宋体" w:eastAsia="宋体" w:cs="宋体"/>
          <w:b/>
          <w:bCs/>
          <w:color w:val="auto"/>
          <w:sz w:val="24"/>
          <w:szCs w:val="24"/>
          <w:u w:val="single"/>
        </w:rPr>
        <w:t xml:space="preserve">1 </w:t>
      </w:r>
      <w:r>
        <w:rPr>
          <w:rFonts w:hint="eastAsia" w:ascii="宋体" w:hAnsi="宋体" w:eastAsia="宋体" w:cs="宋体"/>
          <w:b/>
          <w:bCs/>
          <w:color w:val="auto"/>
          <w:sz w:val="24"/>
          <w:szCs w:val="24"/>
        </w:rPr>
        <w:t>年</w:t>
      </w:r>
      <w:r>
        <w:rPr>
          <w:rFonts w:hint="eastAsia" w:ascii="宋体" w:hAnsi="宋体" w:eastAsia="宋体" w:cs="宋体"/>
          <w:snapToGrid w:val="0"/>
          <w:color w:val="auto"/>
          <w:sz w:val="24"/>
          <w:szCs w:val="24"/>
        </w:rPr>
        <w:t>，</w:t>
      </w:r>
      <w:r>
        <w:rPr>
          <w:rFonts w:hint="eastAsia" w:ascii="宋体" w:hAnsi="宋体" w:eastAsia="宋体" w:cs="宋体"/>
          <w:b/>
          <w:snapToGrid w:val="0"/>
          <w:color w:val="auto"/>
          <w:sz w:val="24"/>
          <w:szCs w:val="24"/>
        </w:rPr>
        <w:t>其中绿化部分</w:t>
      </w:r>
      <w:r>
        <w:rPr>
          <w:rFonts w:hint="eastAsia" w:ascii="宋体" w:hAnsi="宋体" w:eastAsia="宋体" w:cs="宋体"/>
          <w:b/>
          <w:snapToGrid w:val="0"/>
          <w:color w:val="auto"/>
          <w:sz w:val="24"/>
          <w:szCs w:val="24"/>
          <w:lang w:eastAsia="zh-CN"/>
        </w:rPr>
        <w:t>养护期</w:t>
      </w:r>
      <w:r>
        <w:rPr>
          <w:rFonts w:hint="eastAsia" w:ascii="宋体" w:hAnsi="宋体" w:eastAsia="宋体" w:cs="宋体"/>
          <w:b/>
          <w:snapToGrid w:val="0"/>
          <w:color w:val="auto"/>
          <w:sz w:val="24"/>
          <w:szCs w:val="24"/>
          <w:u w:val="single"/>
          <w:lang w:val="en-US" w:eastAsia="zh-CN"/>
        </w:rPr>
        <w:t>2</w:t>
      </w:r>
      <w:r>
        <w:rPr>
          <w:rFonts w:hint="eastAsia" w:ascii="宋体" w:hAnsi="宋体" w:eastAsia="宋体" w:cs="宋体"/>
          <w:b/>
          <w:snapToGrid w:val="0"/>
          <w:color w:val="auto"/>
          <w:sz w:val="24"/>
          <w:szCs w:val="24"/>
        </w:rPr>
        <w:t>年</w:t>
      </w:r>
      <w:r>
        <w:rPr>
          <w:rFonts w:hint="eastAsia" w:ascii="宋体" w:hAnsi="宋体" w:eastAsia="宋体" w:cs="宋体"/>
          <w:b/>
          <w:bCs/>
          <w:color w:val="auto"/>
          <w:sz w:val="24"/>
          <w:szCs w:val="24"/>
        </w:rPr>
        <w:t>。</w:t>
      </w:r>
    </w:p>
    <w:p w14:paraId="399D7241">
      <w:pPr>
        <w:autoSpaceDE w:val="0"/>
        <w:autoSpaceDN w:val="0"/>
        <w:adjustRightInd w:val="0"/>
        <w:snapToGrid w:val="0"/>
        <w:spacing w:line="40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19.7 保修责任</w:t>
      </w:r>
    </w:p>
    <w:p w14:paraId="2456E18C">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19.7.1  保修期自工程接受证书中写明的全部工程完工日开始算起。发包人提前验收并签发接受证书的单位工程和部分工程，若未投入正常使用，其保修期亦按全部工程的完工日开始起算，保修期为</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年。</w:t>
      </w:r>
    </w:p>
    <w:p w14:paraId="4DCCC2B4">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19.7.2  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14:paraId="5F438DC8">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19.7.3  发包人在保修期内试用工程和工程设备过程中，发现新的缺陷和损坏或原修复的缺陷部位或部件又遭损坏，则承包人应按监理人的指示负责修复，直至经监理人检验合格为止。监理人应会同发包人和承包人共同进行查验，若经查验却属由于承包人施工中隐存的或其他由于承包人责任造成的缺陷或损坏，应由承包人承担修复费用；若经查验确属发包人使用不当或其他由于发包人责任造成的缺陷或损坏，则由发包人承担修复费用。</w:t>
      </w:r>
    </w:p>
    <w:p w14:paraId="48B891BA">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19.7.4  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伤未履行的义务和责任负责。</w:t>
      </w:r>
    </w:p>
    <w:p w14:paraId="070F35FA">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72" w:name="_Toc362883298"/>
      <w:bookmarkStart w:id="573" w:name="_Toc344282767"/>
      <w:bookmarkStart w:id="574" w:name="_Toc266998261"/>
      <w:bookmarkStart w:id="575" w:name="_Toc370459075"/>
      <w:bookmarkStart w:id="576" w:name="_Toc307478990"/>
      <w:bookmarkStart w:id="577" w:name="_Toc381776168"/>
      <w:bookmarkStart w:id="578" w:name="_Toc259802241"/>
      <w:r>
        <w:rPr>
          <w:rFonts w:hint="eastAsia" w:ascii="宋体" w:hAnsi="宋体" w:eastAsia="宋体" w:cs="宋体"/>
          <w:b/>
          <w:snapToGrid w:val="0"/>
          <w:color w:val="auto"/>
          <w:sz w:val="24"/>
          <w:szCs w:val="24"/>
        </w:rPr>
        <w:t>20 保险</w:t>
      </w:r>
      <w:bookmarkEnd w:id="572"/>
      <w:bookmarkEnd w:id="573"/>
      <w:bookmarkEnd w:id="574"/>
      <w:bookmarkEnd w:id="575"/>
      <w:bookmarkEnd w:id="576"/>
      <w:bookmarkEnd w:id="577"/>
      <w:bookmarkEnd w:id="578"/>
    </w:p>
    <w:p w14:paraId="1EB81AF6">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20.1 工程保险</w:t>
      </w:r>
    </w:p>
    <w:p w14:paraId="0E260A07">
      <w:pPr>
        <w:autoSpaceDE w:val="0"/>
        <w:autoSpaceDN w:val="0"/>
        <w:adjustRightIn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建筑（安装）工程一切险、第三者责任险、安全生产责任险：</w:t>
      </w:r>
      <w:r>
        <w:rPr>
          <w:rFonts w:hint="eastAsia" w:ascii="宋体" w:hAnsi="宋体" w:eastAsia="宋体" w:cs="宋体"/>
          <w:snapToGrid w:val="0"/>
          <w:color w:val="auto"/>
          <w:sz w:val="24"/>
          <w:szCs w:val="24"/>
          <w:u w:val="single"/>
        </w:rPr>
        <w:t>由承包人以发包人和承包人的名义投保</w:t>
      </w:r>
      <w:r>
        <w:rPr>
          <w:rFonts w:hint="eastAsia" w:ascii="宋体" w:hAnsi="宋体" w:eastAsia="宋体" w:cs="宋体"/>
          <w:snapToGrid w:val="0"/>
          <w:color w:val="auto"/>
          <w:sz w:val="24"/>
          <w:szCs w:val="24"/>
        </w:rPr>
        <w:t>；保险单位的确定需征得发包人书面同意。</w:t>
      </w:r>
    </w:p>
    <w:p w14:paraId="75E6B630">
      <w:pPr>
        <w:autoSpaceDE w:val="0"/>
        <w:autoSpaceDN w:val="0"/>
        <w:adjustRightIn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投保内容：</w:t>
      </w:r>
      <w:r>
        <w:rPr>
          <w:rFonts w:hint="eastAsia" w:ascii="宋体" w:hAnsi="宋体" w:eastAsia="宋体" w:cs="宋体"/>
          <w:snapToGrid w:val="0"/>
          <w:color w:val="auto"/>
          <w:sz w:val="24"/>
          <w:szCs w:val="24"/>
          <w:u w:val="single"/>
        </w:rPr>
        <w:t>为本合同工程的永久工程、临时工程和设备及已运至施工工地用于永久工程的材料和设备所投的保险，第三者责任保险，安全生产责任保险</w:t>
      </w:r>
      <w:r>
        <w:rPr>
          <w:rFonts w:hint="eastAsia" w:ascii="宋体" w:hAnsi="宋体" w:eastAsia="宋体" w:cs="宋体"/>
          <w:color w:val="auto"/>
          <w:sz w:val="24"/>
          <w:szCs w:val="24"/>
        </w:rPr>
        <w:t>。</w:t>
      </w:r>
    </w:p>
    <w:p w14:paraId="020085EF">
      <w:pPr>
        <w:tabs>
          <w:tab w:val="left" w:pos="2790"/>
        </w:tabs>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保险费率和保险期限：</w:t>
      </w:r>
      <w:r>
        <w:rPr>
          <w:rFonts w:hint="eastAsia" w:ascii="宋体" w:hAnsi="宋体" w:eastAsia="宋体" w:cs="宋体"/>
          <w:snapToGrid w:val="0"/>
          <w:color w:val="auto"/>
          <w:sz w:val="24"/>
          <w:szCs w:val="24"/>
          <w:u w:val="single"/>
        </w:rPr>
        <w:t>保险费率根据投保单位的安全生产状况和在宁波市水利建设主体信用等级因素实行差异化费率，保险期限从合同约定起始之日至项目合同工程完工验收结束为止。保险费具体执行【宁波市水利局宁波市地方金融监管局宁波银保监关于印发《宁波市水利建设工程项目相关保险实施办法》的通知（甬水利〔2022〕 23号）】</w:t>
      </w:r>
      <w:r>
        <w:rPr>
          <w:rFonts w:hint="eastAsia" w:ascii="宋体" w:hAnsi="宋体" w:eastAsia="宋体" w:cs="宋体"/>
          <w:snapToGrid w:val="0"/>
          <w:color w:val="auto"/>
          <w:sz w:val="24"/>
          <w:szCs w:val="24"/>
        </w:rPr>
        <w:t>。</w:t>
      </w:r>
    </w:p>
    <w:p w14:paraId="38B5B71A">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 xml:space="preserve">20.5 其他保险 </w:t>
      </w:r>
    </w:p>
    <w:p w14:paraId="615E5BAD">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需要投保的其他内容：</w:t>
      </w:r>
      <w:r>
        <w:rPr>
          <w:rFonts w:hint="eastAsia" w:ascii="宋体" w:hAnsi="宋体" w:eastAsia="宋体" w:cs="宋体"/>
          <w:snapToGrid w:val="0"/>
          <w:color w:val="auto"/>
          <w:sz w:val="24"/>
          <w:szCs w:val="24"/>
          <w:u w:val="single"/>
        </w:rPr>
        <w:t>施工企业从业人员工伤保险；</w:t>
      </w:r>
    </w:p>
    <w:p w14:paraId="34E4FD46">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保险金额、保险费率和保险期限：</w:t>
      </w:r>
      <w:r>
        <w:rPr>
          <w:rFonts w:hint="eastAsia" w:ascii="宋体" w:hAnsi="宋体" w:eastAsia="宋体" w:cs="宋体"/>
          <w:snapToGrid w:val="0"/>
          <w:color w:val="auto"/>
          <w:sz w:val="24"/>
          <w:szCs w:val="24"/>
          <w:u w:val="single"/>
        </w:rPr>
        <w:t>保险金额=项目施工承包合同总造价*1.2‰，工伤保险期限与奖惩工期起止日期相同。工伤保险费具体执行《关于进一步做好建设工程项目从业人员参加工伤保险工程的意见》（甬人社发〔2015〕221号文件）和《宁波市建筑施工企业从业人员参加工伤保险暂行办法》（甬人社发〔2014〕170号文件）。</w:t>
      </w:r>
    </w:p>
    <w:p w14:paraId="5E6B3BC0">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20.6 对各项保险的一般要求</w:t>
      </w:r>
    </w:p>
    <w:p w14:paraId="36DB3F92">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20. 6.1 保险凭证</w:t>
      </w:r>
    </w:p>
    <w:p w14:paraId="53B5CAB1">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承包人提交保险凭证的期限：保险手续办理完毕后</w:t>
      </w:r>
      <w:r>
        <w:rPr>
          <w:rFonts w:hint="eastAsia" w:ascii="宋体" w:hAnsi="宋体" w:eastAsia="宋体" w:cs="宋体"/>
          <w:snapToGrid w:val="0"/>
          <w:color w:val="auto"/>
          <w:sz w:val="24"/>
          <w:szCs w:val="24"/>
          <w:u w:val="single"/>
        </w:rPr>
        <w:t xml:space="preserve"> 7 </w:t>
      </w:r>
      <w:r>
        <w:rPr>
          <w:rFonts w:hint="eastAsia" w:ascii="宋体" w:hAnsi="宋体" w:eastAsia="宋体" w:cs="宋体"/>
          <w:snapToGrid w:val="0"/>
          <w:color w:val="auto"/>
          <w:sz w:val="24"/>
          <w:szCs w:val="24"/>
        </w:rPr>
        <w:t>天内提交。</w:t>
      </w:r>
    </w:p>
    <w:p w14:paraId="58E862FA">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20.6.4 保险金不足的补偿</w:t>
      </w:r>
    </w:p>
    <w:p w14:paraId="481E5EB0">
      <w:pPr>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承包人负责补偿的范围与金额：</w:t>
      </w:r>
      <w:r>
        <w:rPr>
          <w:rFonts w:hint="eastAsia" w:ascii="宋体" w:hAnsi="宋体" w:eastAsia="宋体" w:cs="宋体"/>
          <w:snapToGrid w:val="0"/>
          <w:color w:val="auto"/>
          <w:sz w:val="24"/>
          <w:szCs w:val="24"/>
          <w:u w:val="single"/>
        </w:rPr>
        <w:t>免赔额部分及保险金不足的补偿均由承包人负责</w:t>
      </w:r>
      <w:r>
        <w:rPr>
          <w:rFonts w:hint="eastAsia" w:ascii="宋体" w:hAnsi="宋体" w:eastAsia="宋体" w:cs="宋体"/>
          <w:snapToGrid w:val="0"/>
          <w:color w:val="auto"/>
          <w:sz w:val="24"/>
          <w:szCs w:val="24"/>
        </w:rPr>
        <w:t>。</w:t>
      </w:r>
    </w:p>
    <w:p w14:paraId="6B8D21DD">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发包人负责补偿的范围与金额：</w:t>
      </w:r>
      <w:r>
        <w:rPr>
          <w:rFonts w:hint="eastAsia" w:ascii="宋体" w:hAnsi="宋体" w:eastAsia="宋体" w:cs="宋体"/>
          <w:snapToGrid w:val="0"/>
          <w:color w:val="auto"/>
          <w:sz w:val="24"/>
          <w:szCs w:val="24"/>
          <w:u w:val="single"/>
        </w:rPr>
        <w:t>由于本工程一切保险均由承包人负责投保，其费用均列入报价，故发包人不承担保险金不足的补偿</w:t>
      </w:r>
      <w:r>
        <w:rPr>
          <w:rFonts w:hint="eastAsia" w:ascii="宋体" w:hAnsi="宋体" w:eastAsia="宋体" w:cs="宋体"/>
          <w:snapToGrid w:val="0"/>
          <w:color w:val="auto"/>
          <w:sz w:val="24"/>
          <w:szCs w:val="24"/>
        </w:rPr>
        <w:t>。</w:t>
      </w:r>
    </w:p>
    <w:p w14:paraId="780FDC37">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79" w:name="_Toc424301746"/>
      <w:bookmarkStart w:id="580" w:name="_Toc384843112"/>
      <w:bookmarkStart w:id="581" w:name="_Toc433622051"/>
      <w:bookmarkStart w:id="582" w:name="_Toc350975306"/>
      <w:bookmarkStart w:id="583" w:name="_Toc381220923"/>
      <w:bookmarkStart w:id="584" w:name="_Toc426559153"/>
      <w:bookmarkStart w:id="585" w:name="_Toc433363238"/>
      <w:bookmarkStart w:id="586" w:name="_Toc475633948"/>
      <w:bookmarkStart w:id="587" w:name="_Toc381776169"/>
      <w:bookmarkStart w:id="588" w:name="_Toc370459076"/>
      <w:bookmarkStart w:id="589" w:name="_Toc362883299"/>
      <w:r>
        <w:rPr>
          <w:rFonts w:hint="eastAsia" w:ascii="宋体" w:hAnsi="宋体" w:eastAsia="宋体" w:cs="宋体"/>
          <w:b/>
          <w:snapToGrid w:val="0"/>
          <w:color w:val="auto"/>
          <w:sz w:val="24"/>
          <w:szCs w:val="24"/>
        </w:rPr>
        <w:t>22 违约</w:t>
      </w:r>
      <w:bookmarkEnd w:id="579"/>
      <w:bookmarkEnd w:id="580"/>
      <w:bookmarkEnd w:id="581"/>
      <w:bookmarkEnd w:id="582"/>
      <w:bookmarkEnd w:id="583"/>
      <w:bookmarkEnd w:id="584"/>
      <w:bookmarkEnd w:id="585"/>
      <w:bookmarkEnd w:id="586"/>
    </w:p>
    <w:p w14:paraId="450DC72F">
      <w:pPr>
        <w:keepLines/>
        <w:autoSpaceDE w:val="0"/>
        <w:autoSpaceDN w:val="0"/>
        <w:adjustRightInd w:val="0"/>
        <w:spacing w:line="400" w:lineRule="exact"/>
        <w:textAlignment w:val="baseline"/>
        <w:outlineLvl w:val="3"/>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22.1 承包人违约</w:t>
      </w:r>
    </w:p>
    <w:p w14:paraId="4ECF7537">
      <w:pPr>
        <w:autoSpaceDE w:val="0"/>
        <w:autoSpaceDN w:val="0"/>
        <w:adjustRightInd w:val="0"/>
        <w:spacing w:line="400" w:lineRule="exact"/>
        <w:ind w:firstLine="488"/>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22.1.2 对承包人违约的处理</w:t>
      </w:r>
    </w:p>
    <w:p w14:paraId="5F56D30E">
      <w:pPr>
        <w:autoSpaceDE w:val="0"/>
        <w:autoSpaceDN w:val="0"/>
        <w:adjustRightInd w:val="0"/>
        <w:spacing w:line="400" w:lineRule="exact"/>
        <w:ind w:firstLine="488"/>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补充以下条款：</w:t>
      </w:r>
    </w:p>
    <w:p w14:paraId="50C1B649">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（4）人员到位违约的处理：</w:t>
      </w:r>
    </w:p>
    <w:p w14:paraId="1EAF366C">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① </w:t>
      </w:r>
      <w:r>
        <w:rPr>
          <w:rFonts w:hint="eastAsia" w:ascii="宋体" w:hAnsi="宋体" w:eastAsia="宋体" w:cs="宋体"/>
          <w:snapToGrid w:val="0"/>
          <w:color w:val="auto"/>
          <w:sz w:val="24"/>
          <w:szCs w:val="24"/>
          <w:u w:val="single"/>
        </w:rPr>
        <w:t>项目负责人、项目技术负责人每月驻工地的天数每少一天支付违约金 1000 元，若连续 4 个月及以上每月驻工地的天数少于22天，发包人有权解除合同。</w:t>
      </w:r>
    </w:p>
    <w:p w14:paraId="54692A5D">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u w:val="single"/>
        </w:rPr>
        <w:t>项目施工员、质检（量）员、安全员每月驻工地的天数每少一天支付违约金1000 元，若连续 4 个月及以上每月驻工地的天数少于25天，发包人有权解除合同。</w:t>
      </w:r>
    </w:p>
    <w:p w14:paraId="33845E80">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xml:space="preserve">② </w:t>
      </w:r>
      <w:r>
        <w:rPr>
          <w:rFonts w:hint="eastAsia" w:ascii="宋体" w:hAnsi="宋体" w:eastAsia="宋体" w:cs="宋体"/>
          <w:snapToGrid w:val="0"/>
          <w:color w:val="auto"/>
          <w:sz w:val="24"/>
          <w:szCs w:val="24"/>
          <w:u w:val="single"/>
        </w:rPr>
        <w:t>承包人擅自更换项目负责人或项目技术负责人的，除每人次需支付 30 万元的违约金外，发包人有权将其作为不良行为记录上报水行政主管部门；情节特别严重的，发包人有权中止合同。</w:t>
      </w:r>
    </w:p>
    <w:p w14:paraId="4C9DEF61">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xml:space="preserve">③ </w:t>
      </w:r>
      <w:r>
        <w:rPr>
          <w:rFonts w:hint="eastAsia" w:ascii="宋体" w:hAnsi="宋体" w:eastAsia="宋体" w:cs="宋体"/>
          <w:snapToGrid w:val="0"/>
          <w:color w:val="auto"/>
          <w:sz w:val="24"/>
          <w:szCs w:val="24"/>
          <w:u w:val="single"/>
        </w:rPr>
        <w:t>承包人的安全员、质检员、施工员、专职安全生产管理人员擅自调换每一人次需支付违约金 5 万元。</w:t>
      </w:r>
    </w:p>
    <w:p w14:paraId="51B7C2EF">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④ </w:t>
      </w:r>
      <w:r>
        <w:rPr>
          <w:rFonts w:hint="eastAsia" w:ascii="宋体" w:hAnsi="宋体" w:eastAsia="宋体" w:cs="宋体"/>
          <w:snapToGrid w:val="0"/>
          <w:color w:val="auto"/>
          <w:sz w:val="24"/>
          <w:szCs w:val="24"/>
          <w:u w:val="single"/>
        </w:rPr>
        <w:t>上述违约金在当月工程进度款中直接扣除，在工地工作天数按监理人实际考勤记录为准。</w:t>
      </w:r>
    </w:p>
    <w:p w14:paraId="455C2258">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snapToGrid w:val="0"/>
          <w:color w:val="auto"/>
          <w:sz w:val="24"/>
          <w:szCs w:val="24"/>
          <w:u w:val="single"/>
        </w:rPr>
        <w:fldChar w:fldCharType="begin"/>
      </w:r>
      <w:r>
        <w:rPr>
          <w:rFonts w:hint="eastAsia" w:ascii="宋体" w:hAnsi="宋体" w:eastAsia="宋体" w:cs="宋体"/>
          <w:snapToGrid w:val="0"/>
          <w:color w:val="auto"/>
          <w:sz w:val="24"/>
          <w:szCs w:val="24"/>
          <w:u w:val="single"/>
        </w:rPr>
        <w:instrText xml:space="preserve"> = 5 \* GB3 </w:instrText>
      </w:r>
      <w:r>
        <w:rPr>
          <w:rFonts w:hint="eastAsia" w:ascii="宋体" w:hAnsi="宋体" w:eastAsia="宋体" w:cs="宋体"/>
          <w:snapToGrid w:val="0"/>
          <w:color w:val="auto"/>
          <w:sz w:val="24"/>
          <w:szCs w:val="24"/>
          <w:u w:val="single"/>
        </w:rPr>
        <w:fldChar w:fldCharType="separate"/>
      </w:r>
      <w:r>
        <w:rPr>
          <w:rFonts w:hint="eastAsia" w:ascii="宋体" w:hAnsi="宋体" w:eastAsia="宋体" w:cs="宋体"/>
          <w:snapToGrid w:val="0"/>
          <w:color w:val="auto"/>
          <w:sz w:val="24"/>
          <w:szCs w:val="24"/>
          <w:u w:val="single"/>
        </w:rPr>
        <w:t>⑤</w:t>
      </w:r>
      <w:r>
        <w:rPr>
          <w:rFonts w:hint="eastAsia" w:ascii="宋体" w:hAnsi="宋体" w:eastAsia="宋体" w:cs="宋体"/>
          <w:snapToGrid w:val="0"/>
          <w:color w:val="auto"/>
          <w:sz w:val="24"/>
          <w:szCs w:val="24"/>
          <w:u w:val="single"/>
        </w:rPr>
        <w:fldChar w:fldCharType="end"/>
      </w:r>
      <w:r>
        <w:rPr>
          <w:rFonts w:hint="eastAsia" w:ascii="宋体" w:hAnsi="宋体" w:eastAsia="宋体" w:cs="宋体"/>
          <w:snapToGrid w:val="0"/>
          <w:color w:val="auto"/>
          <w:sz w:val="24"/>
          <w:szCs w:val="24"/>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招标人、备案主管部门违反有关规定的，应追究有关单位和相关负责人的责任。</w:t>
      </w:r>
    </w:p>
    <w:p w14:paraId="511FBE5B">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24 争议的解决</w:t>
      </w:r>
      <w:bookmarkEnd w:id="587"/>
      <w:bookmarkEnd w:id="588"/>
      <w:bookmarkEnd w:id="589"/>
    </w:p>
    <w:p w14:paraId="5E58DE6B">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24.1 争议的解决方式</w:t>
      </w:r>
    </w:p>
    <w:p w14:paraId="11F7F686">
      <w:pPr>
        <w:snapToGrid w:val="0"/>
        <w:spacing w:line="400" w:lineRule="exact"/>
        <w:ind w:firstLine="470" w:firstLineChars="196"/>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合同当事人友好协商解决不成、不愿提请争议评审或不接受争议评审组意见的，约定的合同争议解决方式：</w:t>
      </w:r>
      <w:r>
        <w:rPr>
          <w:rFonts w:hint="eastAsia" w:ascii="宋体" w:hAnsi="宋体" w:eastAsia="宋体" w:cs="宋体"/>
          <w:snapToGrid w:val="0"/>
          <w:color w:val="auto"/>
          <w:sz w:val="24"/>
          <w:szCs w:val="24"/>
          <w:u w:val="single"/>
        </w:rPr>
        <w:t>提交人民法院，提交本工程所在人民法院</w:t>
      </w:r>
      <w:r>
        <w:rPr>
          <w:rFonts w:hint="eastAsia" w:ascii="宋体" w:hAnsi="宋体" w:eastAsia="宋体" w:cs="宋体"/>
          <w:snapToGrid w:val="0"/>
          <w:color w:val="auto"/>
          <w:sz w:val="24"/>
          <w:szCs w:val="24"/>
        </w:rPr>
        <w:t>。</w:t>
      </w:r>
    </w:p>
    <w:p w14:paraId="41F86702">
      <w:pPr>
        <w:autoSpaceDE w:val="0"/>
        <w:autoSpaceDN w:val="0"/>
        <w:adjustRightInd w:val="0"/>
        <w:spacing w:line="400" w:lineRule="exact"/>
        <w:ind w:firstLine="480"/>
        <w:textAlignment w:val="baseline"/>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合同条款补充：</w:t>
      </w:r>
    </w:p>
    <w:p w14:paraId="2B60E2D0">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90" w:name="_Toc178843982"/>
      <w:bookmarkStart w:id="591" w:name="_Toc381220926"/>
      <w:bookmarkStart w:id="592" w:name="_Toc241374762"/>
      <w:bookmarkStart w:id="593" w:name="_Toc264875831"/>
      <w:bookmarkStart w:id="594" w:name="_Toc261333153"/>
      <w:r>
        <w:rPr>
          <w:rFonts w:hint="eastAsia" w:ascii="宋体" w:hAnsi="宋体" w:eastAsia="宋体" w:cs="宋体"/>
          <w:b/>
          <w:snapToGrid w:val="0"/>
          <w:color w:val="auto"/>
          <w:sz w:val="24"/>
          <w:szCs w:val="24"/>
        </w:rPr>
        <w:t>25 合同类型</w:t>
      </w:r>
      <w:bookmarkEnd w:id="590"/>
      <w:bookmarkEnd w:id="591"/>
      <w:bookmarkEnd w:id="592"/>
      <w:bookmarkEnd w:id="593"/>
      <w:bookmarkEnd w:id="594"/>
    </w:p>
    <w:p w14:paraId="14FEE8EF">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本合同的采用单价承包，</w:t>
      </w:r>
      <w:r>
        <w:rPr>
          <w:rFonts w:hint="eastAsia" w:ascii="宋体" w:hAnsi="宋体" w:eastAsia="宋体" w:cs="宋体"/>
          <w:color w:val="auto"/>
          <w:sz w:val="24"/>
          <w:szCs w:val="24"/>
          <w:lang w:eastAsia="zh-CN"/>
        </w:rPr>
        <w:t>其中以</w:t>
      </w:r>
      <w:r>
        <w:rPr>
          <w:rFonts w:hint="eastAsia" w:ascii="宋体" w:hAnsi="宋体" w:eastAsia="宋体" w:cs="宋体"/>
          <w:color w:val="auto"/>
          <w:sz w:val="24"/>
          <w:szCs w:val="24"/>
        </w:rPr>
        <w:t>项为计量单</w:t>
      </w:r>
      <w:r>
        <w:rPr>
          <w:rFonts w:hint="eastAsia" w:ascii="宋体" w:hAnsi="宋体" w:eastAsia="宋体" w:cs="宋体"/>
          <w:b w:val="0"/>
          <w:bCs w:val="0"/>
          <w:color w:val="auto"/>
          <w:sz w:val="24"/>
          <w:szCs w:val="24"/>
        </w:rPr>
        <w:t>位的施工临时工程</w:t>
      </w:r>
      <w:r>
        <w:rPr>
          <w:rFonts w:hint="eastAsia" w:ascii="宋体" w:hAnsi="宋体" w:eastAsia="宋体" w:cs="宋体"/>
          <w:b w:val="0"/>
          <w:bCs w:val="0"/>
          <w:color w:val="auto"/>
          <w:sz w:val="24"/>
          <w:szCs w:val="24"/>
          <w:lang w:eastAsia="zh-CN"/>
        </w:rPr>
        <w:t>采用总价</w:t>
      </w:r>
      <w:r>
        <w:rPr>
          <w:rFonts w:hint="eastAsia" w:ascii="宋体" w:hAnsi="宋体" w:eastAsia="宋体" w:cs="宋体"/>
          <w:b w:val="0"/>
          <w:bCs w:val="0"/>
          <w:color w:val="auto"/>
          <w:sz w:val="24"/>
          <w:szCs w:val="24"/>
        </w:rPr>
        <w:t>包干。</w:t>
      </w:r>
    </w:p>
    <w:p w14:paraId="52BA986E">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在合同签订的同时，需另行签订《安全生产协议书》。</w:t>
      </w:r>
    </w:p>
    <w:p w14:paraId="68EA9778">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bookmarkStart w:id="595" w:name="_Toc362880706"/>
      <w:bookmarkEnd w:id="595"/>
      <w:bookmarkStart w:id="596" w:name="_Toc362883118"/>
      <w:bookmarkEnd w:id="596"/>
      <w:bookmarkStart w:id="597" w:name="_Toc362883300"/>
      <w:bookmarkEnd w:id="597"/>
      <w:r>
        <w:rPr>
          <w:rFonts w:hint="eastAsia" w:ascii="宋体" w:hAnsi="宋体" w:eastAsia="宋体" w:cs="宋体"/>
          <w:snapToGrid w:val="0"/>
          <w:color w:val="auto"/>
          <w:sz w:val="24"/>
          <w:szCs w:val="24"/>
        </w:rPr>
        <w:t xml:space="preserve">  “安全施工费”的使用范围按国家、《浙江省水利水电工程设计概（预）算编制规定（2021年）》和省有关规定及本工程设计图纸明确的安全、文明施工要求。发包人</w:t>
      </w:r>
      <w:r>
        <w:rPr>
          <w:rFonts w:hint="eastAsia" w:ascii="宋体" w:hAnsi="宋体" w:eastAsia="宋体" w:cs="宋体"/>
          <w:color w:val="auto"/>
          <w:sz w:val="24"/>
          <w:szCs w:val="24"/>
        </w:rPr>
        <w:t>将在第一次支付工程款时扣押该笔费用，在工程实施时，按承包人提交的安全文明防护设施凭证按实拨付，拨付的总额最高不超过《工程量清单》所列安全施工费用。</w:t>
      </w:r>
    </w:p>
    <w:p w14:paraId="1587C8CC">
      <w:pPr>
        <w:autoSpaceDE w:val="0"/>
        <w:autoSpaceDN w:val="0"/>
        <w:adjustRightInd w:val="0"/>
        <w:snapToGrid w:val="0"/>
        <w:spacing w:line="40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26 其他</w:t>
      </w:r>
    </w:p>
    <w:p w14:paraId="249BC758">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本项目的农民工工资支付管理按照《工程建设领域农民工工资专用账户管理暂行办法》（人社部发[2021]53 号）、《浙江省工程建设领域农民工工资专用账户管理实施细则》（浙人社发[2022]14 号））文件的要求执行。</w:t>
      </w:r>
    </w:p>
    <w:p w14:paraId="6D74D981">
      <w:pPr>
        <w:autoSpaceDE w:val="0"/>
        <w:autoSpaceDN w:val="0"/>
        <w:adjustRightInd w:val="0"/>
        <w:snapToGrid w:val="0"/>
        <w:spacing w:line="400" w:lineRule="exact"/>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承包人须按宁波市人力资</w:t>
      </w:r>
      <w:r>
        <w:rPr>
          <w:rFonts w:hint="eastAsia" w:ascii="宋体" w:hAnsi="宋体" w:eastAsia="宋体" w:cs="宋体"/>
          <w:b w:val="0"/>
          <w:bCs w:val="0"/>
          <w:color w:val="auto"/>
          <w:sz w:val="24"/>
          <w:szCs w:val="24"/>
        </w:rPr>
        <w:t>源和社会保障局等 6 部门关于印发《宁波市工程建设领域农民工工资专用账户管理实施细则（试行）》的通知（甬人社发[2022]29 号）文件及有关规定做好农民工工资保证金的缴纳，并规范农民工工资专用账户资金管理。</w:t>
      </w:r>
    </w:p>
    <w:p w14:paraId="7BB7FB8A">
      <w:pPr>
        <w:autoSpaceDE w:val="0"/>
        <w:autoSpaceDN w:val="0"/>
        <w:adjustRightInd w:val="0"/>
        <w:snapToGrid w:val="0"/>
        <w:spacing w:line="400" w:lineRule="exact"/>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承包方在签订本合同的同时与发包方、开户银行按本合同附件五的格式签订《宁波市工程建设领域农民工工资专用账户资金管理三方协议》。</w:t>
      </w:r>
    </w:p>
    <w:p w14:paraId="023B9AFD">
      <w:pPr>
        <w:pStyle w:val="23"/>
        <w:rPr>
          <w:rFonts w:hint="eastAsia" w:ascii="宋体" w:hAnsi="宋体" w:eastAsia="宋体" w:cs="宋体"/>
          <w:color w:val="auto"/>
          <w:sz w:val="24"/>
          <w:szCs w:val="24"/>
          <w:highlight w:val="none"/>
        </w:rPr>
      </w:pPr>
    </w:p>
    <w:p w14:paraId="2AF57EA7">
      <w:pPr>
        <w:pStyle w:val="33"/>
        <w:rPr>
          <w:rFonts w:hint="eastAsia" w:ascii="宋体" w:hAnsi="宋体" w:eastAsia="宋体" w:cs="宋体"/>
          <w:color w:val="auto"/>
          <w:sz w:val="24"/>
          <w:szCs w:val="24"/>
          <w:lang w:eastAsia="zh-CN"/>
        </w:rPr>
        <w:sectPr>
          <w:pgSz w:w="11906" w:h="16838"/>
          <w:pgMar w:top="1440" w:right="1080" w:bottom="1440" w:left="1080" w:header="851" w:footer="992" w:gutter="0"/>
          <w:pgNumType w:fmt="decimal"/>
          <w:cols w:space="720" w:num="1"/>
          <w:titlePg/>
          <w:docGrid w:linePitch="312" w:charSpace="0"/>
        </w:sectPr>
      </w:pPr>
    </w:p>
    <w:p w14:paraId="0065B06C">
      <w:pPr>
        <w:rPr>
          <w:rFonts w:hint="eastAsia"/>
          <w:color w:val="auto"/>
          <w:lang w:eastAsia="zh-CN"/>
        </w:rPr>
      </w:pPr>
    </w:p>
    <w:p w14:paraId="65D31596">
      <w:pPr>
        <w:adjustRightInd w:val="0"/>
        <w:snapToGrid w:val="0"/>
        <w:spacing w:line="300" w:lineRule="auto"/>
        <w:rPr>
          <w:rFonts w:hint="eastAsia" w:ascii="宋体" w:hAnsi="宋体" w:eastAsia="宋体" w:cs="宋体"/>
          <w:b/>
          <w:color w:val="auto"/>
          <w:sz w:val="21"/>
          <w:szCs w:val="21"/>
          <w:highlight w:val="none"/>
        </w:rPr>
      </w:pPr>
    </w:p>
    <w:p w14:paraId="1E6B6E2A">
      <w:pPr>
        <w:pStyle w:val="3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安全生产协议书</w:t>
      </w:r>
    </w:p>
    <w:p w14:paraId="11E12AC0">
      <w:pPr>
        <w:pStyle w:val="967"/>
        <w:rPr>
          <w:rFonts w:hint="eastAsia" w:ascii="宋体" w:hAnsi="宋体" w:eastAsia="宋体" w:cs="宋体"/>
          <w:bCs/>
          <w:color w:val="auto"/>
          <w:sz w:val="24"/>
          <w:szCs w:val="24"/>
          <w:highlight w:val="none"/>
        </w:rPr>
      </w:pPr>
    </w:p>
    <w:p w14:paraId="5E0328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bCs/>
          <w:snapToGrid w:val="0"/>
          <w:color w:val="auto"/>
          <w:sz w:val="24"/>
          <w:szCs w:val="24"/>
          <w:highlight w:val="none"/>
          <w:u w:val="single"/>
        </w:rPr>
        <w:t xml:space="preserve">                                </w:t>
      </w:r>
      <w:r>
        <w:rPr>
          <w:rFonts w:hint="eastAsia" w:ascii="宋体" w:hAnsi="宋体" w:eastAsia="宋体" w:cs="宋体"/>
          <w:color w:val="auto"/>
          <w:sz w:val="24"/>
          <w:szCs w:val="24"/>
          <w:highlight w:val="none"/>
        </w:rPr>
        <w:t>施工合同的实施过程中创造安全、高效的施工环境，切实搞好本项目的安全管理工作，本项目的建设单位</w:t>
      </w:r>
      <w:r>
        <w:rPr>
          <w:rFonts w:hint="eastAsia" w:ascii="宋体" w:hAnsi="宋体" w:eastAsia="宋体" w:cs="宋体"/>
          <w:bCs/>
          <w:snapToGrid w:val="0"/>
          <w:color w:val="auto"/>
          <w:sz w:val="24"/>
          <w:szCs w:val="24"/>
          <w:highlight w:val="none"/>
          <w:u w:val="single"/>
        </w:rPr>
        <w:t xml:space="preserve">                   </w:t>
      </w:r>
      <w:r>
        <w:rPr>
          <w:rFonts w:hint="eastAsia" w:ascii="宋体" w:hAnsi="宋体" w:eastAsia="宋体" w:cs="宋体"/>
          <w:color w:val="auto"/>
          <w:sz w:val="24"/>
          <w:szCs w:val="24"/>
          <w:highlight w:val="none"/>
        </w:rPr>
        <w:t>（以下简称“甲方”）与施工单位</w:t>
      </w:r>
      <w:r>
        <w:rPr>
          <w:rFonts w:hint="eastAsia" w:ascii="宋体" w:hAnsi="宋体" w:eastAsia="宋体" w:cs="宋体"/>
          <w:bCs/>
          <w:snapToGrid w:val="0"/>
          <w:color w:val="auto"/>
          <w:sz w:val="24"/>
          <w:szCs w:val="24"/>
          <w:highlight w:val="none"/>
          <w:u w:val="single"/>
        </w:rPr>
        <w:t xml:space="preserve">                              </w:t>
      </w:r>
      <w:r>
        <w:rPr>
          <w:rFonts w:hint="eastAsia" w:ascii="宋体" w:hAnsi="宋体" w:eastAsia="宋体" w:cs="宋体"/>
          <w:color w:val="auto"/>
          <w:sz w:val="24"/>
          <w:szCs w:val="24"/>
          <w:highlight w:val="none"/>
        </w:rPr>
        <w:t>（以下简称“乙方”），特此签订安全生产协议书：</w:t>
      </w:r>
    </w:p>
    <w:p w14:paraId="21BE7847">
      <w:pPr>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甲方职责</w:t>
      </w:r>
    </w:p>
    <w:p w14:paraId="621AB1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（一）遵守国家有关安全生产的法律法规，认真执行工程承包合同中的有关安全要求。</w:t>
      </w:r>
    </w:p>
    <w:p w14:paraId="46CB1D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（二）按照“安全第一、预防为主”和坚持“管生产必须管安全”的原则进行安全生产管理，做到生产与安全工作同时计划、布置、检查、总结和评比。</w:t>
      </w:r>
    </w:p>
    <w:p w14:paraId="3739D0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（三）重要的安全设施必须坚持与主体工程“三同时”的原则，即：同时设计、审批，同时施工，同时验收、投入使用。</w:t>
      </w:r>
    </w:p>
    <w:p w14:paraId="67F472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（四）定期召开安全生产调度会，及时传达中央及地方有关安全生产的精神。</w:t>
      </w:r>
    </w:p>
    <w:p w14:paraId="3EEF94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（五）组织对乙方施工现场安全生产检查，监督乙方及时处理发现的各种安全隐患。</w:t>
      </w:r>
    </w:p>
    <w:p w14:paraId="4C90AB2C">
      <w:pPr>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乙方职责</w:t>
      </w:r>
    </w:p>
    <w:p w14:paraId="798108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（一）严格遵守国家有关安全生产的法律法规、水利部颁发的有关工程施工安全技术规程的安全生产规定，认真执行工程承包合同中的有关安全要求。</w:t>
      </w:r>
    </w:p>
    <w:p w14:paraId="4D2C43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10045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43D8B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（四）乙方在任何时候都应采取各种合理的预防措施，防止其员工发生任何违法、违禁、暴力或妨碍治安的行为。</w:t>
      </w:r>
    </w:p>
    <w:p w14:paraId="203B3E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必须承担管理责任。</w:t>
      </w:r>
    </w:p>
    <w:p w14:paraId="279EA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326B50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（七）操作人员上岗，必须按规定穿戴防护用品。施工负责人和安全检查员应随时检查劳动防护用品的穿戴情况，不按规定穿戴防护用品的人员不得上岗。</w:t>
      </w:r>
    </w:p>
    <w:p w14:paraId="262ACF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（八）所有施工机具设备和高空作业的设备均应定期检查，并有安全员的签字记录，保证其经常处于完好状态；不合格的机具、设备和劳动保护用品严禁使用。</w:t>
      </w:r>
    </w:p>
    <w:p w14:paraId="711DF6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（九）所有施工中采用新技术，新工艺、新设备、新材料时，必须制定相应的安全技术措施，施工现场必须具有相关的安全标志牌。</w:t>
      </w:r>
    </w:p>
    <w:p w14:paraId="0CF7AE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E6E4B43">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第三条  违约责任</w:t>
      </w:r>
    </w:p>
    <w:p w14:paraId="0940F70E">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如因甲方或乙方违约造成安全事故，将依法追究责任。</w:t>
      </w:r>
    </w:p>
    <w:p w14:paraId="35C1B6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本合同正本一式二份，副本八份，合同双方各执正本一份，副本四份。由双方法定代表人或其授权的代理人签署与加盖公章后生效，全部工程竣工验收后失效。</w:t>
      </w:r>
    </w:p>
    <w:p w14:paraId="6F95DB25">
      <w:pPr>
        <w:spacing w:line="360" w:lineRule="auto"/>
        <w:rPr>
          <w:rFonts w:hint="eastAsia" w:ascii="宋体" w:hAnsi="宋体" w:eastAsia="宋体" w:cs="宋体"/>
          <w:color w:val="auto"/>
          <w:spacing w:val="-8"/>
          <w:sz w:val="24"/>
          <w:szCs w:val="24"/>
          <w:highlight w:val="none"/>
        </w:rPr>
      </w:pPr>
    </w:p>
    <w:p w14:paraId="6BB5DFEF">
      <w:pPr>
        <w:spacing w:line="360" w:lineRule="auto"/>
        <w:rPr>
          <w:rFonts w:hint="eastAsia" w:ascii="宋体" w:hAnsi="宋体" w:eastAsia="宋体" w:cs="宋体"/>
          <w:color w:val="auto"/>
          <w:spacing w:val="-8"/>
          <w:sz w:val="24"/>
          <w:szCs w:val="24"/>
          <w:highlight w:val="none"/>
        </w:rPr>
      </w:pPr>
    </w:p>
    <w:p w14:paraId="2F4C87EE">
      <w:pPr>
        <w:spacing w:line="360"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甲方：</w:t>
      </w:r>
      <w:r>
        <w:rPr>
          <w:rFonts w:hint="eastAsia" w:ascii="宋体" w:hAnsi="宋体" w:eastAsia="宋体" w:cs="宋体"/>
          <w:b/>
          <w:bCs/>
          <w:snapToGrid w:val="0"/>
          <w:color w:val="auto"/>
          <w:sz w:val="24"/>
          <w:szCs w:val="24"/>
          <w:highlight w:val="none"/>
          <w:u w:val="single"/>
        </w:rPr>
        <w:t xml:space="preserve">                     </w:t>
      </w:r>
      <w:r>
        <w:rPr>
          <w:rFonts w:hint="eastAsia" w:ascii="宋体" w:hAnsi="宋体" w:eastAsia="宋体" w:cs="宋体"/>
          <w:color w:val="auto"/>
          <w:spacing w:val="-8"/>
          <w:sz w:val="24"/>
          <w:szCs w:val="24"/>
          <w:highlight w:val="none"/>
          <w:u w:val="single"/>
        </w:rPr>
        <w:t xml:space="preserve">（盖章）   </w:t>
      </w:r>
      <w:r>
        <w:rPr>
          <w:rFonts w:hint="eastAsia" w:ascii="宋体" w:hAnsi="宋体" w:eastAsia="宋体" w:cs="宋体"/>
          <w:color w:val="auto"/>
          <w:spacing w:val="-8"/>
          <w:sz w:val="24"/>
          <w:szCs w:val="24"/>
          <w:highlight w:val="none"/>
        </w:rPr>
        <w:t xml:space="preserve">     乙方：</w:t>
      </w:r>
      <w:r>
        <w:rPr>
          <w:rFonts w:hint="eastAsia" w:ascii="宋体" w:hAnsi="宋体" w:eastAsia="宋体" w:cs="宋体"/>
          <w:b/>
          <w:bCs/>
          <w:snapToGrid w:val="0"/>
          <w:color w:val="auto"/>
          <w:sz w:val="24"/>
          <w:szCs w:val="24"/>
          <w:highlight w:val="none"/>
          <w:u w:val="single"/>
        </w:rPr>
        <w:t xml:space="preserve">                       </w:t>
      </w:r>
      <w:r>
        <w:rPr>
          <w:rFonts w:hint="eastAsia" w:ascii="宋体" w:hAnsi="宋体" w:eastAsia="宋体" w:cs="宋体"/>
          <w:color w:val="auto"/>
          <w:spacing w:val="-8"/>
          <w:sz w:val="24"/>
          <w:szCs w:val="24"/>
          <w:highlight w:val="none"/>
          <w:u w:val="single"/>
        </w:rPr>
        <w:t>（盖章）</w:t>
      </w:r>
    </w:p>
    <w:p w14:paraId="1DA41F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12396885">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                                            或</w:t>
      </w:r>
    </w:p>
    <w:p w14:paraId="3DFD8A2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其授权的代理人：</w:t>
      </w:r>
      <w:r>
        <w:rPr>
          <w:rFonts w:hint="eastAsia" w:ascii="宋体" w:hAnsi="宋体" w:eastAsia="宋体" w:cs="宋体"/>
          <w:color w:val="auto"/>
          <w:sz w:val="24"/>
          <w:szCs w:val="24"/>
          <w:highlight w:val="none"/>
          <w:u w:val="single"/>
        </w:rPr>
        <w:t xml:space="preserve">             （职务）</w:t>
      </w:r>
      <w:r>
        <w:rPr>
          <w:rFonts w:hint="eastAsia" w:ascii="宋体" w:hAnsi="宋体" w:eastAsia="宋体" w:cs="宋体"/>
          <w:color w:val="auto"/>
          <w:sz w:val="24"/>
          <w:szCs w:val="24"/>
          <w:highlight w:val="none"/>
        </w:rPr>
        <w:t xml:space="preserve">     其授权的代理人：</w:t>
      </w:r>
      <w:r>
        <w:rPr>
          <w:rFonts w:hint="eastAsia" w:ascii="宋体" w:hAnsi="宋体" w:eastAsia="宋体" w:cs="宋体"/>
          <w:color w:val="auto"/>
          <w:sz w:val="24"/>
          <w:szCs w:val="24"/>
          <w:highlight w:val="none"/>
          <w:u w:val="single"/>
        </w:rPr>
        <w:t xml:space="preserve">            （职务） </w:t>
      </w:r>
    </w:p>
    <w:p w14:paraId="1CB280C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（签字）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（签字）</w:t>
      </w:r>
    </w:p>
    <w:p w14:paraId="5094B21F">
      <w:pPr>
        <w:spacing w:line="360" w:lineRule="auto"/>
        <w:rPr>
          <w:rFonts w:hint="eastAsia" w:ascii="宋体" w:hAnsi="宋体" w:eastAsia="宋体" w:cs="宋体"/>
          <w:color w:val="auto"/>
          <w:sz w:val="24"/>
          <w:szCs w:val="24"/>
          <w:highlight w:val="none"/>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056CC3B">
      <w:pPr>
        <w:spacing w:line="7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承包商履约保函</w:t>
      </w:r>
    </w:p>
    <w:p w14:paraId="7213BD86">
      <w:pPr>
        <w:spacing w:line="440" w:lineRule="exact"/>
        <w:ind w:firstLine="5400" w:firstLineChars="2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办理日期：  年  月  日</w:t>
      </w:r>
    </w:p>
    <w:p w14:paraId="1605518D">
      <w:pPr>
        <w:spacing w:line="440" w:lineRule="exact"/>
        <w:ind w:right="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保函编号：№</w:t>
      </w:r>
    </w:p>
    <w:p w14:paraId="2C2CFC5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w:t>
      </w:r>
    </w:p>
    <w:p w14:paraId="4A4EEEE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鉴于你方作为发包人已经于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（承包商名称，以下称“承包商”）为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（工程名称，勘察设计/监理/施工）项目的中标人，应承包商申请，我方愿就承包商履行该项目（勘察设计/监理/施工）合同（以下简称主合同）约定的义务以保证的方式向你方提供如下担保：</w:t>
      </w:r>
    </w:p>
    <w:p w14:paraId="2BD7DE59">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一、保证的范围及保证金额</w:t>
      </w:r>
    </w:p>
    <w:p w14:paraId="792BD8C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我方的保证范围是承包商未按照主合同约定履行义务，给你方造成的实际损失。</w:t>
      </w:r>
    </w:p>
    <w:p w14:paraId="464CEC0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我方保证的金额是主合同约定的合同总价款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%，数额最高不超过人民币（大写）：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4BB4C6F">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二、保证的方式及保证期间</w:t>
      </w:r>
    </w:p>
    <w:p w14:paraId="5F3DF83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我方保证的方式为：连带责任保证。</w:t>
      </w:r>
    </w:p>
    <w:p w14:paraId="70492CE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我方保证的期间为：自主合同生效之日起至承包商取得竣工验收记录后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w:t>
      </w:r>
    </w:p>
    <w:p w14:paraId="714A620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你方与承包商协议变更工程竣工日期的，经我方书面同意后，保证期间按照变更后的竣工日期做相应调整。</w:t>
      </w:r>
    </w:p>
    <w:p w14:paraId="52D2B3BA">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三、承担保证责任的形式</w:t>
      </w:r>
    </w:p>
    <w:p w14:paraId="602E1A4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种方式向你方承担保证责任：</w:t>
      </w:r>
    </w:p>
    <w:p w14:paraId="5F797AE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（1）由我方提供资金及技术援助，使承包商继续履行主合同义务，支付金额不超过本保函第一条规定的保证金额。</w:t>
      </w:r>
    </w:p>
    <w:p w14:paraId="4A2D3BC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（2）由我方代为承包商履行主合同剩余部分义务。</w:t>
      </w:r>
    </w:p>
    <w:p w14:paraId="4021F2D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（3）由我方在本保函第一条规定的保证金额内赔偿你方的损失。</w:t>
      </w:r>
    </w:p>
    <w:p w14:paraId="199904BF">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四、代偿的安排</w:t>
      </w:r>
    </w:p>
    <w:p w14:paraId="29A1EBD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380C51B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4471FC6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我方收到本保函原件和你方的书面索赔通知及相应证明材料后，在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工作日内进行核定后按照本保函的承诺承担保证责任。</w:t>
      </w:r>
    </w:p>
    <w:p w14:paraId="0F9C1C67">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五、保证责任的解除</w:t>
      </w:r>
    </w:p>
    <w:p w14:paraId="514C67B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1、在本保函承诺的保证期间内，你方未书面向我方主张保证责任的，自保证期间届满次日起，我方保证责任解除。</w:t>
      </w:r>
    </w:p>
    <w:p w14:paraId="361CA8A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2、承包商按主合同约定履行了义务的，自本保函承诺的保证期间届满次日起，我方保证责任解除。</w:t>
      </w:r>
    </w:p>
    <w:p w14:paraId="472E852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3、我方按照本保函向你方履行保证责任所支付的金额达到本保函保证金额时，自我方向你方支付（支付款项从我方账户划出）之日起，保证责任即解除。</w:t>
      </w:r>
    </w:p>
    <w:p w14:paraId="2751A7B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4、按照法律法规的规定或出现应解除我方保证责任的其它情形的，我方在本保函项下的保证责任亦解除。</w:t>
      </w:r>
    </w:p>
    <w:p w14:paraId="2713D5E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我方解除保证责任后，你方应自我方保证责任解除之日起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个工作日内，将本保函原件返还我方。超出本约定期限的，无论本保函原件是否退还我方，我方均不再承担保证责任。</w:t>
      </w:r>
    </w:p>
    <w:p w14:paraId="06532A6A">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六、免责条款</w:t>
      </w:r>
    </w:p>
    <w:p w14:paraId="4D53CD4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1、因你方违约致使承包商不能履行义务的，我方不承担保证责任。</w:t>
      </w:r>
    </w:p>
    <w:p w14:paraId="5178961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2、依照法律法规的规定或你方与承包商的另行约定，免除承包商部分或全部义务的，我方亦免除其相应的保证责任。</w:t>
      </w:r>
    </w:p>
    <w:p w14:paraId="51BC093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3、你方与承包商协议变更主合同（符合主合同条款约定的变更除外），如加重承包商责任致使我方保证责任加重的，需征得我方书面同意，否则我方不再承担因此而加重部分的保证责任。</w:t>
      </w:r>
    </w:p>
    <w:p w14:paraId="2B6E574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4、因不可抗力造成承包商不能履行义务的，我方不承担保证责任。</w:t>
      </w:r>
    </w:p>
    <w:p w14:paraId="0A32F9C7">
      <w:pPr>
        <w:spacing w:line="400" w:lineRule="exact"/>
        <w:rPr>
          <w:rStyle w:val="936"/>
          <w:rFonts w:hint="eastAsia" w:ascii="宋体" w:hAnsi="宋体" w:eastAsia="宋体" w:cs="宋体"/>
          <w:color w:val="auto"/>
          <w:sz w:val="24"/>
          <w:szCs w:val="24"/>
          <w:highlight w:val="none"/>
        </w:rPr>
      </w:pPr>
      <w:r>
        <w:rPr>
          <w:rStyle w:val="936"/>
          <w:rFonts w:hint="eastAsia" w:ascii="宋体" w:hAnsi="宋体" w:eastAsia="宋体" w:cs="宋体"/>
          <w:color w:val="auto"/>
          <w:sz w:val="24"/>
          <w:szCs w:val="24"/>
          <w:highlight w:val="none"/>
        </w:rPr>
        <w:t xml:space="preserve">    5、本保函不得转让，我方对除你方以外的任何第三方不承担任何责任。</w:t>
      </w:r>
    </w:p>
    <w:p w14:paraId="51D83B66">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七、争议的解决</w:t>
      </w:r>
    </w:p>
    <w:p w14:paraId="570A87F3">
      <w:pPr>
        <w:spacing w:line="400" w:lineRule="exact"/>
        <w:ind w:left="1037" w:leftChars="151"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因本保函发生的纠纷，由你我双方协商解决，协商不成的，任何一方均可提请</w:t>
      </w:r>
    </w:p>
    <w:p w14:paraId="2A19CD5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仲裁委员会仲裁</w:t>
      </w:r>
      <w:r>
        <w:rPr>
          <w:rStyle w:val="936"/>
          <w:rFonts w:hint="eastAsia" w:ascii="宋体" w:hAnsi="宋体" w:eastAsia="宋体" w:cs="宋体"/>
          <w:color w:val="auto"/>
          <w:sz w:val="24"/>
          <w:szCs w:val="24"/>
          <w:highlight w:val="none"/>
        </w:rPr>
        <w:t>。</w:t>
      </w:r>
    </w:p>
    <w:p w14:paraId="00A979D6">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八、保函的生效</w:t>
      </w:r>
    </w:p>
    <w:p w14:paraId="1E3862F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本保函自我方法定代表人（或其授权代理人）签字并加盖公章后生效。</w:t>
      </w:r>
    </w:p>
    <w:p w14:paraId="45E20DCB">
      <w:pPr>
        <w:spacing w:line="400" w:lineRule="exact"/>
        <w:ind w:firstLine="240" w:firstLineChars="100"/>
        <w:jc w:val="left"/>
        <w:rPr>
          <w:rFonts w:hint="eastAsia" w:ascii="宋体" w:hAnsi="宋体" w:eastAsia="宋体" w:cs="宋体"/>
          <w:color w:val="auto"/>
          <w:sz w:val="24"/>
          <w:szCs w:val="24"/>
          <w:highlight w:val="none"/>
        </w:rPr>
      </w:pPr>
    </w:p>
    <w:p w14:paraId="540D1478">
      <w:pPr>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A973F2B">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50C1BAB9">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DB199E8">
      <w:pPr>
        <w:spacing w:line="40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3EFDFE03">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4259B741">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46182F9F">
      <w:pPr>
        <w:pStyle w:val="32"/>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765547">
      <w:pPr>
        <w:pStyle w:val="32"/>
        <w:adjustRightInd w:val="0"/>
        <w:jc w:val="left"/>
        <w:rPr>
          <w:rFonts w:hint="eastAsia" w:ascii="宋体" w:hAnsi="宋体" w:eastAsia="宋体" w:cs="宋体"/>
          <w:color w:val="auto"/>
          <w:sz w:val="24"/>
          <w:szCs w:val="24"/>
          <w:highlight w:val="none"/>
        </w:rPr>
      </w:pPr>
    </w:p>
    <w:p w14:paraId="10BDB230">
      <w:pPr>
        <w:pStyle w:val="32"/>
        <w:adjustRightInd w:val="0"/>
        <w:jc w:val="left"/>
        <w:rPr>
          <w:rFonts w:hint="eastAsia" w:ascii="宋体" w:hAnsi="宋体" w:eastAsia="宋体" w:cs="宋体"/>
          <w:color w:val="auto"/>
          <w:sz w:val="24"/>
          <w:szCs w:val="24"/>
          <w:highlight w:val="none"/>
        </w:rPr>
      </w:pPr>
    </w:p>
    <w:p w14:paraId="1BE7C08A">
      <w:pPr>
        <w:pStyle w:val="33"/>
        <w:rPr>
          <w:rFonts w:hint="eastAsia" w:ascii="宋体" w:hAnsi="宋体" w:eastAsia="宋体" w:cs="宋体"/>
          <w:color w:val="auto"/>
          <w:sz w:val="24"/>
          <w:szCs w:val="24"/>
          <w:highlight w:val="none"/>
        </w:rPr>
      </w:pPr>
    </w:p>
    <w:p w14:paraId="75B489E0">
      <w:pPr>
        <w:rPr>
          <w:rFonts w:hint="eastAsia" w:ascii="宋体" w:hAnsi="宋体" w:eastAsia="宋体" w:cs="宋体"/>
          <w:color w:val="auto"/>
          <w:sz w:val="24"/>
          <w:szCs w:val="24"/>
          <w:highlight w:val="none"/>
        </w:rPr>
      </w:pPr>
    </w:p>
    <w:p w14:paraId="3AF0AEA8">
      <w:pPr>
        <w:rPr>
          <w:rFonts w:hint="eastAsia" w:ascii="宋体" w:hAnsi="宋体" w:eastAsia="宋体" w:cs="宋体"/>
          <w:color w:val="auto"/>
          <w:sz w:val="24"/>
          <w:szCs w:val="24"/>
          <w:highlight w:val="none"/>
        </w:rPr>
      </w:pPr>
    </w:p>
    <w:p w14:paraId="6F0CE753">
      <w:pPr>
        <w:autoSpaceDE w:val="0"/>
        <w:autoSpaceDN w:val="0"/>
        <w:adjustRightInd w:val="0"/>
        <w:spacing w:line="400" w:lineRule="exact"/>
        <w:textAlignment w:val="baseline"/>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 xml:space="preserve"> </w:t>
      </w:r>
    </w:p>
    <w:p w14:paraId="26013164">
      <w:pPr>
        <w:pStyle w:val="57"/>
        <w:shd w:val="clear" w:color="auto" w:fill="FFFFFF"/>
        <w:spacing w:before="0" w:beforeAutospacing="0" w:after="0" w:afterAutospacing="0" w:line="420" w:lineRule="exact"/>
        <w:jc w:val="center"/>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宁波市工程建设领域农民工工资专用账户</w:t>
      </w:r>
    </w:p>
    <w:p w14:paraId="21840EEB">
      <w:pPr>
        <w:pStyle w:val="57"/>
        <w:shd w:val="clear" w:color="auto" w:fill="FFFFFF"/>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b/>
          <w:snapToGrid w:val="0"/>
          <w:color w:val="auto"/>
          <w:sz w:val="24"/>
          <w:szCs w:val="24"/>
          <w:highlight w:val="none"/>
        </w:rPr>
        <w:t>资金管理三方协议</w:t>
      </w:r>
    </w:p>
    <w:p w14:paraId="1E1515E8">
      <w:pPr>
        <w:pStyle w:val="57"/>
        <w:widowControl w:val="0"/>
        <w:spacing w:before="0" w:beforeAutospacing="0" w:after="0" w:afterAutospacing="0" w:line="420" w:lineRule="exact"/>
        <w:rPr>
          <w:rFonts w:hint="eastAsia" w:ascii="宋体" w:hAnsi="宋体" w:eastAsia="宋体" w:cs="宋体"/>
          <w:color w:val="auto"/>
          <w:sz w:val="24"/>
          <w:szCs w:val="24"/>
          <w:highlight w:val="none"/>
        </w:rPr>
      </w:pPr>
    </w:p>
    <w:p w14:paraId="1239A38C">
      <w:pPr>
        <w:pStyle w:val="57"/>
        <w:widowControl w:val="0"/>
        <w:spacing w:before="0" w:beforeAutospacing="0" w:after="0" w:afterAutospacing="0"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甲方（建设单位）：</w:t>
      </w:r>
      <w:r>
        <w:rPr>
          <w:rFonts w:hint="eastAsia" w:ascii="宋体" w:hAnsi="宋体" w:eastAsia="宋体" w:cs="宋体"/>
          <w:color w:val="auto"/>
          <w:sz w:val="24"/>
          <w:szCs w:val="24"/>
          <w:highlight w:val="none"/>
          <w:u w:val="single"/>
        </w:rPr>
        <w:t xml:space="preserve">                                  </w:t>
      </w:r>
    </w:p>
    <w:p w14:paraId="2092B886">
      <w:pPr>
        <w:pStyle w:val="57"/>
        <w:widowControl w:val="0"/>
        <w:spacing w:before="0" w:beforeAutospacing="0" w:after="0" w:afterAutospacing="0"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乙方（总包单位）：</w:t>
      </w:r>
      <w:r>
        <w:rPr>
          <w:rFonts w:hint="eastAsia" w:ascii="宋体" w:hAnsi="宋体" w:eastAsia="宋体" w:cs="宋体"/>
          <w:color w:val="auto"/>
          <w:sz w:val="24"/>
          <w:szCs w:val="24"/>
          <w:highlight w:val="none"/>
          <w:u w:val="single"/>
        </w:rPr>
        <w:t xml:space="preserve">                                  </w:t>
      </w:r>
    </w:p>
    <w:p w14:paraId="7C3C4450">
      <w:pPr>
        <w:pStyle w:val="57"/>
        <w:widowControl w:val="0"/>
        <w:spacing w:before="0" w:beforeAutospacing="0" w:after="0" w:afterAutospacing="0"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丙方（开户银行）：</w:t>
      </w:r>
      <w:r>
        <w:rPr>
          <w:rFonts w:hint="eastAsia" w:ascii="宋体" w:hAnsi="宋体" w:eastAsia="宋体" w:cs="宋体"/>
          <w:color w:val="auto"/>
          <w:sz w:val="24"/>
          <w:szCs w:val="24"/>
          <w:highlight w:val="none"/>
          <w:u w:val="single"/>
        </w:rPr>
        <w:t xml:space="preserve">                                  </w:t>
      </w:r>
    </w:p>
    <w:p w14:paraId="78D8CDDC">
      <w:pPr>
        <w:pStyle w:val="57"/>
        <w:widowControl w:val="0"/>
        <w:spacing w:before="0" w:beforeAutospacing="0" w:after="0" w:afterAutospacing="0" w:line="420" w:lineRule="exact"/>
        <w:ind w:firstLine="480" w:firstLineChars="200"/>
        <w:jc w:val="both"/>
        <w:rPr>
          <w:rFonts w:hint="eastAsia" w:ascii="宋体" w:hAnsi="宋体" w:eastAsia="宋体" w:cs="宋体"/>
          <w:color w:val="auto"/>
          <w:sz w:val="24"/>
          <w:szCs w:val="24"/>
          <w:highlight w:val="none"/>
        </w:rPr>
      </w:pPr>
    </w:p>
    <w:p w14:paraId="2C28047F">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shd w:val="clear" w:color="auto" w:fill="FFFFFF"/>
        </w:rPr>
        <w:t>《工程建设领域农民工工资专用账户管理暂行办法》（人社部发〔2021〕53号）、《浙江省工程建设领域农民工工资专用账户管理实施细则》（浙人社发〔2022〕14号）、</w:t>
      </w:r>
      <w:r>
        <w:rPr>
          <w:rFonts w:hint="eastAsia" w:ascii="宋体" w:hAnsi="宋体" w:eastAsia="宋体" w:cs="宋体"/>
          <w:color w:val="auto"/>
          <w:sz w:val="24"/>
          <w:szCs w:val="24"/>
          <w:highlight w:val="none"/>
        </w:rPr>
        <w:t>《宁波市工程建设领域农民工工资专用账户管理实施细则（试行）》</w:t>
      </w:r>
      <w:r>
        <w:rPr>
          <w:rFonts w:hint="eastAsia" w:ascii="宋体" w:hAnsi="宋体" w:eastAsia="宋体" w:cs="宋体"/>
          <w:color w:val="auto"/>
          <w:sz w:val="24"/>
          <w:szCs w:val="24"/>
          <w:highlight w:val="none"/>
          <w:shd w:val="clear" w:color="auto" w:fill="FFFFFF"/>
        </w:rPr>
        <w:t>（甬人社发〔2022〕29号）</w:t>
      </w:r>
      <w:r>
        <w:rPr>
          <w:rFonts w:hint="eastAsia" w:ascii="宋体" w:hAnsi="宋体" w:eastAsia="宋体" w:cs="宋体"/>
          <w:color w:val="auto"/>
          <w:sz w:val="24"/>
          <w:szCs w:val="24"/>
          <w:highlight w:val="none"/>
        </w:rPr>
        <w:t>（以下简称《细则》）等规定，为保证农民工工资专用账户（以下简称专用账户）资金专款专用和农民工工资及时足额支付，甲、乙双方委托丙方为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项目(以下简称XX项目)专用账户资金监管人，为该项目专用账户资金提供管理，并按照本协议约定履行相关信息披露、报告等职责。甲、乙、丙三方经友好协商，达成以下协议，并共同遵守。</w:t>
      </w:r>
    </w:p>
    <w:p w14:paraId="7BD64395">
      <w:pPr>
        <w:pStyle w:val="57"/>
        <w:widowControl w:val="0"/>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工资专户设立及管理</w:t>
      </w:r>
    </w:p>
    <w:p w14:paraId="2F7C64F9">
      <w:pPr>
        <w:pStyle w:val="57"/>
        <w:widowControl w:val="0"/>
        <w:spacing w:before="0" w:beforeAutospacing="0" w:after="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乙方须按《细则》规定，在丙方处开立专用账户，专项用于</w:t>
      </w:r>
      <w:r>
        <w:rPr>
          <w:rFonts w:hint="eastAsia" w:ascii="宋体" w:hAnsi="宋体" w:eastAsia="宋体" w:cs="宋体"/>
          <w:color w:val="auto"/>
          <w:sz w:val="24"/>
          <w:szCs w:val="24"/>
          <w:highlight w:val="none"/>
          <w:u w:val="single"/>
        </w:rPr>
        <w:t xml:space="preserve">    XX项目   </w:t>
      </w:r>
      <w:r>
        <w:rPr>
          <w:rFonts w:hint="eastAsia" w:ascii="宋体" w:hAnsi="宋体" w:eastAsia="宋体" w:cs="宋体"/>
          <w:color w:val="auto"/>
          <w:sz w:val="24"/>
          <w:szCs w:val="24"/>
          <w:highlight w:val="none"/>
        </w:rPr>
        <w:t>农民工工资的发放。</w:t>
      </w:r>
    </w:p>
    <w:p w14:paraId="44C71C98">
      <w:pPr>
        <w:pStyle w:val="57"/>
        <w:widowControl w:val="0"/>
        <w:spacing w:before="0" w:beforeAutospacing="0" w:after="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专用账户开户行：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D71D25">
      <w:pPr>
        <w:pStyle w:val="57"/>
        <w:widowControl w:val="0"/>
        <w:spacing w:before="0" w:beforeAutospacing="0" w:after="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专用账户名称：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A881AFE">
      <w:pPr>
        <w:pStyle w:val="57"/>
        <w:widowControl w:val="0"/>
        <w:spacing w:before="0" w:beforeAutospacing="0" w:after="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专用账户账号：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8C032C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14:paraId="5C206883">
      <w:pPr>
        <w:pStyle w:val="57"/>
        <w:widowControl w:val="0"/>
        <w:spacing w:before="0" w:beforeAutospacing="0" w:after="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第三条  甲方、乙方授权丙方将专用账户基本信息、进出账信息、工资支付信息等，于实际业务发生后同步上传至</w:t>
      </w:r>
      <w:r>
        <w:rPr>
          <w:rFonts w:hint="eastAsia" w:ascii="宋体" w:hAnsi="宋体" w:eastAsia="宋体" w:cs="宋体"/>
          <w:color w:val="auto"/>
          <w:sz w:val="24"/>
          <w:szCs w:val="24"/>
          <w:highlight w:val="none"/>
          <w:shd w:val="clear" w:color="auto" w:fill="FFFFFF"/>
        </w:rPr>
        <w:t>工资支付监控预警平台</w:t>
      </w:r>
      <w:r>
        <w:rPr>
          <w:rFonts w:hint="eastAsia" w:ascii="宋体" w:hAnsi="宋体" w:eastAsia="宋体" w:cs="宋体"/>
          <w:color w:val="auto"/>
          <w:kern w:val="2"/>
          <w:sz w:val="24"/>
          <w:szCs w:val="24"/>
          <w:highlight w:val="none"/>
        </w:rPr>
        <w:t>。</w:t>
      </w:r>
    </w:p>
    <w:p w14:paraId="497F8E65">
      <w:pPr>
        <w:pStyle w:val="57"/>
        <w:widowControl w:val="0"/>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资金托管职责和期限</w:t>
      </w:r>
    </w:p>
    <w:p w14:paraId="1936493A">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丙方作为受托银行，在专用账户资金到位的前提下，应履行以下职责：</w:t>
      </w:r>
    </w:p>
    <w:p w14:paraId="0B374BAE">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（一）保管专用账户资金，确保资金安全；</w:t>
      </w:r>
    </w:p>
    <w:p w14:paraId="1DAC515C">
      <w:pPr>
        <w:pStyle w:val="57"/>
        <w:widowControl w:val="0"/>
        <w:spacing w:before="0" w:beforeAutospacing="0" w:after="0" w:afterAutospacing="0"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（二）乙方提供审核确认的工资支付表等工资发放材料后，应在2个工作日内从专用账户将工资直接划转至农民工本人的具有金融功能的社会保障卡或者银行卡（以下简称工资卡）；</w:t>
      </w:r>
    </w:p>
    <w:p w14:paraId="7A3725B7">
      <w:pPr>
        <w:pStyle w:val="57"/>
        <w:widowControl w:val="0"/>
        <w:spacing w:before="0" w:beforeAutospacing="0" w:after="0" w:afterAutospacing="0" w:line="420" w:lineRule="exact"/>
        <w:ind w:firstLine="350" w:firstLineChars="14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（三）及时向甲方、乙方披露专用账户资金的相关信息，每月将专用账户对账单报甲方、乙方备查。</w:t>
      </w:r>
    </w:p>
    <w:p w14:paraId="197D5762">
      <w:pPr>
        <w:spacing w:line="420" w:lineRule="exact"/>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甲方联系人：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14:paraId="009675CC">
      <w:pPr>
        <w:spacing w:line="420" w:lineRule="exact"/>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收件地址：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，电子邮箱：</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14:paraId="00061654">
      <w:pPr>
        <w:pStyle w:val="57"/>
        <w:widowControl w:val="0"/>
        <w:spacing w:before="0" w:beforeAutospacing="0" w:after="0" w:afterAutospacing="0" w:line="420" w:lineRule="exact"/>
        <w:ind w:firstLine="350" w:firstLineChars="146"/>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乙方联系人：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14:paraId="2AF13B14">
      <w:pPr>
        <w:pStyle w:val="57"/>
        <w:widowControl w:val="0"/>
        <w:spacing w:before="0" w:beforeAutospacing="0" w:after="0" w:afterAutospacing="0" w:line="420" w:lineRule="exact"/>
        <w:ind w:firstLine="350" w:firstLineChars="146"/>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收件地址：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，电子邮箱：</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14:paraId="0736756A">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支持农民工使用现有工资卡领取工资，不得拒绝其使用他行工资卡，不得强制要求农民工重新办理工资卡。农民工使用他行工资卡的，鼓励执行优惠的跨行代发工资手续费率。农民工本人确需办理新工资卡的，免费为农民工办理，农民工工资卡不收取成本费和年费。</w:t>
      </w:r>
    </w:p>
    <w:p w14:paraId="08D08313">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农民工因项目工程结束等原因离职的，总包单位应在5个工作日内将离职信息反馈至农民工工资卡开户银行。</w:t>
      </w:r>
    </w:p>
    <w:p w14:paraId="34CD0106">
      <w:pPr>
        <w:pStyle w:val="57"/>
        <w:widowControl w:val="0"/>
        <w:spacing w:before="0" w:beforeAutospacing="0" w:after="0" w:afterAutospacing="0" w:line="420" w:lineRule="exact"/>
        <w:ind w:firstLine="350" w:firstLineChars="14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第五条  </w:t>
      </w:r>
      <w:r>
        <w:rPr>
          <w:rFonts w:hint="eastAsia" w:ascii="宋体" w:hAnsi="宋体" w:eastAsia="宋体" w:cs="宋体"/>
          <w:color w:val="auto"/>
          <w:spacing w:val="-6"/>
          <w:sz w:val="24"/>
          <w:szCs w:val="24"/>
          <w:highlight w:val="none"/>
        </w:rPr>
        <w:t>丙方对</w:t>
      </w:r>
      <w:r>
        <w:rPr>
          <w:rFonts w:hint="eastAsia" w:ascii="宋体" w:hAnsi="宋体" w:eastAsia="宋体" w:cs="宋体"/>
          <w:color w:val="auto"/>
          <w:sz w:val="24"/>
          <w:szCs w:val="24"/>
          <w:highlight w:val="none"/>
        </w:rPr>
        <w:t>专用账户</w:t>
      </w:r>
      <w:r>
        <w:rPr>
          <w:rFonts w:hint="eastAsia" w:ascii="宋体" w:hAnsi="宋体" w:eastAsia="宋体" w:cs="宋体"/>
          <w:color w:val="auto"/>
          <w:spacing w:val="-6"/>
          <w:sz w:val="24"/>
          <w:szCs w:val="24"/>
          <w:highlight w:val="none"/>
        </w:rPr>
        <w:t>内资金履行监督职责的期限自</w:t>
      </w:r>
      <w:r>
        <w:rPr>
          <w:rFonts w:hint="eastAsia" w:ascii="宋体" w:hAnsi="宋体" w:eastAsia="宋体" w:cs="宋体"/>
          <w:color w:val="auto"/>
          <w:sz w:val="24"/>
          <w:szCs w:val="24"/>
          <w:highlight w:val="none"/>
        </w:rPr>
        <w:t>专用账户</w:t>
      </w:r>
      <w:r>
        <w:rPr>
          <w:rFonts w:hint="eastAsia" w:ascii="宋体" w:hAnsi="宋体" w:eastAsia="宋体" w:cs="宋体"/>
          <w:color w:val="auto"/>
          <w:spacing w:val="-6"/>
          <w:sz w:val="24"/>
          <w:szCs w:val="24"/>
          <w:highlight w:val="none"/>
        </w:rPr>
        <w:t>开立之日起至该</w:t>
      </w:r>
      <w:r>
        <w:rPr>
          <w:rFonts w:hint="eastAsia" w:ascii="宋体" w:hAnsi="宋体" w:eastAsia="宋体" w:cs="宋体"/>
          <w:color w:val="auto"/>
          <w:sz w:val="24"/>
          <w:szCs w:val="24"/>
          <w:highlight w:val="none"/>
        </w:rPr>
        <w:t>专用账户</w:t>
      </w:r>
      <w:r>
        <w:rPr>
          <w:rFonts w:hint="eastAsia" w:ascii="宋体" w:hAnsi="宋体" w:eastAsia="宋体" w:cs="宋体"/>
          <w:color w:val="auto"/>
          <w:spacing w:val="-6"/>
          <w:sz w:val="24"/>
          <w:szCs w:val="24"/>
          <w:highlight w:val="none"/>
        </w:rPr>
        <w:t>撤销止。</w:t>
      </w:r>
    </w:p>
    <w:p w14:paraId="287AB365">
      <w:pPr>
        <w:pStyle w:val="57"/>
        <w:widowControl w:val="0"/>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开立、使用、撤销专用账户应提供的资料</w:t>
      </w:r>
    </w:p>
    <w:p w14:paraId="2954AF4B">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开立、使用、撤销专用账户，乙方根据丙方有关业务管理规定，须提供以下材料：</w:t>
      </w:r>
    </w:p>
    <w:p w14:paraId="17C078A6">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（一）开立专用账户应提供XXXXX。</w:t>
      </w:r>
    </w:p>
    <w:p w14:paraId="1AA80BCD">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（二）代发农民工工资应提供XXXXX。</w:t>
      </w:r>
    </w:p>
    <w:p w14:paraId="0AD013D2">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（三）撤销专用账户需应提供XXXXX。</w:t>
      </w:r>
    </w:p>
    <w:p w14:paraId="6EB6729D">
      <w:pPr>
        <w:pStyle w:val="57"/>
        <w:widowControl w:val="0"/>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专用账户资金收付</w:t>
      </w:r>
    </w:p>
    <w:p w14:paraId="4F90A56A">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经甲、乙双方约定，XX项目的总承包类别为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，总工程款为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万元，人工费用总额占总工程款的比例为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，月人工费用数额为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万元。 </w:t>
      </w:r>
    </w:p>
    <w:p w14:paraId="728F9A8E">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甲方应于每月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日前将</w:t>
      </w:r>
      <w:r>
        <w:rPr>
          <w:rFonts w:hint="eastAsia" w:ascii="宋体" w:hAnsi="宋体" w:eastAsia="宋体" w:cs="宋体"/>
          <w:color w:val="auto"/>
          <w:sz w:val="24"/>
          <w:szCs w:val="24"/>
          <w:highlight w:val="none"/>
          <w:shd w:val="clear" w:color="auto" w:fill="FFFFFF"/>
        </w:rPr>
        <w:t>月人工费用</w:t>
      </w:r>
      <w:r>
        <w:rPr>
          <w:rFonts w:hint="eastAsia" w:ascii="宋体" w:hAnsi="宋体" w:eastAsia="宋体" w:cs="宋体"/>
          <w:color w:val="auto"/>
          <w:sz w:val="24"/>
          <w:szCs w:val="24"/>
          <w:highlight w:val="none"/>
        </w:rPr>
        <w:t>足额拨付至专用账户，其中</w:t>
      </w:r>
      <w:r>
        <w:rPr>
          <w:rFonts w:hint="eastAsia" w:ascii="宋体" w:hAnsi="宋体" w:eastAsia="宋体" w:cs="宋体"/>
          <w:color w:val="auto"/>
          <w:sz w:val="24"/>
          <w:szCs w:val="24"/>
          <w:highlight w:val="none"/>
          <w:shd w:val="clear" w:color="auto" w:fill="FFFFFF"/>
        </w:rPr>
        <w:t>首次拨付时间为</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rPr>
        <w:t>丙方确认资金到帐后对账户资金履行管理职责。</w:t>
      </w:r>
    </w:p>
    <w:p w14:paraId="592B756E">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乙方委托丙方代发农民工工资，乙方负责将代发工资所需材料报丙方，代发工资所需材料的真实性及准确性由乙方负责。每月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日前，由丙方从专用账户（在人工费用拨付累计额度内）直接划拨至农民工本人工资卡上。</w:t>
      </w:r>
    </w:p>
    <w:p w14:paraId="719902B3">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专用账户资金专款专用，丙方不得将专用账户资金转入除本项目农民工本人银行账户以外的账户，不得为专用账户提供现金支取和其他转账结算服务。</w:t>
      </w:r>
    </w:p>
    <w:p w14:paraId="0AE41E5F">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因用工量增加等原因，甲方、乙方追加划入专用账户的资金，适用前款规定。</w:t>
      </w:r>
    </w:p>
    <w:p w14:paraId="70747CE9">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专用账户的撤销</w:t>
      </w:r>
    </w:p>
    <w:p w14:paraId="24A01853">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丙方在收到该项目所在地人力资源和社会保障部门的撤销专用账户的通知，且乙方配合提供相关资料后，应在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个工作日内完成专用账户撤销手续。专用账户余额由丙方划至乙方指定账户（开户行：     ，账户名称：    ，账号：    ）。</w:t>
      </w:r>
    </w:p>
    <w:p w14:paraId="4823BC48">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协议生效与终止</w:t>
      </w:r>
    </w:p>
    <w:p w14:paraId="33D5803C">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本协议经甲、乙、丙三方法定代表人或其委托人签字并加盖公章之日起生效。专用账户撤销,丙方全额解付该托管资金后，本协议终止。</w:t>
      </w:r>
    </w:p>
    <w:p w14:paraId="728F3444">
      <w:pPr>
        <w:pStyle w:val="57"/>
        <w:widowControl w:val="0"/>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违约责任和免责条件</w:t>
      </w:r>
    </w:p>
    <w:p w14:paraId="7026D9AF">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在工程建设过程中，甲方未按协议约定拨付月人工费用，丙方应当在3个工作日内通知乙方，并报告项目所在地人力资源和社会保障部门。</w:t>
      </w:r>
    </w:p>
    <w:p w14:paraId="364B53B6">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第十三条  乙方提供虚假资料挪用、套用资金的，按相关规定追究责任。 </w:t>
      </w:r>
    </w:p>
    <w:p w14:paraId="594CF054">
      <w:pPr>
        <w:pStyle w:val="57"/>
        <w:widowControl w:val="0"/>
        <w:spacing w:before="0" w:beforeAutospacing="0" w:after="0" w:afterAutospacing="0" w:line="420" w:lineRule="exact"/>
        <w:ind w:firstLine="6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第十四条  丙方未按协议约定的支付条件办理资金支付而形成的直接损失，丙方应承担赔偿责任。</w:t>
      </w:r>
    </w:p>
    <w:p w14:paraId="5E342D73">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360815B1">
      <w:pPr>
        <w:pStyle w:val="57"/>
        <w:widowControl w:val="0"/>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第八章 其 他</w:t>
      </w:r>
    </w:p>
    <w:p w14:paraId="49847525">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本协议所指的项目总承包类别、人工费用总额占比应符合《宁波市工程建设领域农民工工资专用账户管理实施细则（试行）》（甬人社发〔2022〕29号）附件5规定。</w:t>
      </w:r>
    </w:p>
    <w:p w14:paraId="61568E38">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第十七条  除法律、法规规定，以及因本专用账户资金托管业务的需要和甲、乙、丙三方特别约定外，未经甲、乙、丙三方同意，协议三方不得向外提供涉及甲、乙、丙方商业秘密的资料。 </w:t>
      </w:r>
    </w:p>
    <w:p w14:paraId="00B93C21">
      <w:pPr>
        <w:pStyle w:val="57"/>
        <w:widowControl w:val="0"/>
        <w:spacing w:before="0" w:beforeAutospacing="0" w:after="0" w:afterAutospacing="0" w:line="4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第十八条  本协议生效后，甲、乙、丙、三方中任何一方需要变更协议条款时，应经三方协商一致，并签订补充协议，补充协议与本协议具有同等法律效力。 </w:t>
      </w:r>
    </w:p>
    <w:p w14:paraId="2A2D682E">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第十九条  本协议一式三份，甲方、乙方、丙方各执一份，每份具有同等法律效力。 </w:t>
      </w:r>
    </w:p>
    <w:p w14:paraId="7C8214A6">
      <w:pPr>
        <w:pStyle w:val="57"/>
        <w:widowControl w:val="0"/>
        <w:spacing w:before="0" w:beforeAutospacing="0" w:after="0" w:afterAutospacing="0" w:line="4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甲方（签章）：         </w:t>
      </w:r>
    </w:p>
    <w:p w14:paraId="7095722F">
      <w:pPr>
        <w:pStyle w:val="57"/>
        <w:widowControl w:val="0"/>
        <w:spacing w:before="0" w:beforeAutospacing="0" w:after="0" w:afterAutospacing="0" w:line="420" w:lineRule="exact"/>
        <w:ind w:firstLine="3840" w:firstLineChars="1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签订日期：    年  月  日 </w:t>
      </w:r>
    </w:p>
    <w:p w14:paraId="7E6F80B0">
      <w:pPr>
        <w:pStyle w:val="57"/>
        <w:widowControl w:val="0"/>
        <w:spacing w:before="0" w:beforeAutospacing="0" w:after="0" w:afterAutospacing="0" w:line="4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乙方（签章）：            </w:t>
      </w:r>
    </w:p>
    <w:p w14:paraId="35CEB5C3">
      <w:pPr>
        <w:pStyle w:val="57"/>
        <w:widowControl w:val="0"/>
        <w:spacing w:before="0" w:beforeAutospacing="0" w:after="0" w:afterAutospacing="0" w:line="420" w:lineRule="exact"/>
        <w:ind w:firstLine="3840" w:firstLineChars="1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签订日期：    年  月  日 </w:t>
      </w:r>
    </w:p>
    <w:p w14:paraId="6A2BB221">
      <w:pPr>
        <w:pStyle w:val="57"/>
        <w:widowControl w:val="0"/>
        <w:spacing w:before="0" w:beforeAutospacing="0" w:after="0" w:afterAutospacing="0" w:line="4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丙方（签章）：           </w:t>
      </w:r>
    </w:p>
    <w:p w14:paraId="7C6B10C8">
      <w:pPr>
        <w:spacing w:line="420" w:lineRule="exact"/>
        <w:rPr>
          <w:rFonts w:hint="eastAsia" w:ascii="宋体" w:hAnsi="宋体" w:eastAsia="宋体" w:cs="宋体"/>
          <w:color w:val="auto"/>
          <w:sz w:val="24"/>
          <w:szCs w:val="24"/>
          <w:lang w:val="en-US" w:eastAsia="zh-CN"/>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 xml:space="preserve">签订日期：    年  月  </w:t>
      </w:r>
      <w:r>
        <w:rPr>
          <w:rFonts w:hint="eastAsia" w:ascii="宋体" w:hAnsi="宋体" w:eastAsia="宋体" w:cs="宋体"/>
          <w:color w:val="auto"/>
          <w:sz w:val="24"/>
          <w:szCs w:val="24"/>
          <w:highlight w:val="none"/>
          <w:lang w:val="en-US" w:eastAsia="zh-CN"/>
        </w:rPr>
        <w:t>日</w:t>
      </w:r>
    </w:p>
    <w:p w14:paraId="6568AD6A">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14:paraId="085E2894">
      <w:pPr>
        <w:spacing w:line="360" w:lineRule="auto"/>
        <w:jc w:val="center"/>
        <w:outlineLvl w:val="0"/>
        <w:rPr>
          <w:rFonts w:ascii="宋体" w:hAnsi="宋体" w:cs="宋体"/>
          <w:b/>
          <w:color w:val="auto"/>
          <w:kern w:val="0"/>
          <w:sz w:val="36"/>
          <w:szCs w:val="36"/>
        </w:rPr>
      </w:pPr>
    </w:p>
    <w:p w14:paraId="1AAA388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CAE80D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A6D4E2C">
      <w:pPr>
        <w:spacing w:line="360" w:lineRule="auto"/>
        <w:jc w:val="center"/>
        <w:outlineLvl w:val="0"/>
        <w:rPr>
          <w:rFonts w:ascii="宋体" w:hAnsi="宋体" w:cs="宋体"/>
          <w:b/>
          <w:color w:val="auto"/>
          <w:kern w:val="0"/>
          <w:sz w:val="36"/>
          <w:szCs w:val="36"/>
        </w:rPr>
      </w:pPr>
    </w:p>
    <w:p w14:paraId="445C195F">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5B07292E">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CB52517">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F8CC2A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3B8395E5">
      <w:pPr>
        <w:snapToGrid w:val="0"/>
        <w:spacing w:line="360" w:lineRule="auto"/>
        <w:ind w:firstLine="480" w:firstLineChars="200"/>
        <w:rPr>
          <w:rFonts w:ascii="宋体" w:hAnsi="宋体" w:cs="宋体"/>
          <w:color w:val="auto"/>
          <w:sz w:val="24"/>
        </w:rPr>
      </w:pPr>
    </w:p>
    <w:p w14:paraId="5F7F623A">
      <w:pPr>
        <w:spacing w:line="360" w:lineRule="auto"/>
        <w:ind w:firstLine="480" w:firstLineChars="200"/>
        <w:rPr>
          <w:rFonts w:ascii="宋体" w:hAnsi="宋体" w:cs="宋体"/>
          <w:color w:val="auto"/>
          <w:sz w:val="24"/>
        </w:rPr>
      </w:pPr>
    </w:p>
    <w:p w14:paraId="0590E12C">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6428B52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C19B9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宁海县胡陈乡2025年山塘整治工程（小垅、秤钩吊月、发洪）</w:t>
      </w:r>
      <w:r>
        <w:rPr>
          <w:rFonts w:hint="eastAsia" w:ascii="宋体" w:hAnsi="宋体" w:cs="宋体"/>
          <w:color w:val="auto"/>
          <w:sz w:val="24"/>
        </w:rPr>
        <w:t>）【项目编号：</w:t>
      </w:r>
      <w:r>
        <w:rPr>
          <w:rFonts w:hint="eastAsia" w:ascii="宋体" w:hAnsi="宋体" w:cs="宋体"/>
          <w:color w:val="auto"/>
          <w:sz w:val="24"/>
          <w:lang w:eastAsia="zh-CN"/>
        </w:rPr>
        <w:t>温中代字(2025)宁016</w:t>
      </w:r>
      <w:r>
        <w:rPr>
          <w:rFonts w:hint="eastAsia" w:ascii="宋体" w:hAnsi="宋体" w:cs="宋体"/>
          <w:color w:val="auto"/>
          <w:sz w:val="24"/>
        </w:rPr>
        <w:t>】政府采购活动，郑重承诺：</w:t>
      </w:r>
    </w:p>
    <w:p w14:paraId="52A88633">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59E19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AA7ACF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22499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30B631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301D8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F1576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1C3EF71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75C4D8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FFFCA4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16CBE7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A29FA8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3、拟委任的项目经理在投标截止日未在其他在建合同工程中担任项目经理（包括工程总承包项目中的施工负责人）。</w:t>
      </w:r>
    </w:p>
    <w:p w14:paraId="62F5DE6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5148103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1B3ABD5">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595A15CE">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9F8ABB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[以联合体形式参与的，提供联合协议（附件5）；本项目不接受联合体或者供应商不以联合体形式投参与的，则不需要提供]</w:t>
      </w:r>
    </w:p>
    <w:p w14:paraId="015D0702">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2E23AEEC">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D6FE24E">
      <w:pPr>
        <w:spacing w:line="360" w:lineRule="auto"/>
        <w:rPr>
          <w:rFonts w:ascii="宋体" w:hAnsi="宋体" w:cs="宋体"/>
          <w:color w:val="auto"/>
          <w:sz w:val="24"/>
        </w:rPr>
      </w:pPr>
      <w:r>
        <w:rPr>
          <w:rFonts w:hint="eastAsia" w:ascii="宋体" w:hAnsi="宋体" w:cs="宋体"/>
          <w:color w:val="auto"/>
          <w:sz w:val="24"/>
        </w:rPr>
        <w:t>（根据竞争性磋商公告落实政府采购政策需满足的资格要求选择提供相应的材料；未要求的，无需提供）</w:t>
      </w:r>
    </w:p>
    <w:p w14:paraId="0992637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.专门面向中小企业，工程全部由符合政策要求的中小企业（或小微企业）承建的，提供相应的中小企业声明函（附件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8E431E1">
      <w:pPr>
        <w:widowControl/>
        <w:spacing w:line="360" w:lineRule="auto"/>
        <w:ind w:firstLine="480"/>
        <w:jc w:val="left"/>
        <w:rPr>
          <w:rFonts w:ascii="宋体" w:hAnsi="宋体" w:cs="宋体"/>
          <w:color w:val="auto"/>
          <w:sz w:val="24"/>
        </w:rPr>
      </w:pPr>
    </w:p>
    <w:p w14:paraId="4F7B6BA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FF391A3">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4E3BE94">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6162604">
      <w:pPr>
        <w:widowControl/>
        <w:spacing w:line="360" w:lineRule="auto"/>
        <w:ind w:left="150"/>
        <w:jc w:val="center"/>
        <w:rPr>
          <w:rFonts w:ascii="宋体" w:hAnsi="宋体" w:cs="宋体"/>
          <w:b/>
          <w:color w:val="auto"/>
          <w:kern w:val="0"/>
          <w:sz w:val="32"/>
          <w:szCs w:val="32"/>
        </w:rPr>
      </w:pPr>
    </w:p>
    <w:p w14:paraId="08C5173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57097F4">
      <w:pPr>
        <w:spacing w:line="360" w:lineRule="auto"/>
        <w:jc w:val="center"/>
        <w:rPr>
          <w:rFonts w:ascii="宋体" w:hAnsi="宋体" w:cs="宋体"/>
          <w:color w:val="auto"/>
          <w:sz w:val="24"/>
        </w:rPr>
      </w:pPr>
      <w:r>
        <w:rPr>
          <w:rFonts w:hint="eastAsia" w:ascii="宋体" w:hAnsi="宋体" w:cs="宋体"/>
          <w:color w:val="auto"/>
          <w:sz w:val="24"/>
        </w:rPr>
        <w:t>（根据竞争性磋商公告本项目的特定资格要求提供相应的材料；未要求的，无需提供）</w:t>
      </w:r>
    </w:p>
    <w:p w14:paraId="0E342BA6">
      <w:pPr>
        <w:rPr>
          <w:rFonts w:ascii="宋体" w:hAnsi="宋体" w:cs="宋体"/>
          <w:color w:val="auto"/>
        </w:rPr>
      </w:pPr>
    </w:p>
    <w:p w14:paraId="375A3B6B">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2A07DE8F">
      <w:pPr>
        <w:pStyle w:val="3"/>
        <w:rPr>
          <w:rFonts w:ascii="宋体" w:hAnsi="宋体" w:cs="宋体"/>
          <w:b w:val="0"/>
          <w:color w:val="auto"/>
          <w:kern w:val="0"/>
          <w:sz w:val="36"/>
          <w:szCs w:val="36"/>
        </w:rPr>
      </w:pPr>
    </w:p>
    <w:p w14:paraId="3F3784ED">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D31938E">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75A4498">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响应函……………………………………………………………………………（页码）</w:t>
      </w:r>
    </w:p>
    <w:p w14:paraId="5C9D13B9">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2）授权委托书或法定代表人（单位负责人、自然人本人）身份证明</w:t>
      </w:r>
      <w:r>
        <w:rPr>
          <w:rFonts w:hint="eastAsia" w:ascii="宋体" w:hAnsi="宋体" w:cs="宋体"/>
          <w:color w:val="auto"/>
          <w:sz w:val="24"/>
        </w:rPr>
        <w:t>……………（页码）</w:t>
      </w:r>
    </w:p>
    <w:p w14:paraId="6B14A94C">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14:paraId="471E6C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14:paraId="28D53DF7">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）评审标准相应的商务技术资料……………………………………………………（页码）（</w:t>
      </w:r>
      <w:r>
        <w:rPr>
          <w:rFonts w:ascii="宋体" w:hAnsi="宋体" w:cs="宋体"/>
          <w:color w:val="auto"/>
          <w:sz w:val="24"/>
        </w:rPr>
        <w:t>6</w:t>
      </w:r>
      <w:r>
        <w:rPr>
          <w:rFonts w:hint="eastAsia" w:ascii="宋体" w:hAnsi="宋体" w:cs="宋体"/>
          <w:color w:val="auto"/>
          <w:sz w:val="24"/>
        </w:rPr>
        <w:t>）商务技术偏离表……………………………………………………………………（页码）</w:t>
      </w:r>
    </w:p>
    <w:p w14:paraId="07F5936D">
      <w:pPr>
        <w:snapToGrid w:val="0"/>
        <w:spacing w:line="360" w:lineRule="auto"/>
        <w:ind w:left="479" w:leftChars="228"/>
        <w:rPr>
          <w:rFonts w:ascii="宋体" w:hAnsi="宋体" w:cs="宋体"/>
          <w:color w:val="auto"/>
          <w:sz w:val="24"/>
        </w:rPr>
      </w:pPr>
      <w:r>
        <w:rPr>
          <w:rFonts w:hint="eastAsia" w:ascii="宋体" w:hAnsi="宋体" w:cs="宋体"/>
          <w:color w:val="auto"/>
          <w:sz w:val="24"/>
          <w:lang w:val="zh-CN"/>
        </w:rPr>
        <w:t>（</w:t>
      </w:r>
      <w:r>
        <w:rPr>
          <w:rFonts w:ascii="宋体" w:hAnsi="宋体" w:cs="宋体"/>
          <w:color w:val="auto"/>
          <w:sz w:val="24"/>
        </w:rPr>
        <w:t>7</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555E69CE">
      <w:pPr>
        <w:snapToGrid w:val="0"/>
        <w:spacing w:line="360" w:lineRule="auto"/>
        <w:jc w:val="center"/>
        <w:rPr>
          <w:rFonts w:ascii="宋体" w:hAnsi="宋体" w:cs="宋体"/>
          <w:b/>
          <w:color w:val="auto"/>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1D813D7D">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一、响应函</w:t>
      </w:r>
    </w:p>
    <w:p w14:paraId="510CE0DE">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F4B670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宁海县胡陈乡2025年山塘整治工程（小垅、秤钩吊月、发洪）</w:t>
      </w:r>
      <w:r>
        <w:rPr>
          <w:rFonts w:hint="eastAsia" w:ascii="宋体" w:hAnsi="宋体" w:cs="宋体"/>
          <w:color w:val="auto"/>
          <w:sz w:val="24"/>
        </w:rPr>
        <w:t>【项目编号：</w:t>
      </w:r>
      <w:r>
        <w:rPr>
          <w:rFonts w:hint="eastAsia" w:ascii="宋体" w:hAnsi="宋体" w:cs="宋体"/>
          <w:color w:val="auto"/>
          <w:sz w:val="24"/>
          <w:lang w:eastAsia="zh-CN"/>
        </w:rPr>
        <w:t>温中代字(2025)宁016</w:t>
      </w:r>
      <w:r>
        <w:rPr>
          <w:rFonts w:hint="eastAsia" w:ascii="宋体" w:hAnsi="宋体" w:cs="宋体"/>
          <w:color w:val="auto"/>
          <w:sz w:val="24"/>
        </w:rPr>
        <w:t>】采购的有关活动，并对此项目提交响应文件及报价。为此：</w:t>
      </w:r>
    </w:p>
    <w:p w14:paraId="29B34EB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1、我方承诺响应文件有效期从提交响应文件的截止之日起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本响应文件在响应文件有效期满之前均具有约束力。</w:t>
      </w:r>
    </w:p>
    <w:p w14:paraId="615571C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2、我方的响应文件包括以下内容：</w:t>
      </w:r>
    </w:p>
    <w:p w14:paraId="37B431D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B41801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4E7B77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19C84DA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152C3F7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AC5DE20">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311868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14:paraId="1331E2B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68AF0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0CB65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92DCA7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评审标准相应的商务技术资料；</w:t>
      </w:r>
    </w:p>
    <w:p w14:paraId="3D58B2E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14:paraId="0A0C1D54">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05F83DD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6B9F2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2.3.1报价单；</w:t>
      </w:r>
    </w:p>
    <w:p w14:paraId="2021B5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2.3.2已标价工程量清单；</w:t>
      </w:r>
    </w:p>
    <w:p w14:paraId="22AFCC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2.3.3中小企业声明函（如果有）。</w:t>
      </w:r>
    </w:p>
    <w:p w14:paraId="0F1485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3、我方承诺除商务技术偏离表列出的偏离外，我方响应采购文件的全部要求。</w:t>
      </w:r>
    </w:p>
    <w:p w14:paraId="6A17CE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4、如我方成交，我方承诺：</w:t>
      </w:r>
    </w:p>
    <w:p w14:paraId="597F8CC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4.1在收到成交通知书后，在成交通知书规定的期限内与你方签订合同； </w:t>
      </w:r>
    </w:p>
    <w:p w14:paraId="2575CCC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158C24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4.3按照采购文件要求提交履约保证金； </w:t>
      </w:r>
    </w:p>
    <w:p w14:paraId="7BF4CED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703262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407B619">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14:paraId="04D3A21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91D13C1">
      <w:pPr>
        <w:snapToGrid w:val="0"/>
        <w:spacing w:line="360" w:lineRule="auto"/>
        <w:ind w:left="420" w:leftChars="200" w:firstLine="4200" w:firstLineChars="1750"/>
        <w:rPr>
          <w:rFonts w:ascii="宋体" w:hAnsi="宋体" w:cs="宋体"/>
          <w:color w:val="auto"/>
          <w:kern w:val="0"/>
          <w:sz w:val="24"/>
          <w:u w:val="single"/>
        </w:rPr>
      </w:pPr>
    </w:p>
    <w:p w14:paraId="5B51403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AABC7B0">
      <w:pPr>
        <w:snapToGrid w:val="0"/>
        <w:spacing w:line="360" w:lineRule="auto"/>
        <w:jc w:val="center"/>
        <w:rPr>
          <w:rFonts w:ascii="宋体" w:hAnsi="宋体" w:cs="宋体"/>
          <w:b/>
          <w:color w:val="auto"/>
          <w:kern w:val="0"/>
          <w:sz w:val="32"/>
          <w:szCs w:val="32"/>
        </w:rPr>
      </w:pPr>
    </w:p>
    <w:p w14:paraId="312A8FE1">
      <w:pPr>
        <w:snapToGrid w:val="0"/>
        <w:spacing w:line="360" w:lineRule="auto"/>
        <w:rPr>
          <w:rFonts w:ascii="宋体" w:hAnsi="宋体" w:cs="宋体"/>
          <w:color w:val="auto"/>
          <w:sz w:val="24"/>
        </w:rPr>
      </w:pPr>
    </w:p>
    <w:p w14:paraId="4769ADE7">
      <w:pPr>
        <w:jc w:val="center"/>
        <w:rPr>
          <w:rFonts w:ascii="宋体" w:hAnsi="宋体" w:cs="宋体"/>
          <w:b/>
          <w:color w:val="auto"/>
          <w:kern w:val="0"/>
          <w:sz w:val="32"/>
          <w:szCs w:val="32"/>
        </w:rPr>
      </w:pPr>
    </w:p>
    <w:p w14:paraId="6E7AC06F">
      <w:pPr>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510D1AE7">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14:paraId="2F074383">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CEA128D">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E3F362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826F13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），以我方名义处理宁海县胡陈乡2025年山塘整治工程（小垅、秤钩吊月、发洪）</w:t>
      </w:r>
      <w:r>
        <w:rPr>
          <w:rFonts w:hint="eastAsia" w:ascii="宋体" w:hAnsi="宋体" w:cs="宋体"/>
          <w:color w:val="auto"/>
          <w:sz w:val="24"/>
        </w:rPr>
        <w:t>【项目编号：</w:t>
      </w:r>
      <w:r>
        <w:rPr>
          <w:rFonts w:hint="eastAsia" w:ascii="宋体" w:hAnsi="宋体" w:cs="宋体"/>
          <w:color w:val="auto"/>
          <w:sz w:val="24"/>
          <w:lang w:eastAsia="zh-CN"/>
        </w:rPr>
        <w:t>温中代字(2025)宁016</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7DF20CF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BDF228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A62FA4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424DDC6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C16783F">
      <w:pPr>
        <w:snapToGrid w:val="0"/>
        <w:spacing w:line="360" w:lineRule="auto"/>
        <w:rPr>
          <w:rFonts w:ascii="宋体" w:hAnsi="宋体" w:cs="宋体"/>
          <w:color w:val="auto"/>
          <w:sz w:val="24"/>
        </w:rPr>
      </w:pPr>
    </w:p>
    <w:p w14:paraId="6815ECA3">
      <w:pPr>
        <w:snapToGrid w:val="0"/>
        <w:spacing w:line="360" w:lineRule="auto"/>
        <w:rPr>
          <w:rFonts w:ascii="宋体" w:hAnsi="宋体" w:cs="宋体"/>
          <w:color w:val="auto"/>
          <w:sz w:val="24"/>
        </w:rPr>
      </w:pPr>
    </w:p>
    <w:p w14:paraId="5F6F02DA">
      <w:pPr>
        <w:snapToGrid w:val="0"/>
        <w:spacing w:line="360" w:lineRule="auto"/>
        <w:rPr>
          <w:rFonts w:ascii="宋体" w:hAnsi="宋体" w:cs="宋体"/>
          <w:color w:val="auto"/>
          <w:sz w:val="24"/>
        </w:rPr>
      </w:pPr>
    </w:p>
    <w:p w14:paraId="04622CC1">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07C457E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ABE0D1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），以我方名义处理宁海县胡陈乡2025年山塘整治工程（小垅、秤钩吊月、发洪）</w:t>
      </w:r>
      <w:r>
        <w:rPr>
          <w:rFonts w:hint="eastAsia" w:ascii="宋体" w:hAnsi="宋体" w:cs="宋体"/>
          <w:color w:val="auto"/>
          <w:sz w:val="24"/>
        </w:rPr>
        <w:t>【项目编号：</w:t>
      </w:r>
      <w:r>
        <w:rPr>
          <w:rFonts w:hint="eastAsia" w:ascii="宋体" w:hAnsi="宋体" w:cs="宋体"/>
          <w:color w:val="auto"/>
          <w:sz w:val="24"/>
          <w:lang w:eastAsia="zh-CN"/>
        </w:rPr>
        <w:t>温中代字(2025)宁016</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260E474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C9A7C9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619959D">
      <w:pPr>
        <w:jc w:val="center"/>
        <w:rPr>
          <w:rFonts w:ascii="宋体" w:hAnsi="宋体" w:cs="宋体"/>
          <w:b/>
          <w:color w:val="auto"/>
          <w:kern w:val="0"/>
          <w:sz w:val="32"/>
          <w:szCs w:val="32"/>
        </w:rPr>
      </w:pPr>
    </w:p>
    <w:p w14:paraId="6860DF19">
      <w:pPr>
        <w:jc w:val="center"/>
        <w:rPr>
          <w:rFonts w:ascii="宋体" w:hAnsi="宋体" w:cs="宋体"/>
          <w:b/>
          <w:color w:val="auto"/>
          <w:kern w:val="0"/>
          <w:sz w:val="32"/>
          <w:szCs w:val="32"/>
        </w:rPr>
      </w:pPr>
    </w:p>
    <w:p w14:paraId="56C4E0C3">
      <w:pPr>
        <w:jc w:val="center"/>
        <w:rPr>
          <w:rFonts w:ascii="宋体" w:hAnsi="宋体" w:cs="宋体"/>
          <w:b/>
          <w:color w:val="auto"/>
          <w:kern w:val="0"/>
          <w:sz w:val="32"/>
          <w:szCs w:val="32"/>
        </w:rPr>
      </w:pPr>
    </w:p>
    <w:p w14:paraId="40D9F4AE">
      <w:pPr>
        <w:rPr>
          <w:rFonts w:ascii="宋体" w:hAnsi="宋体" w:cs="宋体"/>
          <w:color w:val="auto"/>
        </w:rPr>
      </w:pPr>
    </w:p>
    <w:p w14:paraId="2BB22DF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4AEAE4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6F73BE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5E83616">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A4FCB49">
      <w:pPr>
        <w:snapToGrid w:val="0"/>
        <w:spacing w:line="360" w:lineRule="auto"/>
        <w:rPr>
          <w:rFonts w:hint="eastAsia" w:ascii="宋体" w:hAnsi="宋体" w:cs="宋体"/>
          <w:color w:val="auto"/>
          <w:kern w:val="0"/>
          <w:sz w:val="24"/>
          <w:lang w:val="zh-CN"/>
        </w:rPr>
      </w:pPr>
    </w:p>
    <w:p w14:paraId="3CB89B4A">
      <w:pPr>
        <w:snapToGrid w:val="0"/>
        <w:jc w:val="center"/>
        <w:rPr>
          <w:rFonts w:hint="eastAsia" w:ascii="宋体" w:hAnsi="宋体" w:cs="宋体"/>
          <w:b/>
          <w:bCs/>
          <w:color w:val="auto"/>
          <w:sz w:val="32"/>
          <w:szCs w:val="32"/>
          <w:lang w:val="zh-CN"/>
        </w:rPr>
      </w:pPr>
    </w:p>
    <w:p w14:paraId="4A25C563">
      <w:pPr>
        <w:snapToGrid w:val="0"/>
        <w:jc w:val="center"/>
        <w:rPr>
          <w:rFonts w:ascii="宋体" w:hAnsi="宋体" w:cs="宋体"/>
          <w:b/>
          <w:bCs/>
          <w:color w:val="auto"/>
          <w:sz w:val="32"/>
          <w:szCs w:val="32"/>
        </w:rPr>
      </w:pPr>
      <w:bookmarkStart w:id="605" w:name="_GoBack"/>
      <w:bookmarkEnd w:id="605"/>
      <w:r>
        <w:rPr>
          <w:rFonts w:hint="eastAsia" w:ascii="宋体" w:hAnsi="宋体" w:cs="宋体"/>
          <w:b/>
          <w:bCs/>
          <w:color w:val="auto"/>
          <w:sz w:val="32"/>
          <w:szCs w:val="32"/>
          <w:lang w:val="zh-CN"/>
        </w:rPr>
        <w:t>法定代表人、单位负责人或自然人本人</w:t>
      </w:r>
      <w:r>
        <w:rPr>
          <w:rFonts w:hint="eastAsia" w:ascii="宋体" w:hAnsi="宋体" w:cs="宋体"/>
          <w:b/>
          <w:bCs/>
          <w:color w:val="auto"/>
          <w:sz w:val="32"/>
          <w:szCs w:val="32"/>
        </w:rPr>
        <w:t>的身份证明（适用于法定代表人、单位负责人或者自然人本人代表供应商参加响应）</w:t>
      </w:r>
    </w:p>
    <w:p w14:paraId="39840ABC">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1F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8C7365">
            <w:pPr>
              <w:pStyle w:val="148"/>
              <w:adjustRightInd w:val="0"/>
              <w:spacing w:line="360" w:lineRule="auto"/>
              <w:rPr>
                <w:rFonts w:hAnsi="宋体" w:cs="宋体"/>
                <w:bCs/>
                <w:color w:val="auto"/>
                <w:sz w:val="24"/>
              </w:rPr>
            </w:pPr>
            <w:r>
              <w:rPr>
                <w:rFonts w:hint="eastAsia" w:hAnsi="宋体" w:cs="宋体"/>
                <w:bCs/>
                <w:color w:val="auto"/>
                <w:sz w:val="24"/>
              </w:rPr>
              <w:t>正面：                                 反面：</w:t>
            </w:r>
          </w:p>
          <w:p w14:paraId="20168503">
            <w:pPr>
              <w:pStyle w:val="148"/>
              <w:adjustRightInd w:val="0"/>
              <w:spacing w:line="360" w:lineRule="auto"/>
              <w:rPr>
                <w:rFonts w:hAnsi="宋体" w:cs="宋体"/>
                <w:bCs/>
                <w:color w:val="auto"/>
                <w:sz w:val="24"/>
              </w:rPr>
            </w:pPr>
          </w:p>
        </w:tc>
      </w:tr>
    </w:tbl>
    <w:p w14:paraId="622A6C1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9E75A3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60F541E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BA5A8B6">
      <w:pPr>
        <w:jc w:val="center"/>
        <w:rPr>
          <w:rFonts w:ascii="宋体" w:hAnsi="宋体" w:cs="宋体"/>
          <w:b/>
          <w:color w:val="auto"/>
          <w:kern w:val="0"/>
          <w:sz w:val="32"/>
          <w:szCs w:val="32"/>
        </w:rPr>
      </w:pPr>
    </w:p>
    <w:p w14:paraId="0253CF1F">
      <w:pPr>
        <w:jc w:val="center"/>
        <w:rPr>
          <w:rFonts w:ascii="宋体" w:hAnsi="宋体" w:cs="宋体"/>
          <w:b/>
          <w:color w:val="auto"/>
          <w:kern w:val="0"/>
          <w:sz w:val="32"/>
          <w:szCs w:val="32"/>
        </w:rPr>
      </w:pPr>
    </w:p>
    <w:p w14:paraId="519F2846">
      <w:pPr>
        <w:jc w:val="center"/>
        <w:rPr>
          <w:rFonts w:ascii="宋体" w:hAnsi="宋体" w:cs="宋体"/>
          <w:b/>
          <w:color w:val="auto"/>
          <w:kern w:val="0"/>
          <w:sz w:val="32"/>
          <w:szCs w:val="32"/>
        </w:rPr>
      </w:pPr>
    </w:p>
    <w:p w14:paraId="13C302E5">
      <w:pPr>
        <w:jc w:val="center"/>
        <w:rPr>
          <w:rFonts w:ascii="宋体" w:hAnsi="宋体" w:cs="宋体"/>
          <w:b/>
          <w:color w:val="auto"/>
          <w:kern w:val="0"/>
          <w:sz w:val="32"/>
          <w:szCs w:val="32"/>
        </w:rPr>
      </w:pPr>
    </w:p>
    <w:p w14:paraId="0362D6E1">
      <w:pPr>
        <w:jc w:val="center"/>
        <w:rPr>
          <w:rFonts w:ascii="宋体" w:hAnsi="宋体" w:cs="宋体"/>
          <w:b/>
          <w:color w:val="auto"/>
          <w:kern w:val="0"/>
          <w:sz w:val="32"/>
          <w:szCs w:val="32"/>
        </w:rPr>
      </w:pPr>
    </w:p>
    <w:p w14:paraId="53F9A69E">
      <w:pPr>
        <w:jc w:val="center"/>
        <w:rPr>
          <w:rFonts w:ascii="宋体" w:hAnsi="宋体" w:cs="宋体"/>
          <w:b/>
          <w:color w:val="auto"/>
          <w:kern w:val="0"/>
          <w:sz w:val="32"/>
          <w:szCs w:val="32"/>
        </w:rPr>
      </w:pPr>
    </w:p>
    <w:p w14:paraId="09BE6338">
      <w:pPr>
        <w:jc w:val="center"/>
        <w:rPr>
          <w:rFonts w:ascii="宋体" w:hAnsi="宋体" w:cs="宋体"/>
          <w:b/>
          <w:color w:val="auto"/>
          <w:kern w:val="0"/>
          <w:sz w:val="32"/>
          <w:szCs w:val="32"/>
        </w:rPr>
      </w:pPr>
    </w:p>
    <w:p w14:paraId="46D01DDE">
      <w:pPr>
        <w:jc w:val="center"/>
        <w:rPr>
          <w:rFonts w:ascii="宋体" w:hAnsi="宋体" w:cs="宋体"/>
          <w:b/>
          <w:color w:val="auto"/>
          <w:kern w:val="0"/>
          <w:sz w:val="32"/>
          <w:szCs w:val="32"/>
        </w:rPr>
      </w:pPr>
    </w:p>
    <w:p w14:paraId="27AF9154">
      <w:pPr>
        <w:jc w:val="center"/>
        <w:rPr>
          <w:rFonts w:ascii="宋体" w:hAnsi="宋体" w:cs="宋体"/>
          <w:b/>
          <w:color w:val="auto"/>
          <w:kern w:val="0"/>
          <w:sz w:val="32"/>
          <w:szCs w:val="32"/>
        </w:rPr>
      </w:pPr>
    </w:p>
    <w:p w14:paraId="14E3A488">
      <w:pPr>
        <w:jc w:val="center"/>
        <w:rPr>
          <w:rFonts w:ascii="宋体" w:hAnsi="宋体" w:cs="宋体"/>
          <w:b/>
          <w:color w:val="auto"/>
          <w:kern w:val="0"/>
          <w:sz w:val="32"/>
          <w:szCs w:val="32"/>
        </w:rPr>
      </w:pPr>
    </w:p>
    <w:p w14:paraId="5AF972D6">
      <w:pPr>
        <w:snapToGrid w:val="0"/>
        <w:spacing w:line="360" w:lineRule="auto"/>
        <w:ind w:right="480"/>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6E93F993">
      <w:pPr>
        <w:snapToGrid w:val="0"/>
        <w:jc w:val="center"/>
        <w:rPr>
          <w:rFonts w:ascii="宋体" w:hAnsi="宋体" w:cs="宋体"/>
          <w:b/>
          <w:bCs/>
          <w:color w:val="auto"/>
          <w:sz w:val="32"/>
          <w:szCs w:val="32"/>
        </w:rPr>
      </w:pPr>
      <w:r>
        <w:rPr>
          <w:rFonts w:hint="eastAsia" w:ascii="宋体" w:hAnsi="宋体" w:cs="宋体"/>
          <w:b/>
          <w:bCs/>
          <w:color w:val="auto"/>
          <w:sz w:val="32"/>
          <w:szCs w:val="32"/>
        </w:rPr>
        <w:t>三、分包意向协议</w:t>
      </w:r>
    </w:p>
    <w:p w14:paraId="33C3CCE5">
      <w:pPr>
        <w:widowControl/>
        <w:spacing w:line="360" w:lineRule="auto"/>
        <w:ind w:firstLine="120" w:firstLineChars="50"/>
        <w:jc w:val="left"/>
        <w:rPr>
          <w:rFonts w:ascii="宋体" w:hAnsi="宋体" w:cs="宋体"/>
          <w:color w:val="auto"/>
          <w:sz w:val="24"/>
        </w:rPr>
      </w:pPr>
      <w:bookmarkStart w:id="598" w:name="_Hlk101169080"/>
      <w:r>
        <w:rPr>
          <w:rFonts w:hint="eastAsia" w:ascii="宋体" w:hAnsi="宋体" w:cs="宋体"/>
          <w:color w:val="auto"/>
          <w:sz w:val="24"/>
        </w:rPr>
        <w:t>[</w:t>
      </w:r>
      <w:r>
        <w:rPr>
          <w:rFonts w:hint="eastAsia" w:ascii="宋体" w:hAnsi="宋体" w:cs="宋体"/>
          <w:b/>
          <w:color w:val="auto"/>
          <w:sz w:val="24"/>
        </w:rPr>
        <w:t>成交后以分包方式履行合同的，提供分包意向协议(附件6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；采购人不同意分包或者供应商成交后不以分包方式履行合同的，则不需要提供。</w:t>
      </w:r>
      <w:r>
        <w:rPr>
          <w:rFonts w:hint="eastAsia" w:ascii="宋体" w:hAnsi="宋体" w:cs="宋体"/>
          <w:color w:val="auto"/>
          <w:sz w:val="24"/>
        </w:rPr>
        <w:t>]</w:t>
      </w:r>
    </w:p>
    <w:bookmarkEnd w:id="598"/>
    <w:p w14:paraId="0E664F29">
      <w:pPr>
        <w:snapToGrid w:val="0"/>
        <w:spacing w:line="360" w:lineRule="auto"/>
        <w:rPr>
          <w:rFonts w:ascii="宋体" w:hAnsi="宋体" w:cs="宋体"/>
          <w:color w:val="auto"/>
          <w:kern w:val="0"/>
          <w:sz w:val="24"/>
        </w:rPr>
      </w:pPr>
    </w:p>
    <w:p w14:paraId="7FB773C3">
      <w:pPr>
        <w:snapToGrid w:val="0"/>
        <w:jc w:val="center"/>
        <w:rPr>
          <w:rFonts w:ascii="宋体" w:hAnsi="宋体" w:cs="宋体"/>
          <w:b/>
          <w:bCs/>
          <w:color w:val="auto"/>
          <w:sz w:val="32"/>
          <w:szCs w:val="32"/>
        </w:rPr>
      </w:pPr>
      <w:r>
        <w:rPr>
          <w:rFonts w:hint="eastAsia" w:ascii="宋体" w:hAnsi="宋体" w:cs="宋体"/>
          <w:b/>
          <w:bCs/>
          <w:color w:val="auto"/>
          <w:sz w:val="32"/>
          <w:szCs w:val="32"/>
        </w:rPr>
        <w:t>四、符合性审查资料</w:t>
      </w:r>
    </w:p>
    <w:p w14:paraId="1011F04C">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EF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02D442">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04919DD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2BD61E6E">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409CFA9">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14:paraId="6BF4E2B5">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7FC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432471">
            <w:pPr>
              <w:rPr>
                <w:rFonts w:ascii="宋体" w:hAnsi="宋体" w:cs="宋体"/>
                <w:color w:val="auto"/>
                <w:sz w:val="24"/>
              </w:rPr>
            </w:pPr>
            <w:r>
              <w:rPr>
                <w:rFonts w:hint="eastAsia" w:ascii="宋体" w:hAnsi="宋体" w:cs="宋体"/>
                <w:color w:val="auto"/>
                <w:sz w:val="24"/>
              </w:rPr>
              <w:t>1</w:t>
            </w:r>
          </w:p>
        </w:tc>
        <w:tc>
          <w:tcPr>
            <w:tcW w:w="4991" w:type="dxa"/>
            <w:vAlign w:val="center"/>
          </w:tcPr>
          <w:p w14:paraId="194CCCB2">
            <w:pPr>
              <w:spacing w:line="360" w:lineRule="auto"/>
              <w:rPr>
                <w:rFonts w:ascii="宋体" w:hAnsi="宋体" w:cs="宋体"/>
                <w:color w:val="auto"/>
                <w:sz w:val="24"/>
              </w:rPr>
            </w:pPr>
            <w:r>
              <w:rPr>
                <w:rFonts w:hint="eastAsia" w:ascii="宋体" w:hAnsi="宋体" w:cs="宋体"/>
                <w:color w:val="auto"/>
                <w:sz w:val="24"/>
              </w:rPr>
              <w:t>响应文件按照采购文件要求签署、盖章。</w:t>
            </w:r>
          </w:p>
        </w:tc>
        <w:tc>
          <w:tcPr>
            <w:tcW w:w="2551" w:type="dxa"/>
            <w:vAlign w:val="center"/>
          </w:tcPr>
          <w:p w14:paraId="3DB5025A">
            <w:pP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vAlign w:val="center"/>
          </w:tcPr>
          <w:p w14:paraId="6A063666">
            <w:pPr>
              <w:rPr>
                <w:rFonts w:ascii="宋体" w:hAnsi="宋体" w:cs="宋体"/>
                <w:color w:val="auto"/>
                <w:sz w:val="24"/>
              </w:rPr>
            </w:pPr>
            <w:r>
              <w:rPr>
                <w:rFonts w:hint="eastAsia" w:ascii="宋体" w:hAnsi="宋体" w:cs="宋体"/>
                <w:color w:val="auto"/>
                <w:sz w:val="24"/>
              </w:rPr>
              <w:t>见响应文件</w:t>
            </w:r>
          </w:p>
          <w:p w14:paraId="1C1F0F01">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A03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46B5DF">
            <w:pPr>
              <w:spacing w:line="360" w:lineRule="auto"/>
              <w:rPr>
                <w:rFonts w:ascii="宋体" w:hAnsi="宋体" w:cs="宋体"/>
                <w:color w:val="auto"/>
                <w:sz w:val="24"/>
              </w:rPr>
            </w:pPr>
            <w:r>
              <w:rPr>
                <w:rFonts w:hint="eastAsia" w:ascii="宋体" w:hAnsi="宋体" w:cs="宋体"/>
                <w:color w:val="auto"/>
                <w:sz w:val="24"/>
              </w:rPr>
              <w:t>2</w:t>
            </w:r>
          </w:p>
        </w:tc>
        <w:tc>
          <w:tcPr>
            <w:tcW w:w="4991" w:type="dxa"/>
            <w:vAlign w:val="center"/>
          </w:tcPr>
          <w:p w14:paraId="53B50641">
            <w:pPr>
              <w:spacing w:line="360" w:lineRule="auto"/>
              <w:rPr>
                <w:rFonts w:ascii="宋体" w:hAnsi="宋体" w:cs="宋体"/>
                <w:color w:val="auto"/>
                <w:sz w:val="24"/>
              </w:rPr>
            </w:pPr>
            <w:r>
              <w:rPr>
                <w:rFonts w:hint="eastAsia" w:ascii="宋体" w:hAnsi="宋体" w:cs="宋体"/>
                <w:color w:val="auto"/>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562455D">
            <w:pPr>
              <w:rPr>
                <w:rFonts w:ascii="宋体" w:hAnsi="宋体" w:cs="宋体"/>
                <w:color w:val="auto"/>
                <w:sz w:val="24"/>
              </w:rPr>
            </w:pPr>
            <w:r>
              <w:rPr>
                <w:rFonts w:hint="eastAsia" w:ascii="宋体" w:hAnsi="宋体" w:cs="宋体"/>
                <w:color w:val="auto"/>
                <w:sz w:val="24"/>
              </w:rPr>
              <w:t>节能产品认证证书（本项目拟采购的产品不属于政府强制采购的节能产品品目清单范围的，无需提供）</w:t>
            </w:r>
          </w:p>
        </w:tc>
        <w:tc>
          <w:tcPr>
            <w:tcW w:w="1418" w:type="dxa"/>
            <w:vAlign w:val="center"/>
          </w:tcPr>
          <w:p w14:paraId="21454B23">
            <w:pPr>
              <w:rPr>
                <w:rFonts w:ascii="宋体" w:hAnsi="宋体" w:cs="宋体"/>
                <w:color w:val="auto"/>
                <w:sz w:val="24"/>
              </w:rPr>
            </w:pPr>
            <w:r>
              <w:rPr>
                <w:rFonts w:hint="eastAsia" w:ascii="宋体" w:hAnsi="宋体" w:cs="宋体"/>
                <w:color w:val="auto"/>
                <w:sz w:val="24"/>
              </w:rPr>
              <w:t>见响应文件</w:t>
            </w:r>
          </w:p>
          <w:p w14:paraId="41A46757">
            <w:pPr>
              <w:pStyle w:val="3"/>
              <w:jc w:val="both"/>
              <w:rPr>
                <w:rFonts w:ascii="宋体" w:hAnsi="宋体" w:eastAsia="宋体" w:cs="宋体"/>
                <w:color w:val="auto"/>
                <w:lang w:val="en-US"/>
              </w:rPr>
            </w:pPr>
            <w:r>
              <w:rPr>
                <w:rFonts w:hint="eastAsia" w:ascii="宋体" w:hAnsi="宋体" w:eastAsia="宋体" w:cs="宋体"/>
                <w:b w:val="0"/>
                <w:bCs w:val="0"/>
                <w:color w:val="auto"/>
                <w:sz w:val="24"/>
                <w:szCs w:val="24"/>
                <w:lang w:val="en-US"/>
              </w:rPr>
              <w:t>第</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页</w:t>
            </w:r>
          </w:p>
        </w:tc>
      </w:tr>
      <w:tr w14:paraId="4474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115C5F">
            <w:pPr>
              <w:rPr>
                <w:rFonts w:ascii="宋体" w:hAnsi="宋体" w:cs="宋体"/>
                <w:color w:val="auto"/>
                <w:sz w:val="24"/>
              </w:rPr>
            </w:pPr>
            <w:r>
              <w:rPr>
                <w:rFonts w:hint="eastAsia" w:ascii="宋体" w:hAnsi="宋体" w:cs="宋体"/>
                <w:color w:val="auto"/>
                <w:sz w:val="24"/>
              </w:rPr>
              <w:t>3</w:t>
            </w:r>
          </w:p>
        </w:tc>
        <w:tc>
          <w:tcPr>
            <w:tcW w:w="4991" w:type="dxa"/>
            <w:vAlign w:val="center"/>
          </w:tcPr>
          <w:p w14:paraId="1A404625">
            <w:pPr>
              <w:spacing w:line="360" w:lineRule="auto"/>
              <w:rPr>
                <w:rFonts w:ascii="宋体" w:hAnsi="宋体" w:cs="宋体"/>
                <w:color w:val="auto"/>
                <w:sz w:val="24"/>
              </w:rPr>
            </w:pPr>
            <w:r>
              <w:rPr>
                <w:rFonts w:hint="eastAsia" w:ascii="宋体" w:hAnsi="宋体" w:cs="宋体"/>
                <w:color w:val="auto"/>
                <w:sz w:val="24"/>
              </w:rPr>
              <w:t>响应文件中承诺的响应文件有效期不少于采购文件中载明的响应文件有效期。</w:t>
            </w:r>
          </w:p>
        </w:tc>
        <w:tc>
          <w:tcPr>
            <w:tcW w:w="2551" w:type="dxa"/>
            <w:vAlign w:val="center"/>
          </w:tcPr>
          <w:p w14:paraId="6F62CC92">
            <w:pPr>
              <w:rPr>
                <w:rFonts w:ascii="宋体" w:hAnsi="宋体" w:cs="宋体"/>
                <w:color w:val="auto"/>
                <w:sz w:val="24"/>
              </w:rPr>
            </w:pPr>
            <w:r>
              <w:rPr>
                <w:rFonts w:hint="eastAsia" w:ascii="宋体" w:hAnsi="宋体" w:cs="宋体"/>
                <w:color w:val="auto"/>
                <w:sz w:val="24"/>
              </w:rPr>
              <w:t>响应函</w:t>
            </w:r>
          </w:p>
        </w:tc>
        <w:tc>
          <w:tcPr>
            <w:tcW w:w="1418" w:type="dxa"/>
            <w:vAlign w:val="center"/>
          </w:tcPr>
          <w:p w14:paraId="64A818F1">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98C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655398">
            <w:pPr>
              <w:rPr>
                <w:rFonts w:ascii="宋体" w:hAnsi="宋体" w:cs="宋体"/>
                <w:color w:val="auto"/>
                <w:sz w:val="24"/>
              </w:rPr>
            </w:pPr>
            <w:r>
              <w:rPr>
                <w:rFonts w:hint="eastAsia" w:ascii="宋体" w:hAnsi="宋体" w:cs="宋体"/>
                <w:color w:val="auto"/>
                <w:sz w:val="24"/>
              </w:rPr>
              <w:t>4</w:t>
            </w:r>
          </w:p>
        </w:tc>
        <w:tc>
          <w:tcPr>
            <w:tcW w:w="4991" w:type="dxa"/>
            <w:vAlign w:val="center"/>
          </w:tcPr>
          <w:p w14:paraId="2FD45DA4">
            <w:pPr>
              <w:spacing w:line="360" w:lineRule="auto"/>
              <w:rPr>
                <w:rFonts w:ascii="宋体" w:hAnsi="宋体" w:cs="宋体"/>
                <w:color w:val="auto"/>
                <w:sz w:val="24"/>
              </w:rPr>
            </w:pPr>
            <w:r>
              <w:rPr>
                <w:rFonts w:hint="eastAsia" w:ascii="宋体" w:hAnsi="宋体" w:cs="宋体"/>
                <w:color w:val="auto"/>
                <w:sz w:val="24"/>
              </w:rPr>
              <w:t>响应文件满足采购文件的其它实质性要求。</w:t>
            </w:r>
          </w:p>
        </w:tc>
        <w:tc>
          <w:tcPr>
            <w:tcW w:w="2551" w:type="dxa"/>
            <w:vAlign w:val="center"/>
          </w:tcPr>
          <w:p w14:paraId="64139611">
            <w:pPr>
              <w:rPr>
                <w:rFonts w:ascii="宋体" w:hAnsi="宋体" w:cs="宋体"/>
                <w:color w:val="auto"/>
                <w:sz w:val="24"/>
              </w:rPr>
            </w:pPr>
            <w:r>
              <w:rPr>
                <w:rFonts w:hint="eastAsia" w:ascii="宋体" w:hAnsi="宋体" w:cs="宋体"/>
                <w:color w:val="auto"/>
                <w:kern w:val="0"/>
                <w:sz w:val="24"/>
              </w:rPr>
              <w:t>采购文件其它实质性要求相应的材料（“▲” 系指实质性要求条款，采购文件无其它实质性要求的，无需提供）</w:t>
            </w:r>
          </w:p>
        </w:tc>
        <w:tc>
          <w:tcPr>
            <w:tcW w:w="1418" w:type="dxa"/>
            <w:vAlign w:val="center"/>
          </w:tcPr>
          <w:p w14:paraId="0DDBF327">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5AB884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72DE797">
      <w:pPr>
        <w:jc w:val="center"/>
        <w:rPr>
          <w:rFonts w:ascii="宋体" w:hAnsi="宋体" w:cs="宋体"/>
          <w:b/>
          <w:color w:val="auto"/>
          <w:kern w:val="0"/>
          <w:sz w:val="32"/>
          <w:szCs w:val="32"/>
        </w:rPr>
      </w:pPr>
    </w:p>
    <w:p w14:paraId="5B7A061E">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DA015AB">
      <w:pPr>
        <w:jc w:val="center"/>
        <w:rPr>
          <w:rFonts w:ascii="宋体" w:hAnsi="宋体" w:cs="宋体"/>
          <w:b/>
          <w:color w:val="auto"/>
          <w:kern w:val="0"/>
          <w:sz w:val="32"/>
          <w:szCs w:val="32"/>
        </w:rPr>
      </w:pPr>
    </w:p>
    <w:p w14:paraId="78BD5FF3">
      <w:pPr>
        <w:jc w:val="center"/>
        <w:rPr>
          <w:rFonts w:ascii="宋体" w:hAnsi="宋体" w:cs="宋体"/>
          <w:b/>
          <w:color w:val="auto"/>
          <w:kern w:val="0"/>
          <w:sz w:val="32"/>
          <w:szCs w:val="32"/>
        </w:rPr>
      </w:pPr>
    </w:p>
    <w:p w14:paraId="2B85A71F">
      <w:pPr>
        <w:jc w:val="center"/>
        <w:rPr>
          <w:rFonts w:ascii="宋体" w:hAnsi="宋体" w:cs="宋体"/>
          <w:b/>
          <w:color w:val="auto"/>
          <w:kern w:val="0"/>
          <w:sz w:val="32"/>
          <w:szCs w:val="32"/>
        </w:rPr>
      </w:pPr>
    </w:p>
    <w:p w14:paraId="2EB3B214">
      <w:pPr>
        <w:jc w:val="center"/>
        <w:rPr>
          <w:rFonts w:ascii="宋体" w:hAnsi="宋体" w:cs="宋体"/>
          <w:b/>
          <w:color w:val="auto"/>
          <w:kern w:val="0"/>
          <w:sz w:val="32"/>
          <w:szCs w:val="32"/>
        </w:rPr>
      </w:pPr>
    </w:p>
    <w:p w14:paraId="4FF28B21">
      <w:pPr>
        <w:jc w:val="center"/>
        <w:rPr>
          <w:rFonts w:ascii="宋体" w:hAnsi="宋体" w:cs="宋体"/>
          <w:b/>
          <w:color w:val="auto"/>
          <w:kern w:val="0"/>
          <w:sz w:val="32"/>
          <w:szCs w:val="32"/>
        </w:rPr>
      </w:pPr>
    </w:p>
    <w:p w14:paraId="7A3A5133">
      <w:pPr>
        <w:jc w:val="center"/>
        <w:rPr>
          <w:rFonts w:ascii="宋体" w:hAnsi="宋体" w:cs="宋体"/>
          <w:b/>
          <w:color w:val="auto"/>
          <w:kern w:val="0"/>
          <w:sz w:val="32"/>
          <w:szCs w:val="32"/>
        </w:rPr>
      </w:pPr>
    </w:p>
    <w:p w14:paraId="75A3F13D">
      <w:pPr>
        <w:jc w:val="center"/>
        <w:rPr>
          <w:rFonts w:ascii="宋体" w:hAnsi="宋体" w:cs="宋体"/>
          <w:b/>
          <w:color w:val="auto"/>
          <w:kern w:val="0"/>
          <w:sz w:val="32"/>
          <w:szCs w:val="32"/>
        </w:rPr>
      </w:pPr>
    </w:p>
    <w:p w14:paraId="40190650">
      <w:pPr>
        <w:jc w:val="center"/>
        <w:rPr>
          <w:rFonts w:ascii="宋体" w:hAnsi="宋体" w:cs="宋体"/>
          <w:b/>
          <w:color w:val="auto"/>
          <w:kern w:val="0"/>
          <w:sz w:val="32"/>
          <w:szCs w:val="32"/>
        </w:rPr>
      </w:pPr>
    </w:p>
    <w:p w14:paraId="09C34818">
      <w:pPr>
        <w:snapToGrid w:val="0"/>
        <w:jc w:val="center"/>
        <w:rPr>
          <w:rFonts w:ascii="宋体" w:hAnsi="宋体" w:cs="宋体"/>
          <w:b/>
          <w:bCs/>
          <w:color w:val="auto"/>
          <w:sz w:val="32"/>
          <w:szCs w:val="32"/>
        </w:rPr>
      </w:pPr>
      <w:r>
        <w:rPr>
          <w:rFonts w:hint="eastAsia" w:ascii="宋体" w:hAnsi="宋体" w:cs="宋体"/>
          <w:b/>
          <w:bCs/>
          <w:color w:val="auto"/>
          <w:sz w:val="32"/>
          <w:szCs w:val="32"/>
        </w:rPr>
        <w:t>五、评审标准相应的商务技术资料</w:t>
      </w:r>
    </w:p>
    <w:p w14:paraId="618FD51E">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p w14:paraId="4D8DFD55">
      <w:pPr>
        <w:jc w:val="center"/>
        <w:rPr>
          <w:rFonts w:ascii="宋体" w:hAnsi="宋体" w:cs="宋体"/>
          <w:b/>
          <w:color w:val="auto"/>
          <w:kern w:val="0"/>
          <w:sz w:val="32"/>
          <w:szCs w:val="32"/>
        </w:rPr>
      </w:pPr>
    </w:p>
    <w:p w14:paraId="7D54E7F3">
      <w:pPr>
        <w:jc w:val="center"/>
        <w:rPr>
          <w:rFonts w:ascii="宋体" w:hAnsi="宋体" w:cs="宋体"/>
          <w:b/>
          <w:color w:val="auto"/>
          <w:kern w:val="0"/>
          <w:sz w:val="32"/>
          <w:szCs w:val="32"/>
        </w:rPr>
      </w:pPr>
    </w:p>
    <w:p w14:paraId="7697F7F3">
      <w:pPr>
        <w:jc w:val="center"/>
        <w:rPr>
          <w:rFonts w:ascii="宋体" w:hAnsi="宋体" w:cs="宋体"/>
          <w:b/>
          <w:color w:val="auto"/>
          <w:kern w:val="0"/>
          <w:sz w:val="32"/>
          <w:szCs w:val="32"/>
        </w:rPr>
      </w:pPr>
    </w:p>
    <w:p w14:paraId="1F753263">
      <w:pPr>
        <w:jc w:val="center"/>
        <w:rPr>
          <w:rFonts w:ascii="宋体" w:hAnsi="宋体" w:cs="宋体"/>
          <w:b/>
          <w:color w:val="auto"/>
          <w:kern w:val="0"/>
          <w:sz w:val="32"/>
          <w:szCs w:val="32"/>
        </w:rPr>
      </w:pPr>
    </w:p>
    <w:p w14:paraId="0DDA398E">
      <w:pPr>
        <w:jc w:val="center"/>
        <w:rPr>
          <w:rFonts w:ascii="宋体" w:hAnsi="宋体" w:cs="宋体"/>
          <w:b/>
          <w:color w:val="auto"/>
          <w:kern w:val="0"/>
          <w:sz w:val="32"/>
          <w:szCs w:val="32"/>
        </w:rPr>
      </w:pPr>
    </w:p>
    <w:p w14:paraId="223E0300">
      <w:pPr>
        <w:snapToGrid w:val="0"/>
        <w:jc w:val="center"/>
        <w:rPr>
          <w:rFonts w:ascii="宋体" w:hAnsi="宋体" w:cs="宋体"/>
          <w:b/>
          <w:bCs/>
          <w:color w:val="auto"/>
          <w:sz w:val="32"/>
          <w:szCs w:val="32"/>
        </w:rPr>
      </w:pPr>
      <w:r>
        <w:rPr>
          <w:rFonts w:hint="eastAsia" w:ascii="宋体" w:hAnsi="宋体" w:cs="宋体"/>
          <w:b/>
          <w:bCs/>
          <w:color w:val="auto"/>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D0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F47A7D">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7C555568">
            <w:pPr>
              <w:jc w:val="center"/>
              <w:rPr>
                <w:rFonts w:ascii="宋体" w:hAnsi="宋体" w:cs="宋体"/>
                <w:b/>
                <w:bCs/>
                <w:color w:val="auto"/>
                <w:sz w:val="24"/>
              </w:rPr>
            </w:pPr>
            <w:r>
              <w:rPr>
                <w:rFonts w:hint="eastAsia" w:ascii="宋体" w:hAnsi="宋体" w:cs="宋体"/>
                <w:b/>
                <w:bCs/>
                <w:color w:val="auto"/>
                <w:sz w:val="24"/>
              </w:rPr>
              <w:t>采购文件章节及具体内容</w:t>
            </w:r>
          </w:p>
        </w:tc>
        <w:tc>
          <w:tcPr>
            <w:tcW w:w="3546" w:type="dxa"/>
          </w:tcPr>
          <w:p w14:paraId="139A940A">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14:paraId="3A3BC072">
            <w:pPr>
              <w:jc w:val="center"/>
              <w:rPr>
                <w:rFonts w:ascii="宋体" w:hAnsi="宋体" w:cs="宋体"/>
                <w:b/>
                <w:bCs/>
                <w:color w:val="auto"/>
                <w:sz w:val="24"/>
              </w:rPr>
            </w:pPr>
            <w:r>
              <w:rPr>
                <w:rFonts w:hint="eastAsia" w:ascii="宋体" w:hAnsi="宋体" w:cs="宋体"/>
                <w:b/>
                <w:bCs/>
                <w:color w:val="auto"/>
                <w:sz w:val="24"/>
              </w:rPr>
              <w:t>偏离说明</w:t>
            </w:r>
          </w:p>
        </w:tc>
      </w:tr>
      <w:tr w14:paraId="6183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A542C1">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6A9DCDCF">
            <w:pPr>
              <w:jc w:val="center"/>
              <w:rPr>
                <w:rFonts w:ascii="宋体" w:hAnsi="宋体" w:cs="宋体"/>
                <w:b/>
                <w:color w:val="auto"/>
                <w:kern w:val="0"/>
                <w:sz w:val="32"/>
                <w:szCs w:val="32"/>
              </w:rPr>
            </w:pPr>
          </w:p>
        </w:tc>
        <w:tc>
          <w:tcPr>
            <w:tcW w:w="3546" w:type="dxa"/>
          </w:tcPr>
          <w:p w14:paraId="40A3CE80">
            <w:pPr>
              <w:jc w:val="center"/>
              <w:rPr>
                <w:rFonts w:ascii="宋体" w:hAnsi="宋体" w:cs="宋体"/>
                <w:b/>
                <w:color w:val="auto"/>
                <w:kern w:val="0"/>
                <w:sz w:val="32"/>
                <w:szCs w:val="32"/>
              </w:rPr>
            </w:pPr>
          </w:p>
        </w:tc>
        <w:tc>
          <w:tcPr>
            <w:tcW w:w="1276" w:type="dxa"/>
          </w:tcPr>
          <w:p w14:paraId="4779FC4C">
            <w:pPr>
              <w:jc w:val="center"/>
              <w:rPr>
                <w:rFonts w:ascii="宋体" w:hAnsi="宋体" w:cs="宋体"/>
                <w:b/>
                <w:color w:val="auto"/>
                <w:kern w:val="0"/>
                <w:sz w:val="32"/>
                <w:szCs w:val="32"/>
              </w:rPr>
            </w:pPr>
          </w:p>
        </w:tc>
      </w:tr>
      <w:tr w14:paraId="3353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3D672C">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3E5B9477">
            <w:pPr>
              <w:jc w:val="center"/>
              <w:rPr>
                <w:rFonts w:ascii="宋体" w:hAnsi="宋体" w:cs="宋体"/>
                <w:b/>
                <w:color w:val="auto"/>
                <w:kern w:val="0"/>
                <w:sz w:val="32"/>
                <w:szCs w:val="32"/>
              </w:rPr>
            </w:pPr>
          </w:p>
        </w:tc>
        <w:tc>
          <w:tcPr>
            <w:tcW w:w="3546" w:type="dxa"/>
          </w:tcPr>
          <w:p w14:paraId="23D915D0">
            <w:pPr>
              <w:jc w:val="center"/>
              <w:rPr>
                <w:rFonts w:ascii="宋体" w:hAnsi="宋体" w:cs="宋体"/>
                <w:b/>
                <w:color w:val="auto"/>
                <w:kern w:val="0"/>
                <w:sz w:val="32"/>
                <w:szCs w:val="32"/>
              </w:rPr>
            </w:pPr>
          </w:p>
        </w:tc>
        <w:tc>
          <w:tcPr>
            <w:tcW w:w="1276" w:type="dxa"/>
          </w:tcPr>
          <w:p w14:paraId="239C9809">
            <w:pPr>
              <w:jc w:val="center"/>
              <w:rPr>
                <w:rFonts w:ascii="宋体" w:hAnsi="宋体" w:cs="宋体"/>
                <w:b/>
                <w:color w:val="auto"/>
                <w:kern w:val="0"/>
                <w:sz w:val="32"/>
                <w:szCs w:val="32"/>
              </w:rPr>
            </w:pPr>
          </w:p>
        </w:tc>
      </w:tr>
      <w:tr w14:paraId="2B57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B99C66">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7A2D3B6D">
            <w:pPr>
              <w:jc w:val="center"/>
              <w:rPr>
                <w:rFonts w:ascii="宋体" w:hAnsi="宋体" w:cs="宋体"/>
                <w:b/>
                <w:color w:val="auto"/>
                <w:kern w:val="0"/>
                <w:sz w:val="32"/>
                <w:szCs w:val="32"/>
              </w:rPr>
            </w:pPr>
          </w:p>
        </w:tc>
        <w:tc>
          <w:tcPr>
            <w:tcW w:w="3546" w:type="dxa"/>
          </w:tcPr>
          <w:p w14:paraId="278290C5">
            <w:pPr>
              <w:jc w:val="center"/>
              <w:rPr>
                <w:rFonts w:ascii="宋体" w:hAnsi="宋体" w:cs="宋体"/>
                <w:b/>
                <w:color w:val="auto"/>
                <w:kern w:val="0"/>
                <w:sz w:val="32"/>
                <w:szCs w:val="32"/>
              </w:rPr>
            </w:pPr>
          </w:p>
        </w:tc>
        <w:tc>
          <w:tcPr>
            <w:tcW w:w="1276" w:type="dxa"/>
          </w:tcPr>
          <w:p w14:paraId="48FEF7BB">
            <w:pPr>
              <w:jc w:val="center"/>
              <w:rPr>
                <w:rFonts w:ascii="宋体" w:hAnsi="宋体" w:cs="宋体"/>
                <w:b/>
                <w:color w:val="auto"/>
                <w:kern w:val="0"/>
                <w:sz w:val="32"/>
                <w:szCs w:val="32"/>
              </w:rPr>
            </w:pPr>
          </w:p>
        </w:tc>
      </w:tr>
    </w:tbl>
    <w:p w14:paraId="2DC5604F">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14:paraId="182F201D">
      <w:pPr>
        <w:jc w:val="center"/>
        <w:rPr>
          <w:rFonts w:ascii="宋体" w:hAnsi="宋体" w:cs="宋体"/>
          <w:b/>
          <w:color w:val="auto"/>
          <w:kern w:val="0"/>
          <w:sz w:val="32"/>
          <w:szCs w:val="32"/>
        </w:rPr>
      </w:pPr>
    </w:p>
    <w:p w14:paraId="2C451A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30DD105">
      <w:pPr>
        <w:ind w:firstLine="1911" w:firstLineChars="595"/>
        <w:rPr>
          <w:rFonts w:ascii="宋体" w:hAnsi="宋体" w:cs="宋体"/>
          <w:b/>
          <w:bCs/>
          <w:color w:val="auto"/>
          <w:sz w:val="32"/>
          <w:szCs w:val="32"/>
        </w:rPr>
        <w:sectPr>
          <w:footerReference r:id="rId11" w:type="first"/>
          <w:footerReference r:id="rId10" w:type="default"/>
          <w:pgSz w:w="11906" w:h="16838"/>
          <w:pgMar w:top="1440" w:right="1080" w:bottom="1440" w:left="1080" w:header="851" w:footer="992" w:gutter="0"/>
          <w:pgNumType w:fmt="decimal"/>
          <w:cols w:space="720" w:num="1"/>
          <w:titlePg/>
          <w:docGrid w:linePitch="312" w:charSpace="0"/>
        </w:sectPr>
      </w:pPr>
    </w:p>
    <w:p w14:paraId="3C332744">
      <w:pPr>
        <w:snapToGrid w:val="0"/>
        <w:jc w:val="center"/>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BF47948">
      <w:pPr>
        <w:snapToGrid w:val="0"/>
        <w:spacing w:line="360" w:lineRule="auto"/>
        <w:rPr>
          <w:rFonts w:ascii="宋体" w:hAnsi="宋体" w:cs="宋体"/>
          <w:color w:val="auto"/>
          <w:sz w:val="24"/>
        </w:rPr>
      </w:pPr>
    </w:p>
    <w:p w14:paraId="5A2E985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3FF5BA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DF3DE4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31C961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727993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B4F08E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245817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14:paraId="3416913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3A3F412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FFDFD33">
      <w:pPr>
        <w:autoSpaceDE w:val="0"/>
        <w:autoSpaceDN w:val="0"/>
        <w:spacing w:line="360" w:lineRule="auto"/>
        <w:ind w:left="2"/>
        <w:jc w:val="left"/>
        <w:rPr>
          <w:rFonts w:ascii="宋体" w:hAnsi="宋体" w:cs="宋体"/>
          <w:color w:val="auto"/>
          <w:kern w:val="0"/>
          <w:sz w:val="24"/>
          <w:lang w:val="zh-CN"/>
        </w:rPr>
      </w:pPr>
    </w:p>
    <w:p w14:paraId="74C25FEF">
      <w:pPr>
        <w:autoSpaceDE w:val="0"/>
        <w:autoSpaceDN w:val="0"/>
        <w:spacing w:line="360" w:lineRule="auto"/>
        <w:ind w:left="2"/>
        <w:jc w:val="left"/>
        <w:rPr>
          <w:rFonts w:ascii="宋体" w:hAnsi="宋体" w:cs="宋体"/>
          <w:color w:val="auto"/>
          <w:kern w:val="0"/>
          <w:sz w:val="24"/>
          <w:lang w:val="zh-CN"/>
        </w:rPr>
      </w:pPr>
    </w:p>
    <w:p w14:paraId="75E990F4">
      <w:pPr>
        <w:autoSpaceDE w:val="0"/>
        <w:autoSpaceDN w:val="0"/>
        <w:spacing w:line="360" w:lineRule="auto"/>
        <w:ind w:left="2"/>
        <w:jc w:val="left"/>
        <w:rPr>
          <w:rFonts w:ascii="宋体" w:hAnsi="宋体" w:cs="宋体"/>
          <w:color w:val="auto"/>
          <w:kern w:val="0"/>
          <w:sz w:val="24"/>
          <w:lang w:val="zh-CN"/>
        </w:rPr>
      </w:pPr>
    </w:p>
    <w:p w14:paraId="4F18E3F6">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309FC98">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83FF322">
      <w:pPr>
        <w:spacing w:line="360" w:lineRule="auto"/>
        <w:jc w:val="center"/>
        <w:rPr>
          <w:rFonts w:ascii="宋体" w:hAnsi="宋体" w:cs="宋体"/>
          <w:b/>
          <w:bCs/>
          <w:color w:val="auto"/>
          <w:sz w:val="24"/>
        </w:rPr>
      </w:pPr>
    </w:p>
    <w:p w14:paraId="100712F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900DDDA">
      <w:pPr>
        <w:spacing w:line="360" w:lineRule="auto"/>
        <w:jc w:val="center"/>
        <w:rPr>
          <w:rFonts w:ascii="宋体" w:hAnsi="宋体" w:cs="宋体"/>
          <w:b/>
          <w:bCs/>
          <w:color w:val="auto"/>
          <w:sz w:val="24"/>
        </w:rPr>
        <w:sectPr>
          <w:pgSz w:w="11906" w:h="16838"/>
          <w:pgMar w:top="1440" w:right="1080" w:bottom="1440" w:left="1080" w:header="851" w:footer="992" w:gutter="0"/>
          <w:pgNumType w:fmt="decimal"/>
          <w:cols w:space="720" w:num="1"/>
          <w:titlePg/>
          <w:docGrid w:linePitch="312" w:charSpace="0"/>
        </w:sectPr>
      </w:pPr>
    </w:p>
    <w:p w14:paraId="790F1B0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18D5A5E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076965C">
      <w:pPr>
        <w:spacing w:line="360" w:lineRule="auto"/>
        <w:jc w:val="center"/>
        <w:outlineLvl w:val="0"/>
        <w:rPr>
          <w:rFonts w:ascii="宋体" w:hAnsi="宋体" w:cs="宋体"/>
          <w:b/>
          <w:color w:val="auto"/>
          <w:kern w:val="0"/>
          <w:sz w:val="36"/>
          <w:szCs w:val="36"/>
        </w:rPr>
      </w:pPr>
    </w:p>
    <w:p w14:paraId="09A97131">
      <w:pPr>
        <w:snapToGrid w:val="0"/>
        <w:spacing w:line="360" w:lineRule="auto"/>
        <w:rPr>
          <w:rFonts w:ascii="宋体" w:hAnsi="宋体" w:cs="宋体"/>
          <w:color w:val="auto"/>
          <w:sz w:val="24"/>
        </w:rPr>
      </w:pPr>
      <w:r>
        <w:rPr>
          <w:rFonts w:hint="eastAsia" w:ascii="宋体" w:hAnsi="宋体" w:cs="宋体"/>
          <w:color w:val="auto"/>
          <w:sz w:val="24"/>
        </w:rPr>
        <w:t>（1）报价单…………………………………………………………………………（页码）</w:t>
      </w:r>
    </w:p>
    <w:p w14:paraId="23F5E8D3">
      <w:pPr>
        <w:snapToGrid w:val="0"/>
        <w:spacing w:line="360" w:lineRule="auto"/>
        <w:rPr>
          <w:rFonts w:ascii="宋体" w:hAnsi="宋体" w:cs="宋体"/>
          <w:color w:val="auto"/>
          <w:sz w:val="24"/>
        </w:rPr>
      </w:pPr>
      <w:r>
        <w:rPr>
          <w:rFonts w:hint="eastAsia" w:ascii="宋体" w:hAnsi="宋体" w:cs="宋体"/>
          <w:color w:val="auto"/>
          <w:sz w:val="24"/>
        </w:rPr>
        <w:t>（2）已标价工程量清单……………………………………………………………（页码）</w:t>
      </w:r>
    </w:p>
    <w:p w14:paraId="58356B08">
      <w:pPr>
        <w:snapToGrid w:val="0"/>
        <w:spacing w:line="360" w:lineRule="auto"/>
        <w:rPr>
          <w:rFonts w:ascii="宋体" w:hAnsi="宋体" w:cs="宋体"/>
          <w:color w:val="auto"/>
          <w:sz w:val="24"/>
        </w:rPr>
      </w:pPr>
      <w:r>
        <w:rPr>
          <w:rFonts w:hint="eastAsia" w:ascii="宋体" w:hAnsi="宋体" w:cs="宋体"/>
          <w:color w:val="auto"/>
          <w:sz w:val="24"/>
        </w:rPr>
        <w:t>（3）中小企业声明函………………………………………………………………（页码）</w:t>
      </w:r>
    </w:p>
    <w:p w14:paraId="6D963539">
      <w:pPr>
        <w:snapToGrid w:val="0"/>
        <w:spacing w:line="360" w:lineRule="auto"/>
        <w:ind w:right="480"/>
        <w:jc w:val="center"/>
        <w:rPr>
          <w:rFonts w:ascii="宋体" w:hAnsi="宋体" w:cs="宋体"/>
          <w:b/>
          <w:color w:val="auto"/>
          <w:kern w:val="0"/>
          <w:sz w:val="32"/>
          <w:szCs w:val="32"/>
        </w:rPr>
      </w:pPr>
    </w:p>
    <w:p w14:paraId="4905F32C">
      <w:pPr>
        <w:snapToGrid w:val="0"/>
        <w:spacing w:line="360" w:lineRule="auto"/>
        <w:ind w:right="480"/>
        <w:jc w:val="center"/>
        <w:rPr>
          <w:rFonts w:ascii="宋体" w:hAnsi="宋体" w:cs="宋体"/>
          <w:b/>
          <w:color w:val="auto"/>
          <w:kern w:val="0"/>
          <w:sz w:val="32"/>
          <w:szCs w:val="32"/>
        </w:rPr>
      </w:pPr>
    </w:p>
    <w:p w14:paraId="7C51D99B">
      <w:pPr>
        <w:snapToGrid w:val="0"/>
        <w:spacing w:line="360" w:lineRule="auto"/>
        <w:ind w:right="480"/>
        <w:jc w:val="center"/>
        <w:rPr>
          <w:rFonts w:ascii="宋体" w:hAnsi="宋体" w:cs="宋体"/>
          <w:b/>
          <w:color w:val="auto"/>
          <w:kern w:val="0"/>
          <w:sz w:val="32"/>
          <w:szCs w:val="32"/>
        </w:rPr>
      </w:pPr>
    </w:p>
    <w:p w14:paraId="2344123E">
      <w:pPr>
        <w:snapToGrid w:val="0"/>
        <w:spacing w:line="360" w:lineRule="auto"/>
        <w:ind w:right="480"/>
        <w:jc w:val="center"/>
        <w:rPr>
          <w:rFonts w:ascii="宋体" w:hAnsi="宋体" w:cs="宋体"/>
          <w:b/>
          <w:color w:val="auto"/>
          <w:kern w:val="0"/>
          <w:sz w:val="32"/>
          <w:szCs w:val="32"/>
        </w:rPr>
      </w:pPr>
    </w:p>
    <w:p w14:paraId="5AA00EA8">
      <w:pPr>
        <w:snapToGrid w:val="0"/>
        <w:spacing w:line="360" w:lineRule="auto"/>
        <w:ind w:right="480"/>
        <w:jc w:val="center"/>
        <w:rPr>
          <w:rFonts w:ascii="宋体" w:hAnsi="宋体" w:cs="宋体"/>
          <w:b/>
          <w:color w:val="auto"/>
          <w:kern w:val="0"/>
          <w:sz w:val="32"/>
          <w:szCs w:val="32"/>
        </w:rPr>
      </w:pPr>
    </w:p>
    <w:p w14:paraId="1BAE4D04">
      <w:pPr>
        <w:snapToGrid w:val="0"/>
        <w:spacing w:line="360" w:lineRule="auto"/>
        <w:ind w:right="480"/>
        <w:jc w:val="center"/>
        <w:rPr>
          <w:rFonts w:ascii="宋体" w:hAnsi="宋体" w:cs="宋体"/>
          <w:b/>
          <w:color w:val="auto"/>
          <w:kern w:val="0"/>
          <w:sz w:val="32"/>
          <w:szCs w:val="32"/>
        </w:rPr>
      </w:pPr>
    </w:p>
    <w:p w14:paraId="6C254C7F">
      <w:pPr>
        <w:snapToGrid w:val="0"/>
        <w:spacing w:line="360" w:lineRule="auto"/>
        <w:ind w:right="480"/>
        <w:jc w:val="center"/>
        <w:rPr>
          <w:rFonts w:ascii="宋体" w:hAnsi="宋体" w:cs="宋体"/>
          <w:b/>
          <w:color w:val="auto"/>
          <w:kern w:val="0"/>
          <w:sz w:val="32"/>
          <w:szCs w:val="32"/>
        </w:rPr>
      </w:pPr>
    </w:p>
    <w:p w14:paraId="771630DF">
      <w:pPr>
        <w:snapToGrid w:val="0"/>
        <w:spacing w:line="360" w:lineRule="auto"/>
        <w:ind w:right="480"/>
        <w:jc w:val="center"/>
        <w:rPr>
          <w:rFonts w:ascii="宋体" w:hAnsi="宋体" w:cs="宋体"/>
          <w:b/>
          <w:color w:val="auto"/>
          <w:kern w:val="0"/>
          <w:sz w:val="32"/>
          <w:szCs w:val="32"/>
        </w:rPr>
      </w:pPr>
    </w:p>
    <w:p w14:paraId="6AE516F1">
      <w:pPr>
        <w:snapToGrid w:val="0"/>
        <w:spacing w:line="360" w:lineRule="auto"/>
        <w:ind w:right="480"/>
        <w:jc w:val="center"/>
        <w:rPr>
          <w:rFonts w:ascii="宋体" w:hAnsi="宋体" w:cs="宋体"/>
          <w:b/>
          <w:color w:val="auto"/>
          <w:kern w:val="0"/>
          <w:sz w:val="32"/>
          <w:szCs w:val="32"/>
        </w:rPr>
      </w:pPr>
    </w:p>
    <w:p w14:paraId="7725F4F7">
      <w:pPr>
        <w:snapToGrid w:val="0"/>
        <w:spacing w:line="360" w:lineRule="auto"/>
        <w:ind w:right="480"/>
        <w:jc w:val="center"/>
        <w:rPr>
          <w:rFonts w:ascii="宋体" w:hAnsi="宋体" w:cs="宋体"/>
          <w:b/>
          <w:color w:val="auto"/>
          <w:kern w:val="0"/>
          <w:sz w:val="32"/>
          <w:szCs w:val="32"/>
        </w:rPr>
      </w:pPr>
    </w:p>
    <w:p w14:paraId="728DFBD5">
      <w:pPr>
        <w:snapToGrid w:val="0"/>
        <w:spacing w:line="360" w:lineRule="auto"/>
        <w:ind w:right="480"/>
        <w:jc w:val="center"/>
        <w:rPr>
          <w:rFonts w:ascii="宋体" w:hAnsi="宋体" w:cs="宋体"/>
          <w:b/>
          <w:color w:val="auto"/>
          <w:kern w:val="0"/>
          <w:sz w:val="32"/>
          <w:szCs w:val="32"/>
        </w:rPr>
      </w:pPr>
    </w:p>
    <w:p w14:paraId="35A7383E">
      <w:pPr>
        <w:snapToGrid w:val="0"/>
        <w:spacing w:line="360" w:lineRule="auto"/>
        <w:ind w:right="480"/>
        <w:jc w:val="center"/>
        <w:rPr>
          <w:rFonts w:ascii="宋体" w:hAnsi="宋体" w:cs="宋体"/>
          <w:b/>
          <w:color w:val="auto"/>
          <w:kern w:val="0"/>
          <w:sz w:val="32"/>
          <w:szCs w:val="32"/>
        </w:rPr>
      </w:pPr>
    </w:p>
    <w:p w14:paraId="3600A59D">
      <w:pPr>
        <w:snapToGrid w:val="0"/>
        <w:spacing w:line="360" w:lineRule="auto"/>
        <w:ind w:right="480"/>
        <w:jc w:val="center"/>
        <w:rPr>
          <w:rFonts w:ascii="宋体" w:hAnsi="宋体" w:cs="宋体"/>
          <w:b/>
          <w:color w:val="auto"/>
          <w:kern w:val="0"/>
          <w:sz w:val="32"/>
          <w:szCs w:val="32"/>
        </w:rPr>
      </w:pPr>
    </w:p>
    <w:p w14:paraId="0FBB665C">
      <w:pPr>
        <w:snapToGrid w:val="0"/>
        <w:spacing w:line="360" w:lineRule="auto"/>
        <w:ind w:right="480"/>
        <w:jc w:val="center"/>
        <w:rPr>
          <w:rFonts w:ascii="宋体" w:hAnsi="宋体" w:cs="宋体"/>
          <w:b/>
          <w:color w:val="auto"/>
          <w:kern w:val="0"/>
          <w:sz w:val="32"/>
          <w:szCs w:val="32"/>
        </w:rPr>
      </w:pPr>
    </w:p>
    <w:p w14:paraId="42FBC65A">
      <w:pPr>
        <w:snapToGrid w:val="0"/>
        <w:spacing w:line="360" w:lineRule="auto"/>
        <w:ind w:right="480"/>
        <w:jc w:val="center"/>
        <w:rPr>
          <w:rFonts w:ascii="宋体" w:hAnsi="宋体" w:cs="宋体"/>
          <w:b/>
          <w:color w:val="auto"/>
          <w:kern w:val="0"/>
          <w:sz w:val="32"/>
          <w:szCs w:val="32"/>
        </w:rPr>
      </w:pPr>
    </w:p>
    <w:p w14:paraId="7D40D48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footerReference r:id="rId14" w:type="first"/>
          <w:headerReference r:id="rId12" w:type="default"/>
          <w:footerReference r:id="rId13" w:type="default"/>
          <w:pgSz w:w="11906" w:h="16838"/>
          <w:pgMar w:top="1440" w:right="1080" w:bottom="1440" w:left="1080" w:header="851" w:footer="992" w:gutter="0"/>
          <w:pgNumType w:fmt="decimal"/>
          <w:cols w:space="720" w:num="1"/>
          <w:titlePg/>
          <w:docGrid w:linePitch="312" w:charSpace="0"/>
        </w:sectPr>
      </w:pPr>
    </w:p>
    <w:p w14:paraId="65DE945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一、报价单</w:t>
      </w:r>
    </w:p>
    <w:p w14:paraId="287FD86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798288B">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按你方采购文件要求，我们，本响应文件签字方，谨此向你方发出要约如下：如你方接受本投标，我方承诺按照如下报价单的价格完成宁海县胡陈乡2025年山塘整治工程（小垅、秤钩吊月、发洪）【项目编号：</w:t>
      </w:r>
      <w:r>
        <w:rPr>
          <w:rFonts w:hint="eastAsia" w:ascii="宋体" w:hAnsi="宋体" w:cs="宋体"/>
          <w:color w:val="auto"/>
          <w:sz w:val="24"/>
          <w:lang w:eastAsia="zh-CN"/>
        </w:rPr>
        <w:t>温中代字(2025)宁016</w:t>
      </w:r>
      <w:r>
        <w:rPr>
          <w:rFonts w:hint="eastAsia" w:ascii="宋体" w:hAnsi="宋体" w:cs="宋体"/>
          <w:color w:val="auto"/>
          <w:sz w:val="24"/>
        </w:rPr>
        <w:t>】的实施</w:t>
      </w:r>
      <w:r>
        <w:rPr>
          <w:rFonts w:hint="eastAsia" w:ascii="宋体" w:hAnsi="宋体" w:cs="宋体"/>
          <w:color w:val="auto"/>
          <w:kern w:val="0"/>
          <w:sz w:val="24"/>
          <w:lang w:val="zh-CN"/>
        </w:rPr>
        <w:t>。</w:t>
      </w:r>
    </w:p>
    <w:p w14:paraId="485C1F77">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287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5E149CF">
            <w:pPr>
              <w:spacing w:line="360" w:lineRule="auto"/>
              <w:jc w:val="center"/>
              <w:rPr>
                <w:rFonts w:ascii="宋体" w:hAnsi="宋体" w:cs="宋体"/>
                <w:b/>
                <w:color w:val="auto"/>
                <w:sz w:val="24"/>
              </w:rPr>
            </w:pPr>
            <w:r>
              <w:rPr>
                <w:rFonts w:hint="eastAsia" w:ascii="宋体" w:hAnsi="宋体" w:cs="宋体"/>
                <w:b/>
                <w:color w:val="auto"/>
                <w:sz w:val="24"/>
              </w:rPr>
              <w:t>项目名称</w:t>
            </w:r>
          </w:p>
        </w:tc>
        <w:tc>
          <w:tcPr>
            <w:tcW w:w="1843" w:type="dxa"/>
          </w:tcPr>
          <w:p w14:paraId="40CBD9DE">
            <w:pPr>
              <w:spacing w:line="360" w:lineRule="auto"/>
              <w:jc w:val="center"/>
              <w:rPr>
                <w:rFonts w:ascii="宋体" w:hAnsi="宋体" w:cs="宋体"/>
                <w:b/>
                <w:color w:val="auto"/>
                <w:sz w:val="24"/>
              </w:rPr>
            </w:pPr>
          </w:p>
          <w:p w14:paraId="7CE1BC16">
            <w:pPr>
              <w:spacing w:line="360" w:lineRule="auto"/>
              <w:jc w:val="center"/>
              <w:rPr>
                <w:rFonts w:ascii="宋体" w:hAnsi="宋体" w:cs="宋体"/>
                <w:b/>
                <w:color w:val="auto"/>
                <w:sz w:val="24"/>
              </w:rPr>
            </w:pPr>
            <w:r>
              <w:rPr>
                <w:rFonts w:hint="eastAsia" w:ascii="宋体" w:hAnsi="宋体" w:cs="宋体"/>
                <w:b/>
                <w:color w:val="auto"/>
                <w:sz w:val="24"/>
              </w:rPr>
              <w:t>施工范围</w:t>
            </w:r>
          </w:p>
        </w:tc>
        <w:tc>
          <w:tcPr>
            <w:tcW w:w="3118" w:type="dxa"/>
            <w:vAlign w:val="center"/>
          </w:tcPr>
          <w:p w14:paraId="7FC04474">
            <w:pPr>
              <w:spacing w:line="360" w:lineRule="auto"/>
              <w:jc w:val="center"/>
              <w:rPr>
                <w:rFonts w:ascii="宋体" w:hAnsi="宋体" w:cs="宋体"/>
                <w:b/>
                <w:color w:val="auto"/>
                <w:sz w:val="24"/>
              </w:rPr>
            </w:pPr>
            <w:r>
              <w:rPr>
                <w:rFonts w:hint="eastAsia" w:ascii="宋体" w:hAnsi="宋体" w:cs="宋体"/>
                <w:b/>
                <w:color w:val="auto"/>
                <w:sz w:val="24"/>
              </w:rPr>
              <w:t>施工工期</w:t>
            </w:r>
          </w:p>
        </w:tc>
        <w:tc>
          <w:tcPr>
            <w:tcW w:w="2552" w:type="dxa"/>
            <w:vAlign w:val="center"/>
          </w:tcPr>
          <w:p w14:paraId="5C9826C8">
            <w:pPr>
              <w:spacing w:line="360" w:lineRule="auto"/>
              <w:jc w:val="center"/>
              <w:rPr>
                <w:rFonts w:ascii="宋体" w:hAnsi="宋体" w:cs="宋体"/>
                <w:b/>
                <w:color w:val="auto"/>
                <w:sz w:val="24"/>
              </w:rPr>
            </w:pPr>
            <w:r>
              <w:rPr>
                <w:rFonts w:hint="eastAsia" w:ascii="宋体" w:hAnsi="宋体" w:cs="宋体"/>
                <w:b/>
                <w:color w:val="auto"/>
                <w:sz w:val="24"/>
              </w:rPr>
              <w:t>项目经理</w:t>
            </w:r>
          </w:p>
        </w:tc>
        <w:tc>
          <w:tcPr>
            <w:tcW w:w="1984" w:type="dxa"/>
            <w:vAlign w:val="center"/>
          </w:tcPr>
          <w:p w14:paraId="797DDE6C">
            <w:pPr>
              <w:spacing w:line="360" w:lineRule="auto"/>
              <w:jc w:val="center"/>
              <w:rPr>
                <w:rFonts w:ascii="宋体" w:hAnsi="宋体" w:cs="宋体"/>
                <w:b/>
                <w:color w:val="auto"/>
                <w:sz w:val="24"/>
              </w:rPr>
            </w:pPr>
            <w:r>
              <w:rPr>
                <w:rFonts w:hint="eastAsia" w:ascii="宋体" w:hAnsi="宋体" w:cs="宋体"/>
                <w:b/>
                <w:color w:val="auto"/>
                <w:sz w:val="24"/>
              </w:rPr>
              <w:t>执业证书信息</w:t>
            </w:r>
          </w:p>
        </w:tc>
        <w:tc>
          <w:tcPr>
            <w:tcW w:w="3119" w:type="dxa"/>
            <w:vAlign w:val="center"/>
          </w:tcPr>
          <w:p w14:paraId="5BC0A90A">
            <w:pPr>
              <w:spacing w:line="360" w:lineRule="auto"/>
              <w:jc w:val="center"/>
              <w:rPr>
                <w:rFonts w:ascii="宋体" w:hAnsi="宋体" w:cs="宋体"/>
                <w:b/>
                <w:color w:val="auto"/>
                <w:sz w:val="24"/>
              </w:rPr>
            </w:pPr>
          </w:p>
          <w:p w14:paraId="5C4AC04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83B5F34">
            <w:pPr>
              <w:spacing w:line="360" w:lineRule="auto"/>
              <w:jc w:val="center"/>
              <w:rPr>
                <w:rFonts w:ascii="宋体" w:hAnsi="宋体" w:cs="宋体"/>
                <w:b/>
                <w:color w:val="auto"/>
                <w:sz w:val="24"/>
              </w:rPr>
            </w:pPr>
          </w:p>
        </w:tc>
      </w:tr>
      <w:tr w14:paraId="490A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BBFED98">
            <w:pPr>
              <w:snapToGrid w:val="0"/>
              <w:spacing w:line="360" w:lineRule="auto"/>
              <w:jc w:val="center"/>
              <w:rPr>
                <w:rFonts w:ascii="宋体" w:hAnsi="宋体" w:cs="宋体"/>
                <w:color w:val="auto"/>
                <w:sz w:val="24"/>
              </w:rPr>
            </w:pPr>
          </w:p>
        </w:tc>
        <w:tc>
          <w:tcPr>
            <w:tcW w:w="1843" w:type="dxa"/>
            <w:vAlign w:val="center"/>
          </w:tcPr>
          <w:p w14:paraId="0D94F702">
            <w:pPr>
              <w:snapToGrid w:val="0"/>
              <w:spacing w:line="360" w:lineRule="auto"/>
              <w:jc w:val="center"/>
              <w:rPr>
                <w:rFonts w:ascii="宋体" w:hAnsi="宋体" w:cs="宋体"/>
                <w:color w:val="auto"/>
                <w:sz w:val="24"/>
              </w:rPr>
            </w:pPr>
          </w:p>
        </w:tc>
        <w:tc>
          <w:tcPr>
            <w:tcW w:w="3118" w:type="dxa"/>
            <w:vAlign w:val="center"/>
          </w:tcPr>
          <w:p w14:paraId="709C88A9">
            <w:pPr>
              <w:snapToGrid w:val="0"/>
              <w:spacing w:line="360" w:lineRule="auto"/>
              <w:jc w:val="center"/>
              <w:rPr>
                <w:rFonts w:ascii="宋体" w:hAnsi="宋体" w:cs="宋体"/>
                <w:color w:val="auto"/>
                <w:sz w:val="24"/>
              </w:rPr>
            </w:pPr>
          </w:p>
        </w:tc>
        <w:tc>
          <w:tcPr>
            <w:tcW w:w="2552" w:type="dxa"/>
            <w:vAlign w:val="center"/>
          </w:tcPr>
          <w:p w14:paraId="3DC5704D">
            <w:pPr>
              <w:spacing w:line="360" w:lineRule="auto"/>
              <w:jc w:val="center"/>
              <w:rPr>
                <w:rFonts w:ascii="宋体" w:hAnsi="宋体" w:cs="宋体"/>
                <w:color w:val="auto"/>
                <w:sz w:val="24"/>
              </w:rPr>
            </w:pPr>
          </w:p>
        </w:tc>
        <w:tc>
          <w:tcPr>
            <w:tcW w:w="1984" w:type="dxa"/>
            <w:vAlign w:val="center"/>
          </w:tcPr>
          <w:p w14:paraId="1C734C2C">
            <w:pPr>
              <w:spacing w:line="360" w:lineRule="auto"/>
              <w:jc w:val="center"/>
              <w:rPr>
                <w:rFonts w:ascii="宋体" w:hAnsi="宋体" w:cs="宋体"/>
                <w:color w:val="auto"/>
                <w:sz w:val="24"/>
              </w:rPr>
            </w:pPr>
          </w:p>
        </w:tc>
        <w:tc>
          <w:tcPr>
            <w:tcW w:w="3119" w:type="dxa"/>
            <w:vAlign w:val="center"/>
          </w:tcPr>
          <w:p w14:paraId="2423AAC5">
            <w:pPr>
              <w:spacing w:line="360" w:lineRule="auto"/>
              <w:jc w:val="center"/>
              <w:rPr>
                <w:rFonts w:ascii="宋体" w:hAnsi="宋体" w:cs="宋体"/>
                <w:color w:val="auto"/>
                <w:sz w:val="24"/>
              </w:rPr>
            </w:pPr>
          </w:p>
        </w:tc>
      </w:tr>
      <w:tr w14:paraId="068F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5F6E6E59">
            <w:pPr>
              <w:spacing w:line="360" w:lineRule="auto"/>
              <w:jc w:val="center"/>
              <w:rPr>
                <w:rFonts w:ascii="宋体" w:hAnsi="宋体" w:cs="宋体"/>
                <w:b/>
                <w:color w:val="auto"/>
                <w:sz w:val="24"/>
              </w:rPr>
            </w:pPr>
            <w:r>
              <w:rPr>
                <w:rFonts w:hint="eastAsia" w:ascii="宋体" w:hAnsi="宋体" w:cs="宋体"/>
                <w:b/>
                <w:color w:val="auto"/>
                <w:sz w:val="24"/>
              </w:rPr>
              <w:t>磋商报价（小写）</w:t>
            </w:r>
          </w:p>
        </w:tc>
        <w:tc>
          <w:tcPr>
            <w:tcW w:w="7655" w:type="dxa"/>
            <w:gridSpan w:val="3"/>
            <w:vAlign w:val="center"/>
          </w:tcPr>
          <w:p w14:paraId="05EF828A">
            <w:pPr>
              <w:spacing w:line="360" w:lineRule="auto"/>
              <w:jc w:val="center"/>
              <w:rPr>
                <w:rFonts w:ascii="宋体" w:hAnsi="宋体" w:cs="宋体"/>
                <w:color w:val="auto"/>
                <w:sz w:val="24"/>
              </w:rPr>
            </w:pPr>
          </w:p>
        </w:tc>
      </w:tr>
      <w:tr w14:paraId="3873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EB7D568">
            <w:pPr>
              <w:spacing w:line="360" w:lineRule="auto"/>
              <w:jc w:val="center"/>
              <w:rPr>
                <w:rFonts w:ascii="宋体" w:hAnsi="宋体" w:cs="宋体"/>
                <w:b/>
                <w:color w:val="auto"/>
                <w:sz w:val="24"/>
              </w:rPr>
            </w:pPr>
            <w:r>
              <w:rPr>
                <w:rFonts w:hint="eastAsia" w:ascii="宋体" w:hAnsi="宋体" w:cs="宋体"/>
                <w:b/>
                <w:color w:val="auto"/>
                <w:sz w:val="24"/>
              </w:rPr>
              <w:t>磋商报价（大写）</w:t>
            </w:r>
          </w:p>
        </w:tc>
        <w:tc>
          <w:tcPr>
            <w:tcW w:w="7655" w:type="dxa"/>
            <w:gridSpan w:val="3"/>
            <w:vAlign w:val="center"/>
          </w:tcPr>
          <w:p w14:paraId="66C335D7">
            <w:pPr>
              <w:spacing w:line="360" w:lineRule="auto"/>
              <w:jc w:val="center"/>
              <w:rPr>
                <w:rFonts w:ascii="宋体" w:hAnsi="宋体" w:cs="宋体"/>
                <w:color w:val="auto"/>
                <w:sz w:val="24"/>
              </w:rPr>
            </w:pPr>
          </w:p>
        </w:tc>
      </w:tr>
    </w:tbl>
    <w:p w14:paraId="5FE58C66">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C33740C">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0663C3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70565C0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59B5B63E">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C654C2E">
      <w:pPr>
        <w:spacing w:line="360" w:lineRule="auto"/>
        <w:ind w:firstLine="482" w:firstLineChars="200"/>
        <w:rPr>
          <w:rFonts w:ascii="宋体" w:hAnsi="宋体" w:cs="宋体"/>
          <w:b/>
          <w:color w:val="auto"/>
          <w:kern w:val="0"/>
          <w:sz w:val="24"/>
        </w:rPr>
      </w:pPr>
    </w:p>
    <w:p w14:paraId="7BE5AA05">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5B773C85">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pgNumType w:fmt="decimal"/>
          <w:cols w:space="720" w:num="1"/>
          <w:titlePg/>
          <w:docGrid w:linePitch="312" w:charSpace="0"/>
        </w:sectPr>
      </w:pPr>
    </w:p>
    <w:p w14:paraId="757EF875">
      <w:pPr>
        <w:pStyle w:val="692"/>
        <w:keepNext w:val="0"/>
        <w:pageBreakBefore w:val="0"/>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二、已标价工程量清单</w:t>
      </w:r>
    </w:p>
    <w:p w14:paraId="4CC46528">
      <w:pPr>
        <w:ind w:right="420"/>
        <w:rPr>
          <w:rFonts w:hint="eastAsia" w:ascii="宋体" w:hAnsi="宋体" w:eastAsia="宋体" w:cs="宋体"/>
          <w:color w:val="auto"/>
          <w:sz w:val="24"/>
          <w:lang w:eastAsia="zh-CN"/>
        </w:rPr>
      </w:pPr>
      <w:r>
        <w:rPr>
          <w:rFonts w:hint="eastAsia" w:ascii="宋体" w:hAnsi="宋体" w:cs="宋体"/>
          <w:color w:val="auto"/>
          <w:sz w:val="24"/>
        </w:rPr>
        <w:t xml:space="preserve">注：按采购文件工程量清单编制 </w:t>
      </w:r>
      <w:r>
        <w:rPr>
          <w:rFonts w:hint="eastAsia" w:ascii="宋体" w:hAnsi="宋体" w:cs="宋体"/>
          <w:color w:val="auto"/>
          <w:sz w:val="24"/>
          <w:lang w:eastAsia="zh-CN"/>
        </w:rPr>
        <w:t>（</w:t>
      </w:r>
      <w:r>
        <w:rPr>
          <w:rFonts w:hint="eastAsia" w:ascii="宋体" w:hAnsi="宋体" w:cs="宋体"/>
          <w:color w:val="auto"/>
          <w:sz w:val="24"/>
          <w:lang w:val="en-US" w:eastAsia="zh-CN"/>
        </w:rPr>
        <w:t>另附</w:t>
      </w:r>
      <w:r>
        <w:rPr>
          <w:rFonts w:hint="eastAsia" w:ascii="宋体" w:hAnsi="宋体" w:cs="宋体"/>
          <w:color w:val="auto"/>
          <w:sz w:val="24"/>
          <w:lang w:eastAsia="zh-CN"/>
        </w:rPr>
        <w:t>）</w:t>
      </w:r>
    </w:p>
    <w:p w14:paraId="275B6C06">
      <w:pPr>
        <w:pStyle w:val="61"/>
        <w:ind w:firstLine="480"/>
        <w:rPr>
          <w:rFonts w:cs="宋体"/>
          <w:color w:val="auto"/>
          <w:sz w:val="24"/>
        </w:rPr>
      </w:pPr>
    </w:p>
    <w:p w14:paraId="5E9FFB28">
      <w:pPr>
        <w:pStyle w:val="61"/>
        <w:ind w:firstLine="480"/>
        <w:rPr>
          <w:rFonts w:cs="宋体"/>
          <w:color w:val="auto"/>
          <w:sz w:val="24"/>
        </w:rPr>
        <w:sectPr>
          <w:footerReference r:id="rId18" w:type="first"/>
          <w:headerReference r:id="rId15" w:type="default"/>
          <w:footerReference r:id="rId16" w:type="default"/>
          <w:footerReference r:id="rId17" w:type="even"/>
          <w:pgSz w:w="11906" w:h="16838"/>
          <w:pgMar w:top="1440" w:right="1080" w:bottom="1440" w:left="1080" w:header="851" w:footer="992" w:gutter="0"/>
          <w:pgNumType w:fmt="decimal"/>
          <w:cols w:space="720" w:num="1"/>
          <w:titlePg/>
          <w:docGrid w:linePitch="312" w:charSpace="0"/>
        </w:sectPr>
      </w:pPr>
    </w:p>
    <w:p w14:paraId="21D7E760">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599" w:name="_Hlk101259491"/>
      <w:r>
        <w:rPr>
          <w:rFonts w:hint="eastAsia" w:ascii="宋体" w:hAnsi="宋体" w:eastAsia="宋体" w:cs="宋体"/>
          <w:color w:val="auto"/>
          <w:sz w:val="32"/>
          <w:szCs w:val="32"/>
        </w:rPr>
        <w:t>（如果有）</w:t>
      </w:r>
      <w:bookmarkEnd w:id="599"/>
    </w:p>
    <w:p w14:paraId="18DFCE76">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855EB8D">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600" w:name="_Toc465665161"/>
      <w:r>
        <w:rPr>
          <w:rFonts w:hint="eastAsia" w:ascii="宋体" w:hAnsi="宋体" w:cs="宋体"/>
          <w:color w:val="auto"/>
        </w:rPr>
        <w:t>附件</w:t>
      </w:r>
      <w:bookmarkEnd w:id="600"/>
    </w:p>
    <w:p w14:paraId="01E250F5">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350082EA">
      <w:pPr>
        <w:spacing w:line="360" w:lineRule="auto"/>
        <w:jc w:val="center"/>
        <w:rPr>
          <w:rFonts w:ascii="宋体" w:hAnsi="宋体" w:cs="宋体"/>
          <w:b/>
          <w:color w:val="auto"/>
          <w:spacing w:val="6"/>
          <w:sz w:val="32"/>
          <w:szCs w:val="32"/>
        </w:rPr>
      </w:pPr>
      <w:bookmarkStart w:id="601" w:name="OLE_LINK14"/>
      <w:bookmarkStart w:id="602" w:name="OLE_LINK13"/>
      <w:r>
        <w:rPr>
          <w:rFonts w:hint="eastAsia" w:ascii="宋体" w:hAnsi="宋体" w:cs="宋体"/>
          <w:b/>
          <w:color w:val="auto"/>
          <w:spacing w:val="6"/>
          <w:sz w:val="32"/>
          <w:szCs w:val="32"/>
        </w:rPr>
        <w:t>残疾人福利性单位声明函</w:t>
      </w:r>
    </w:p>
    <w:bookmarkEnd w:id="601"/>
    <w:bookmarkEnd w:id="602"/>
    <w:p w14:paraId="0475A7A9">
      <w:pPr>
        <w:spacing w:line="360" w:lineRule="auto"/>
        <w:rPr>
          <w:rFonts w:ascii="宋体" w:hAnsi="宋体" w:cs="宋体"/>
          <w:b/>
          <w:color w:val="auto"/>
          <w:spacing w:val="6"/>
          <w:sz w:val="30"/>
          <w:szCs w:val="30"/>
        </w:rPr>
      </w:pPr>
    </w:p>
    <w:p w14:paraId="00002F7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F8F9DD">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CA04B2E">
      <w:pPr>
        <w:spacing w:line="360" w:lineRule="auto"/>
        <w:ind w:firstLine="480" w:firstLineChars="200"/>
        <w:rPr>
          <w:rFonts w:ascii="宋体" w:hAnsi="宋体" w:cs="宋体"/>
          <w:color w:val="auto"/>
          <w:sz w:val="24"/>
        </w:rPr>
      </w:pPr>
    </w:p>
    <w:p w14:paraId="5977F969">
      <w:pPr>
        <w:spacing w:line="360" w:lineRule="auto"/>
        <w:ind w:firstLine="480" w:firstLineChars="200"/>
        <w:rPr>
          <w:rFonts w:ascii="宋体" w:hAnsi="宋体" w:cs="宋体"/>
          <w:color w:val="auto"/>
          <w:sz w:val="24"/>
        </w:rPr>
      </w:pPr>
    </w:p>
    <w:p w14:paraId="0D1987B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14:paraId="027556E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A7AB19E">
      <w:pPr>
        <w:spacing w:line="360" w:lineRule="auto"/>
        <w:ind w:firstLine="480" w:firstLineChars="200"/>
        <w:rPr>
          <w:rFonts w:ascii="宋体" w:hAnsi="宋体" w:cs="宋体"/>
          <w:color w:val="auto"/>
          <w:sz w:val="24"/>
        </w:rPr>
      </w:pPr>
    </w:p>
    <w:p w14:paraId="14430496">
      <w:pPr>
        <w:spacing w:line="360" w:lineRule="auto"/>
        <w:ind w:firstLine="420" w:firstLineChars="200"/>
        <w:rPr>
          <w:rFonts w:ascii="宋体" w:hAnsi="宋体" w:cs="宋体"/>
          <w:color w:val="auto"/>
        </w:rPr>
      </w:pPr>
    </w:p>
    <w:p w14:paraId="0CC8E1FA">
      <w:pPr>
        <w:spacing w:line="360" w:lineRule="auto"/>
        <w:ind w:firstLine="420" w:firstLineChars="200"/>
        <w:rPr>
          <w:rFonts w:ascii="宋体" w:hAnsi="宋体" w:cs="宋体"/>
          <w:color w:val="auto"/>
        </w:rPr>
      </w:pPr>
    </w:p>
    <w:p w14:paraId="13D02B7E">
      <w:pPr>
        <w:spacing w:line="360" w:lineRule="auto"/>
        <w:ind w:firstLine="420" w:firstLineChars="200"/>
        <w:rPr>
          <w:rFonts w:ascii="宋体" w:hAnsi="宋体" w:cs="宋体"/>
          <w:color w:val="auto"/>
        </w:rPr>
      </w:pPr>
    </w:p>
    <w:p w14:paraId="21A602F2">
      <w:pPr>
        <w:spacing w:line="360" w:lineRule="auto"/>
        <w:ind w:firstLine="420" w:firstLineChars="200"/>
        <w:rPr>
          <w:rFonts w:ascii="宋体" w:hAnsi="宋体" w:cs="宋体"/>
          <w:color w:val="auto"/>
        </w:rPr>
      </w:pPr>
    </w:p>
    <w:p w14:paraId="3123155C">
      <w:pPr>
        <w:spacing w:line="360" w:lineRule="auto"/>
        <w:rPr>
          <w:rFonts w:ascii="宋体" w:hAnsi="宋体" w:cs="宋体"/>
          <w:b/>
          <w:color w:val="auto"/>
          <w:sz w:val="24"/>
        </w:rPr>
      </w:pPr>
    </w:p>
    <w:p w14:paraId="2874A60C">
      <w:pPr>
        <w:spacing w:line="360" w:lineRule="auto"/>
        <w:rPr>
          <w:rFonts w:ascii="宋体" w:hAnsi="宋体" w:cs="宋体"/>
          <w:b/>
          <w:color w:val="auto"/>
          <w:sz w:val="24"/>
        </w:rPr>
      </w:pPr>
    </w:p>
    <w:p w14:paraId="6F0BB9D4">
      <w:pPr>
        <w:spacing w:line="360" w:lineRule="auto"/>
        <w:rPr>
          <w:rFonts w:ascii="宋体" w:hAnsi="宋体" w:cs="宋体"/>
          <w:b/>
          <w:color w:val="auto"/>
          <w:sz w:val="24"/>
        </w:rPr>
      </w:pPr>
    </w:p>
    <w:p w14:paraId="74862264">
      <w:pPr>
        <w:spacing w:line="360" w:lineRule="auto"/>
        <w:rPr>
          <w:rFonts w:ascii="宋体" w:hAnsi="宋体" w:cs="宋体"/>
          <w:b/>
          <w:color w:val="auto"/>
          <w:sz w:val="24"/>
        </w:rPr>
      </w:pPr>
    </w:p>
    <w:p w14:paraId="69AEEEA4">
      <w:pPr>
        <w:spacing w:line="360" w:lineRule="auto"/>
        <w:rPr>
          <w:rFonts w:ascii="宋体" w:hAnsi="宋体" w:cs="宋体"/>
          <w:b/>
          <w:color w:val="auto"/>
          <w:sz w:val="24"/>
        </w:rPr>
      </w:pPr>
    </w:p>
    <w:p w14:paraId="53F0ADF6">
      <w:pPr>
        <w:spacing w:line="360" w:lineRule="auto"/>
        <w:rPr>
          <w:rFonts w:ascii="宋体" w:hAnsi="宋体" w:cs="宋体"/>
          <w:b/>
          <w:color w:val="auto"/>
          <w:sz w:val="24"/>
        </w:rPr>
      </w:pPr>
    </w:p>
    <w:p w14:paraId="351696DC">
      <w:pPr>
        <w:spacing w:line="360" w:lineRule="auto"/>
        <w:rPr>
          <w:rFonts w:ascii="宋体" w:hAnsi="宋体" w:cs="宋体"/>
          <w:b/>
          <w:color w:val="auto"/>
          <w:sz w:val="24"/>
        </w:rPr>
      </w:pPr>
    </w:p>
    <w:p w14:paraId="123066CA">
      <w:pPr>
        <w:spacing w:line="360" w:lineRule="auto"/>
        <w:rPr>
          <w:rFonts w:ascii="宋体" w:hAnsi="宋体" w:cs="宋体"/>
          <w:b/>
          <w:color w:val="auto"/>
          <w:sz w:val="24"/>
        </w:rPr>
      </w:pPr>
    </w:p>
    <w:p w14:paraId="5571A4E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60CC14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8ED4FF8">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1CEED66">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0EEEDE2">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07161AC">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72256F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2A1076A0">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6F3832E">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9FC5575">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D10910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D9E037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615344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938CA11">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9F87A38">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D480AB">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C9A313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697A2B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B9C3E8A">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8F2564C">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5E40A0B">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26B0243">
      <w:pPr>
        <w:snapToGrid w:val="0"/>
        <w:spacing w:line="360" w:lineRule="auto"/>
        <w:rPr>
          <w:rFonts w:ascii="宋体" w:hAnsi="宋体" w:cs="宋体"/>
          <w:color w:val="auto"/>
          <w:sz w:val="24"/>
        </w:rPr>
      </w:pPr>
      <w:r>
        <w:rPr>
          <w:rFonts w:hint="eastAsia" w:ascii="宋体" w:hAnsi="宋体" w:cs="宋体"/>
          <w:color w:val="auto"/>
          <w:sz w:val="24"/>
        </w:rPr>
        <w:t>……</w:t>
      </w:r>
    </w:p>
    <w:p w14:paraId="1D6935B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1D7AE1B">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8EE903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5F5ED16">
      <w:pPr>
        <w:spacing w:line="360" w:lineRule="auto"/>
        <w:rPr>
          <w:rFonts w:ascii="宋体" w:hAnsi="宋体" w:cs="宋体"/>
          <w:color w:val="auto"/>
          <w:sz w:val="24"/>
        </w:rPr>
      </w:pPr>
      <w:r>
        <w:rPr>
          <w:rFonts w:hint="eastAsia" w:ascii="宋体" w:hAnsi="宋体" w:cs="宋体"/>
          <w:color w:val="auto"/>
          <w:sz w:val="24"/>
        </w:rPr>
        <w:t xml:space="preserve">日期：    </w:t>
      </w:r>
    </w:p>
    <w:p w14:paraId="00FA970D">
      <w:pPr>
        <w:spacing w:line="360" w:lineRule="auto"/>
        <w:jc w:val="center"/>
        <w:rPr>
          <w:rFonts w:ascii="宋体" w:hAnsi="宋体" w:cs="宋体"/>
          <w:b/>
          <w:bCs/>
          <w:color w:val="auto"/>
          <w:sz w:val="24"/>
        </w:rPr>
      </w:pPr>
    </w:p>
    <w:p w14:paraId="025B702E">
      <w:pPr>
        <w:spacing w:line="360" w:lineRule="auto"/>
        <w:rPr>
          <w:rFonts w:ascii="宋体" w:hAnsi="宋体" w:cs="宋体"/>
          <w:b/>
          <w:color w:val="auto"/>
          <w:sz w:val="24"/>
        </w:rPr>
      </w:pPr>
    </w:p>
    <w:p w14:paraId="65C7F1CB">
      <w:pPr>
        <w:spacing w:line="360" w:lineRule="auto"/>
        <w:rPr>
          <w:rFonts w:ascii="宋体" w:hAnsi="宋体" w:cs="宋体"/>
          <w:b/>
          <w:color w:val="auto"/>
          <w:sz w:val="24"/>
        </w:rPr>
      </w:pPr>
    </w:p>
    <w:p w14:paraId="0617C501">
      <w:pPr>
        <w:spacing w:line="360" w:lineRule="auto"/>
        <w:rPr>
          <w:rFonts w:ascii="宋体" w:hAnsi="宋体" w:cs="宋体"/>
          <w:b/>
          <w:color w:val="auto"/>
          <w:sz w:val="24"/>
        </w:rPr>
      </w:pPr>
      <w:r>
        <w:rPr>
          <w:rFonts w:hint="eastAsia" w:ascii="宋体" w:hAnsi="宋体" w:cs="宋体"/>
          <w:b/>
          <w:color w:val="auto"/>
          <w:sz w:val="24"/>
        </w:rPr>
        <w:t>质疑函制作说明：</w:t>
      </w:r>
    </w:p>
    <w:p w14:paraId="0FE40A7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9827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771F06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E22F6D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78B149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401E70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F05FDCC">
      <w:pPr>
        <w:widowControl/>
        <w:spacing w:line="360" w:lineRule="auto"/>
        <w:ind w:firstLine="600" w:firstLineChars="200"/>
        <w:jc w:val="left"/>
        <w:rPr>
          <w:rFonts w:ascii="宋体" w:hAnsi="宋体" w:cs="宋体"/>
          <w:color w:val="auto"/>
          <w:sz w:val="30"/>
          <w:szCs w:val="30"/>
        </w:rPr>
      </w:pPr>
    </w:p>
    <w:p w14:paraId="31B0F2E6">
      <w:pPr>
        <w:spacing w:line="360" w:lineRule="auto"/>
        <w:jc w:val="center"/>
        <w:rPr>
          <w:rFonts w:ascii="宋体" w:hAnsi="宋体" w:cs="宋体"/>
          <w:b/>
          <w:color w:val="auto"/>
          <w:spacing w:val="6"/>
          <w:sz w:val="32"/>
          <w:szCs w:val="32"/>
        </w:rPr>
      </w:pPr>
    </w:p>
    <w:p w14:paraId="0D60379F">
      <w:pPr>
        <w:spacing w:line="360" w:lineRule="auto"/>
        <w:jc w:val="center"/>
        <w:rPr>
          <w:rFonts w:ascii="宋体" w:hAnsi="宋体" w:cs="宋体"/>
          <w:b/>
          <w:color w:val="auto"/>
          <w:spacing w:val="6"/>
          <w:sz w:val="32"/>
          <w:szCs w:val="32"/>
        </w:rPr>
      </w:pPr>
    </w:p>
    <w:p w14:paraId="1F29C89A">
      <w:pPr>
        <w:spacing w:line="360" w:lineRule="auto"/>
        <w:jc w:val="center"/>
        <w:rPr>
          <w:rFonts w:ascii="宋体" w:hAnsi="宋体" w:cs="宋体"/>
          <w:b/>
          <w:color w:val="auto"/>
          <w:spacing w:val="6"/>
          <w:sz w:val="32"/>
          <w:szCs w:val="32"/>
        </w:rPr>
      </w:pPr>
    </w:p>
    <w:p w14:paraId="10ACC5E2">
      <w:pPr>
        <w:spacing w:line="360" w:lineRule="auto"/>
        <w:jc w:val="center"/>
        <w:rPr>
          <w:rFonts w:ascii="宋体" w:hAnsi="宋体" w:cs="宋体"/>
          <w:b/>
          <w:color w:val="auto"/>
          <w:spacing w:val="6"/>
          <w:sz w:val="32"/>
          <w:szCs w:val="32"/>
        </w:rPr>
      </w:pPr>
    </w:p>
    <w:p w14:paraId="4707BD22">
      <w:pPr>
        <w:spacing w:line="360" w:lineRule="auto"/>
        <w:jc w:val="center"/>
        <w:rPr>
          <w:rFonts w:ascii="宋体" w:hAnsi="宋体" w:cs="宋体"/>
          <w:b/>
          <w:color w:val="auto"/>
          <w:spacing w:val="6"/>
          <w:sz w:val="32"/>
          <w:szCs w:val="32"/>
        </w:rPr>
      </w:pPr>
    </w:p>
    <w:p w14:paraId="3E0374F8">
      <w:pPr>
        <w:spacing w:line="360" w:lineRule="auto"/>
        <w:jc w:val="center"/>
        <w:rPr>
          <w:rFonts w:ascii="宋体" w:hAnsi="宋体" w:cs="宋体"/>
          <w:b/>
          <w:color w:val="auto"/>
          <w:spacing w:val="6"/>
          <w:sz w:val="32"/>
          <w:szCs w:val="32"/>
        </w:rPr>
      </w:pPr>
    </w:p>
    <w:p w14:paraId="39EB9E31">
      <w:pPr>
        <w:spacing w:line="360" w:lineRule="auto"/>
        <w:jc w:val="center"/>
        <w:rPr>
          <w:rFonts w:ascii="宋体" w:hAnsi="宋体" w:cs="宋体"/>
          <w:b/>
          <w:color w:val="auto"/>
          <w:spacing w:val="6"/>
          <w:sz w:val="32"/>
          <w:szCs w:val="32"/>
        </w:rPr>
      </w:pPr>
    </w:p>
    <w:p w14:paraId="0CD1E63C">
      <w:pPr>
        <w:spacing w:line="360" w:lineRule="auto"/>
        <w:jc w:val="center"/>
        <w:rPr>
          <w:rFonts w:ascii="宋体" w:hAnsi="宋体" w:cs="宋体"/>
          <w:b/>
          <w:color w:val="auto"/>
          <w:spacing w:val="6"/>
          <w:sz w:val="32"/>
          <w:szCs w:val="32"/>
        </w:rPr>
      </w:pPr>
    </w:p>
    <w:p w14:paraId="78678411">
      <w:pPr>
        <w:spacing w:line="360" w:lineRule="auto"/>
        <w:jc w:val="center"/>
        <w:rPr>
          <w:rFonts w:ascii="宋体" w:hAnsi="宋体" w:cs="宋体"/>
          <w:b/>
          <w:color w:val="auto"/>
          <w:spacing w:val="6"/>
          <w:sz w:val="32"/>
          <w:szCs w:val="32"/>
        </w:rPr>
      </w:pPr>
    </w:p>
    <w:p w14:paraId="11BF4CB7">
      <w:pPr>
        <w:spacing w:line="360" w:lineRule="auto"/>
        <w:jc w:val="center"/>
        <w:rPr>
          <w:rFonts w:ascii="宋体" w:hAnsi="宋体" w:cs="宋体"/>
          <w:b/>
          <w:color w:val="auto"/>
          <w:spacing w:val="6"/>
          <w:sz w:val="32"/>
          <w:szCs w:val="32"/>
        </w:rPr>
      </w:pPr>
    </w:p>
    <w:p w14:paraId="5AEAD4C7">
      <w:pPr>
        <w:spacing w:line="360" w:lineRule="auto"/>
        <w:jc w:val="center"/>
        <w:rPr>
          <w:rFonts w:ascii="宋体" w:hAnsi="宋体" w:cs="宋体"/>
          <w:b/>
          <w:color w:val="auto"/>
          <w:spacing w:val="6"/>
          <w:sz w:val="32"/>
          <w:szCs w:val="32"/>
        </w:rPr>
      </w:pPr>
    </w:p>
    <w:p w14:paraId="20C93143">
      <w:pPr>
        <w:spacing w:line="360" w:lineRule="auto"/>
        <w:jc w:val="center"/>
        <w:rPr>
          <w:rFonts w:ascii="宋体" w:hAnsi="宋体" w:cs="宋体"/>
          <w:b/>
          <w:color w:val="auto"/>
          <w:spacing w:val="6"/>
          <w:sz w:val="32"/>
          <w:szCs w:val="32"/>
        </w:rPr>
      </w:pPr>
    </w:p>
    <w:p w14:paraId="4CAE2D7E">
      <w:pPr>
        <w:spacing w:line="360" w:lineRule="auto"/>
        <w:jc w:val="left"/>
        <w:rPr>
          <w:rFonts w:ascii="宋体" w:hAnsi="宋体" w:cs="宋体"/>
          <w:b/>
          <w:color w:val="auto"/>
          <w:spacing w:val="6"/>
          <w:sz w:val="32"/>
          <w:szCs w:val="32"/>
        </w:rPr>
      </w:pPr>
    </w:p>
    <w:p w14:paraId="07E6E7E2">
      <w:pPr>
        <w:spacing w:line="360" w:lineRule="auto"/>
        <w:jc w:val="left"/>
        <w:rPr>
          <w:rFonts w:ascii="宋体" w:hAnsi="宋体" w:cs="宋体"/>
          <w:b/>
          <w:color w:val="auto"/>
          <w:spacing w:val="6"/>
          <w:sz w:val="32"/>
          <w:szCs w:val="32"/>
        </w:rPr>
      </w:pPr>
    </w:p>
    <w:p w14:paraId="1F2F51E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D54B58E">
      <w:pPr>
        <w:spacing w:line="360" w:lineRule="auto"/>
        <w:jc w:val="center"/>
        <w:rPr>
          <w:rFonts w:ascii="宋体" w:hAnsi="宋体" w:cs="宋体"/>
          <w:b/>
          <w:color w:val="auto"/>
          <w:sz w:val="24"/>
        </w:rPr>
      </w:pPr>
    </w:p>
    <w:p w14:paraId="05F9781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F4F8F28">
      <w:pPr>
        <w:spacing w:line="360" w:lineRule="auto"/>
        <w:rPr>
          <w:rFonts w:ascii="宋体" w:hAnsi="宋体" w:cs="宋体"/>
          <w:color w:val="auto"/>
          <w:sz w:val="24"/>
        </w:rPr>
      </w:pPr>
      <w:r>
        <w:rPr>
          <w:rFonts w:hint="eastAsia" w:ascii="宋体" w:hAnsi="宋体" w:cs="宋体"/>
          <w:color w:val="auto"/>
          <w:sz w:val="24"/>
        </w:rPr>
        <w:t>一、投诉相关主体基本情况</w:t>
      </w:r>
    </w:p>
    <w:p w14:paraId="62E822F9">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2D8E28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7040782">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F9D51E3">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38DF16B">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FC1BDA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68D13E7">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588181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4A1024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7F7F8B6">
      <w:pPr>
        <w:spacing w:line="360" w:lineRule="auto"/>
        <w:rPr>
          <w:rFonts w:ascii="宋体" w:hAnsi="宋体" w:cs="宋体"/>
          <w:color w:val="auto"/>
          <w:sz w:val="24"/>
        </w:rPr>
      </w:pPr>
      <w:r>
        <w:rPr>
          <w:rFonts w:hint="eastAsia" w:ascii="宋体" w:hAnsi="宋体" w:cs="宋体"/>
          <w:color w:val="auto"/>
          <w:sz w:val="24"/>
        </w:rPr>
        <w:t>被投诉人2</w:t>
      </w:r>
    </w:p>
    <w:p w14:paraId="101DECF0">
      <w:pPr>
        <w:spacing w:line="360" w:lineRule="auto"/>
        <w:rPr>
          <w:rFonts w:ascii="宋体" w:hAnsi="宋体" w:cs="宋体"/>
          <w:color w:val="auto"/>
          <w:sz w:val="24"/>
          <w:u w:val="dotted"/>
        </w:rPr>
      </w:pPr>
      <w:r>
        <w:rPr>
          <w:rFonts w:hint="eastAsia" w:ascii="宋体" w:hAnsi="宋体" w:cs="宋体"/>
          <w:color w:val="auto"/>
          <w:sz w:val="24"/>
        </w:rPr>
        <w:t>……</w:t>
      </w:r>
    </w:p>
    <w:p w14:paraId="6931C0EC">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9B710B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3D5534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73F08B">
      <w:pPr>
        <w:spacing w:line="360" w:lineRule="auto"/>
        <w:rPr>
          <w:rFonts w:ascii="宋体" w:hAnsi="宋体" w:cs="宋体"/>
          <w:color w:val="auto"/>
          <w:sz w:val="24"/>
        </w:rPr>
      </w:pPr>
      <w:r>
        <w:rPr>
          <w:rFonts w:hint="eastAsia" w:ascii="宋体" w:hAnsi="宋体" w:cs="宋体"/>
          <w:color w:val="auto"/>
          <w:sz w:val="24"/>
        </w:rPr>
        <w:t>二、投诉项目基本情况</w:t>
      </w:r>
    </w:p>
    <w:p w14:paraId="4F63525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4847A4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CD4DDDF">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6AD820">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39799D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C0CC800">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9974197">
      <w:pPr>
        <w:spacing w:line="360" w:lineRule="auto"/>
        <w:rPr>
          <w:rFonts w:ascii="宋体" w:hAnsi="宋体" w:cs="宋体"/>
          <w:color w:val="auto"/>
          <w:sz w:val="24"/>
        </w:rPr>
      </w:pPr>
      <w:r>
        <w:rPr>
          <w:rFonts w:hint="eastAsia" w:ascii="宋体" w:hAnsi="宋体" w:cs="宋体"/>
          <w:color w:val="auto"/>
          <w:sz w:val="24"/>
        </w:rPr>
        <w:t>三、质疑基本情况</w:t>
      </w:r>
    </w:p>
    <w:p w14:paraId="4DB63AF4">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7AE8960">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5173DF7">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D3FE319">
      <w:pPr>
        <w:spacing w:line="360" w:lineRule="auto"/>
        <w:rPr>
          <w:rFonts w:ascii="宋体" w:hAnsi="宋体" w:cs="宋体"/>
          <w:color w:val="auto"/>
          <w:sz w:val="24"/>
        </w:rPr>
      </w:pPr>
      <w:r>
        <w:rPr>
          <w:rFonts w:hint="eastAsia" w:ascii="宋体" w:hAnsi="宋体" w:cs="宋体"/>
          <w:color w:val="auto"/>
          <w:sz w:val="24"/>
        </w:rPr>
        <w:t>四、投诉事项具体内容</w:t>
      </w:r>
    </w:p>
    <w:p w14:paraId="50E3C25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192AE64">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550D51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8AB547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39CAAC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95387B8">
      <w:pPr>
        <w:spacing w:line="360" w:lineRule="auto"/>
        <w:rPr>
          <w:rFonts w:ascii="宋体" w:hAnsi="宋体" w:cs="宋体"/>
          <w:color w:val="auto"/>
          <w:sz w:val="24"/>
        </w:rPr>
      </w:pPr>
      <w:r>
        <w:rPr>
          <w:rFonts w:hint="eastAsia" w:ascii="宋体" w:hAnsi="宋体" w:cs="宋体"/>
          <w:color w:val="auto"/>
          <w:sz w:val="24"/>
        </w:rPr>
        <w:t>投诉事项2</w:t>
      </w:r>
    </w:p>
    <w:p w14:paraId="1FD1AEC5">
      <w:pPr>
        <w:spacing w:line="360" w:lineRule="auto"/>
        <w:rPr>
          <w:rFonts w:ascii="宋体" w:hAnsi="宋体" w:cs="宋体"/>
          <w:color w:val="auto"/>
          <w:sz w:val="24"/>
          <w:u w:val="dotted"/>
        </w:rPr>
      </w:pPr>
      <w:r>
        <w:rPr>
          <w:rFonts w:hint="eastAsia" w:ascii="宋体" w:hAnsi="宋体" w:cs="宋体"/>
          <w:color w:val="auto"/>
          <w:sz w:val="24"/>
        </w:rPr>
        <w:t>……</w:t>
      </w:r>
    </w:p>
    <w:p w14:paraId="3FC842BA">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816E62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7EE9469">
      <w:pPr>
        <w:spacing w:line="360" w:lineRule="auto"/>
        <w:rPr>
          <w:rFonts w:ascii="宋体" w:hAnsi="宋体" w:cs="宋体"/>
          <w:color w:val="auto"/>
          <w:sz w:val="24"/>
          <w:u w:val="single"/>
        </w:rPr>
      </w:pPr>
      <w:r>
        <w:rPr>
          <w:rFonts w:hint="eastAsia" w:ascii="宋体" w:hAnsi="宋体" w:cs="宋体"/>
          <w:color w:val="auto"/>
          <w:sz w:val="24"/>
        </w:rPr>
        <w:t xml:space="preserve">                                                                                                    </w:t>
      </w:r>
    </w:p>
    <w:p w14:paraId="39693BB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F87CE14">
      <w:pPr>
        <w:spacing w:line="360" w:lineRule="auto"/>
        <w:rPr>
          <w:rFonts w:ascii="宋体" w:hAnsi="宋体" w:cs="宋体"/>
          <w:color w:val="auto"/>
          <w:sz w:val="24"/>
        </w:rPr>
      </w:pPr>
      <w:r>
        <w:rPr>
          <w:rFonts w:hint="eastAsia" w:ascii="宋体" w:hAnsi="宋体" w:cs="宋体"/>
          <w:color w:val="auto"/>
          <w:sz w:val="24"/>
        </w:rPr>
        <w:t xml:space="preserve">日期：    </w:t>
      </w:r>
    </w:p>
    <w:p w14:paraId="5D3B038B">
      <w:pPr>
        <w:spacing w:line="360" w:lineRule="auto"/>
        <w:rPr>
          <w:rFonts w:ascii="宋体" w:hAnsi="宋体" w:cs="宋体"/>
          <w:b/>
          <w:color w:val="auto"/>
          <w:sz w:val="24"/>
        </w:rPr>
      </w:pPr>
    </w:p>
    <w:p w14:paraId="4AE3983C">
      <w:pPr>
        <w:spacing w:line="360" w:lineRule="auto"/>
        <w:rPr>
          <w:rFonts w:ascii="宋体" w:hAnsi="宋体" w:cs="宋体"/>
          <w:b/>
          <w:color w:val="auto"/>
          <w:sz w:val="24"/>
        </w:rPr>
      </w:pPr>
    </w:p>
    <w:p w14:paraId="77124E36">
      <w:pPr>
        <w:spacing w:line="360" w:lineRule="auto"/>
        <w:rPr>
          <w:rFonts w:ascii="宋体" w:hAnsi="宋体" w:cs="宋体"/>
          <w:b/>
          <w:color w:val="auto"/>
          <w:sz w:val="24"/>
        </w:rPr>
      </w:pPr>
      <w:r>
        <w:rPr>
          <w:rFonts w:hint="eastAsia" w:ascii="宋体" w:hAnsi="宋体" w:cs="宋体"/>
          <w:b/>
          <w:color w:val="auto"/>
          <w:sz w:val="24"/>
        </w:rPr>
        <w:t>投诉书制作说明：</w:t>
      </w:r>
    </w:p>
    <w:p w14:paraId="32897BA9">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1710F3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A6A42E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12928B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2BB7E5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92E847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63AB4D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A705F74">
      <w:pPr>
        <w:spacing w:line="360" w:lineRule="auto"/>
        <w:rPr>
          <w:rFonts w:ascii="宋体" w:hAnsi="宋体" w:cs="宋体"/>
          <w:b/>
          <w:color w:val="auto"/>
          <w:sz w:val="24"/>
        </w:rPr>
      </w:pPr>
    </w:p>
    <w:p w14:paraId="5AE0A511">
      <w:pPr>
        <w:autoSpaceDE w:val="0"/>
        <w:autoSpaceDN w:val="0"/>
        <w:jc w:val="center"/>
        <w:rPr>
          <w:rFonts w:ascii="宋体" w:hAnsi="宋体" w:cs="宋体"/>
          <w:b/>
          <w:color w:val="auto"/>
          <w:spacing w:val="6"/>
          <w:sz w:val="32"/>
          <w:szCs w:val="32"/>
        </w:rPr>
      </w:pPr>
    </w:p>
    <w:p w14:paraId="2E2531F4">
      <w:pPr>
        <w:autoSpaceDE w:val="0"/>
        <w:autoSpaceDN w:val="0"/>
        <w:jc w:val="center"/>
        <w:rPr>
          <w:rFonts w:ascii="宋体" w:hAnsi="宋体" w:cs="宋体"/>
          <w:b/>
          <w:color w:val="auto"/>
          <w:spacing w:val="6"/>
          <w:sz w:val="32"/>
          <w:szCs w:val="32"/>
        </w:rPr>
      </w:pPr>
    </w:p>
    <w:p w14:paraId="1D2B9FF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4685C31">
      <w:pPr>
        <w:spacing w:line="360" w:lineRule="auto"/>
        <w:rPr>
          <w:rFonts w:ascii="宋体" w:hAnsi="宋体" w:cs="宋体"/>
          <w:color w:val="auto"/>
          <w:sz w:val="24"/>
          <w:u w:val="single"/>
        </w:rPr>
      </w:pPr>
    </w:p>
    <w:p w14:paraId="2937BA6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78A75A80">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宁海县胡陈乡2025年山塘整治工程（小垅、秤钩吊月、发洪）</w:t>
      </w:r>
      <w:r>
        <w:rPr>
          <w:rFonts w:hint="eastAsia" w:ascii="宋体" w:hAnsi="宋体" w:cs="宋体"/>
          <w:color w:val="auto"/>
          <w:sz w:val="24"/>
        </w:rPr>
        <w:t>项目【项目编号：</w:t>
      </w:r>
      <w:r>
        <w:rPr>
          <w:rFonts w:hint="eastAsia" w:ascii="宋体" w:hAnsi="宋体" w:cs="宋体"/>
          <w:color w:val="auto"/>
          <w:sz w:val="24"/>
          <w:lang w:eastAsia="zh-CN"/>
        </w:rPr>
        <w:t>温中代字(2025)宁016</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E5B02C8">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43E26EF">
      <w:pPr>
        <w:spacing w:line="360" w:lineRule="auto"/>
        <w:ind w:firstLine="494"/>
        <w:rPr>
          <w:rFonts w:ascii="宋体" w:hAnsi="宋体" w:cs="宋体"/>
          <w:color w:val="auto"/>
          <w:sz w:val="24"/>
        </w:rPr>
      </w:pPr>
    </w:p>
    <w:p w14:paraId="5A32BD1F">
      <w:pPr>
        <w:spacing w:line="360" w:lineRule="auto"/>
        <w:ind w:firstLine="494"/>
        <w:rPr>
          <w:rFonts w:ascii="宋体" w:hAnsi="宋体" w:cs="宋体"/>
          <w:color w:val="auto"/>
          <w:sz w:val="24"/>
        </w:rPr>
      </w:pPr>
    </w:p>
    <w:p w14:paraId="180764D1">
      <w:pPr>
        <w:spacing w:line="360" w:lineRule="auto"/>
        <w:ind w:firstLine="494"/>
        <w:rPr>
          <w:rFonts w:ascii="宋体" w:hAnsi="宋体" w:cs="宋体"/>
          <w:color w:val="auto"/>
          <w:sz w:val="24"/>
        </w:rPr>
      </w:pPr>
    </w:p>
    <w:p w14:paraId="3235DD1E">
      <w:pPr>
        <w:spacing w:line="360" w:lineRule="auto"/>
        <w:ind w:firstLine="494"/>
        <w:rPr>
          <w:rFonts w:ascii="宋体" w:hAnsi="宋体" w:cs="宋体"/>
          <w:color w:val="auto"/>
          <w:sz w:val="24"/>
        </w:rPr>
      </w:pPr>
    </w:p>
    <w:p w14:paraId="590F7605">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供应商（法定名称章）：</w:t>
      </w:r>
    </w:p>
    <w:p w14:paraId="74F3191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6D72D9F">
      <w:pPr>
        <w:rPr>
          <w:rFonts w:ascii="宋体" w:hAnsi="宋体" w:cs="宋体"/>
          <w:color w:val="auto"/>
          <w:sz w:val="24"/>
        </w:rPr>
      </w:pPr>
      <w:r>
        <w:rPr>
          <w:rFonts w:hint="eastAsia" w:ascii="宋体" w:hAnsi="宋体" w:cs="宋体"/>
          <w:b/>
          <w:bCs/>
          <w:color w:val="auto"/>
          <w:sz w:val="24"/>
        </w:rPr>
        <w:t>附：</w:t>
      </w:r>
    </w:p>
    <w:p w14:paraId="422E4F35">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w:t>供应商</w:t>
      </w:r>
      <w:r>
        <w:rPr>
          <w:rFonts w:hint="eastAsia" w:ascii="宋体" w:hAnsi="宋体" w:cs="宋体"/>
          <w:color w:val="auto"/>
          <w:sz w:val="24"/>
        </w:rPr>
        <w:t>法定名称章（印模）                供应商“XX专用章”（印模）</w:t>
      </w:r>
    </w:p>
    <w:p w14:paraId="0DE0EFF0">
      <w:pPr>
        <w:autoSpaceDE w:val="0"/>
        <w:autoSpaceDN w:val="0"/>
        <w:jc w:val="center"/>
        <w:rPr>
          <w:rFonts w:ascii="宋体" w:hAnsi="宋体" w:cs="宋体"/>
          <w:b/>
          <w:color w:val="auto"/>
          <w:spacing w:val="6"/>
          <w:sz w:val="32"/>
          <w:szCs w:val="32"/>
        </w:rPr>
      </w:pPr>
    </w:p>
    <w:p w14:paraId="7CECE575">
      <w:pPr>
        <w:autoSpaceDE w:val="0"/>
        <w:autoSpaceDN w:val="0"/>
        <w:jc w:val="center"/>
        <w:rPr>
          <w:rFonts w:ascii="宋体" w:hAnsi="宋体" w:cs="宋体"/>
          <w:b/>
          <w:color w:val="auto"/>
          <w:spacing w:val="6"/>
          <w:sz w:val="32"/>
          <w:szCs w:val="32"/>
        </w:rPr>
      </w:pPr>
    </w:p>
    <w:p w14:paraId="5462265B">
      <w:pPr>
        <w:autoSpaceDE w:val="0"/>
        <w:autoSpaceDN w:val="0"/>
        <w:jc w:val="center"/>
        <w:rPr>
          <w:rFonts w:ascii="宋体" w:hAnsi="宋体" w:cs="宋体"/>
          <w:b/>
          <w:color w:val="auto"/>
          <w:spacing w:val="6"/>
          <w:sz w:val="32"/>
          <w:szCs w:val="32"/>
        </w:rPr>
      </w:pPr>
    </w:p>
    <w:p w14:paraId="26D80D0B">
      <w:pPr>
        <w:autoSpaceDE w:val="0"/>
        <w:autoSpaceDN w:val="0"/>
        <w:jc w:val="center"/>
        <w:rPr>
          <w:rFonts w:ascii="宋体" w:hAnsi="宋体" w:cs="宋体"/>
          <w:b/>
          <w:color w:val="auto"/>
          <w:spacing w:val="6"/>
          <w:sz w:val="32"/>
          <w:szCs w:val="32"/>
        </w:rPr>
      </w:pPr>
    </w:p>
    <w:p w14:paraId="5D4F8D0A">
      <w:pPr>
        <w:autoSpaceDE w:val="0"/>
        <w:autoSpaceDN w:val="0"/>
        <w:jc w:val="center"/>
        <w:rPr>
          <w:rFonts w:ascii="宋体" w:hAnsi="宋体" w:cs="宋体"/>
          <w:b/>
          <w:color w:val="auto"/>
          <w:spacing w:val="6"/>
          <w:sz w:val="32"/>
          <w:szCs w:val="32"/>
        </w:rPr>
      </w:pPr>
    </w:p>
    <w:p w14:paraId="182AAD41">
      <w:pPr>
        <w:autoSpaceDE w:val="0"/>
        <w:autoSpaceDN w:val="0"/>
        <w:jc w:val="center"/>
        <w:rPr>
          <w:rFonts w:ascii="宋体" w:hAnsi="宋体" w:cs="宋体"/>
          <w:b/>
          <w:color w:val="auto"/>
          <w:spacing w:val="6"/>
          <w:sz w:val="32"/>
          <w:szCs w:val="32"/>
        </w:rPr>
      </w:pPr>
    </w:p>
    <w:p w14:paraId="735E7BB6">
      <w:pPr>
        <w:autoSpaceDE w:val="0"/>
        <w:autoSpaceDN w:val="0"/>
        <w:jc w:val="center"/>
        <w:rPr>
          <w:rFonts w:ascii="宋体" w:hAnsi="宋体" w:cs="宋体"/>
          <w:b/>
          <w:color w:val="auto"/>
          <w:spacing w:val="6"/>
          <w:sz w:val="32"/>
          <w:szCs w:val="32"/>
        </w:rPr>
      </w:pPr>
    </w:p>
    <w:p w14:paraId="356BE336">
      <w:pPr>
        <w:autoSpaceDE w:val="0"/>
        <w:autoSpaceDN w:val="0"/>
        <w:jc w:val="center"/>
        <w:rPr>
          <w:rFonts w:ascii="宋体" w:hAnsi="宋体" w:cs="宋体"/>
          <w:b/>
          <w:color w:val="auto"/>
          <w:spacing w:val="6"/>
          <w:sz w:val="32"/>
          <w:szCs w:val="32"/>
        </w:rPr>
      </w:pPr>
    </w:p>
    <w:p w14:paraId="7E9DBBF8">
      <w:pPr>
        <w:autoSpaceDE w:val="0"/>
        <w:autoSpaceDN w:val="0"/>
        <w:jc w:val="center"/>
        <w:rPr>
          <w:rFonts w:ascii="宋体" w:hAnsi="宋体" w:cs="宋体"/>
          <w:b/>
          <w:color w:val="auto"/>
          <w:spacing w:val="6"/>
          <w:sz w:val="32"/>
          <w:szCs w:val="32"/>
        </w:rPr>
      </w:pPr>
    </w:p>
    <w:p w14:paraId="4FC53ECC">
      <w:pPr>
        <w:autoSpaceDE w:val="0"/>
        <w:autoSpaceDN w:val="0"/>
        <w:jc w:val="center"/>
        <w:rPr>
          <w:rFonts w:ascii="宋体" w:hAnsi="宋体" w:cs="宋体"/>
          <w:b/>
          <w:color w:val="auto"/>
          <w:spacing w:val="6"/>
          <w:sz w:val="32"/>
          <w:szCs w:val="32"/>
        </w:rPr>
      </w:pPr>
    </w:p>
    <w:p w14:paraId="6FD30018">
      <w:pPr>
        <w:autoSpaceDE w:val="0"/>
        <w:autoSpaceDN w:val="0"/>
        <w:jc w:val="center"/>
        <w:rPr>
          <w:rFonts w:ascii="宋体" w:hAnsi="宋体" w:cs="宋体"/>
          <w:b/>
          <w:color w:val="auto"/>
          <w:spacing w:val="6"/>
          <w:sz w:val="32"/>
          <w:szCs w:val="32"/>
        </w:rPr>
      </w:pPr>
    </w:p>
    <w:p w14:paraId="7D970C3E">
      <w:pPr>
        <w:autoSpaceDE w:val="0"/>
        <w:autoSpaceDN w:val="0"/>
        <w:jc w:val="center"/>
        <w:rPr>
          <w:rFonts w:ascii="宋体" w:hAnsi="宋体" w:cs="宋体"/>
          <w:b/>
          <w:color w:val="auto"/>
          <w:spacing w:val="6"/>
          <w:sz w:val="32"/>
          <w:szCs w:val="32"/>
        </w:rPr>
      </w:pPr>
    </w:p>
    <w:p w14:paraId="3FDECC61">
      <w:pPr>
        <w:autoSpaceDE w:val="0"/>
        <w:autoSpaceDN w:val="0"/>
        <w:jc w:val="center"/>
        <w:rPr>
          <w:rFonts w:ascii="宋体" w:hAnsi="宋体" w:cs="宋体"/>
          <w:b/>
          <w:color w:val="auto"/>
          <w:spacing w:val="6"/>
          <w:sz w:val="32"/>
          <w:szCs w:val="32"/>
        </w:rPr>
      </w:pPr>
    </w:p>
    <w:p w14:paraId="468FA68B">
      <w:pPr>
        <w:autoSpaceDE w:val="0"/>
        <w:autoSpaceDN w:val="0"/>
        <w:jc w:val="center"/>
        <w:rPr>
          <w:rFonts w:ascii="宋体" w:hAnsi="宋体" w:cs="宋体"/>
          <w:b/>
          <w:color w:val="auto"/>
          <w:spacing w:val="6"/>
          <w:sz w:val="32"/>
          <w:szCs w:val="32"/>
        </w:rPr>
      </w:pPr>
    </w:p>
    <w:p w14:paraId="645D4BB5">
      <w:pPr>
        <w:autoSpaceDE w:val="0"/>
        <w:autoSpaceDN w:val="0"/>
        <w:jc w:val="center"/>
        <w:rPr>
          <w:rFonts w:ascii="宋体" w:hAnsi="宋体" w:cs="宋体"/>
          <w:b/>
          <w:color w:val="auto"/>
          <w:spacing w:val="6"/>
          <w:sz w:val="32"/>
          <w:szCs w:val="32"/>
        </w:rPr>
      </w:pPr>
    </w:p>
    <w:p w14:paraId="759A2B83">
      <w:pPr>
        <w:autoSpaceDE w:val="0"/>
        <w:autoSpaceDN w:val="0"/>
        <w:jc w:val="center"/>
        <w:rPr>
          <w:rFonts w:ascii="宋体" w:hAnsi="宋体" w:cs="宋体"/>
          <w:b/>
          <w:color w:val="auto"/>
          <w:spacing w:val="6"/>
          <w:sz w:val="32"/>
          <w:szCs w:val="32"/>
        </w:rPr>
      </w:pPr>
    </w:p>
    <w:p w14:paraId="124098A7">
      <w:pPr>
        <w:autoSpaceDE w:val="0"/>
        <w:autoSpaceDN w:val="0"/>
        <w:jc w:val="center"/>
        <w:rPr>
          <w:rFonts w:ascii="宋体" w:hAnsi="宋体" w:cs="宋体"/>
          <w:b/>
          <w:color w:val="auto"/>
          <w:spacing w:val="6"/>
          <w:sz w:val="32"/>
          <w:szCs w:val="32"/>
        </w:rPr>
      </w:pPr>
    </w:p>
    <w:p w14:paraId="2E65E905">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417F8FF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（以联合体形式参与的，提供联合协议；本项目不接受联合体或者供应商不以联合体形式参与的，则不需要提供）</w:t>
      </w:r>
    </w:p>
    <w:p w14:paraId="0E0B68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kern w:val="0"/>
          <w:sz w:val="24"/>
          <w:lang w:eastAsia="zh-CN"/>
        </w:rPr>
        <w:t>宁海县胡陈乡2025年山塘整治工程（小垅、秤钩吊月、发洪）</w:t>
      </w:r>
      <w:r>
        <w:rPr>
          <w:rFonts w:hint="eastAsia" w:ascii="宋体" w:hAnsi="宋体" w:cs="宋体"/>
          <w:color w:val="auto"/>
          <w:sz w:val="24"/>
        </w:rPr>
        <w:t>【项目编号：</w:t>
      </w:r>
      <w:r>
        <w:rPr>
          <w:rFonts w:hint="eastAsia" w:ascii="宋体" w:hAnsi="宋体" w:cs="宋体"/>
          <w:color w:val="auto"/>
          <w:sz w:val="24"/>
          <w:lang w:eastAsia="zh-CN"/>
        </w:rPr>
        <w:t>温中代字(2025)宁016</w:t>
      </w:r>
      <w:r>
        <w:rPr>
          <w:rFonts w:hint="eastAsia" w:ascii="宋体" w:hAnsi="宋体" w:cs="宋体"/>
          <w:color w:val="auto"/>
          <w:sz w:val="24"/>
        </w:rPr>
        <w:t>】</w:t>
      </w:r>
      <w:r>
        <w:rPr>
          <w:rFonts w:hint="eastAsia" w:ascii="宋体" w:hAnsi="宋体" w:cs="宋体"/>
          <w:color w:val="auto"/>
          <w:kern w:val="0"/>
          <w:sz w:val="24"/>
        </w:rPr>
        <w:t>响应</w:t>
      </w:r>
      <w:r>
        <w:rPr>
          <w:rFonts w:hint="eastAsia" w:ascii="宋体" w:hAnsi="宋体" w:cs="宋体"/>
          <w:color w:val="auto"/>
          <w:kern w:val="0"/>
          <w:sz w:val="24"/>
          <w:lang w:val="zh-CN"/>
        </w:rPr>
        <w:t xml:space="preserve">。 </w:t>
      </w:r>
    </w:p>
    <w:p w14:paraId="57309FC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0824FB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授权代表根据采购文件规定及</w:t>
      </w:r>
      <w:r>
        <w:rPr>
          <w:rFonts w:hint="eastAsia" w:ascii="宋体" w:hAnsi="宋体" w:cs="宋体"/>
          <w:color w:val="auto"/>
          <w:kern w:val="0"/>
          <w:sz w:val="24"/>
        </w:rPr>
        <w:t>响应内容</w:t>
      </w:r>
      <w:r>
        <w:rPr>
          <w:rFonts w:hint="eastAsia" w:ascii="宋体" w:hAnsi="宋体" w:cs="宋体"/>
          <w:color w:val="auto"/>
          <w:kern w:val="0"/>
          <w:sz w:val="24"/>
          <w:lang w:val="zh-CN"/>
        </w:rPr>
        <w:t>而对采购人、采购代理机构所作的任何合法承诺，包括书面澄清及相应等均对联合投标各方产生约束力。</w:t>
      </w:r>
    </w:p>
    <w:p w14:paraId="65721BD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w:t>
      </w:r>
      <w:r>
        <w:rPr>
          <w:rFonts w:hint="eastAsia" w:ascii="宋体" w:hAnsi="宋体" w:cs="宋体"/>
          <w:color w:val="auto"/>
          <w:kern w:val="0"/>
          <w:sz w:val="24"/>
        </w:rPr>
        <w:t>响应</w:t>
      </w:r>
      <w:r>
        <w:rPr>
          <w:rFonts w:hint="eastAsia" w:ascii="宋体" w:hAnsi="宋体" w:cs="宋体"/>
          <w:color w:val="auto"/>
          <w:kern w:val="0"/>
          <w:sz w:val="24"/>
          <w:lang w:val="zh-CN"/>
        </w:rPr>
        <w:t>中，分工如下：</w:t>
      </w:r>
    </w:p>
    <w:p w14:paraId="63F66B22">
      <w:pPr>
        <w:snapToGrid w:val="0"/>
        <w:spacing w:line="360" w:lineRule="auto"/>
        <w:ind w:firstLine="576"/>
        <w:rPr>
          <w:rFonts w:ascii="宋体" w:hAnsi="宋体" w:cs="宋体"/>
          <w:color w:val="auto"/>
          <w:kern w:val="0"/>
          <w:sz w:val="24"/>
          <w:lang w:val="zh-CN"/>
        </w:rPr>
      </w:pPr>
      <w:bookmarkStart w:id="60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7E2E59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65B737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603"/>
    <w:p w14:paraId="1408295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68941BA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提供的全部工程由小微企业承建，其合同份额占到合同总金额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w:t>
      </w:r>
      <w:r>
        <w:rPr>
          <w:rFonts w:hint="eastAsia" w:ascii="宋体" w:hAnsi="宋体" w:cs="宋体"/>
          <w:b/>
          <w:color w:val="auto"/>
          <w:kern w:val="0"/>
          <w:sz w:val="24"/>
        </w:rPr>
        <w:t>磋商</w:t>
      </w:r>
      <w:r>
        <w:rPr>
          <w:rFonts w:hint="eastAsia" w:ascii="宋体" w:hAnsi="宋体" w:cs="宋体"/>
          <w:b/>
          <w:color w:val="auto"/>
          <w:kern w:val="0"/>
          <w:sz w:val="24"/>
          <w:lang w:val="zh-CN"/>
        </w:rPr>
        <w:t>的，联合协议约定小微企业的合同份额占到合同总金额30%以上的，对联合体报价给予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907D5CA">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AF3015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五、如果成交，</w:t>
      </w:r>
      <w:r>
        <w:rPr>
          <w:rFonts w:hint="eastAsia" w:ascii="宋体" w:hAnsi="宋体" w:cs="宋体"/>
          <w:color w:val="auto"/>
          <w:sz w:val="24"/>
        </w:rPr>
        <w:t>联合体各成员方共同与采购人签订合同，并就采购合同约定的事项对采购人承担连带责任。</w:t>
      </w:r>
    </w:p>
    <w:p w14:paraId="6424244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w:t>
      </w:r>
      <w:r>
        <w:rPr>
          <w:rFonts w:hint="eastAsia" w:ascii="宋体" w:hAnsi="宋体" w:cs="宋体"/>
          <w:color w:val="auto"/>
          <w:kern w:val="0"/>
          <w:sz w:val="24"/>
        </w:rPr>
        <w:t>响应</w:t>
      </w:r>
      <w:r>
        <w:rPr>
          <w:rFonts w:hint="eastAsia" w:ascii="宋体" w:hAnsi="宋体" w:cs="宋体"/>
          <w:color w:val="auto"/>
          <w:kern w:val="0"/>
          <w:sz w:val="24"/>
          <w:lang w:val="zh-CN"/>
        </w:rPr>
        <w:t>的其他事宜：</w:t>
      </w:r>
    </w:p>
    <w:p w14:paraId="5FE8BA1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8158F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74EBEC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210F25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69EF06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13F51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B4D665D">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pgNumType w:fmt="decimal"/>
          <w:cols w:space="720" w:num="1"/>
          <w:titlePg/>
          <w:docGrid w:linePitch="312" w:charSpace="0"/>
        </w:sectPr>
      </w:pPr>
    </w:p>
    <w:p w14:paraId="4C49F502">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9E5A16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成交后以分包方式履行合同的，提供分包意向协议；采购人不同意分包或者供应商成交后不以分包方式履行合同的，则不需要提供。</w:t>
      </w:r>
      <w:r>
        <w:rPr>
          <w:rFonts w:hint="eastAsia" w:ascii="宋体" w:hAnsi="宋体" w:cs="宋体"/>
          <w:color w:val="auto"/>
          <w:sz w:val="24"/>
        </w:rPr>
        <w:t>）</w:t>
      </w:r>
    </w:p>
    <w:p w14:paraId="14A400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若成为宁海县胡陈乡2025年山塘整治工程（小垅、秤钩吊月、发洪）</w:t>
      </w:r>
      <w:r>
        <w:rPr>
          <w:rFonts w:hint="eastAsia" w:ascii="宋体" w:hAnsi="宋体" w:cs="宋体"/>
          <w:color w:val="auto"/>
          <w:sz w:val="24"/>
        </w:rPr>
        <w:t>【项目编号：</w:t>
      </w:r>
      <w:r>
        <w:rPr>
          <w:rFonts w:hint="eastAsia" w:ascii="宋体" w:hAnsi="宋体" w:cs="宋体"/>
          <w:color w:val="auto"/>
          <w:sz w:val="24"/>
          <w:lang w:eastAsia="zh-CN"/>
        </w:rPr>
        <w:t>温中代字(2025)宁016</w:t>
      </w:r>
      <w:r>
        <w:rPr>
          <w:rFonts w:hint="eastAsia" w:ascii="宋体" w:hAnsi="宋体" w:cs="宋体"/>
          <w:color w:val="auto"/>
          <w:sz w:val="24"/>
        </w:rPr>
        <w:t>】</w:t>
      </w:r>
      <w:r>
        <w:rPr>
          <w:rFonts w:hint="eastAsia" w:ascii="宋体" w:hAnsi="宋体" w:cs="宋体"/>
          <w:color w:val="auto"/>
          <w:kern w:val="0"/>
          <w:sz w:val="24"/>
          <w:lang w:val="zh-CN"/>
        </w:rPr>
        <w:t>的成交供应商，将依法采取分包方式履行合同。</w:t>
      </w:r>
      <w:r>
        <w:rPr>
          <w:rFonts w:hint="eastAsia" w:ascii="宋体" w:hAnsi="宋体" w:cs="宋体"/>
          <w:color w:val="auto"/>
          <w:kern w:val="0"/>
          <w:sz w:val="24"/>
          <w:u w:val="single"/>
        </w:rPr>
        <w:t>（供应商名称）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309AD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7598F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B66203C">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20112E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lang w:val="zh-CN"/>
        </w:rPr>
        <w:t>二、分包</w:t>
      </w:r>
      <w:r>
        <w:rPr>
          <w:rFonts w:hint="eastAsia" w:ascii="宋体" w:hAnsi="宋体" w:cs="宋体"/>
          <w:color w:val="auto"/>
          <w:kern w:val="0"/>
          <w:sz w:val="24"/>
          <w:highlight w:val="none"/>
          <w:lang w:val="zh-CN"/>
        </w:rPr>
        <w:t>供应商中小企业合同份额</w:t>
      </w:r>
    </w:p>
    <w:p w14:paraId="02DA1AC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w:t>
      </w:r>
      <w:r>
        <w:rPr>
          <w:rFonts w:hint="eastAsia" w:ascii="宋体" w:hAnsi="宋体" w:cs="宋体"/>
          <w:b/>
          <w:color w:val="auto"/>
          <w:kern w:val="0"/>
          <w:sz w:val="24"/>
          <w:lang w:val="zh-CN"/>
        </w:rPr>
        <w:t>定小微企业的合同份额占到合同总金额30%以上的，对大中型企业的报价给予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CADC3E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60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要求合同分包形式参加的项目或采购包，供应商按采购文件第一部分竞争性磋商公告申请人的资格要求中规定的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604"/>
    </w:p>
    <w:p w14:paraId="1202B4C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A4AEA3F">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348BC03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3A030E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F97187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B1A8AD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D8FE4F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60D7551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D6964F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9C574C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7A608A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p>
    <w:p w14:paraId="37F19269">
      <w:pPr>
        <w:snapToGrid w:val="0"/>
        <w:spacing w:line="360" w:lineRule="auto"/>
        <w:ind w:firstLine="5640" w:firstLineChars="2350"/>
        <w:rPr>
          <w:rFonts w:ascii="宋体" w:hAnsi="宋体" w:cs="宋体"/>
          <w:color w:val="auto"/>
          <w:kern w:val="0"/>
          <w:sz w:val="24"/>
          <w:lang w:val="zh-CN"/>
        </w:rPr>
      </w:pPr>
      <w:r>
        <w:rPr>
          <w:rFonts w:hint="eastAsia" w:ascii="宋体" w:hAnsi="宋体" w:cs="宋体"/>
          <w:color w:val="auto"/>
          <w:kern w:val="0"/>
          <w:sz w:val="24"/>
          <w:lang w:val="zh-CN"/>
        </w:rPr>
        <w:t>分包供应商名称：</w:t>
      </w:r>
    </w:p>
    <w:p w14:paraId="08A1F8A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F64D35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0EB3BAF">
      <w:pPr>
        <w:autoSpaceDE w:val="0"/>
        <w:autoSpaceDN w:val="0"/>
        <w:jc w:val="center"/>
        <w:rPr>
          <w:rFonts w:ascii="宋体" w:hAnsi="宋体" w:cs="宋体"/>
          <w:b/>
          <w:color w:val="auto"/>
          <w:spacing w:val="6"/>
          <w:sz w:val="32"/>
          <w:szCs w:val="32"/>
        </w:rPr>
      </w:pPr>
    </w:p>
    <w:p w14:paraId="4255FDAA">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pgNumType w:fmt="decimal"/>
          <w:cols w:space="720" w:num="1"/>
          <w:titlePg/>
          <w:docGrid w:linePitch="312" w:charSpace="0"/>
        </w:sectPr>
      </w:pPr>
    </w:p>
    <w:p w14:paraId="7C49D32F">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7</w:t>
      </w:r>
      <w:r>
        <w:rPr>
          <w:rFonts w:hint="eastAsia" w:ascii="宋体" w:hAnsi="宋体" w:cs="宋体"/>
          <w:b/>
          <w:color w:val="auto"/>
          <w:spacing w:val="6"/>
          <w:sz w:val="32"/>
          <w:szCs w:val="32"/>
        </w:rPr>
        <w:t>：</w:t>
      </w:r>
      <w:r>
        <w:rPr>
          <w:rFonts w:hint="eastAsia" w:ascii="宋体" w:hAnsi="宋体" w:cs="宋体"/>
          <w:b/>
          <w:color w:val="auto"/>
          <w:sz w:val="32"/>
          <w:szCs w:val="32"/>
        </w:rPr>
        <w:t>中小企业声明函</w:t>
      </w:r>
    </w:p>
    <w:p w14:paraId="0BE34983">
      <w:pPr>
        <w:spacing w:line="360" w:lineRule="auto"/>
        <w:jc w:val="center"/>
        <w:rPr>
          <w:rFonts w:ascii="宋体" w:hAnsi="宋体" w:cs="宋体"/>
          <w:color w:val="auto"/>
          <w:sz w:val="24"/>
          <w:u w:val="single"/>
        </w:rPr>
      </w:pPr>
    </w:p>
    <w:p w14:paraId="281517B5">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中小企业声明函（工程）</w:t>
      </w:r>
    </w:p>
    <w:p w14:paraId="01A1F8E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rPr>
        <w:t>本公司（联合体）郑重</w:t>
      </w:r>
      <w:r>
        <w:rPr>
          <w:rFonts w:hint="eastAsia" w:ascii="宋体" w:hAnsi="宋体" w:cs="宋体"/>
          <w:color w:val="auto"/>
          <w:sz w:val="24"/>
          <w:highlight w:val="none"/>
        </w:rPr>
        <w:t xml:space="preserve">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宁海县胡陈乡2025年山塘整治工程（小垅、秤钩吊月、发洪）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58F0C92">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A088128">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3D40ACB">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6C837E5">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3F69589">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AEA6E63">
      <w:pPr>
        <w:spacing w:line="360" w:lineRule="auto"/>
        <w:ind w:firstLine="480" w:firstLineChars="200"/>
        <w:rPr>
          <w:rFonts w:ascii="宋体" w:hAnsi="宋体" w:cs="宋体"/>
          <w:color w:val="auto"/>
          <w:sz w:val="24"/>
        </w:rPr>
      </w:pPr>
    </w:p>
    <w:p w14:paraId="47F89A6B">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供应商名称(电子签名)：</w:t>
      </w:r>
    </w:p>
    <w:p w14:paraId="5E192C9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93245CC">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34FA86A0">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6812DD0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60DA42E">
      <w:pPr>
        <w:spacing w:line="360" w:lineRule="auto"/>
        <w:ind w:right="420" w:firstLine="480" w:firstLineChars="200"/>
        <w:rPr>
          <w:rFonts w:ascii="宋体" w:hAnsi="宋体" w:cs="宋体"/>
          <w:color w:val="auto"/>
          <w:sz w:val="24"/>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w:t>
      </w:r>
      <w:r>
        <w:rPr>
          <w:rFonts w:hint="eastAsia" w:ascii="宋体" w:hAnsi="宋体" w:cs="宋体"/>
          <w:color w:val="auto"/>
          <w:sz w:val="24"/>
        </w:rPr>
        <w:t>微型企业。</w:t>
      </w:r>
    </w:p>
    <w:p w14:paraId="455459F0">
      <w:pPr>
        <w:spacing w:line="360" w:lineRule="auto"/>
        <w:jc w:val="center"/>
        <w:rPr>
          <w:rFonts w:ascii="宋体" w:hAnsi="宋体" w:cs="宋体"/>
          <w:b/>
          <w:color w:val="auto"/>
          <w:sz w:val="32"/>
          <w:szCs w:val="32"/>
        </w:rPr>
      </w:pPr>
    </w:p>
    <w:p w14:paraId="730A70F8">
      <w:pPr>
        <w:spacing w:line="360" w:lineRule="auto"/>
        <w:jc w:val="center"/>
        <w:rPr>
          <w:rFonts w:ascii="宋体" w:hAnsi="宋体" w:cs="宋体"/>
          <w:b/>
          <w:color w:val="auto"/>
          <w:sz w:val="32"/>
          <w:szCs w:val="32"/>
        </w:rPr>
      </w:pPr>
    </w:p>
    <w:p w14:paraId="115AD538">
      <w:pPr>
        <w:spacing w:line="360" w:lineRule="auto"/>
        <w:jc w:val="center"/>
        <w:rPr>
          <w:rFonts w:ascii="宋体" w:hAnsi="宋体" w:cs="宋体"/>
          <w:b/>
          <w:color w:val="auto"/>
          <w:sz w:val="32"/>
          <w:szCs w:val="32"/>
        </w:rPr>
      </w:pPr>
    </w:p>
    <w:p w14:paraId="62C81A50">
      <w:pPr>
        <w:spacing w:line="360" w:lineRule="auto"/>
        <w:jc w:val="center"/>
        <w:rPr>
          <w:rFonts w:ascii="宋体" w:hAnsi="宋体" w:cs="宋体"/>
          <w:b/>
          <w:color w:val="auto"/>
          <w:sz w:val="32"/>
          <w:szCs w:val="32"/>
        </w:rPr>
      </w:pPr>
    </w:p>
    <w:p w14:paraId="5DA293B8">
      <w:pPr>
        <w:spacing w:line="360" w:lineRule="auto"/>
        <w:jc w:val="center"/>
        <w:rPr>
          <w:rFonts w:ascii="宋体" w:hAnsi="宋体" w:cs="宋体"/>
          <w:b/>
          <w:color w:val="auto"/>
          <w:sz w:val="32"/>
          <w:szCs w:val="32"/>
        </w:rPr>
      </w:pPr>
    </w:p>
    <w:p w14:paraId="526D0A55">
      <w:pPr>
        <w:spacing w:line="360" w:lineRule="auto"/>
        <w:jc w:val="center"/>
        <w:rPr>
          <w:rFonts w:ascii="宋体" w:hAnsi="宋体" w:cs="宋体"/>
          <w:b/>
          <w:color w:val="auto"/>
          <w:sz w:val="32"/>
          <w:szCs w:val="32"/>
        </w:rPr>
      </w:pPr>
    </w:p>
    <w:p w14:paraId="12C444D8">
      <w:pPr>
        <w:spacing w:line="360" w:lineRule="auto"/>
        <w:jc w:val="center"/>
        <w:rPr>
          <w:rFonts w:ascii="宋体" w:hAnsi="宋体" w:cs="宋体"/>
          <w:b/>
          <w:color w:val="auto"/>
          <w:sz w:val="32"/>
          <w:szCs w:val="32"/>
        </w:rPr>
      </w:pPr>
    </w:p>
    <w:p w14:paraId="7CD86123">
      <w:pPr>
        <w:spacing w:line="360" w:lineRule="auto"/>
        <w:jc w:val="center"/>
        <w:rPr>
          <w:rFonts w:ascii="宋体" w:hAnsi="宋体" w:cs="宋体"/>
          <w:b/>
          <w:color w:val="auto"/>
          <w:sz w:val="32"/>
          <w:szCs w:val="32"/>
        </w:rPr>
      </w:pPr>
    </w:p>
    <w:p w14:paraId="0172E538">
      <w:pPr>
        <w:spacing w:line="360" w:lineRule="auto"/>
        <w:jc w:val="center"/>
        <w:rPr>
          <w:rFonts w:ascii="宋体" w:hAnsi="宋体" w:cs="宋体"/>
          <w:b/>
          <w:color w:val="auto"/>
          <w:sz w:val="32"/>
          <w:szCs w:val="32"/>
        </w:rPr>
      </w:pPr>
    </w:p>
    <w:p w14:paraId="2452E98E">
      <w:pPr>
        <w:spacing w:line="360" w:lineRule="auto"/>
        <w:jc w:val="center"/>
        <w:rPr>
          <w:rFonts w:ascii="宋体" w:hAnsi="宋体" w:cs="宋体"/>
          <w:b/>
          <w:color w:val="auto"/>
          <w:sz w:val="32"/>
          <w:szCs w:val="32"/>
        </w:rPr>
      </w:pPr>
    </w:p>
    <w:p w14:paraId="16830EA9">
      <w:pPr>
        <w:spacing w:line="360" w:lineRule="auto"/>
        <w:jc w:val="center"/>
        <w:rPr>
          <w:rFonts w:ascii="宋体" w:hAnsi="宋体" w:cs="宋体"/>
          <w:b/>
          <w:color w:val="auto"/>
          <w:sz w:val="32"/>
          <w:szCs w:val="32"/>
        </w:rPr>
      </w:pPr>
    </w:p>
    <w:p w14:paraId="73304347">
      <w:pPr>
        <w:spacing w:line="360" w:lineRule="auto"/>
        <w:jc w:val="center"/>
        <w:rPr>
          <w:rFonts w:ascii="宋体" w:hAnsi="宋体" w:cs="宋体"/>
          <w:b/>
          <w:color w:val="auto"/>
          <w:sz w:val="32"/>
          <w:szCs w:val="32"/>
        </w:rPr>
      </w:pPr>
    </w:p>
    <w:p w14:paraId="463DE7C0">
      <w:pPr>
        <w:spacing w:line="360" w:lineRule="auto"/>
        <w:jc w:val="center"/>
        <w:rPr>
          <w:rFonts w:ascii="宋体" w:hAnsi="宋体" w:cs="宋体"/>
          <w:b/>
          <w:color w:val="auto"/>
          <w:sz w:val="32"/>
          <w:szCs w:val="32"/>
        </w:rPr>
      </w:pPr>
    </w:p>
    <w:p w14:paraId="4CAEB5B1">
      <w:pPr>
        <w:spacing w:line="360" w:lineRule="auto"/>
        <w:jc w:val="center"/>
        <w:rPr>
          <w:rFonts w:ascii="宋体" w:hAnsi="宋体" w:cs="宋体"/>
          <w:b/>
          <w:color w:val="auto"/>
          <w:sz w:val="32"/>
          <w:szCs w:val="32"/>
        </w:rPr>
      </w:pPr>
    </w:p>
    <w:p w14:paraId="55E49F26">
      <w:pPr>
        <w:spacing w:line="360" w:lineRule="auto"/>
        <w:jc w:val="center"/>
        <w:rPr>
          <w:rFonts w:ascii="宋体" w:hAnsi="宋体" w:cs="宋体"/>
          <w:b/>
          <w:color w:val="auto"/>
          <w:sz w:val="32"/>
          <w:szCs w:val="32"/>
        </w:rPr>
      </w:pPr>
    </w:p>
    <w:p w14:paraId="3623C4B0">
      <w:pPr>
        <w:spacing w:line="360" w:lineRule="auto"/>
        <w:jc w:val="center"/>
        <w:rPr>
          <w:rFonts w:ascii="宋体" w:hAnsi="宋体" w:cs="宋体"/>
          <w:b/>
          <w:color w:val="auto"/>
          <w:sz w:val="32"/>
          <w:szCs w:val="32"/>
        </w:rPr>
      </w:pPr>
    </w:p>
    <w:p w14:paraId="7CDF53A3">
      <w:pPr>
        <w:spacing w:line="360" w:lineRule="auto"/>
        <w:jc w:val="center"/>
        <w:rPr>
          <w:rFonts w:ascii="宋体" w:hAnsi="宋体" w:cs="宋体"/>
          <w:b/>
          <w:color w:val="auto"/>
          <w:sz w:val="32"/>
          <w:szCs w:val="32"/>
        </w:rPr>
      </w:pPr>
    </w:p>
    <w:p w14:paraId="43FE9CC1">
      <w:pPr>
        <w:spacing w:line="360" w:lineRule="auto"/>
        <w:rPr>
          <w:rFonts w:ascii="宋体" w:hAnsi="宋体" w:cs="宋体"/>
          <w:bCs/>
          <w:color w:val="auto"/>
          <w:sz w:val="24"/>
        </w:rPr>
        <w:sectPr>
          <w:pgSz w:w="11906" w:h="16838"/>
          <w:pgMar w:top="1440" w:right="1080" w:bottom="1440" w:left="1080" w:header="851" w:footer="992" w:gutter="0"/>
          <w:pgNumType w:fmt="decimal"/>
          <w:cols w:space="720" w:num="1"/>
          <w:titlePg/>
          <w:docGrid w:linePitch="312" w:charSpace="0"/>
        </w:sectPr>
      </w:pPr>
    </w:p>
    <w:p w14:paraId="1245EA0A">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附件8：工程量清单（另附）</w:t>
      </w:r>
    </w:p>
    <w:p w14:paraId="36FD4718">
      <w:pPr>
        <w:spacing w:line="360" w:lineRule="auto"/>
        <w:rPr>
          <w:rFonts w:ascii="宋体" w:hAnsi="宋体" w:cs="宋体"/>
          <w:b/>
          <w:color w:val="auto"/>
          <w:spacing w:val="6"/>
          <w:sz w:val="32"/>
          <w:szCs w:val="32"/>
        </w:rPr>
      </w:pPr>
    </w:p>
    <w:p w14:paraId="6A2943B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附件9：图纸（另附）</w:t>
      </w:r>
    </w:p>
    <w:p w14:paraId="4628626B">
      <w:pPr>
        <w:pStyle w:val="24"/>
        <w:rPr>
          <w:color w:val="auto"/>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Arial Unicode MS"/>
    <w:panose1 w:val="0201050906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7FFAEFF" w:usb1="F9DFFFFF" w:usb2="0000007F" w:usb3="00000000" w:csb0="203F01FF" w:csb1="D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F5D8C">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CE0B0">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FCE0B0">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C33A">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AEE5E">
                          <w:pPr>
                            <w:pStyle w:val="4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76AEE5E">
                    <w:pPr>
                      <w:pStyle w:val="4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DF91C">
    <w:pPr>
      <w:pStyle w:val="40"/>
      <w:framePr w:wrap="around" w:vAnchor="text" w:hAnchor="margin" w:xAlign="right" w:y="1"/>
      <w:rPr>
        <w:rStyle w:val="72"/>
      </w:rPr>
    </w:pPr>
    <w:r>
      <w:fldChar w:fldCharType="begin"/>
    </w:r>
    <w:r>
      <w:rPr>
        <w:rStyle w:val="72"/>
      </w:rPr>
      <w:instrText xml:space="preserve">PAGE  </w:instrText>
    </w:r>
    <w:r>
      <w:fldChar w:fldCharType="end"/>
    </w:r>
  </w:p>
  <w:p w14:paraId="370A0332">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B3CB">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8E4C0">
                          <w:pPr>
                            <w:pStyle w:val="4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BD8E4C0">
                    <w:pPr>
                      <w:pStyle w:val="4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48A7">
    <w:pPr>
      <w:pStyle w:val="40"/>
      <w:framePr w:wrap="around" w:vAnchor="text" w:hAnchor="margin" w:xAlign="right" w:y="1"/>
      <w:rPr>
        <w:rStyle w:val="72"/>
      </w:rPr>
    </w:pPr>
    <w:r>
      <w:fldChar w:fldCharType="begin"/>
    </w:r>
    <w:r>
      <w:rPr>
        <w:rStyle w:val="72"/>
      </w:rPr>
      <w:instrText xml:space="preserve">PAGE  </w:instrText>
    </w:r>
    <w:r>
      <w:fldChar w:fldCharType="end"/>
    </w:r>
  </w:p>
  <w:p w14:paraId="1816685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67CA5">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8E89F">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98E89F">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0E8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7777C">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37777C">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1AB8C">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BF5F9">
                          <w:pPr>
                            <w:pStyle w:val="4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EBF5F9">
                    <w:pPr>
                      <w:pStyle w:val="4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478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716DB">
                          <w:pPr>
                            <w:pStyle w:val="4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F716DB">
                    <w:pPr>
                      <w:pStyle w:val="4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F345">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40049">
                          <w:pPr>
                            <w:pStyle w:val="4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640049">
                    <w:pPr>
                      <w:pStyle w:val="4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4E3E">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602C6">
                          <w:pPr>
                            <w:pStyle w:val="4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E602C6">
                    <w:pPr>
                      <w:pStyle w:val="4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1885">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3CD9E">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D13CD9E">
                    <w:pPr>
                      <w:pStyle w:val="4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B91C3">
    <w:pPr>
      <w:pStyle w:val="41"/>
      <w:pBdr>
        <w:bottom w:val="single" w:color="auto" w:sz="6" w:space="0"/>
      </w:pBdr>
      <w:tabs>
        <w:tab w:val="center" w:pos="4535"/>
        <w:tab w:val="right" w:pos="907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596BC">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03561">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F85A">
    <w:pPr>
      <w:pStyle w:val="41"/>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E028F"/>
    <w:multiLevelType w:val="singleLevel"/>
    <w:tmpl w:val="9E8E028F"/>
    <w:lvl w:ilvl="0" w:tentative="0">
      <w:start w:val="1"/>
      <w:numFmt w:val="chineseCounting"/>
      <w:suff w:val="nothing"/>
      <w:lvlText w:val="%1、"/>
      <w:lvlJc w:val="left"/>
      <w:rPr>
        <w:rFonts w:hint="eastAsia"/>
      </w:rPr>
    </w:lvl>
  </w:abstractNum>
  <w:abstractNum w:abstractNumId="1">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YzM5YWM4MWYyNzg1OWJlZDAwMGI0ZDAxOTg1M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BF4"/>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DD"/>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90B8D"/>
    <w:rsid w:val="011F6449"/>
    <w:rsid w:val="01220F42"/>
    <w:rsid w:val="01236AFB"/>
    <w:rsid w:val="01632467"/>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40A4"/>
    <w:rsid w:val="04011A12"/>
    <w:rsid w:val="04076900"/>
    <w:rsid w:val="041A5A3B"/>
    <w:rsid w:val="042311BA"/>
    <w:rsid w:val="04257D07"/>
    <w:rsid w:val="042B157A"/>
    <w:rsid w:val="0466617C"/>
    <w:rsid w:val="046834D4"/>
    <w:rsid w:val="048F763B"/>
    <w:rsid w:val="049F330E"/>
    <w:rsid w:val="04AA775C"/>
    <w:rsid w:val="04AF1889"/>
    <w:rsid w:val="04C64E6C"/>
    <w:rsid w:val="04F66F48"/>
    <w:rsid w:val="05130646"/>
    <w:rsid w:val="05133B34"/>
    <w:rsid w:val="051A0D14"/>
    <w:rsid w:val="05251E14"/>
    <w:rsid w:val="052B4829"/>
    <w:rsid w:val="059B00A7"/>
    <w:rsid w:val="05A16594"/>
    <w:rsid w:val="05A7762D"/>
    <w:rsid w:val="05EA4B8A"/>
    <w:rsid w:val="060E5941"/>
    <w:rsid w:val="06110FAF"/>
    <w:rsid w:val="061E21DC"/>
    <w:rsid w:val="064504DC"/>
    <w:rsid w:val="06493CA7"/>
    <w:rsid w:val="065A6178"/>
    <w:rsid w:val="066F1CF3"/>
    <w:rsid w:val="06930BB8"/>
    <w:rsid w:val="07245D42"/>
    <w:rsid w:val="07264C62"/>
    <w:rsid w:val="0779354C"/>
    <w:rsid w:val="07A46B95"/>
    <w:rsid w:val="08061376"/>
    <w:rsid w:val="08144BE9"/>
    <w:rsid w:val="081F4466"/>
    <w:rsid w:val="08452D77"/>
    <w:rsid w:val="084B4B1B"/>
    <w:rsid w:val="086401F8"/>
    <w:rsid w:val="08661343"/>
    <w:rsid w:val="08751CAA"/>
    <w:rsid w:val="087E4C40"/>
    <w:rsid w:val="0882554E"/>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C1573"/>
    <w:rsid w:val="0A1C0718"/>
    <w:rsid w:val="0A3E7710"/>
    <w:rsid w:val="0A5B7E63"/>
    <w:rsid w:val="0A703465"/>
    <w:rsid w:val="0AA374A5"/>
    <w:rsid w:val="0AAB7649"/>
    <w:rsid w:val="0ABC5606"/>
    <w:rsid w:val="0B30404E"/>
    <w:rsid w:val="0B49740F"/>
    <w:rsid w:val="0B4C6C14"/>
    <w:rsid w:val="0B547599"/>
    <w:rsid w:val="0B631A88"/>
    <w:rsid w:val="0B683D45"/>
    <w:rsid w:val="0B7F3F11"/>
    <w:rsid w:val="0B884417"/>
    <w:rsid w:val="0B9A4EF3"/>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022F"/>
    <w:rsid w:val="0D184CFB"/>
    <w:rsid w:val="0D3C216F"/>
    <w:rsid w:val="0D4A7419"/>
    <w:rsid w:val="0D827401"/>
    <w:rsid w:val="0D84094E"/>
    <w:rsid w:val="0D8A00E9"/>
    <w:rsid w:val="0D8D589E"/>
    <w:rsid w:val="0DA01C73"/>
    <w:rsid w:val="0DA6583B"/>
    <w:rsid w:val="0DD63300"/>
    <w:rsid w:val="0DF50604"/>
    <w:rsid w:val="0DF702FE"/>
    <w:rsid w:val="0E060E51"/>
    <w:rsid w:val="0E5604B2"/>
    <w:rsid w:val="0E6D5D79"/>
    <w:rsid w:val="0E9D0089"/>
    <w:rsid w:val="0EA63619"/>
    <w:rsid w:val="0EB803EE"/>
    <w:rsid w:val="0EC62A3A"/>
    <w:rsid w:val="0EEF6104"/>
    <w:rsid w:val="0EF94D4B"/>
    <w:rsid w:val="0F1B5E0A"/>
    <w:rsid w:val="0F4958DC"/>
    <w:rsid w:val="0F515DF7"/>
    <w:rsid w:val="0F596BA8"/>
    <w:rsid w:val="0F6248D2"/>
    <w:rsid w:val="0F693536"/>
    <w:rsid w:val="0F7B0511"/>
    <w:rsid w:val="0F7B76D9"/>
    <w:rsid w:val="0F816ACD"/>
    <w:rsid w:val="0F9832DB"/>
    <w:rsid w:val="0FBF3FD2"/>
    <w:rsid w:val="0FBF7FF3"/>
    <w:rsid w:val="100508A0"/>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E62B7"/>
    <w:rsid w:val="126E0B58"/>
    <w:rsid w:val="127723A9"/>
    <w:rsid w:val="12862074"/>
    <w:rsid w:val="12883966"/>
    <w:rsid w:val="129E45B4"/>
    <w:rsid w:val="12D81596"/>
    <w:rsid w:val="13072A44"/>
    <w:rsid w:val="131F19A6"/>
    <w:rsid w:val="132F62D2"/>
    <w:rsid w:val="134F26C3"/>
    <w:rsid w:val="135F4BE2"/>
    <w:rsid w:val="139B1A0A"/>
    <w:rsid w:val="139D25C7"/>
    <w:rsid w:val="13AB4FFC"/>
    <w:rsid w:val="13BF3CE4"/>
    <w:rsid w:val="13E722EB"/>
    <w:rsid w:val="141008D8"/>
    <w:rsid w:val="14125FE6"/>
    <w:rsid w:val="1466755C"/>
    <w:rsid w:val="146D271E"/>
    <w:rsid w:val="14982588"/>
    <w:rsid w:val="149A5AD9"/>
    <w:rsid w:val="14A7619D"/>
    <w:rsid w:val="150536C3"/>
    <w:rsid w:val="150C1963"/>
    <w:rsid w:val="151447A0"/>
    <w:rsid w:val="152B4878"/>
    <w:rsid w:val="152D26CA"/>
    <w:rsid w:val="152D350D"/>
    <w:rsid w:val="154A6454"/>
    <w:rsid w:val="15762120"/>
    <w:rsid w:val="16080789"/>
    <w:rsid w:val="160C793B"/>
    <w:rsid w:val="16A8729C"/>
    <w:rsid w:val="16B33777"/>
    <w:rsid w:val="16BC70A7"/>
    <w:rsid w:val="16C6339E"/>
    <w:rsid w:val="172F2D79"/>
    <w:rsid w:val="17557BEF"/>
    <w:rsid w:val="17BC52F6"/>
    <w:rsid w:val="17D349C1"/>
    <w:rsid w:val="1830729E"/>
    <w:rsid w:val="18477C1A"/>
    <w:rsid w:val="186D425C"/>
    <w:rsid w:val="1870062C"/>
    <w:rsid w:val="18817102"/>
    <w:rsid w:val="18830A15"/>
    <w:rsid w:val="18842C1C"/>
    <w:rsid w:val="18852B28"/>
    <w:rsid w:val="188B5321"/>
    <w:rsid w:val="19932372"/>
    <w:rsid w:val="19A20DD5"/>
    <w:rsid w:val="19AE03F1"/>
    <w:rsid w:val="19CF4CD9"/>
    <w:rsid w:val="19F32DFF"/>
    <w:rsid w:val="1A071A03"/>
    <w:rsid w:val="1A101D1C"/>
    <w:rsid w:val="1A1F16AE"/>
    <w:rsid w:val="1A3B5C77"/>
    <w:rsid w:val="1A984BAD"/>
    <w:rsid w:val="1AB8220E"/>
    <w:rsid w:val="1AE4166C"/>
    <w:rsid w:val="1AF06CFB"/>
    <w:rsid w:val="1AF11B8D"/>
    <w:rsid w:val="1B11359C"/>
    <w:rsid w:val="1B2A271F"/>
    <w:rsid w:val="1B437186"/>
    <w:rsid w:val="1B44195B"/>
    <w:rsid w:val="1B530544"/>
    <w:rsid w:val="1B604EF6"/>
    <w:rsid w:val="1B713184"/>
    <w:rsid w:val="1BA209CF"/>
    <w:rsid w:val="1BAA1E83"/>
    <w:rsid w:val="1BB22827"/>
    <w:rsid w:val="1BB4777D"/>
    <w:rsid w:val="1BD75AB8"/>
    <w:rsid w:val="1C0459C2"/>
    <w:rsid w:val="1C1B3B4A"/>
    <w:rsid w:val="1C5306B7"/>
    <w:rsid w:val="1C7725CD"/>
    <w:rsid w:val="1C8436FC"/>
    <w:rsid w:val="1C88086E"/>
    <w:rsid w:val="1CF52953"/>
    <w:rsid w:val="1D01483C"/>
    <w:rsid w:val="1D266CE1"/>
    <w:rsid w:val="1D3963AF"/>
    <w:rsid w:val="1D3D0FE5"/>
    <w:rsid w:val="1D6A673C"/>
    <w:rsid w:val="1D9247AE"/>
    <w:rsid w:val="1DB567EC"/>
    <w:rsid w:val="1DF51A98"/>
    <w:rsid w:val="1E3D060F"/>
    <w:rsid w:val="1E3F7D2E"/>
    <w:rsid w:val="1E4134E4"/>
    <w:rsid w:val="1E5062B3"/>
    <w:rsid w:val="1E523514"/>
    <w:rsid w:val="1E5310C7"/>
    <w:rsid w:val="1E714A66"/>
    <w:rsid w:val="1E802593"/>
    <w:rsid w:val="1E8B6156"/>
    <w:rsid w:val="1EA703CC"/>
    <w:rsid w:val="1EB7330C"/>
    <w:rsid w:val="1ED5641B"/>
    <w:rsid w:val="1F0A0FF3"/>
    <w:rsid w:val="1F5771FF"/>
    <w:rsid w:val="1F904124"/>
    <w:rsid w:val="1FE868A9"/>
    <w:rsid w:val="1FE91434"/>
    <w:rsid w:val="1FF372A9"/>
    <w:rsid w:val="20034907"/>
    <w:rsid w:val="20173E4B"/>
    <w:rsid w:val="204E48BC"/>
    <w:rsid w:val="20552307"/>
    <w:rsid w:val="208921B3"/>
    <w:rsid w:val="20973DEB"/>
    <w:rsid w:val="20A7394C"/>
    <w:rsid w:val="20B26522"/>
    <w:rsid w:val="20B44310"/>
    <w:rsid w:val="20D504B9"/>
    <w:rsid w:val="20E56222"/>
    <w:rsid w:val="211116EB"/>
    <w:rsid w:val="216133FC"/>
    <w:rsid w:val="219537A4"/>
    <w:rsid w:val="21D56769"/>
    <w:rsid w:val="21E52EF3"/>
    <w:rsid w:val="21FB5D7B"/>
    <w:rsid w:val="22015E94"/>
    <w:rsid w:val="220B1C3D"/>
    <w:rsid w:val="221D1D20"/>
    <w:rsid w:val="222E109B"/>
    <w:rsid w:val="22334A87"/>
    <w:rsid w:val="22BE6801"/>
    <w:rsid w:val="233500BF"/>
    <w:rsid w:val="23377FF7"/>
    <w:rsid w:val="236B425F"/>
    <w:rsid w:val="23735D67"/>
    <w:rsid w:val="23836192"/>
    <w:rsid w:val="23901F29"/>
    <w:rsid w:val="239C0061"/>
    <w:rsid w:val="23B908A4"/>
    <w:rsid w:val="23E95BEF"/>
    <w:rsid w:val="23FD0064"/>
    <w:rsid w:val="23FF3873"/>
    <w:rsid w:val="245375B0"/>
    <w:rsid w:val="24642C0A"/>
    <w:rsid w:val="248322AB"/>
    <w:rsid w:val="24B22173"/>
    <w:rsid w:val="24B95AD9"/>
    <w:rsid w:val="24BE24DA"/>
    <w:rsid w:val="24CF5825"/>
    <w:rsid w:val="24D663E6"/>
    <w:rsid w:val="24D77F2B"/>
    <w:rsid w:val="2549530C"/>
    <w:rsid w:val="25543821"/>
    <w:rsid w:val="258B00E2"/>
    <w:rsid w:val="25A917A6"/>
    <w:rsid w:val="25BE27CC"/>
    <w:rsid w:val="25F74A5C"/>
    <w:rsid w:val="2628662C"/>
    <w:rsid w:val="262D45DE"/>
    <w:rsid w:val="26871DC8"/>
    <w:rsid w:val="26A53EF9"/>
    <w:rsid w:val="26A94201"/>
    <w:rsid w:val="26AB75C6"/>
    <w:rsid w:val="26AC274F"/>
    <w:rsid w:val="27044A29"/>
    <w:rsid w:val="27066751"/>
    <w:rsid w:val="271D34C8"/>
    <w:rsid w:val="273121C1"/>
    <w:rsid w:val="27364F8D"/>
    <w:rsid w:val="276142BF"/>
    <w:rsid w:val="27783712"/>
    <w:rsid w:val="27907362"/>
    <w:rsid w:val="27F1053A"/>
    <w:rsid w:val="28333E1D"/>
    <w:rsid w:val="28454BD6"/>
    <w:rsid w:val="28455253"/>
    <w:rsid w:val="28551971"/>
    <w:rsid w:val="285B1C53"/>
    <w:rsid w:val="287B4FB8"/>
    <w:rsid w:val="289F7086"/>
    <w:rsid w:val="28C32028"/>
    <w:rsid w:val="28CC490F"/>
    <w:rsid w:val="28D823EF"/>
    <w:rsid w:val="28DE40AA"/>
    <w:rsid w:val="28EC101B"/>
    <w:rsid w:val="29345E77"/>
    <w:rsid w:val="293D1BAF"/>
    <w:rsid w:val="294C65AD"/>
    <w:rsid w:val="29622B06"/>
    <w:rsid w:val="29806583"/>
    <w:rsid w:val="298B3C4C"/>
    <w:rsid w:val="29F26D24"/>
    <w:rsid w:val="2A15033F"/>
    <w:rsid w:val="2A1662C1"/>
    <w:rsid w:val="2A1C7367"/>
    <w:rsid w:val="2A2815FA"/>
    <w:rsid w:val="2A6D6092"/>
    <w:rsid w:val="2A7D76B4"/>
    <w:rsid w:val="2AD252BB"/>
    <w:rsid w:val="2B2142FB"/>
    <w:rsid w:val="2B437463"/>
    <w:rsid w:val="2B7807EE"/>
    <w:rsid w:val="2BA50BF7"/>
    <w:rsid w:val="2BBF00EC"/>
    <w:rsid w:val="2BC37CFD"/>
    <w:rsid w:val="2BD5237F"/>
    <w:rsid w:val="2BE536CE"/>
    <w:rsid w:val="2BE758D9"/>
    <w:rsid w:val="2C09049E"/>
    <w:rsid w:val="2C0A653C"/>
    <w:rsid w:val="2C191F85"/>
    <w:rsid w:val="2C646B95"/>
    <w:rsid w:val="2CE82D6F"/>
    <w:rsid w:val="2D003DBD"/>
    <w:rsid w:val="2D1C4D7A"/>
    <w:rsid w:val="2D343236"/>
    <w:rsid w:val="2D652BC5"/>
    <w:rsid w:val="2D683D7E"/>
    <w:rsid w:val="2DD15014"/>
    <w:rsid w:val="2DF72DE4"/>
    <w:rsid w:val="2E0220AF"/>
    <w:rsid w:val="2E4B082A"/>
    <w:rsid w:val="2E5D4E86"/>
    <w:rsid w:val="2E5D790B"/>
    <w:rsid w:val="2E85064A"/>
    <w:rsid w:val="2E9A3C18"/>
    <w:rsid w:val="2EBB0FEE"/>
    <w:rsid w:val="2EC63002"/>
    <w:rsid w:val="2F0A6B38"/>
    <w:rsid w:val="2F3B1006"/>
    <w:rsid w:val="2F827A5E"/>
    <w:rsid w:val="2F946CCB"/>
    <w:rsid w:val="2FD25781"/>
    <w:rsid w:val="2FDC745C"/>
    <w:rsid w:val="2FE57FED"/>
    <w:rsid w:val="2FFD7934"/>
    <w:rsid w:val="30733ACD"/>
    <w:rsid w:val="308C3862"/>
    <w:rsid w:val="309379D8"/>
    <w:rsid w:val="30A270F7"/>
    <w:rsid w:val="30DF1478"/>
    <w:rsid w:val="30EC586F"/>
    <w:rsid w:val="30F229C1"/>
    <w:rsid w:val="31946079"/>
    <w:rsid w:val="319C6071"/>
    <w:rsid w:val="31A11ECE"/>
    <w:rsid w:val="31AC537E"/>
    <w:rsid w:val="31E3679B"/>
    <w:rsid w:val="31E732FD"/>
    <w:rsid w:val="31EF5153"/>
    <w:rsid w:val="32441BAB"/>
    <w:rsid w:val="32470AEB"/>
    <w:rsid w:val="32517576"/>
    <w:rsid w:val="32A4367F"/>
    <w:rsid w:val="32A72AB9"/>
    <w:rsid w:val="32BE5C2C"/>
    <w:rsid w:val="32D63C1D"/>
    <w:rsid w:val="32E267BA"/>
    <w:rsid w:val="32FB6478"/>
    <w:rsid w:val="332410BB"/>
    <w:rsid w:val="33263B3F"/>
    <w:rsid w:val="336963EB"/>
    <w:rsid w:val="33816EEB"/>
    <w:rsid w:val="33EB55CD"/>
    <w:rsid w:val="33EC4C02"/>
    <w:rsid w:val="340D2360"/>
    <w:rsid w:val="3410665D"/>
    <w:rsid w:val="34211214"/>
    <w:rsid w:val="342E63AB"/>
    <w:rsid w:val="348953EB"/>
    <w:rsid w:val="34950E68"/>
    <w:rsid w:val="34986E94"/>
    <w:rsid w:val="34AF62C9"/>
    <w:rsid w:val="34BF2BBB"/>
    <w:rsid w:val="34CB4388"/>
    <w:rsid w:val="34F528D3"/>
    <w:rsid w:val="34FA6E12"/>
    <w:rsid w:val="353F3CFB"/>
    <w:rsid w:val="354D7158"/>
    <w:rsid w:val="358D5588"/>
    <w:rsid w:val="363A3B40"/>
    <w:rsid w:val="365302AE"/>
    <w:rsid w:val="36607A0A"/>
    <w:rsid w:val="366E227C"/>
    <w:rsid w:val="366F2E0D"/>
    <w:rsid w:val="367B6A5C"/>
    <w:rsid w:val="36A74ADA"/>
    <w:rsid w:val="36A93251"/>
    <w:rsid w:val="36AD60D5"/>
    <w:rsid w:val="36B224F9"/>
    <w:rsid w:val="36EC0CC9"/>
    <w:rsid w:val="373F410B"/>
    <w:rsid w:val="37CB7AC8"/>
    <w:rsid w:val="37EE7094"/>
    <w:rsid w:val="38296C89"/>
    <w:rsid w:val="383002EB"/>
    <w:rsid w:val="38586797"/>
    <w:rsid w:val="38BC0149"/>
    <w:rsid w:val="38D87D1C"/>
    <w:rsid w:val="39636459"/>
    <w:rsid w:val="396B7F6C"/>
    <w:rsid w:val="39B417A9"/>
    <w:rsid w:val="39C1487F"/>
    <w:rsid w:val="39F46D6D"/>
    <w:rsid w:val="39FC5695"/>
    <w:rsid w:val="3A006D8E"/>
    <w:rsid w:val="3A1D5461"/>
    <w:rsid w:val="3A204F94"/>
    <w:rsid w:val="3A287155"/>
    <w:rsid w:val="3A3651E5"/>
    <w:rsid w:val="3A744481"/>
    <w:rsid w:val="3A8C7BEF"/>
    <w:rsid w:val="3A906246"/>
    <w:rsid w:val="3B0651CC"/>
    <w:rsid w:val="3B2349B7"/>
    <w:rsid w:val="3B616CFF"/>
    <w:rsid w:val="3B6259F6"/>
    <w:rsid w:val="3B8C62D6"/>
    <w:rsid w:val="3B976654"/>
    <w:rsid w:val="3BC01EFC"/>
    <w:rsid w:val="3BCA786A"/>
    <w:rsid w:val="3BD31E2F"/>
    <w:rsid w:val="3BF15831"/>
    <w:rsid w:val="3C033CD5"/>
    <w:rsid w:val="3C105946"/>
    <w:rsid w:val="3C471448"/>
    <w:rsid w:val="3C5F759A"/>
    <w:rsid w:val="3C6C525A"/>
    <w:rsid w:val="3C9506A5"/>
    <w:rsid w:val="3CB7686D"/>
    <w:rsid w:val="3CCE23CB"/>
    <w:rsid w:val="3CD17D17"/>
    <w:rsid w:val="3CDD05E4"/>
    <w:rsid w:val="3CFC316F"/>
    <w:rsid w:val="3D180278"/>
    <w:rsid w:val="3D3C7F39"/>
    <w:rsid w:val="3D440F09"/>
    <w:rsid w:val="3D4504A0"/>
    <w:rsid w:val="3D8734BB"/>
    <w:rsid w:val="3D9A11D4"/>
    <w:rsid w:val="3DA16D89"/>
    <w:rsid w:val="3DA364BE"/>
    <w:rsid w:val="3DA908AC"/>
    <w:rsid w:val="3DAE5CD1"/>
    <w:rsid w:val="3DBA4867"/>
    <w:rsid w:val="3DE041CB"/>
    <w:rsid w:val="3E0D48F6"/>
    <w:rsid w:val="3E1868B4"/>
    <w:rsid w:val="3E377251"/>
    <w:rsid w:val="3E42664B"/>
    <w:rsid w:val="3E52252B"/>
    <w:rsid w:val="3E5A7334"/>
    <w:rsid w:val="3E7B5D6B"/>
    <w:rsid w:val="3E843E66"/>
    <w:rsid w:val="3E8F51FE"/>
    <w:rsid w:val="3E926F87"/>
    <w:rsid w:val="3E9A59DE"/>
    <w:rsid w:val="3EAF4836"/>
    <w:rsid w:val="3EC33DFA"/>
    <w:rsid w:val="3EDD48AC"/>
    <w:rsid w:val="3EDE5B67"/>
    <w:rsid w:val="3EEB27FE"/>
    <w:rsid w:val="3EED47C8"/>
    <w:rsid w:val="3F060E16"/>
    <w:rsid w:val="3F0E6DD8"/>
    <w:rsid w:val="3F1D1096"/>
    <w:rsid w:val="3F2F0234"/>
    <w:rsid w:val="3F6363FE"/>
    <w:rsid w:val="3F756B8F"/>
    <w:rsid w:val="3F95482B"/>
    <w:rsid w:val="4019356B"/>
    <w:rsid w:val="4026310C"/>
    <w:rsid w:val="40592157"/>
    <w:rsid w:val="406E1CAE"/>
    <w:rsid w:val="40A0133A"/>
    <w:rsid w:val="40C31A53"/>
    <w:rsid w:val="40FF545D"/>
    <w:rsid w:val="410067C8"/>
    <w:rsid w:val="41087948"/>
    <w:rsid w:val="416176D3"/>
    <w:rsid w:val="418F0D2A"/>
    <w:rsid w:val="41C02778"/>
    <w:rsid w:val="41D01505"/>
    <w:rsid w:val="41D0669D"/>
    <w:rsid w:val="42417CBC"/>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92C3A"/>
    <w:rsid w:val="44002FAD"/>
    <w:rsid w:val="441C37AA"/>
    <w:rsid w:val="449101DD"/>
    <w:rsid w:val="44AE027F"/>
    <w:rsid w:val="44DE1391"/>
    <w:rsid w:val="44ED1D47"/>
    <w:rsid w:val="451B225C"/>
    <w:rsid w:val="452410C9"/>
    <w:rsid w:val="45317DFB"/>
    <w:rsid w:val="456852FA"/>
    <w:rsid w:val="456D3CE4"/>
    <w:rsid w:val="4579042C"/>
    <w:rsid w:val="457F0571"/>
    <w:rsid w:val="45837C34"/>
    <w:rsid w:val="45851176"/>
    <w:rsid w:val="459D6614"/>
    <w:rsid w:val="45C55BC2"/>
    <w:rsid w:val="45C63B94"/>
    <w:rsid w:val="460E7DA5"/>
    <w:rsid w:val="463617E0"/>
    <w:rsid w:val="46422483"/>
    <w:rsid w:val="4659254A"/>
    <w:rsid w:val="465B0637"/>
    <w:rsid w:val="465E3F0D"/>
    <w:rsid w:val="466A16E6"/>
    <w:rsid w:val="46893F2B"/>
    <w:rsid w:val="46C444E6"/>
    <w:rsid w:val="46C4686E"/>
    <w:rsid w:val="47413903"/>
    <w:rsid w:val="477B778F"/>
    <w:rsid w:val="478203EC"/>
    <w:rsid w:val="47B025FA"/>
    <w:rsid w:val="47D26740"/>
    <w:rsid w:val="47E714A4"/>
    <w:rsid w:val="4809698F"/>
    <w:rsid w:val="4811697D"/>
    <w:rsid w:val="481D44F1"/>
    <w:rsid w:val="487A3E25"/>
    <w:rsid w:val="488B5503"/>
    <w:rsid w:val="48937E21"/>
    <w:rsid w:val="489A0361"/>
    <w:rsid w:val="48A8102D"/>
    <w:rsid w:val="48B94FF3"/>
    <w:rsid w:val="48E37AAB"/>
    <w:rsid w:val="48FD4B4C"/>
    <w:rsid w:val="490A68E0"/>
    <w:rsid w:val="491055FE"/>
    <w:rsid w:val="495F5B3E"/>
    <w:rsid w:val="496F77D7"/>
    <w:rsid w:val="497654FD"/>
    <w:rsid w:val="49B20AE8"/>
    <w:rsid w:val="49B64211"/>
    <w:rsid w:val="49CF224E"/>
    <w:rsid w:val="49D41AAC"/>
    <w:rsid w:val="49F6167F"/>
    <w:rsid w:val="4A064FA0"/>
    <w:rsid w:val="4A16615C"/>
    <w:rsid w:val="4A1B668D"/>
    <w:rsid w:val="4A331881"/>
    <w:rsid w:val="4A4424D7"/>
    <w:rsid w:val="4A5571EC"/>
    <w:rsid w:val="4A653DAC"/>
    <w:rsid w:val="4AB82D0F"/>
    <w:rsid w:val="4AEB7664"/>
    <w:rsid w:val="4AFD7C19"/>
    <w:rsid w:val="4B0567D1"/>
    <w:rsid w:val="4B236AAE"/>
    <w:rsid w:val="4B2F799D"/>
    <w:rsid w:val="4B707271"/>
    <w:rsid w:val="4B9739F7"/>
    <w:rsid w:val="4BD016F9"/>
    <w:rsid w:val="4BEE2503"/>
    <w:rsid w:val="4BF727EA"/>
    <w:rsid w:val="4C245A30"/>
    <w:rsid w:val="4C705E74"/>
    <w:rsid w:val="4CB6685F"/>
    <w:rsid w:val="4CC367FE"/>
    <w:rsid w:val="4CC64BB3"/>
    <w:rsid w:val="4CCE7075"/>
    <w:rsid w:val="4D077F3C"/>
    <w:rsid w:val="4D123355"/>
    <w:rsid w:val="4D1A70D0"/>
    <w:rsid w:val="4D1E15C2"/>
    <w:rsid w:val="4D2A3B31"/>
    <w:rsid w:val="4D312C52"/>
    <w:rsid w:val="4D324C46"/>
    <w:rsid w:val="4D905305"/>
    <w:rsid w:val="4D964A72"/>
    <w:rsid w:val="4D9C1254"/>
    <w:rsid w:val="4D9E5B15"/>
    <w:rsid w:val="4DD23424"/>
    <w:rsid w:val="4E280B25"/>
    <w:rsid w:val="4E3C3076"/>
    <w:rsid w:val="4E695ABF"/>
    <w:rsid w:val="4E793892"/>
    <w:rsid w:val="4E800872"/>
    <w:rsid w:val="4EC569ED"/>
    <w:rsid w:val="4ED50EA1"/>
    <w:rsid w:val="4EEC050C"/>
    <w:rsid w:val="4F104EC3"/>
    <w:rsid w:val="4F47354A"/>
    <w:rsid w:val="4F4E4E0F"/>
    <w:rsid w:val="4F911C54"/>
    <w:rsid w:val="4FE625E0"/>
    <w:rsid w:val="5021480F"/>
    <w:rsid w:val="505C301C"/>
    <w:rsid w:val="50962ECB"/>
    <w:rsid w:val="50A42E38"/>
    <w:rsid w:val="50A4577F"/>
    <w:rsid w:val="50B73D1F"/>
    <w:rsid w:val="50BD5BC9"/>
    <w:rsid w:val="50C11EEE"/>
    <w:rsid w:val="50E14E6A"/>
    <w:rsid w:val="50E97CFC"/>
    <w:rsid w:val="50FA4028"/>
    <w:rsid w:val="510D65B7"/>
    <w:rsid w:val="511157AB"/>
    <w:rsid w:val="5142540C"/>
    <w:rsid w:val="518832C8"/>
    <w:rsid w:val="519D3C50"/>
    <w:rsid w:val="51A0432A"/>
    <w:rsid w:val="51A86090"/>
    <w:rsid w:val="51B7396D"/>
    <w:rsid w:val="52097713"/>
    <w:rsid w:val="522E4CC3"/>
    <w:rsid w:val="5244713B"/>
    <w:rsid w:val="52615633"/>
    <w:rsid w:val="526861E8"/>
    <w:rsid w:val="526F4DE4"/>
    <w:rsid w:val="528F5696"/>
    <w:rsid w:val="52977FD4"/>
    <w:rsid w:val="52A25790"/>
    <w:rsid w:val="52A96B6F"/>
    <w:rsid w:val="52B45975"/>
    <w:rsid w:val="52D94AA4"/>
    <w:rsid w:val="52E31D12"/>
    <w:rsid w:val="52EA3A62"/>
    <w:rsid w:val="52F50BB8"/>
    <w:rsid w:val="53097272"/>
    <w:rsid w:val="53147604"/>
    <w:rsid w:val="534C1537"/>
    <w:rsid w:val="53544462"/>
    <w:rsid w:val="5397158E"/>
    <w:rsid w:val="53E325D5"/>
    <w:rsid w:val="54013861"/>
    <w:rsid w:val="54487265"/>
    <w:rsid w:val="544D6070"/>
    <w:rsid w:val="54605E1E"/>
    <w:rsid w:val="54820229"/>
    <w:rsid w:val="54A86D6F"/>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33E57"/>
    <w:rsid w:val="55A8376B"/>
    <w:rsid w:val="55DC29B6"/>
    <w:rsid w:val="55DD4241"/>
    <w:rsid w:val="565C2507"/>
    <w:rsid w:val="566B6D1E"/>
    <w:rsid w:val="57032A2C"/>
    <w:rsid w:val="57081D47"/>
    <w:rsid w:val="570F5219"/>
    <w:rsid w:val="571C16A5"/>
    <w:rsid w:val="572E78E5"/>
    <w:rsid w:val="575D12B5"/>
    <w:rsid w:val="57610A87"/>
    <w:rsid w:val="576D2B95"/>
    <w:rsid w:val="577B1140"/>
    <w:rsid w:val="577B7F21"/>
    <w:rsid w:val="577F181B"/>
    <w:rsid w:val="57921984"/>
    <w:rsid w:val="579737F0"/>
    <w:rsid w:val="57AB7B30"/>
    <w:rsid w:val="57AF5251"/>
    <w:rsid w:val="57B26373"/>
    <w:rsid w:val="57B63F04"/>
    <w:rsid w:val="57CD20C2"/>
    <w:rsid w:val="57D675AB"/>
    <w:rsid w:val="57D95FDD"/>
    <w:rsid w:val="58214078"/>
    <w:rsid w:val="58917D2F"/>
    <w:rsid w:val="5894085C"/>
    <w:rsid w:val="58AE4F0C"/>
    <w:rsid w:val="58B85899"/>
    <w:rsid w:val="58E363A9"/>
    <w:rsid w:val="591E264C"/>
    <w:rsid w:val="595E1678"/>
    <w:rsid w:val="596D5BD4"/>
    <w:rsid w:val="597E3DD8"/>
    <w:rsid w:val="59F80043"/>
    <w:rsid w:val="5A09252F"/>
    <w:rsid w:val="5A0B2778"/>
    <w:rsid w:val="5A2A7C7B"/>
    <w:rsid w:val="5A3B2434"/>
    <w:rsid w:val="5A3E2560"/>
    <w:rsid w:val="5A5D3B6E"/>
    <w:rsid w:val="5A637A76"/>
    <w:rsid w:val="5A671C0F"/>
    <w:rsid w:val="5A6D33BA"/>
    <w:rsid w:val="5A792B1F"/>
    <w:rsid w:val="5A874767"/>
    <w:rsid w:val="5AA85BE2"/>
    <w:rsid w:val="5AAD6F28"/>
    <w:rsid w:val="5ABE2749"/>
    <w:rsid w:val="5AD63A24"/>
    <w:rsid w:val="5AE51A4D"/>
    <w:rsid w:val="5B1B08B4"/>
    <w:rsid w:val="5B2E1A1D"/>
    <w:rsid w:val="5B6A67B3"/>
    <w:rsid w:val="5B843A1C"/>
    <w:rsid w:val="5B873E3F"/>
    <w:rsid w:val="5BE56AFB"/>
    <w:rsid w:val="5C02690E"/>
    <w:rsid w:val="5C196DA7"/>
    <w:rsid w:val="5C25514A"/>
    <w:rsid w:val="5C2A048C"/>
    <w:rsid w:val="5C4D2220"/>
    <w:rsid w:val="5C80234E"/>
    <w:rsid w:val="5C8A680C"/>
    <w:rsid w:val="5D0C4701"/>
    <w:rsid w:val="5D0F0395"/>
    <w:rsid w:val="5D221076"/>
    <w:rsid w:val="5D2371F4"/>
    <w:rsid w:val="5D397964"/>
    <w:rsid w:val="5D4C13D7"/>
    <w:rsid w:val="5D5A391C"/>
    <w:rsid w:val="5D5F10C0"/>
    <w:rsid w:val="5D790E2F"/>
    <w:rsid w:val="5D891B7B"/>
    <w:rsid w:val="5DAD38EE"/>
    <w:rsid w:val="5E006862"/>
    <w:rsid w:val="5E0207B9"/>
    <w:rsid w:val="5E1834A1"/>
    <w:rsid w:val="5E261785"/>
    <w:rsid w:val="5E4A7017"/>
    <w:rsid w:val="5E552BBA"/>
    <w:rsid w:val="5E611C10"/>
    <w:rsid w:val="5E7A0F3F"/>
    <w:rsid w:val="5EA66A16"/>
    <w:rsid w:val="5EFC7377"/>
    <w:rsid w:val="5F06174D"/>
    <w:rsid w:val="5F3A3602"/>
    <w:rsid w:val="5F45733B"/>
    <w:rsid w:val="5F6277C6"/>
    <w:rsid w:val="5F650EF3"/>
    <w:rsid w:val="5F6D0B1D"/>
    <w:rsid w:val="5F8D0B82"/>
    <w:rsid w:val="5FC04B62"/>
    <w:rsid w:val="5FCC5339"/>
    <w:rsid w:val="5FE34A5B"/>
    <w:rsid w:val="5FFE1E36"/>
    <w:rsid w:val="60183580"/>
    <w:rsid w:val="60232584"/>
    <w:rsid w:val="607330CE"/>
    <w:rsid w:val="60825176"/>
    <w:rsid w:val="609F2AC4"/>
    <w:rsid w:val="60FA2EE8"/>
    <w:rsid w:val="61054A27"/>
    <w:rsid w:val="610A52BC"/>
    <w:rsid w:val="610D059B"/>
    <w:rsid w:val="611D2366"/>
    <w:rsid w:val="61421856"/>
    <w:rsid w:val="615227C4"/>
    <w:rsid w:val="61654E3F"/>
    <w:rsid w:val="617821BF"/>
    <w:rsid w:val="6182292A"/>
    <w:rsid w:val="61922A07"/>
    <w:rsid w:val="619F7F92"/>
    <w:rsid w:val="61F94C26"/>
    <w:rsid w:val="62000E56"/>
    <w:rsid w:val="624F3E49"/>
    <w:rsid w:val="62632286"/>
    <w:rsid w:val="62885958"/>
    <w:rsid w:val="62F40B65"/>
    <w:rsid w:val="62FC2CFE"/>
    <w:rsid w:val="62FE7F77"/>
    <w:rsid w:val="63024505"/>
    <w:rsid w:val="631314B3"/>
    <w:rsid w:val="63471E49"/>
    <w:rsid w:val="635600A5"/>
    <w:rsid w:val="635B1DB5"/>
    <w:rsid w:val="63711FED"/>
    <w:rsid w:val="63880DDC"/>
    <w:rsid w:val="638D750D"/>
    <w:rsid w:val="63AC6CC0"/>
    <w:rsid w:val="63F23480"/>
    <w:rsid w:val="64055776"/>
    <w:rsid w:val="641D689F"/>
    <w:rsid w:val="641F5B67"/>
    <w:rsid w:val="64240056"/>
    <w:rsid w:val="643E143A"/>
    <w:rsid w:val="64491666"/>
    <w:rsid w:val="648B6EEF"/>
    <w:rsid w:val="64C158BF"/>
    <w:rsid w:val="64CE2EAA"/>
    <w:rsid w:val="653C3090"/>
    <w:rsid w:val="65854376"/>
    <w:rsid w:val="658767BE"/>
    <w:rsid w:val="65892531"/>
    <w:rsid w:val="65CB4FB4"/>
    <w:rsid w:val="66195831"/>
    <w:rsid w:val="662E75B1"/>
    <w:rsid w:val="663139B0"/>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4F12BD"/>
    <w:rsid w:val="68551F4F"/>
    <w:rsid w:val="687C10C9"/>
    <w:rsid w:val="68840C16"/>
    <w:rsid w:val="68876EFB"/>
    <w:rsid w:val="68884654"/>
    <w:rsid w:val="689F444F"/>
    <w:rsid w:val="68B96DBB"/>
    <w:rsid w:val="68C922C9"/>
    <w:rsid w:val="68CA2805"/>
    <w:rsid w:val="68E937A3"/>
    <w:rsid w:val="68FB149A"/>
    <w:rsid w:val="69054339"/>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4B6506"/>
    <w:rsid w:val="6C517EC7"/>
    <w:rsid w:val="6C552F0B"/>
    <w:rsid w:val="6C8300CE"/>
    <w:rsid w:val="6C8C67B7"/>
    <w:rsid w:val="6C9D744C"/>
    <w:rsid w:val="6D131A02"/>
    <w:rsid w:val="6D167928"/>
    <w:rsid w:val="6D26299B"/>
    <w:rsid w:val="6D274616"/>
    <w:rsid w:val="6D4772EC"/>
    <w:rsid w:val="6D595482"/>
    <w:rsid w:val="6D9078AF"/>
    <w:rsid w:val="6DAA3FEF"/>
    <w:rsid w:val="6DC0172B"/>
    <w:rsid w:val="6DCB690C"/>
    <w:rsid w:val="6DD41A5B"/>
    <w:rsid w:val="6DEA61F3"/>
    <w:rsid w:val="6DF43C2E"/>
    <w:rsid w:val="6DF51CA3"/>
    <w:rsid w:val="6E8335BD"/>
    <w:rsid w:val="6E8E12EF"/>
    <w:rsid w:val="6E972936"/>
    <w:rsid w:val="6ED446C5"/>
    <w:rsid w:val="6EEA1354"/>
    <w:rsid w:val="6F2A7D94"/>
    <w:rsid w:val="6F432F72"/>
    <w:rsid w:val="6F472EA6"/>
    <w:rsid w:val="6F8331F1"/>
    <w:rsid w:val="6F922C54"/>
    <w:rsid w:val="6FAE1A09"/>
    <w:rsid w:val="6FD75BF8"/>
    <w:rsid w:val="7064037D"/>
    <w:rsid w:val="707723D0"/>
    <w:rsid w:val="70B6752E"/>
    <w:rsid w:val="70C20D61"/>
    <w:rsid w:val="70DE37C7"/>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050897"/>
    <w:rsid w:val="73776704"/>
    <w:rsid w:val="73C0646E"/>
    <w:rsid w:val="73D6524F"/>
    <w:rsid w:val="742222F5"/>
    <w:rsid w:val="74476126"/>
    <w:rsid w:val="74706664"/>
    <w:rsid w:val="747F3682"/>
    <w:rsid w:val="749C4185"/>
    <w:rsid w:val="75067759"/>
    <w:rsid w:val="751F4235"/>
    <w:rsid w:val="752E6DCD"/>
    <w:rsid w:val="7551380D"/>
    <w:rsid w:val="755D394A"/>
    <w:rsid w:val="75600BE5"/>
    <w:rsid w:val="7564475C"/>
    <w:rsid w:val="7583797F"/>
    <w:rsid w:val="7592164A"/>
    <w:rsid w:val="75D20F1D"/>
    <w:rsid w:val="75DA2C18"/>
    <w:rsid w:val="75DA599F"/>
    <w:rsid w:val="75F54412"/>
    <w:rsid w:val="761D08E0"/>
    <w:rsid w:val="765D347C"/>
    <w:rsid w:val="76826699"/>
    <w:rsid w:val="76A41635"/>
    <w:rsid w:val="76C87133"/>
    <w:rsid w:val="76CD08D5"/>
    <w:rsid w:val="76DB4B92"/>
    <w:rsid w:val="77052AA4"/>
    <w:rsid w:val="77136511"/>
    <w:rsid w:val="77340A39"/>
    <w:rsid w:val="77351FD0"/>
    <w:rsid w:val="7736125B"/>
    <w:rsid w:val="77472422"/>
    <w:rsid w:val="777F31F2"/>
    <w:rsid w:val="77D1700D"/>
    <w:rsid w:val="77EC04CC"/>
    <w:rsid w:val="77ED5D18"/>
    <w:rsid w:val="780D0085"/>
    <w:rsid w:val="78350781"/>
    <w:rsid w:val="7843609F"/>
    <w:rsid w:val="78775729"/>
    <w:rsid w:val="788A6312"/>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007F65"/>
    <w:rsid w:val="7A1D1975"/>
    <w:rsid w:val="7A2D7B93"/>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887303"/>
    <w:rsid w:val="7CD564F7"/>
    <w:rsid w:val="7CE27788"/>
    <w:rsid w:val="7D0C32F1"/>
    <w:rsid w:val="7D0F408D"/>
    <w:rsid w:val="7D491C6C"/>
    <w:rsid w:val="7D5429C0"/>
    <w:rsid w:val="7D6E6D43"/>
    <w:rsid w:val="7D853842"/>
    <w:rsid w:val="7DB201D3"/>
    <w:rsid w:val="7DB57A34"/>
    <w:rsid w:val="7DE60973"/>
    <w:rsid w:val="7DEF0916"/>
    <w:rsid w:val="7E0B1F99"/>
    <w:rsid w:val="7E1E5218"/>
    <w:rsid w:val="7E6C679B"/>
    <w:rsid w:val="7E8D29AE"/>
    <w:rsid w:val="7E9A4E1F"/>
    <w:rsid w:val="7EA7723A"/>
    <w:rsid w:val="7EF56FBB"/>
    <w:rsid w:val="7F0768EB"/>
    <w:rsid w:val="7F143BEC"/>
    <w:rsid w:val="7F362021"/>
    <w:rsid w:val="7F660C7A"/>
    <w:rsid w:val="7F715AF2"/>
    <w:rsid w:val="7F7B47F9"/>
    <w:rsid w:val="7F813F0D"/>
    <w:rsid w:val="7F886E69"/>
    <w:rsid w:val="7FB865C7"/>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autoRedefine/>
    <w:qFormat/>
    <w:uiPriority w:val="0"/>
    <w:rPr>
      <w:rFonts w:ascii="宋体" w:hAnsi="Courier New" w:cs="Arial"/>
      <w:snapToGrid w:val="0"/>
      <w:szCs w:val="21"/>
    </w:rPr>
  </w:style>
  <w:style w:type="paragraph" w:styleId="33">
    <w:name w:val="toc 2"/>
    <w:basedOn w:val="1"/>
    <w:next w:val="1"/>
    <w:autoRedefine/>
    <w:qFormat/>
    <w:uiPriority w:val="0"/>
    <w:pPr>
      <w:ind w:left="420" w:leftChars="2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next w:val="1"/>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ind w:firstLine="420"/>
    </w:pPr>
    <w:rPr>
      <w:rFonts w:ascii="Times New Roman" w:hAnsi="Times New Roman" w:cs="宋体"/>
    </w:rPr>
  </w:style>
  <w:style w:type="paragraph" w:customStyle="1" w:styleId="80">
    <w:name w:val="Body Text Indent1"/>
    <w:basedOn w:val="1"/>
    <w:next w:val="1"/>
    <w:autoRedefine/>
    <w:qFormat/>
    <w:uiPriority w:val="0"/>
    <w:pPr>
      <w:spacing w:after="120"/>
      <w:ind w:left="420" w:leftChars="200"/>
    </w:pPr>
    <w:rPr>
      <w:color w:val="000000"/>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List Paragraph"/>
    <w:basedOn w:val="1"/>
    <w:autoRedefine/>
    <w:qFormat/>
    <w:uiPriority w:val="0"/>
    <w:pPr>
      <w:ind w:firstLine="420" w:firstLineChars="200"/>
    </w:pPr>
    <w:rPr>
      <w:rFonts w:ascii="Calibri" w:hAnsi="Calibri"/>
      <w:szCs w:val="22"/>
    </w:rPr>
  </w:style>
  <w:style w:type="paragraph" w:customStyle="1" w:styleId="967">
    <w:name w:val="表格标题 Char Char Char Char"/>
    <w:basedOn w:val="1"/>
    <w:autoRedefine/>
    <w:qFormat/>
    <w:uiPriority w:val="0"/>
    <w:pPr>
      <w:autoSpaceDE w:val="0"/>
      <w:autoSpaceDN w:val="0"/>
      <w:adjustRightInd w:val="0"/>
      <w:jc w:val="center"/>
      <w:textAlignment w:val="baseline"/>
    </w:pPr>
    <w:rPr>
      <w:rFonts w:hAnsi="宋体"/>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34826</Words>
  <Characters>37246</Characters>
  <Lines>405</Lines>
  <Paragraphs>114</Paragraphs>
  <TotalTime>0</TotalTime>
  <ScaleCrop>false</ScaleCrop>
  <LinksUpToDate>false</LinksUpToDate>
  <CharactersWithSpaces>39036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萱</cp:lastModifiedBy>
  <cp:lastPrinted>2021-12-27T11:06:00Z</cp:lastPrinted>
  <dcterms:modified xsi:type="dcterms:W3CDTF">2025-05-28T02:09:56Z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eyJoZGlkIjoiZTE2OGFlYjE4ZTljZTAzMWIxNDI0NmY0YWQ1NTFhOTciLCJ1c2VySWQiOiI3NTIwNzE3MTUifQ==</vt:lpwstr>
  </property>
</Properties>
</file>