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9E0C4">
      <w:pPr>
        <w:jc w:val="center"/>
        <w:outlineLvl w:val="0"/>
        <w:rPr>
          <w:rFonts w:ascii="宋体" w:hAnsi="宋体"/>
          <w:bCs/>
          <w:color w:val="auto"/>
          <w:sz w:val="48"/>
        </w:rPr>
      </w:pPr>
    </w:p>
    <w:p w14:paraId="5338EB95">
      <w:pPr>
        <w:jc w:val="center"/>
        <w:outlineLvl w:val="0"/>
        <w:rPr>
          <w:rFonts w:ascii="宋体" w:hAnsi="宋体"/>
          <w:bCs/>
          <w:color w:val="auto"/>
          <w:sz w:val="48"/>
        </w:rPr>
      </w:pPr>
    </w:p>
    <w:p w14:paraId="22B25ADF">
      <w:pPr>
        <w:jc w:val="center"/>
        <w:rPr>
          <w:rFonts w:ascii="宋体" w:hAnsi="宋体"/>
          <w:b/>
          <w:color w:val="auto"/>
          <w:sz w:val="84"/>
        </w:rPr>
      </w:pPr>
    </w:p>
    <w:p w14:paraId="3F0AAEAC">
      <w:pPr>
        <w:tabs>
          <w:tab w:val="left" w:pos="720"/>
          <w:tab w:val="left" w:pos="2160"/>
          <w:tab w:val="left" w:pos="2880"/>
          <w:tab w:val="left" w:pos="3600"/>
          <w:tab w:val="left" w:pos="4320"/>
          <w:tab w:val="left" w:pos="5040"/>
          <w:tab w:val="left" w:pos="5760"/>
        </w:tabs>
        <w:autoSpaceDE w:val="0"/>
        <w:autoSpaceDN w:val="0"/>
        <w:adjustRightInd w:val="0"/>
        <w:spacing w:line="240" w:lineRule="atLeast"/>
        <w:jc w:val="center"/>
        <w:rPr>
          <w:rFonts w:ascii="宋体" w:hAnsi="宋体" w:cs="宋体"/>
          <w:b/>
          <w:color w:val="auto"/>
          <w:kern w:val="0"/>
          <w:sz w:val="52"/>
          <w:szCs w:val="52"/>
          <w:highlight w:val="none"/>
        </w:rPr>
      </w:pPr>
      <w:r>
        <w:rPr>
          <w:rFonts w:hint="eastAsia" w:ascii="宋体" w:hAnsi="宋体" w:cs="宋体"/>
          <w:b/>
          <w:color w:val="auto"/>
          <w:kern w:val="0"/>
          <w:sz w:val="52"/>
          <w:highlight w:val="none"/>
        </w:rPr>
        <w:t>政府采购</w:t>
      </w:r>
      <w:r>
        <w:rPr>
          <w:rFonts w:hint="eastAsia" w:ascii="宋体" w:hAnsi="宋体" w:cs="宋体"/>
          <w:b/>
          <w:color w:val="auto"/>
          <w:kern w:val="0"/>
          <w:sz w:val="52"/>
          <w:szCs w:val="52"/>
          <w:highlight w:val="none"/>
        </w:rPr>
        <w:t>竞争性磋商文件</w:t>
      </w:r>
    </w:p>
    <w:p w14:paraId="2AF9446A">
      <w:pPr>
        <w:jc w:val="center"/>
        <w:rPr>
          <w:rFonts w:ascii="宋体" w:hAnsi="宋体"/>
          <w:color w:val="auto"/>
          <w:sz w:val="72"/>
        </w:rPr>
      </w:pPr>
    </w:p>
    <w:p w14:paraId="795AD51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rPr>
      </w:pPr>
      <w:r>
        <w:rPr>
          <w:rFonts w:hint="eastAsia" w:ascii="宋体" w:hAnsi="宋体"/>
          <w:b/>
          <w:color w:val="auto"/>
          <w:sz w:val="36"/>
        </w:rPr>
        <w:t>（线上电子招投标）</w:t>
      </w:r>
    </w:p>
    <w:p w14:paraId="12B457CD">
      <w:pPr>
        <w:ind w:left="1148"/>
        <w:rPr>
          <w:rFonts w:ascii="宋体" w:hAnsi="宋体"/>
          <w:b/>
          <w:bCs/>
          <w:color w:val="auto"/>
          <w:sz w:val="28"/>
        </w:rPr>
      </w:pPr>
    </w:p>
    <w:p w14:paraId="597F92E5">
      <w:pPr>
        <w:pStyle w:val="25"/>
        <w:rPr>
          <w:color w:val="auto"/>
        </w:rPr>
      </w:pPr>
    </w:p>
    <w:p w14:paraId="455AC8A6">
      <w:pPr>
        <w:ind w:left="1148"/>
        <w:rPr>
          <w:rFonts w:ascii="宋体" w:hAnsi="宋体"/>
          <w:b/>
          <w:bCs/>
          <w:color w:val="auto"/>
          <w:sz w:val="28"/>
        </w:rPr>
      </w:pPr>
      <w:r>
        <w:rPr>
          <w:color w:val="auto"/>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4445</wp:posOffset>
                </wp:positionV>
                <wp:extent cx="3280410" cy="552450"/>
                <wp:effectExtent l="4445" t="4445" r="10795" b="14605"/>
                <wp:wrapNone/>
                <wp:docPr id="2" name="矩形 2"/>
                <wp:cNvGraphicFramePr/>
                <a:graphic xmlns:a="http://schemas.openxmlformats.org/drawingml/2006/main">
                  <a:graphicData uri="http://schemas.microsoft.com/office/word/2010/wordprocessingShape">
                    <wps:wsp>
                      <wps:cNvSpPr/>
                      <wps:spPr>
                        <a:xfrm>
                          <a:off x="0" y="0"/>
                          <a:ext cx="3280410" cy="552450"/>
                        </a:xfrm>
                        <a:prstGeom prst="rect">
                          <a:avLst/>
                        </a:prstGeom>
                        <a:solidFill>
                          <a:srgbClr val="FFFFFF"/>
                        </a:solidFill>
                        <a:ln w="0" cap="flat" cmpd="sng">
                          <a:solidFill>
                            <a:srgbClr val="FFFFFF"/>
                          </a:solidFill>
                          <a:prstDash val="solid"/>
                          <a:miter/>
                          <a:headEnd type="none" w="med" len="med"/>
                          <a:tailEnd type="none" w="med" len="med"/>
                        </a:ln>
                        <a:effectLst/>
                      </wps:spPr>
                      <wps:txbx>
                        <w:txbxContent>
                          <w:p w14:paraId="34EBB96F">
                            <w:pPr>
                              <w:ind w:firstLine="689" w:firstLineChars="245"/>
                              <w:rPr>
                                <w:rFonts w:hint="eastAsia" w:ascii="宋体" w:hAnsi="宋体" w:eastAsia="宋体" w:cs="宋体"/>
                                <w:b/>
                                <w:sz w:val="28"/>
                                <w:szCs w:val="28"/>
                                <w:lang w:val="en-US" w:eastAsia="zh-CN"/>
                              </w:rPr>
                            </w:pPr>
                            <w:r>
                              <w:rPr>
                                <w:rFonts w:hint="eastAsia" w:ascii="宋体" w:hAnsi="宋体" w:cs="宋体"/>
                                <w:b/>
                                <w:bCs/>
                                <w:sz w:val="28"/>
                                <w:szCs w:val="28"/>
                              </w:rPr>
                              <w:t>招标编号：</w:t>
                            </w:r>
                            <w:r>
                              <w:rPr>
                                <w:rFonts w:hint="eastAsia" w:ascii="宋体" w:hAnsi="宋体" w:cs="宋体"/>
                                <w:b/>
                                <w:bCs/>
                                <w:sz w:val="28"/>
                                <w:szCs w:val="28"/>
                                <w:lang w:val="en-US" w:eastAsia="zh-CN"/>
                              </w:rPr>
                              <w:t xml:space="preserve">ZJSX-20250201 </w:t>
                            </w:r>
                          </w:p>
                          <w:p w14:paraId="7A92256A">
                            <w:pPr>
                              <w:ind w:firstLine="2249" w:firstLineChars="800"/>
                              <w:rPr>
                                <w:rFonts w:ascii="宋体" w:hAnsi="宋体"/>
                                <w:b/>
                                <w:bCs/>
                                <w:sz w:val="28"/>
                              </w:rPr>
                            </w:pPr>
                          </w:p>
                          <w:p w14:paraId="710A3D43">
                            <w:pPr>
                              <w:pStyle w:val="22"/>
                              <w:spacing w:after="120"/>
                              <w:rPr>
                                <w:sz w:val="30"/>
                              </w:rPr>
                            </w:pPr>
                          </w:p>
                          <w:p w14:paraId="0BA7F849"/>
                        </w:txbxContent>
                      </wps:txbx>
                      <wps:bodyPr upright="1"/>
                    </wps:wsp>
                  </a:graphicData>
                </a:graphic>
              </wp:anchor>
            </w:drawing>
          </mc:Choice>
          <mc:Fallback>
            <w:pict>
              <v:rect id="_x0000_s1026" o:spid="_x0000_s1026" o:spt="1" style="position:absolute;left:0pt;margin-left:81pt;margin-top:0.35pt;height:43.5pt;width:258.3pt;z-index:251659264;mso-width-relative:page;mso-height-relative:page;" fillcolor="#FFFFFF" filled="t" stroked="t" coordsize="21600,21600" o:gfxdata="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ujNPHWAAAABwEAAA8AAAAAAAAAAQAgAAAAIgAAAGRycy9kb3ducmV2&#10;LnhtbFBLAQIUABQAAAAIAIdO4kCWKBNG/gEAADQEAAAOAAAAAAAAAAEAIAAAACUBAABkcnMvZTJv&#10;RG9jLnhtbFBLBQYAAAAABgAGAFkBAACVBQAAAAA=&#10;">
                <v:fill on="t" focussize="0,0"/>
                <v:stroke weight="0pt" color="#FFFFFF" joinstyle="miter"/>
                <v:imagedata o:title=""/>
                <o:lock v:ext="edit" aspectratio="f"/>
                <v:textbox>
                  <w:txbxContent>
                    <w:p w14:paraId="34EBB96F">
                      <w:pPr>
                        <w:ind w:firstLine="689" w:firstLineChars="245"/>
                        <w:rPr>
                          <w:rFonts w:hint="eastAsia" w:ascii="宋体" w:hAnsi="宋体" w:eastAsia="宋体" w:cs="宋体"/>
                          <w:b/>
                          <w:sz w:val="28"/>
                          <w:szCs w:val="28"/>
                          <w:lang w:val="en-US" w:eastAsia="zh-CN"/>
                        </w:rPr>
                      </w:pPr>
                      <w:r>
                        <w:rPr>
                          <w:rFonts w:hint="eastAsia" w:ascii="宋体" w:hAnsi="宋体" w:cs="宋体"/>
                          <w:b/>
                          <w:bCs/>
                          <w:sz w:val="28"/>
                          <w:szCs w:val="28"/>
                        </w:rPr>
                        <w:t>招标编号：</w:t>
                      </w:r>
                      <w:r>
                        <w:rPr>
                          <w:rFonts w:hint="eastAsia" w:ascii="宋体" w:hAnsi="宋体" w:cs="宋体"/>
                          <w:b/>
                          <w:bCs/>
                          <w:sz w:val="28"/>
                          <w:szCs w:val="28"/>
                          <w:lang w:val="en-US" w:eastAsia="zh-CN"/>
                        </w:rPr>
                        <w:t xml:space="preserve">ZJSX-20250201 </w:t>
                      </w:r>
                    </w:p>
                    <w:p w14:paraId="7A92256A">
                      <w:pPr>
                        <w:ind w:firstLine="2249" w:firstLineChars="800"/>
                        <w:rPr>
                          <w:rFonts w:ascii="宋体" w:hAnsi="宋体"/>
                          <w:b/>
                          <w:bCs/>
                          <w:sz w:val="28"/>
                        </w:rPr>
                      </w:pPr>
                    </w:p>
                    <w:p w14:paraId="710A3D43">
                      <w:pPr>
                        <w:pStyle w:val="22"/>
                        <w:spacing w:after="120"/>
                        <w:rPr>
                          <w:sz w:val="30"/>
                        </w:rPr>
                      </w:pPr>
                    </w:p>
                    <w:p w14:paraId="0BA7F849"/>
                  </w:txbxContent>
                </v:textbox>
              </v:rect>
            </w:pict>
          </mc:Fallback>
        </mc:AlternateContent>
      </w:r>
    </w:p>
    <w:p w14:paraId="50FB783A">
      <w:pPr>
        <w:ind w:left="1148"/>
        <w:rPr>
          <w:rFonts w:ascii="宋体" w:hAnsi="宋体"/>
          <w:b/>
          <w:bCs/>
          <w:color w:val="auto"/>
          <w:sz w:val="28"/>
        </w:rPr>
      </w:pPr>
    </w:p>
    <w:p w14:paraId="66ED356B">
      <w:pPr>
        <w:pStyle w:val="25"/>
        <w:rPr>
          <w:rFonts w:ascii="宋体" w:hAnsi="宋体"/>
          <w:color w:val="auto"/>
          <w:sz w:val="28"/>
        </w:rPr>
      </w:pPr>
    </w:p>
    <w:p w14:paraId="3CB77C4A">
      <w:pPr>
        <w:rPr>
          <w:rFonts w:ascii="宋体" w:hAnsi="宋体"/>
          <w:color w:val="auto"/>
          <w:sz w:val="28"/>
        </w:rPr>
      </w:pPr>
    </w:p>
    <w:p w14:paraId="4B449C59">
      <w:pPr>
        <w:pStyle w:val="25"/>
        <w:rPr>
          <w:rFonts w:ascii="宋体" w:hAnsi="宋体"/>
          <w:color w:val="auto"/>
          <w:sz w:val="28"/>
        </w:rPr>
      </w:pPr>
    </w:p>
    <w:p w14:paraId="308AE911">
      <w:pPr>
        <w:rPr>
          <w:color w:val="auto"/>
        </w:rPr>
      </w:pPr>
    </w:p>
    <w:p w14:paraId="219FF052">
      <w:pPr>
        <w:ind w:left="1148"/>
        <w:rPr>
          <w:rFonts w:ascii="宋体" w:hAnsi="宋体"/>
          <w:color w:val="auto"/>
          <w:sz w:val="28"/>
        </w:rPr>
      </w:pPr>
    </w:p>
    <w:p w14:paraId="1846C7AB">
      <w:pPr>
        <w:spacing w:line="360" w:lineRule="auto"/>
        <w:ind w:left="1834" w:leftChars="220" w:hanging="1372" w:hangingChars="490"/>
        <w:rPr>
          <w:rFonts w:hint="eastAsia" w:ascii="宋体" w:hAnsi="宋体" w:eastAsia="宋体" w:cs="宋体"/>
          <w:bCs/>
          <w:color w:val="auto"/>
          <w:sz w:val="28"/>
          <w:szCs w:val="28"/>
          <w:u w:val="single"/>
          <w:lang w:eastAsia="zh-CN"/>
        </w:rPr>
      </w:pPr>
      <w:r>
        <w:rPr>
          <w:rFonts w:hint="eastAsia" w:ascii="宋体" w:hAnsi="宋体"/>
          <w:bCs/>
          <w:color w:val="auto"/>
          <w:sz w:val="28"/>
        </w:rPr>
        <w:t xml:space="preserve"> 招标项目：</w:t>
      </w:r>
      <w:r>
        <w:rPr>
          <w:rFonts w:hint="eastAsia" w:ascii="宋体" w:hAnsi="宋体"/>
          <w:bCs/>
          <w:color w:val="auto"/>
          <w:sz w:val="28"/>
          <w:u w:val="single"/>
          <w:lang w:eastAsia="zh-CN"/>
        </w:rPr>
        <w:t>椒江区眼镜、喷水织布行业环保过程监控系统运维服务项目</w:t>
      </w:r>
    </w:p>
    <w:p w14:paraId="4B7A0DE8">
      <w:pPr>
        <w:spacing w:line="360" w:lineRule="auto"/>
        <w:rPr>
          <w:rFonts w:ascii="宋体" w:hAnsi="宋体" w:cs="宋体"/>
          <w:bCs/>
          <w:color w:val="auto"/>
          <w:sz w:val="28"/>
          <w:szCs w:val="28"/>
          <w:u w:val="single"/>
        </w:rPr>
      </w:pPr>
      <w:r>
        <w:rPr>
          <w:rFonts w:hint="eastAsia" w:ascii="宋体" w:hAnsi="宋体"/>
          <w:color w:val="auto"/>
          <w:sz w:val="28"/>
        </w:rPr>
        <w:t xml:space="preserve">    招 标 人：</w:t>
      </w:r>
      <w:r>
        <w:rPr>
          <w:rFonts w:hint="eastAsia" w:ascii="宋体" w:hAnsi="宋体"/>
          <w:color w:val="auto"/>
          <w:sz w:val="28"/>
          <w:u w:val="single"/>
          <w:lang w:eastAsia="zh-CN"/>
        </w:rPr>
        <w:t>台州市生态环境局椒江分局（本级）</w:t>
      </w:r>
      <w:r>
        <w:rPr>
          <w:rFonts w:hint="eastAsia" w:ascii="宋体" w:hAnsi="宋体" w:cs="宋体"/>
          <w:bCs/>
          <w:color w:val="auto"/>
          <w:sz w:val="28"/>
          <w:szCs w:val="28"/>
          <w:u w:val="single"/>
        </w:rPr>
        <w:t>（盖章）</w:t>
      </w:r>
    </w:p>
    <w:p w14:paraId="29D5C75A">
      <w:pPr>
        <w:spacing w:line="360" w:lineRule="auto"/>
        <w:rPr>
          <w:rFonts w:ascii="宋体" w:hAnsi="宋体"/>
          <w:color w:val="auto"/>
          <w:sz w:val="28"/>
          <w:u w:val="single"/>
        </w:rPr>
      </w:pPr>
      <w:r>
        <w:rPr>
          <w:rFonts w:hint="eastAsia" w:ascii="宋体" w:hAnsi="宋体"/>
          <w:color w:val="auto"/>
          <w:sz w:val="28"/>
        </w:rPr>
        <w:t xml:space="preserve">    联 系 人：</w:t>
      </w:r>
      <w:r>
        <w:rPr>
          <w:rFonts w:hint="eastAsia" w:ascii="宋体" w:hAnsi="宋体"/>
          <w:color w:val="auto"/>
          <w:sz w:val="28"/>
          <w:u w:val="single"/>
        </w:rPr>
        <w:t xml:space="preserve"> </w:t>
      </w:r>
      <w:r>
        <w:rPr>
          <w:rFonts w:hint="eastAsia" w:ascii="宋体" w:hAnsi="宋体"/>
          <w:color w:val="auto"/>
          <w:sz w:val="28"/>
          <w:u w:val="single"/>
          <w:lang w:val="en-US" w:eastAsia="zh-CN"/>
        </w:rPr>
        <w:t>周</w:t>
      </w:r>
      <w:r>
        <w:rPr>
          <w:rFonts w:hint="eastAsia" w:ascii="宋体" w:hAnsi="宋体"/>
          <w:color w:val="auto"/>
          <w:sz w:val="28"/>
          <w:u w:val="single"/>
        </w:rPr>
        <w:t xml:space="preserve">先生 </w:t>
      </w:r>
      <w:r>
        <w:rPr>
          <w:rFonts w:hint="eastAsia" w:ascii="宋体" w:hAnsi="宋体"/>
          <w:color w:val="auto"/>
          <w:sz w:val="28"/>
        </w:rPr>
        <w:t xml:space="preserve">  联系电话：</w:t>
      </w:r>
      <w:r>
        <w:rPr>
          <w:rFonts w:hint="eastAsia" w:ascii="宋体" w:hAnsi="宋体"/>
          <w:color w:val="auto"/>
          <w:sz w:val="28"/>
          <w:u w:val="single"/>
          <w:lang w:val="en-US" w:eastAsia="zh-CN"/>
        </w:rPr>
        <w:t>18258662033</w:t>
      </w:r>
      <w:r>
        <w:rPr>
          <w:rFonts w:hint="eastAsia" w:ascii="宋体" w:hAnsi="宋体"/>
          <w:color w:val="auto"/>
          <w:sz w:val="28"/>
          <w:u w:val="single"/>
        </w:rPr>
        <w:t xml:space="preserve"> </w:t>
      </w:r>
    </w:p>
    <w:p w14:paraId="4D22E341">
      <w:pPr>
        <w:spacing w:line="360" w:lineRule="auto"/>
        <w:ind w:left="1148"/>
        <w:rPr>
          <w:rFonts w:ascii="宋体" w:hAnsi="宋体"/>
          <w:color w:val="auto"/>
          <w:sz w:val="28"/>
        </w:rPr>
      </w:pPr>
    </w:p>
    <w:p w14:paraId="406A358E">
      <w:pPr>
        <w:spacing w:line="360" w:lineRule="auto"/>
        <w:rPr>
          <w:rFonts w:ascii="宋体" w:hAnsi="宋体"/>
          <w:color w:val="auto"/>
          <w:sz w:val="28"/>
        </w:rPr>
      </w:pPr>
      <w:r>
        <w:rPr>
          <w:rFonts w:hint="eastAsia" w:ascii="宋体" w:hAnsi="宋体"/>
          <w:color w:val="auto"/>
          <w:sz w:val="28"/>
        </w:rPr>
        <w:t xml:space="preserve">    招标代理机构：</w:t>
      </w:r>
      <w:r>
        <w:rPr>
          <w:rFonts w:hint="eastAsia" w:ascii="宋体" w:hAnsi="宋体"/>
          <w:color w:val="auto"/>
          <w:sz w:val="28"/>
          <w:u w:val="single"/>
          <w:lang w:eastAsia="zh-CN"/>
        </w:rPr>
        <w:t>浙江首信工程项目管理有限公司</w:t>
      </w:r>
      <w:r>
        <w:rPr>
          <w:rFonts w:hint="eastAsia" w:ascii="宋体" w:hAnsi="宋体"/>
          <w:color w:val="auto"/>
          <w:sz w:val="28"/>
        </w:rPr>
        <w:t>（盖章）</w:t>
      </w:r>
    </w:p>
    <w:p w14:paraId="0C9C1594">
      <w:pPr>
        <w:spacing w:line="360" w:lineRule="auto"/>
        <w:rPr>
          <w:rFonts w:hint="eastAsia" w:ascii="宋体" w:hAnsi="宋体" w:eastAsia="宋体"/>
          <w:color w:val="auto"/>
          <w:sz w:val="28"/>
          <w:u w:val="single"/>
          <w:lang w:eastAsia="zh-CN"/>
        </w:rPr>
      </w:pPr>
      <w:r>
        <w:rPr>
          <w:rFonts w:hint="eastAsia" w:ascii="宋体" w:hAnsi="宋体"/>
          <w:color w:val="auto"/>
          <w:sz w:val="28"/>
        </w:rPr>
        <w:t xml:space="preserve">    联 系 人：</w:t>
      </w:r>
      <w:r>
        <w:rPr>
          <w:rFonts w:hint="eastAsia" w:ascii="宋体" w:hAnsi="宋体"/>
          <w:color w:val="auto"/>
          <w:sz w:val="28"/>
          <w:u w:val="single"/>
          <w:lang w:eastAsia="zh-CN"/>
        </w:rPr>
        <w:t>马工</w:t>
      </w:r>
      <w:r>
        <w:rPr>
          <w:rFonts w:hint="eastAsia" w:ascii="宋体" w:hAnsi="宋体"/>
          <w:color w:val="auto"/>
          <w:sz w:val="28"/>
        </w:rPr>
        <w:t xml:space="preserve">   联系电话：</w:t>
      </w:r>
      <w:r>
        <w:rPr>
          <w:rFonts w:hint="eastAsia" w:ascii="宋体" w:hAnsi="宋体"/>
          <w:color w:val="auto"/>
          <w:sz w:val="28"/>
          <w:u w:val="single"/>
          <w:lang w:eastAsia="zh-CN"/>
        </w:rPr>
        <w:t>13515761372</w:t>
      </w:r>
    </w:p>
    <w:p w14:paraId="4D8A5BE3">
      <w:pPr>
        <w:rPr>
          <w:rFonts w:ascii="宋体" w:hAnsi="宋体"/>
          <w:color w:val="auto"/>
          <w:sz w:val="30"/>
        </w:rPr>
      </w:pPr>
    </w:p>
    <w:p w14:paraId="0F6B09A8">
      <w:pPr>
        <w:ind w:left="376" w:leftChars="179"/>
        <w:rPr>
          <w:rFonts w:ascii="宋体" w:hAnsi="宋体"/>
          <w:color w:val="auto"/>
          <w:sz w:val="28"/>
        </w:rPr>
      </w:pPr>
    </w:p>
    <w:p w14:paraId="3E6EB06B">
      <w:pPr>
        <w:ind w:left="376" w:leftChars="179"/>
        <w:rPr>
          <w:rFonts w:ascii="宋体" w:hAnsi="宋体"/>
          <w:color w:val="auto"/>
          <w:sz w:val="28"/>
        </w:rPr>
      </w:pPr>
    </w:p>
    <w:p w14:paraId="38A53752">
      <w:pPr>
        <w:pStyle w:val="25"/>
        <w:rPr>
          <w:color w:val="auto"/>
        </w:rPr>
      </w:pPr>
    </w:p>
    <w:p w14:paraId="1118C634">
      <w:pPr>
        <w:jc w:val="center"/>
        <w:rPr>
          <w:rFonts w:ascii="宋体" w:hAnsi="宋体"/>
          <w:color w:val="auto"/>
        </w:rPr>
      </w:pPr>
      <w:r>
        <w:rPr>
          <w:rFonts w:hint="eastAsia" w:ascii="宋体" w:hAnsi="宋体"/>
          <w:color w:val="auto"/>
          <w:sz w:val="28"/>
        </w:rPr>
        <w:t>202</w:t>
      </w:r>
      <w:r>
        <w:rPr>
          <w:rFonts w:hint="eastAsia" w:ascii="宋体" w:hAnsi="宋体"/>
          <w:color w:val="auto"/>
          <w:sz w:val="28"/>
          <w:lang w:val="en-US" w:eastAsia="zh-CN"/>
        </w:rPr>
        <w:t>5</w:t>
      </w:r>
      <w:r>
        <w:rPr>
          <w:rFonts w:hint="eastAsia" w:ascii="宋体" w:hAnsi="宋体"/>
          <w:color w:val="auto"/>
          <w:sz w:val="28"/>
        </w:rPr>
        <w:t>年</w:t>
      </w:r>
      <w:r>
        <w:rPr>
          <w:rFonts w:hint="eastAsia" w:ascii="宋体" w:hAnsi="宋体"/>
          <w:color w:val="auto"/>
          <w:sz w:val="28"/>
          <w:lang w:val="en-US" w:eastAsia="zh-CN"/>
        </w:rPr>
        <w:t>2</w:t>
      </w:r>
      <w:r>
        <w:rPr>
          <w:rFonts w:hint="eastAsia" w:ascii="宋体" w:hAnsi="宋体"/>
          <w:color w:val="auto"/>
          <w:sz w:val="28"/>
        </w:rPr>
        <w:t xml:space="preserve">月 </w:t>
      </w:r>
    </w:p>
    <w:p w14:paraId="77B4C7ED">
      <w:pPr>
        <w:rPr>
          <w:color w:val="auto"/>
        </w:rPr>
      </w:pPr>
    </w:p>
    <w:p w14:paraId="41C76918">
      <w:pPr>
        <w:rPr>
          <w:color w:val="auto"/>
        </w:rPr>
      </w:pPr>
    </w:p>
    <w:p w14:paraId="3461934F">
      <w:pPr>
        <w:pStyle w:val="14"/>
        <w:spacing w:beforeLines="0" w:afterLines="0" w:line="240" w:lineRule="auto"/>
        <w:rPr>
          <w:rFonts w:hint="default" w:ascii="创艺简标宋" w:hAnsi="宋体" w:eastAsia="创艺简标宋"/>
          <w:color w:val="auto"/>
          <w:sz w:val="44"/>
          <w:szCs w:val="44"/>
        </w:rPr>
        <w:sectPr>
          <w:headerReference r:id="rId5" w:type="first"/>
          <w:headerReference r:id="rId4" w:type="default"/>
          <w:footerReference r:id="rId6" w:type="default"/>
          <w:footerReference r:id="rId7" w:type="even"/>
          <w:pgSz w:w="11906" w:h="16838"/>
          <w:pgMar w:top="1134" w:right="1797" w:bottom="1134" w:left="1797" w:header="851" w:footer="850" w:gutter="0"/>
          <w:pgNumType w:start="0"/>
          <w:cols w:space="720" w:num="1"/>
          <w:titlePg/>
          <w:docGrid w:linePitch="312" w:charSpace="0"/>
        </w:sectPr>
      </w:pPr>
    </w:p>
    <w:p w14:paraId="52F852E1">
      <w:pPr>
        <w:jc w:val="center"/>
        <w:rPr>
          <w:color w:val="auto"/>
          <w:sz w:val="36"/>
          <w:szCs w:val="36"/>
        </w:rPr>
      </w:pPr>
      <w:bookmarkStart w:id="0" w:name="_Toc8916_WPSOffice_Type1"/>
      <w:r>
        <w:rPr>
          <w:rFonts w:ascii="宋体" w:hAnsi="宋体"/>
          <w:color w:val="auto"/>
          <w:sz w:val="36"/>
          <w:szCs w:val="36"/>
        </w:rPr>
        <w:t>目</w:t>
      </w:r>
      <w:r>
        <w:rPr>
          <w:rFonts w:hint="eastAsia" w:ascii="宋体" w:hAnsi="宋体"/>
          <w:color w:val="auto"/>
          <w:sz w:val="36"/>
          <w:szCs w:val="36"/>
        </w:rPr>
        <w:t xml:space="preserve">  </w:t>
      </w:r>
      <w:r>
        <w:rPr>
          <w:rFonts w:ascii="宋体" w:hAnsi="宋体"/>
          <w:color w:val="auto"/>
          <w:sz w:val="36"/>
          <w:szCs w:val="36"/>
        </w:rPr>
        <w:t>录</w:t>
      </w:r>
    </w:p>
    <w:bookmarkEnd w:id="0"/>
    <w:p w14:paraId="74680456">
      <w:pPr>
        <w:shd w:val="clear" w:color="auto" w:fill="FFFFFF"/>
        <w:textAlignment w:val="bottom"/>
        <w:rPr>
          <w:rFonts w:ascii="宋体"/>
          <w:bCs/>
          <w:color w:val="auto"/>
          <w:kern w:val="0"/>
          <w:sz w:val="36"/>
          <w:szCs w:val="36"/>
        </w:rPr>
      </w:pPr>
    </w:p>
    <w:p w14:paraId="720BD1D7">
      <w:pPr>
        <w:shd w:val="clear" w:color="auto" w:fill="FFFFFF"/>
        <w:spacing w:line="360" w:lineRule="auto"/>
        <w:textAlignment w:val="bottom"/>
        <w:rPr>
          <w:rFonts w:ascii="宋体"/>
          <w:bCs/>
          <w:color w:val="auto"/>
          <w:kern w:val="0"/>
          <w:sz w:val="36"/>
          <w:szCs w:val="36"/>
        </w:rPr>
      </w:pPr>
      <w:r>
        <w:rPr>
          <w:rFonts w:hint="eastAsia" w:ascii="宋体"/>
          <w:bCs/>
          <w:color w:val="auto"/>
          <w:kern w:val="0"/>
          <w:sz w:val="36"/>
          <w:szCs w:val="36"/>
        </w:rPr>
        <w:t>第一部分 竞争性磋商公告</w:t>
      </w:r>
    </w:p>
    <w:p w14:paraId="1827B9F2">
      <w:pPr>
        <w:shd w:val="clear" w:color="auto" w:fill="FFFFFF"/>
        <w:spacing w:line="360" w:lineRule="auto"/>
        <w:textAlignment w:val="bottom"/>
        <w:rPr>
          <w:rFonts w:ascii="宋体"/>
          <w:bCs/>
          <w:color w:val="auto"/>
          <w:kern w:val="0"/>
          <w:sz w:val="36"/>
          <w:szCs w:val="36"/>
        </w:rPr>
      </w:pPr>
      <w:r>
        <w:rPr>
          <w:rFonts w:hint="eastAsia" w:ascii="宋体"/>
          <w:bCs/>
          <w:color w:val="auto"/>
          <w:kern w:val="0"/>
          <w:sz w:val="36"/>
          <w:szCs w:val="36"/>
        </w:rPr>
        <w:t>第二部分 采购需求</w:t>
      </w:r>
    </w:p>
    <w:p w14:paraId="5064C7F5">
      <w:pPr>
        <w:shd w:val="clear" w:color="auto" w:fill="FFFFFF"/>
        <w:spacing w:line="360" w:lineRule="auto"/>
        <w:textAlignment w:val="bottom"/>
        <w:rPr>
          <w:rFonts w:ascii="宋体"/>
          <w:bCs/>
          <w:color w:val="auto"/>
          <w:kern w:val="0"/>
          <w:sz w:val="36"/>
          <w:szCs w:val="36"/>
        </w:rPr>
      </w:pPr>
      <w:r>
        <w:rPr>
          <w:rFonts w:hint="eastAsia" w:ascii="宋体"/>
          <w:bCs/>
          <w:color w:val="auto"/>
          <w:kern w:val="0"/>
          <w:sz w:val="36"/>
          <w:szCs w:val="36"/>
        </w:rPr>
        <w:t xml:space="preserve">第三部分 投标人须知  </w:t>
      </w:r>
    </w:p>
    <w:p w14:paraId="689621A0">
      <w:pPr>
        <w:shd w:val="clear" w:color="auto" w:fill="FFFFFF"/>
        <w:spacing w:line="360" w:lineRule="auto"/>
        <w:textAlignment w:val="bottom"/>
        <w:rPr>
          <w:rFonts w:ascii="宋体"/>
          <w:bCs/>
          <w:color w:val="auto"/>
          <w:kern w:val="0"/>
          <w:sz w:val="36"/>
          <w:szCs w:val="36"/>
        </w:rPr>
      </w:pPr>
      <w:r>
        <w:rPr>
          <w:rFonts w:hint="eastAsia" w:ascii="宋体"/>
          <w:bCs/>
          <w:color w:val="auto"/>
          <w:kern w:val="0"/>
          <w:sz w:val="36"/>
          <w:szCs w:val="36"/>
        </w:rPr>
        <w:t xml:space="preserve">第四部分 评审办法及评审标准 </w:t>
      </w:r>
    </w:p>
    <w:p w14:paraId="5E79E749">
      <w:pPr>
        <w:shd w:val="clear" w:color="auto" w:fill="FFFFFF"/>
        <w:spacing w:line="360" w:lineRule="auto"/>
        <w:textAlignment w:val="bottom"/>
        <w:rPr>
          <w:rFonts w:ascii="宋体"/>
          <w:bCs/>
          <w:color w:val="auto"/>
          <w:kern w:val="0"/>
          <w:sz w:val="36"/>
          <w:szCs w:val="36"/>
        </w:rPr>
      </w:pPr>
      <w:r>
        <w:rPr>
          <w:rFonts w:hint="eastAsia" w:ascii="宋体"/>
          <w:bCs/>
          <w:color w:val="auto"/>
          <w:kern w:val="0"/>
          <w:sz w:val="36"/>
          <w:szCs w:val="36"/>
        </w:rPr>
        <w:t xml:space="preserve">第五部分 </w:t>
      </w:r>
      <w:r>
        <w:rPr>
          <w:rFonts w:hint="eastAsia" w:ascii="宋体"/>
          <w:bCs/>
          <w:color w:val="auto"/>
          <w:kern w:val="0"/>
          <w:sz w:val="36"/>
          <w:szCs w:val="36"/>
          <w:lang w:val="en-US" w:eastAsia="zh-CN"/>
        </w:rPr>
        <w:t>政府</w:t>
      </w:r>
      <w:r>
        <w:rPr>
          <w:rFonts w:hint="eastAsia" w:ascii="宋体"/>
          <w:bCs/>
          <w:color w:val="auto"/>
          <w:kern w:val="0"/>
          <w:sz w:val="36"/>
          <w:szCs w:val="36"/>
        </w:rPr>
        <w:t>采购合同主要条款指引</w:t>
      </w:r>
    </w:p>
    <w:p w14:paraId="3FFE5CAF">
      <w:pPr>
        <w:shd w:val="clear" w:color="auto" w:fill="FFFFFF"/>
        <w:spacing w:line="360" w:lineRule="auto"/>
        <w:textAlignment w:val="bottom"/>
        <w:rPr>
          <w:rFonts w:ascii="宋体"/>
          <w:bCs/>
          <w:color w:val="auto"/>
          <w:kern w:val="0"/>
          <w:sz w:val="36"/>
          <w:szCs w:val="36"/>
        </w:rPr>
      </w:pPr>
      <w:r>
        <w:rPr>
          <w:rFonts w:hint="eastAsia" w:ascii="宋体"/>
          <w:bCs/>
          <w:color w:val="auto"/>
          <w:kern w:val="0"/>
          <w:sz w:val="36"/>
          <w:szCs w:val="36"/>
        </w:rPr>
        <w:t xml:space="preserve">第六部分 </w:t>
      </w:r>
      <w:r>
        <w:rPr>
          <w:rFonts w:hint="eastAsia" w:ascii="宋体"/>
          <w:bCs/>
          <w:color w:val="auto"/>
          <w:kern w:val="0"/>
          <w:sz w:val="36"/>
          <w:szCs w:val="36"/>
          <w:lang w:val="en-US" w:eastAsia="zh-CN"/>
        </w:rPr>
        <w:t>响应</w:t>
      </w:r>
      <w:r>
        <w:rPr>
          <w:rFonts w:hint="eastAsia" w:ascii="宋体"/>
          <w:bCs/>
          <w:color w:val="auto"/>
          <w:kern w:val="0"/>
          <w:sz w:val="36"/>
          <w:szCs w:val="36"/>
        </w:rPr>
        <w:t>文件格式附件</w:t>
      </w:r>
    </w:p>
    <w:p w14:paraId="540B6AD1">
      <w:pPr>
        <w:rPr>
          <w:rFonts w:ascii="宋体" w:hAnsi="宋体"/>
          <w:b/>
          <w:color w:val="auto"/>
          <w:sz w:val="24"/>
        </w:rPr>
      </w:pPr>
    </w:p>
    <w:p w14:paraId="54D76B85">
      <w:pPr>
        <w:pStyle w:val="14"/>
        <w:snapToGrid w:val="0"/>
        <w:spacing w:beforeLines="0" w:afterLines="0" w:line="240" w:lineRule="auto"/>
        <w:jc w:val="center"/>
        <w:outlineLvl w:val="0"/>
        <w:rPr>
          <w:rFonts w:hint="default" w:eastAsia="黑体"/>
          <w:color w:val="auto"/>
        </w:rPr>
      </w:pPr>
      <w:r>
        <w:rPr>
          <w:rFonts w:hAnsi="宋体"/>
          <w:color w:val="auto"/>
        </w:rPr>
        <w:br w:type="page"/>
      </w:r>
      <w:bookmarkStart w:id="1" w:name="_Toc8893_WPSOffice_Level1"/>
      <w:bookmarkStart w:id="2" w:name="_Toc333823819"/>
      <w:r>
        <w:rPr>
          <w:rFonts w:ascii="黑体" w:hAnsi="宋体" w:eastAsia="黑体"/>
          <w:color w:val="auto"/>
          <w:sz w:val="30"/>
          <w:szCs w:val="30"/>
        </w:rPr>
        <w:t xml:space="preserve">第一部分  </w:t>
      </w:r>
      <w:bookmarkEnd w:id="1"/>
      <w:bookmarkEnd w:id="2"/>
      <w:r>
        <w:rPr>
          <w:rFonts w:hint="eastAsia" w:ascii="黑体" w:hAnsi="宋体" w:eastAsia="黑体"/>
          <w:color w:val="auto"/>
          <w:sz w:val="30"/>
          <w:szCs w:val="30"/>
        </w:rPr>
        <w:t>竞争性磋商</w:t>
      </w:r>
      <w:r>
        <w:rPr>
          <w:rFonts w:ascii="黑体" w:hAnsi="宋体" w:eastAsia="黑体"/>
          <w:color w:val="auto"/>
          <w:sz w:val="30"/>
          <w:szCs w:val="30"/>
        </w:rPr>
        <w:t>公告</w:t>
      </w:r>
    </w:p>
    <w:p w14:paraId="739543D6">
      <w:pPr>
        <w:shd w:val="clear" w:color="auto" w:fill="FFFFFF"/>
        <w:ind w:firstLine="480" w:firstLineChars="200"/>
        <w:textAlignment w:val="bottom"/>
        <w:rPr>
          <w:rFonts w:ascii="宋体"/>
          <w:b/>
          <w:color w:val="auto"/>
          <w:kern w:val="0"/>
          <w:sz w:val="24"/>
        </w:rPr>
      </w:pPr>
      <w:r>
        <w:rPr>
          <w:rFonts w:hint="eastAsia" w:ascii="宋体" w:hAnsi="宋体" w:cs="宋体"/>
          <w:color w:val="auto"/>
          <w:kern w:val="0"/>
          <w:sz w:val="24"/>
          <w:highlight w:val="none"/>
        </w:rPr>
        <w:t xml:space="preserve"> 根据《中华人民共和国政府采购法》</w:t>
      </w:r>
      <w:r>
        <w:rPr>
          <w:rFonts w:hint="eastAsia" w:ascii="宋体"/>
          <w:color w:val="auto"/>
          <w:kern w:val="0"/>
          <w:sz w:val="24"/>
          <w:highlight w:val="none"/>
        </w:rPr>
        <w:t>、《中华人民共和国政府采购法实施条例》</w:t>
      </w:r>
      <w:r>
        <w:rPr>
          <w:rFonts w:hint="eastAsia" w:ascii="宋体"/>
          <w:color w:val="auto"/>
          <w:kern w:val="0"/>
          <w:sz w:val="24"/>
          <w:highlight w:val="none"/>
          <w:lang w:eastAsia="zh-CN"/>
        </w:rPr>
        <w:t>、</w:t>
      </w:r>
      <w:r>
        <w:rPr>
          <w:rFonts w:hint="eastAsia" w:ascii="宋体" w:hAnsi="宋体" w:cs="宋体"/>
          <w:color w:val="auto"/>
          <w:sz w:val="24"/>
          <w:highlight w:val="none"/>
        </w:rPr>
        <w:t>《政府采购竞争性磋商采购方式管理暂行办法》等</w:t>
      </w:r>
      <w:r>
        <w:rPr>
          <w:rFonts w:hint="eastAsia" w:ascii="宋体" w:hAnsi="宋体" w:cs="宋体"/>
          <w:color w:val="auto"/>
          <w:kern w:val="0"/>
          <w:sz w:val="24"/>
          <w:highlight w:val="none"/>
        </w:rPr>
        <w:t xml:space="preserve">有关规定, </w:t>
      </w:r>
      <w:r>
        <w:rPr>
          <w:rFonts w:hint="eastAsia" w:ascii="宋体"/>
          <w:b/>
          <w:color w:val="auto"/>
          <w:kern w:val="0"/>
          <w:sz w:val="24"/>
          <w:lang w:eastAsia="zh-CN"/>
        </w:rPr>
        <w:t>浙江首信工程项目管理有限公司</w:t>
      </w:r>
      <w:r>
        <w:rPr>
          <w:rFonts w:hint="eastAsia" w:ascii="宋体"/>
          <w:bCs/>
          <w:color w:val="auto"/>
          <w:kern w:val="0"/>
          <w:sz w:val="24"/>
        </w:rPr>
        <w:t>受</w:t>
      </w:r>
      <w:r>
        <w:rPr>
          <w:rFonts w:hint="eastAsia" w:ascii="宋体"/>
          <w:b/>
          <w:color w:val="auto"/>
          <w:kern w:val="0"/>
          <w:sz w:val="24"/>
          <w:lang w:eastAsia="zh-CN"/>
        </w:rPr>
        <w:t>台州市生态环境局椒江分局（本级）</w:t>
      </w:r>
      <w:r>
        <w:rPr>
          <w:rFonts w:hint="eastAsia" w:ascii="宋体"/>
          <w:bCs/>
          <w:color w:val="auto"/>
          <w:kern w:val="0"/>
          <w:sz w:val="24"/>
        </w:rPr>
        <w:t>委托，就</w:t>
      </w:r>
      <w:r>
        <w:rPr>
          <w:rFonts w:hint="eastAsia" w:ascii="宋体"/>
          <w:bCs/>
          <w:color w:val="auto"/>
          <w:kern w:val="0"/>
          <w:sz w:val="24"/>
          <w:u w:val="single"/>
          <w:lang w:eastAsia="zh-CN"/>
        </w:rPr>
        <w:t>椒江区眼镜、喷水织布行业环保过程监控系统运维服务项目</w:t>
      </w:r>
      <w:r>
        <w:rPr>
          <w:rFonts w:hint="eastAsia" w:ascii="宋体" w:hAnsi="宋体" w:cs="宋体"/>
          <w:color w:val="auto"/>
          <w:kern w:val="0"/>
          <w:sz w:val="24"/>
          <w:highlight w:val="none"/>
        </w:rPr>
        <w:t>进行竞争性磋商采购，欢迎合格供应商前来磋商</w:t>
      </w:r>
      <w:r>
        <w:rPr>
          <w:rFonts w:hint="eastAsia" w:ascii="宋体"/>
          <w:bCs/>
          <w:color w:val="auto"/>
          <w:kern w:val="0"/>
          <w:sz w:val="24"/>
        </w:rPr>
        <w:t>。具体如下：</w:t>
      </w:r>
    </w:p>
    <w:p w14:paraId="729126DD">
      <w:pPr>
        <w:rPr>
          <w:rFonts w:hint="default" w:ascii="宋体" w:hAnsi="宋体" w:cs="宋体"/>
          <w:bCs/>
          <w:color w:val="auto"/>
          <w:sz w:val="24"/>
          <w:lang w:val="en-US" w:eastAsia="zh-CN"/>
        </w:rPr>
      </w:pPr>
      <w:bookmarkStart w:id="3" w:name="_Toc291082828"/>
      <w:bookmarkStart w:id="4" w:name="_Toc291142569"/>
      <w:r>
        <w:rPr>
          <w:rFonts w:hint="eastAsia" w:ascii="宋体" w:hAnsi="宋体" w:cs="宋体"/>
          <w:color w:val="auto"/>
          <w:sz w:val="24"/>
        </w:rPr>
        <w:t>一、</w:t>
      </w:r>
      <w:r>
        <w:rPr>
          <w:rFonts w:hint="eastAsia" w:ascii="宋体" w:hAnsi="宋体" w:cs="宋体"/>
          <w:b/>
          <w:color w:val="auto"/>
          <w:sz w:val="24"/>
        </w:rPr>
        <w:t>项目编号</w:t>
      </w:r>
      <w:r>
        <w:rPr>
          <w:rFonts w:hint="eastAsia" w:ascii="宋体" w:hAnsi="宋体" w:cs="宋体"/>
          <w:color w:val="auto"/>
          <w:sz w:val="24"/>
        </w:rPr>
        <w:t>：</w:t>
      </w:r>
      <w:bookmarkEnd w:id="3"/>
      <w:bookmarkEnd w:id="4"/>
      <w:r>
        <w:rPr>
          <w:rFonts w:hint="eastAsia" w:ascii="宋体" w:hAnsi="宋体" w:cs="宋体"/>
          <w:bCs/>
          <w:color w:val="auto"/>
          <w:sz w:val="24"/>
          <w:lang w:val="en-US" w:eastAsia="zh-CN"/>
        </w:rPr>
        <w:t>ZJSX-20250201</w:t>
      </w:r>
    </w:p>
    <w:p w14:paraId="00A640D2">
      <w:pPr>
        <w:rPr>
          <w:rFonts w:ascii="宋体" w:hAnsi="宋体" w:cs="宋体"/>
          <w:color w:val="auto"/>
          <w:sz w:val="24"/>
        </w:rPr>
      </w:pPr>
      <w:bookmarkStart w:id="5" w:name="_Toc291142571"/>
      <w:bookmarkStart w:id="6" w:name="_Toc291082830"/>
      <w:r>
        <w:rPr>
          <w:rFonts w:hint="eastAsia" w:ascii="宋体" w:hAnsi="宋体" w:cs="宋体"/>
          <w:color w:val="auto"/>
          <w:sz w:val="24"/>
        </w:rPr>
        <w:t>二、</w:t>
      </w:r>
      <w:r>
        <w:rPr>
          <w:rFonts w:hint="eastAsia" w:ascii="宋体" w:hAnsi="宋体" w:cs="宋体"/>
          <w:b/>
          <w:color w:val="auto"/>
          <w:sz w:val="24"/>
          <w:lang w:val="en-US" w:eastAsia="zh-CN"/>
        </w:rPr>
        <w:t>磋商</w:t>
      </w:r>
      <w:r>
        <w:rPr>
          <w:rFonts w:hint="eastAsia" w:ascii="宋体" w:hAnsi="宋体" w:cs="宋体"/>
          <w:b/>
          <w:color w:val="auto"/>
          <w:sz w:val="24"/>
        </w:rPr>
        <w:t>内容</w:t>
      </w:r>
      <w:r>
        <w:rPr>
          <w:rFonts w:hint="eastAsia" w:ascii="宋体" w:hAnsi="宋体" w:cs="宋体"/>
          <w:color w:val="auto"/>
          <w:sz w:val="24"/>
        </w:rPr>
        <w:t>：</w:t>
      </w:r>
      <w:bookmarkEnd w:id="5"/>
      <w:bookmarkEnd w:id="6"/>
      <w:bookmarkStart w:id="7" w:name="_Toc291082852"/>
      <w:bookmarkStart w:id="8" w:name="_Toc291142593"/>
    </w:p>
    <w:tbl>
      <w:tblPr>
        <w:tblStyle w:val="26"/>
        <w:tblW w:w="92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8"/>
        <w:gridCol w:w="1601"/>
        <w:gridCol w:w="1052"/>
        <w:gridCol w:w="513"/>
        <w:gridCol w:w="582"/>
        <w:gridCol w:w="1081"/>
        <w:gridCol w:w="1393"/>
        <w:gridCol w:w="1065"/>
        <w:gridCol w:w="1299"/>
      </w:tblGrid>
      <w:tr w14:paraId="7E2E9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3"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1BE74E2F">
            <w:pPr>
              <w:snapToGrid w:val="0"/>
              <w:jc w:val="center"/>
              <w:rPr>
                <w:rFonts w:ascii="宋体" w:hAnsi="宋体" w:cs="宋体"/>
                <w:bCs/>
                <w:color w:val="auto"/>
                <w:sz w:val="24"/>
              </w:rPr>
            </w:pPr>
            <w:r>
              <w:rPr>
                <w:rFonts w:hint="eastAsia" w:ascii="宋体" w:hAnsi="宋体" w:cs="宋体"/>
                <w:bCs/>
                <w:color w:val="auto"/>
                <w:sz w:val="24"/>
              </w:rPr>
              <w:t>标段号</w:t>
            </w:r>
          </w:p>
        </w:tc>
        <w:tc>
          <w:tcPr>
            <w:tcW w:w="1601" w:type="dxa"/>
            <w:tcBorders>
              <w:top w:val="single" w:color="auto" w:sz="4" w:space="0"/>
              <w:left w:val="single" w:color="auto" w:sz="4" w:space="0"/>
              <w:bottom w:val="single" w:color="auto" w:sz="4" w:space="0"/>
              <w:right w:val="single" w:color="auto" w:sz="4" w:space="0"/>
            </w:tcBorders>
            <w:vAlign w:val="center"/>
          </w:tcPr>
          <w:p w14:paraId="5567C9BA">
            <w:pPr>
              <w:jc w:val="center"/>
              <w:rPr>
                <w:rFonts w:ascii="宋体" w:hAnsi="宋体" w:cs="宋体"/>
                <w:bCs/>
                <w:color w:val="auto"/>
                <w:sz w:val="24"/>
              </w:rPr>
            </w:pPr>
            <w:r>
              <w:rPr>
                <w:rFonts w:hint="eastAsia" w:ascii="宋体" w:hAnsi="宋体" w:cs="宋体"/>
                <w:bCs/>
                <w:color w:val="auto"/>
                <w:sz w:val="24"/>
              </w:rPr>
              <w:t>项目名称</w:t>
            </w:r>
          </w:p>
        </w:tc>
        <w:tc>
          <w:tcPr>
            <w:tcW w:w="1052" w:type="dxa"/>
            <w:tcBorders>
              <w:top w:val="single" w:color="auto" w:sz="4" w:space="0"/>
              <w:left w:val="single" w:color="auto" w:sz="4" w:space="0"/>
              <w:bottom w:val="single" w:color="auto" w:sz="4" w:space="0"/>
              <w:right w:val="single" w:color="auto" w:sz="4" w:space="0"/>
            </w:tcBorders>
            <w:vAlign w:val="center"/>
          </w:tcPr>
          <w:p w14:paraId="12EB4420">
            <w:pPr>
              <w:jc w:val="center"/>
              <w:rPr>
                <w:rFonts w:ascii="宋体" w:hAnsi="宋体" w:cs="宋体"/>
                <w:bCs/>
                <w:color w:val="auto"/>
                <w:sz w:val="24"/>
              </w:rPr>
            </w:pPr>
            <w:r>
              <w:rPr>
                <w:rFonts w:hint="eastAsia" w:ascii="宋体" w:hAnsi="宋体" w:cs="宋体"/>
                <w:bCs/>
                <w:color w:val="auto"/>
                <w:sz w:val="24"/>
              </w:rPr>
              <w:t>简要技术要求</w:t>
            </w:r>
          </w:p>
        </w:tc>
        <w:tc>
          <w:tcPr>
            <w:tcW w:w="513" w:type="dxa"/>
            <w:tcBorders>
              <w:top w:val="single" w:color="auto" w:sz="4" w:space="0"/>
              <w:left w:val="single" w:color="auto" w:sz="4" w:space="0"/>
              <w:bottom w:val="single" w:color="auto" w:sz="4" w:space="0"/>
              <w:right w:val="single" w:color="auto" w:sz="4" w:space="0"/>
            </w:tcBorders>
            <w:vAlign w:val="center"/>
          </w:tcPr>
          <w:p w14:paraId="20843A59">
            <w:pPr>
              <w:jc w:val="center"/>
              <w:rPr>
                <w:rFonts w:ascii="宋体" w:hAnsi="宋体" w:cs="宋体"/>
                <w:bCs/>
                <w:color w:val="auto"/>
                <w:sz w:val="24"/>
              </w:rPr>
            </w:pPr>
            <w:r>
              <w:rPr>
                <w:rFonts w:hint="eastAsia" w:ascii="宋体" w:hAnsi="宋体" w:cs="宋体"/>
                <w:bCs/>
                <w:color w:val="auto"/>
                <w:sz w:val="24"/>
              </w:rPr>
              <w:t>数量</w:t>
            </w:r>
          </w:p>
        </w:tc>
        <w:tc>
          <w:tcPr>
            <w:tcW w:w="582" w:type="dxa"/>
            <w:tcBorders>
              <w:top w:val="single" w:color="auto" w:sz="4" w:space="0"/>
              <w:left w:val="single" w:color="auto" w:sz="4" w:space="0"/>
              <w:bottom w:val="single" w:color="auto" w:sz="4" w:space="0"/>
              <w:right w:val="single" w:color="auto" w:sz="4" w:space="0"/>
            </w:tcBorders>
            <w:vAlign w:val="center"/>
          </w:tcPr>
          <w:p w14:paraId="55676469">
            <w:pPr>
              <w:jc w:val="center"/>
              <w:rPr>
                <w:rFonts w:ascii="宋体" w:hAnsi="宋体" w:cs="宋体"/>
                <w:bCs/>
                <w:color w:val="auto"/>
                <w:sz w:val="24"/>
              </w:rPr>
            </w:pPr>
            <w:r>
              <w:rPr>
                <w:rFonts w:hint="eastAsia" w:ascii="宋体" w:hAnsi="宋体" w:cs="宋体"/>
                <w:bCs/>
                <w:color w:val="auto"/>
                <w:sz w:val="24"/>
              </w:rPr>
              <w:t>单位</w:t>
            </w:r>
          </w:p>
        </w:tc>
        <w:tc>
          <w:tcPr>
            <w:tcW w:w="1081" w:type="dxa"/>
            <w:tcBorders>
              <w:top w:val="single" w:color="auto" w:sz="4" w:space="0"/>
              <w:left w:val="single" w:color="auto" w:sz="4" w:space="0"/>
              <w:bottom w:val="single" w:color="auto" w:sz="4" w:space="0"/>
              <w:right w:val="single" w:color="auto" w:sz="4" w:space="0"/>
            </w:tcBorders>
            <w:vAlign w:val="center"/>
          </w:tcPr>
          <w:p w14:paraId="5EC01610">
            <w:pPr>
              <w:jc w:val="center"/>
              <w:rPr>
                <w:rFonts w:ascii="宋体" w:hAnsi="宋体" w:cs="宋体"/>
                <w:bCs/>
                <w:color w:val="auto"/>
                <w:sz w:val="24"/>
              </w:rPr>
            </w:pPr>
            <w:r>
              <w:rPr>
                <w:rFonts w:hint="eastAsia" w:ascii="宋体" w:hAnsi="宋体" w:cs="宋体"/>
                <w:bCs/>
                <w:color w:val="auto"/>
                <w:sz w:val="24"/>
              </w:rPr>
              <w:t>预算价（元）</w:t>
            </w:r>
          </w:p>
        </w:tc>
        <w:tc>
          <w:tcPr>
            <w:tcW w:w="1393" w:type="dxa"/>
            <w:tcBorders>
              <w:top w:val="single" w:color="auto" w:sz="4" w:space="0"/>
              <w:left w:val="single" w:color="auto" w:sz="4" w:space="0"/>
              <w:bottom w:val="single" w:color="auto" w:sz="4" w:space="0"/>
              <w:right w:val="single" w:color="auto" w:sz="4" w:space="0"/>
            </w:tcBorders>
            <w:vAlign w:val="center"/>
          </w:tcPr>
          <w:p w14:paraId="292A5545">
            <w:pPr>
              <w:jc w:val="center"/>
              <w:rPr>
                <w:rFonts w:ascii="宋体" w:hAnsi="宋体" w:cs="宋体"/>
                <w:bCs/>
                <w:color w:val="auto"/>
                <w:sz w:val="24"/>
              </w:rPr>
            </w:pPr>
            <w:r>
              <w:rPr>
                <w:rFonts w:hint="eastAsia" w:ascii="宋体" w:hAnsi="宋体" w:cs="宋体"/>
                <w:bCs/>
                <w:color w:val="auto"/>
                <w:sz w:val="24"/>
              </w:rPr>
              <w:t>最高投标限价（元）</w:t>
            </w:r>
          </w:p>
        </w:tc>
        <w:tc>
          <w:tcPr>
            <w:tcW w:w="1065" w:type="dxa"/>
            <w:tcBorders>
              <w:top w:val="single" w:color="auto" w:sz="4" w:space="0"/>
              <w:left w:val="single" w:color="auto" w:sz="4" w:space="0"/>
              <w:bottom w:val="single" w:color="auto" w:sz="4" w:space="0"/>
              <w:right w:val="single" w:color="auto" w:sz="4" w:space="0"/>
            </w:tcBorders>
            <w:vAlign w:val="center"/>
          </w:tcPr>
          <w:p w14:paraId="3104B104">
            <w:pPr>
              <w:jc w:val="center"/>
              <w:rPr>
                <w:rFonts w:ascii="宋体" w:hAnsi="宋体" w:cs="宋体"/>
                <w:bCs/>
                <w:color w:val="auto"/>
                <w:sz w:val="24"/>
              </w:rPr>
            </w:pPr>
            <w:r>
              <w:rPr>
                <w:rFonts w:hint="eastAsia" w:ascii="宋体" w:hAnsi="宋体" w:cs="宋体"/>
                <w:bCs/>
                <w:color w:val="auto"/>
                <w:sz w:val="24"/>
                <w:lang w:val="en-US" w:eastAsia="zh-CN"/>
              </w:rPr>
              <w:t>服务</w:t>
            </w:r>
            <w:r>
              <w:rPr>
                <w:rFonts w:hint="eastAsia" w:ascii="宋体" w:hAnsi="宋体" w:cs="宋体"/>
                <w:bCs/>
                <w:color w:val="auto"/>
                <w:sz w:val="24"/>
              </w:rPr>
              <w:t>期</w:t>
            </w:r>
          </w:p>
        </w:tc>
        <w:tc>
          <w:tcPr>
            <w:tcW w:w="1299" w:type="dxa"/>
            <w:tcBorders>
              <w:top w:val="single" w:color="auto" w:sz="4" w:space="0"/>
              <w:left w:val="single" w:color="auto" w:sz="4" w:space="0"/>
              <w:bottom w:val="single" w:color="auto" w:sz="4" w:space="0"/>
              <w:right w:val="single" w:color="auto" w:sz="4" w:space="0"/>
            </w:tcBorders>
            <w:vAlign w:val="center"/>
          </w:tcPr>
          <w:p w14:paraId="18D755C6">
            <w:pPr>
              <w:snapToGrid w:val="0"/>
              <w:jc w:val="center"/>
              <w:rPr>
                <w:rFonts w:ascii="宋体" w:hAnsi="宋体" w:cs="宋体"/>
                <w:bCs/>
                <w:color w:val="auto"/>
                <w:sz w:val="24"/>
              </w:rPr>
            </w:pPr>
            <w:r>
              <w:rPr>
                <w:rFonts w:hint="eastAsia" w:ascii="宋体" w:hAnsi="宋体" w:cs="宋体"/>
                <w:bCs/>
                <w:color w:val="auto"/>
                <w:sz w:val="24"/>
              </w:rPr>
              <w:t>具体内容及要求</w:t>
            </w:r>
          </w:p>
        </w:tc>
      </w:tr>
      <w:tr w14:paraId="1C6B95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9"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77BABEEC">
            <w:pPr>
              <w:snapToGrid w:val="0"/>
              <w:jc w:val="center"/>
              <w:rPr>
                <w:rFonts w:ascii="宋体" w:hAnsi="宋体" w:cs="宋体"/>
                <w:bCs/>
                <w:color w:val="auto"/>
                <w:sz w:val="24"/>
              </w:rPr>
            </w:pPr>
            <w:r>
              <w:rPr>
                <w:rFonts w:hint="eastAsia" w:ascii="宋体" w:hAnsi="宋体" w:cs="宋体"/>
                <w:bCs/>
                <w:color w:val="auto"/>
                <w:sz w:val="24"/>
              </w:rPr>
              <w:t>01</w:t>
            </w:r>
          </w:p>
        </w:tc>
        <w:tc>
          <w:tcPr>
            <w:tcW w:w="1601" w:type="dxa"/>
            <w:tcBorders>
              <w:top w:val="single" w:color="auto" w:sz="4" w:space="0"/>
              <w:left w:val="single" w:color="auto" w:sz="4" w:space="0"/>
              <w:bottom w:val="single" w:color="auto" w:sz="4" w:space="0"/>
              <w:right w:val="single" w:color="auto" w:sz="4" w:space="0"/>
            </w:tcBorders>
            <w:vAlign w:val="center"/>
          </w:tcPr>
          <w:p w14:paraId="5AAABAAF">
            <w:pPr>
              <w:jc w:val="center"/>
              <w:rPr>
                <w:rFonts w:hint="eastAsia" w:ascii="宋体" w:hAnsi="宋体" w:eastAsia="宋体" w:cs="宋体"/>
                <w:bCs/>
                <w:color w:val="auto"/>
                <w:sz w:val="24"/>
                <w:lang w:eastAsia="zh-CN"/>
              </w:rPr>
            </w:pPr>
            <w:r>
              <w:rPr>
                <w:rFonts w:hint="eastAsia" w:ascii="宋体" w:hAnsi="宋体" w:cs="宋体"/>
                <w:bCs/>
                <w:color w:val="auto"/>
                <w:sz w:val="24"/>
                <w:lang w:eastAsia="zh-CN"/>
              </w:rPr>
              <w:t>椒江区眼镜、喷水织布行业环保过程监控系统运维服务项目</w:t>
            </w:r>
          </w:p>
        </w:tc>
        <w:tc>
          <w:tcPr>
            <w:tcW w:w="1052" w:type="dxa"/>
            <w:tcBorders>
              <w:top w:val="single" w:color="auto" w:sz="4" w:space="0"/>
              <w:left w:val="single" w:color="auto" w:sz="4" w:space="0"/>
              <w:bottom w:val="single" w:color="auto" w:sz="4" w:space="0"/>
              <w:right w:val="single" w:color="auto" w:sz="4" w:space="0"/>
            </w:tcBorders>
            <w:vAlign w:val="center"/>
          </w:tcPr>
          <w:p w14:paraId="4FAD6ADE">
            <w:pPr>
              <w:jc w:val="center"/>
              <w:rPr>
                <w:rFonts w:ascii="宋体" w:hAnsi="宋体" w:cs="宋体"/>
                <w:bCs/>
                <w:color w:val="auto"/>
                <w:sz w:val="24"/>
              </w:rPr>
            </w:pPr>
            <w:r>
              <w:rPr>
                <w:rFonts w:hint="eastAsia" w:ascii="宋体" w:hAnsi="宋体" w:cs="宋体"/>
                <w:bCs/>
                <w:color w:val="auto"/>
                <w:sz w:val="24"/>
              </w:rPr>
              <w:t>详见招标文件</w:t>
            </w:r>
          </w:p>
        </w:tc>
        <w:tc>
          <w:tcPr>
            <w:tcW w:w="513" w:type="dxa"/>
            <w:tcBorders>
              <w:top w:val="single" w:color="auto" w:sz="4" w:space="0"/>
              <w:left w:val="single" w:color="auto" w:sz="4" w:space="0"/>
              <w:bottom w:val="single" w:color="auto" w:sz="4" w:space="0"/>
              <w:right w:val="single" w:color="auto" w:sz="4" w:space="0"/>
            </w:tcBorders>
            <w:vAlign w:val="center"/>
          </w:tcPr>
          <w:p w14:paraId="4A82EC5C">
            <w:pPr>
              <w:jc w:val="center"/>
              <w:rPr>
                <w:rFonts w:ascii="宋体" w:hAnsi="宋体" w:cs="宋体"/>
                <w:bCs/>
                <w:color w:val="auto"/>
                <w:sz w:val="24"/>
              </w:rPr>
            </w:pPr>
            <w:r>
              <w:rPr>
                <w:rFonts w:hint="eastAsia" w:ascii="宋体" w:hAnsi="宋体" w:cs="宋体"/>
                <w:bCs/>
                <w:color w:val="auto"/>
                <w:sz w:val="24"/>
              </w:rPr>
              <w:t>1</w:t>
            </w:r>
          </w:p>
        </w:tc>
        <w:tc>
          <w:tcPr>
            <w:tcW w:w="582" w:type="dxa"/>
            <w:tcBorders>
              <w:top w:val="single" w:color="auto" w:sz="4" w:space="0"/>
              <w:left w:val="single" w:color="auto" w:sz="4" w:space="0"/>
              <w:bottom w:val="single" w:color="auto" w:sz="4" w:space="0"/>
              <w:right w:val="single" w:color="auto" w:sz="4" w:space="0"/>
            </w:tcBorders>
            <w:vAlign w:val="center"/>
          </w:tcPr>
          <w:p w14:paraId="7856F3EB">
            <w:pPr>
              <w:jc w:val="center"/>
              <w:rPr>
                <w:rFonts w:ascii="宋体" w:hAnsi="宋体" w:cs="宋体"/>
                <w:bCs/>
                <w:color w:val="auto"/>
                <w:sz w:val="24"/>
              </w:rPr>
            </w:pPr>
            <w:r>
              <w:rPr>
                <w:rFonts w:hint="eastAsia" w:ascii="宋体" w:hAnsi="宋体" w:cs="宋体"/>
                <w:bCs/>
                <w:color w:val="auto"/>
                <w:sz w:val="24"/>
              </w:rPr>
              <w:t>项</w:t>
            </w:r>
          </w:p>
        </w:tc>
        <w:tc>
          <w:tcPr>
            <w:tcW w:w="1081" w:type="dxa"/>
            <w:tcBorders>
              <w:top w:val="single" w:color="auto" w:sz="4" w:space="0"/>
              <w:left w:val="single" w:color="auto" w:sz="4" w:space="0"/>
              <w:bottom w:val="single" w:color="auto" w:sz="4" w:space="0"/>
              <w:right w:val="single" w:color="auto" w:sz="4" w:space="0"/>
            </w:tcBorders>
            <w:vAlign w:val="center"/>
          </w:tcPr>
          <w:p w14:paraId="778E917D">
            <w:pPr>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450000</w:t>
            </w:r>
          </w:p>
        </w:tc>
        <w:tc>
          <w:tcPr>
            <w:tcW w:w="1393" w:type="dxa"/>
            <w:tcBorders>
              <w:top w:val="single" w:color="auto" w:sz="4" w:space="0"/>
              <w:left w:val="single" w:color="auto" w:sz="4" w:space="0"/>
              <w:bottom w:val="single" w:color="auto" w:sz="4" w:space="0"/>
              <w:right w:val="single" w:color="auto" w:sz="4" w:space="0"/>
            </w:tcBorders>
            <w:vAlign w:val="center"/>
          </w:tcPr>
          <w:p w14:paraId="3CCD87B0">
            <w:pPr>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450000</w:t>
            </w:r>
          </w:p>
        </w:tc>
        <w:tc>
          <w:tcPr>
            <w:tcW w:w="1065" w:type="dxa"/>
            <w:tcBorders>
              <w:top w:val="single" w:color="auto" w:sz="4" w:space="0"/>
              <w:left w:val="single" w:color="auto" w:sz="4" w:space="0"/>
              <w:bottom w:val="single" w:color="auto" w:sz="4" w:space="0"/>
              <w:right w:val="single" w:color="auto" w:sz="4" w:space="0"/>
            </w:tcBorders>
            <w:vAlign w:val="center"/>
          </w:tcPr>
          <w:p w14:paraId="4BEA5AA7">
            <w:pPr>
              <w:jc w:val="center"/>
              <w:rPr>
                <w:rFonts w:hint="default" w:ascii="宋体" w:hAnsi="宋体" w:eastAsia="宋体" w:cs="宋体"/>
                <w:bCs/>
                <w:color w:val="auto"/>
                <w:sz w:val="24"/>
                <w:highlight w:val="yellow"/>
                <w:lang w:val="en-US" w:eastAsia="zh-CN"/>
              </w:rPr>
            </w:pPr>
            <w:r>
              <w:rPr>
                <w:rFonts w:hint="eastAsia" w:ascii="宋体" w:hAnsi="宋体" w:cs="宋体"/>
                <w:color w:val="auto"/>
                <w:sz w:val="24"/>
                <w:lang w:val="en-US" w:eastAsia="zh-CN"/>
              </w:rPr>
              <w:t>自合同签订后1年</w:t>
            </w:r>
          </w:p>
        </w:tc>
        <w:tc>
          <w:tcPr>
            <w:tcW w:w="1299" w:type="dxa"/>
            <w:tcBorders>
              <w:top w:val="single" w:color="auto" w:sz="4" w:space="0"/>
              <w:left w:val="single" w:color="auto" w:sz="4" w:space="0"/>
              <w:bottom w:val="single" w:color="auto" w:sz="4" w:space="0"/>
              <w:right w:val="single" w:color="auto" w:sz="4" w:space="0"/>
            </w:tcBorders>
            <w:vAlign w:val="center"/>
          </w:tcPr>
          <w:p w14:paraId="5DF5EACD">
            <w:pPr>
              <w:snapToGrid w:val="0"/>
              <w:jc w:val="center"/>
              <w:rPr>
                <w:rFonts w:ascii="宋体" w:hAnsi="宋体" w:cs="宋体"/>
                <w:color w:val="auto"/>
                <w:sz w:val="24"/>
              </w:rPr>
            </w:pPr>
            <w:r>
              <w:rPr>
                <w:rFonts w:hint="eastAsia" w:ascii="宋体" w:hAnsi="宋体" w:cs="宋体"/>
                <w:color w:val="auto"/>
                <w:sz w:val="24"/>
              </w:rPr>
              <w:t>详见招标文件第二部分</w:t>
            </w:r>
          </w:p>
        </w:tc>
      </w:tr>
    </w:tbl>
    <w:p w14:paraId="34D57162">
      <w:pPr>
        <w:pStyle w:val="25"/>
        <w:spacing w:line="240" w:lineRule="auto"/>
        <w:rPr>
          <w:color w:val="auto"/>
        </w:rPr>
      </w:pPr>
    </w:p>
    <w:p w14:paraId="6AC8A05F">
      <w:pPr>
        <w:rPr>
          <w:rFonts w:ascii="宋体" w:hAnsi="宋体" w:cs="宋体"/>
          <w:color w:val="auto"/>
          <w:sz w:val="24"/>
        </w:rPr>
      </w:pPr>
      <w:r>
        <w:rPr>
          <w:rFonts w:hint="eastAsia" w:ascii="宋体" w:hAnsi="宋体"/>
          <w:b/>
          <w:color w:val="auto"/>
          <w:sz w:val="24"/>
        </w:rPr>
        <w:t>三</w:t>
      </w:r>
      <w:r>
        <w:rPr>
          <w:rFonts w:hint="eastAsia" w:ascii="宋体" w:hAnsi="宋体" w:cs="宋体"/>
          <w:color w:val="auto"/>
          <w:sz w:val="24"/>
        </w:rPr>
        <w:t>、</w:t>
      </w:r>
      <w:r>
        <w:rPr>
          <w:rFonts w:hint="eastAsia" w:ascii="宋体" w:hAnsi="宋体" w:cs="宋体"/>
          <w:b/>
          <w:color w:val="auto"/>
          <w:sz w:val="24"/>
        </w:rPr>
        <w:t>合格</w:t>
      </w:r>
      <w:r>
        <w:rPr>
          <w:rFonts w:hint="eastAsia" w:ascii="宋体" w:hAnsi="宋体" w:cs="宋体"/>
          <w:b/>
          <w:color w:val="auto"/>
          <w:sz w:val="24"/>
          <w:lang w:val="en-US" w:eastAsia="zh-CN"/>
        </w:rPr>
        <w:t>磋商</w:t>
      </w:r>
      <w:r>
        <w:rPr>
          <w:rFonts w:hint="eastAsia" w:ascii="宋体" w:hAnsi="宋体" w:cs="宋体"/>
          <w:b/>
          <w:color w:val="auto"/>
          <w:sz w:val="24"/>
        </w:rPr>
        <w:t>供应商的资格条件：</w:t>
      </w:r>
      <w:bookmarkEnd w:id="7"/>
      <w:bookmarkEnd w:id="8"/>
    </w:p>
    <w:p w14:paraId="0E8F0DC1">
      <w:pPr>
        <w:snapToGrid w:val="0"/>
        <w:spacing w:line="360" w:lineRule="auto"/>
        <w:ind w:firstLine="540" w:firstLineChars="225"/>
        <w:rPr>
          <w:rFonts w:ascii="宋体" w:hAnsi="宋体" w:cs="Arial"/>
          <w:color w:val="auto"/>
          <w:sz w:val="24"/>
        </w:rPr>
      </w:pPr>
      <w:bookmarkStart w:id="9" w:name="_Toc291082866"/>
      <w:bookmarkStart w:id="10" w:name="_Toc291142607"/>
      <w:r>
        <w:rPr>
          <w:rFonts w:hint="eastAsia" w:ascii="宋体" w:hAnsi="宋体" w:cs="Arial"/>
          <w:color w:val="auto"/>
          <w:sz w:val="24"/>
        </w:rPr>
        <w:t>1.符合《中华人民共和国政府采购法》第二十二条要求：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14:paraId="242E8C07">
      <w:pPr>
        <w:snapToGrid w:val="0"/>
        <w:spacing w:line="360" w:lineRule="auto"/>
        <w:ind w:firstLine="480" w:firstLineChars="200"/>
        <w:rPr>
          <w:rFonts w:hint="eastAsia" w:ascii="宋体" w:hAnsi="宋体" w:cs="Arial"/>
          <w:color w:val="auto"/>
          <w:sz w:val="24"/>
        </w:rPr>
      </w:pPr>
      <w:r>
        <w:rPr>
          <w:rFonts w:hint="eastAsia" w:ascii="宋体" w:hAnsi="宋体" w:cs="Arial"/>
          <w:color w:val="auto"/>
          <w:sz w:val="24"/>
        </w:rPr>
        <w:t>2.未被“信用中国”（www.creditchina.gov.cn）、中国政府采购网（www.ccgp.gov.cn）列入失信被执行人、重大税收违法案件当事人名单、政府采购严重违法失信行为记录名单。</w:t>
      </w:r>
    </w:p>
    <w:p w14:paraId="5C7F6116">
      <w:pPr>
        <w:snapToGrid w:val="0"/>
        <w:spacing w:line="360" w:lineRule="auto"/>
        <w:ind w:firstLine="480" w:firstLineChars="200"/>
        <w:rPr>
          <w:rFonts w:hint="default" w:ascii="宋体" w:hAnsi="宋体" w:eastAsia="宋体" w:cs="Arial"/>
          <w:color w:val="auto"/>
          <w:sz w:val="24"/>
          <w:lang w:val="en-US" w:eastAsia="zh-CN"/>
        </w:rPr>
      </w:pPr>
      <w:r>
        <w:rPr>
          <w:rFonts w:hint="eastAsia" w:ascii="宋体" w:hAnsi="宋体" w:cs="Arial"/>
          <w:color w:val="auto"/>
          <w:sz w:val="24"/>
          <w:lang w:val="en-US" w:eastAsia="zh-CN"/>
        </w:rPr>
        <w:t>3.</w:t>
      </w:r>
      <w:r>
        <w:rPr>
          <w:rFonts w:hint="eastAsia" w:ascii="宋体" w:hAnsi="宋体" w:eastAsia="宋体" w:cs="Times New Roman"/>
          <w:color w:val="auto"/>
          <w:sz w:val="24"/>
          <w:szCs w:val="24"/>
          <w:highlight w:val="none"/>
        </w:rPr>
        <w:t>落实政府采购政策需满足的资格要求：</w:t>
      </w:r>
      <w:r>
        <w:rPr>
          <w:rFonts w:hint="eastAsia" w:ascii="宋体" w:hAnsi="宋体" w:eastAsia="宋体" w:cs="Arial"/>
          <w:color w:val="auto"/>
          <w:sz w:val="24"/>
        </w:rPr>
        <w:t>专门面向中小企业采购（监狱企业、残疾人福利性单位视同小型</w:t>
      </w:r>
      <w:r>
        <w:rPr>
          <w:rFonts w:hint="eastAsia" w:ascii="宋体" w:hAnsi="宋体" w:cs="Arial"/>
          <w:color w:val="auto"/>
          <w:sz w:val="24"/>
          <w:lang w:eastAsia="zh-CN"/>
        </w:rPr>
        <w:t>、</w:t>
      </w:r>
      <w:r>
        <w:rPr>
          <w:rFonts w:hint="eastAsia" w:ascii="宋体" w:hAnsi="宋体" w:cs="Arial"/>
          <w:color w:val="auto"/>
          <w:sz w:val="24"/>
          <w:lang w:val="en-US" w:eastAsia="zh-CN"/>
        </w:rPr>
        <w:t>微型</w:t>
      </w:r>
      <w:r>
        <w:rPr>
          <w:rFonts w:hint="eastAsia" w:ascii="宋体" w:hAnsi="宋体" w:eastAsia="宋体" w:cs="Arial"/>
          <w:color w:val="auto"/>
          <w:sz w:val="24"/>
        </w:rPr>
        <w:t>企业）</w:t>
      </w:r>
      <w:r>
        <w:rPr>
          <w:rFonts w:hint="eastAsia" w:ascii="宋体" w:hAnsi="宋体" w:eastAsia="宋体" w:cs="Arial"/>
          <w:color w:val="auto"/>
          <w:sz w:val="24"/>
          <w:lang w:eastAsia="zh-CN"/>
        </w:rPr>
        <w:t>。</w:t>
      </w:r>
    </w:p>
    <w:p w14:paraId="6D35EF27">
      <w:pPr>
        <w:snapToGrid w:val="0"/>
        <w:spacing w:line="360" w:lineRule="auto"/>
        <w:ind w:firstLine="480" w:firstLineChars="200"/>
        <w:rPr>
          <w:rFonts w:hint="eastAsia" w:ascii="宋体" w:hAnsi="宋体" w:eastAsia="宋体" w:cs="Arial"/>
          <w:color w:val="auto"/>
          <w:sz w:val="24"/>
          <w:lang w:val="en-US" w:eastAsia="zh-CN"/>
        </w:rPr>
      </w:pPr>
      <w:r>
        <w:rPr>
          <w:rFonts w:hint="eastAsia" w:ascii="宋体" w:hAnsi="宋体" w:cs="Arial"/>
          <w:color w:val="auto"/>
          <w:sz w:val="24"/>
          <w:lang w:val="en-US" w:eastAsia="zh-CN"/>
        </w:rPr>
        <w:t>4</w:t>
      </w:r>
      <w:r>
        <w:rPr>
          <w:rFonts w:hint="eastAsia" w:ascii="宋体" w:hAnsi="宋体" w:cs="Arial"/>
          <w:color w:val="auto"/>
          <w:sz w:val="24"/>
        </w:rPr>
        <w:t>.供应商的特定条件：</w:t>
      </w:r>
      <w:r>
        <w:rPr>
          <w:rFonts w:hint="eastAsia" w:ascii="宋体" w:hAnsi="宋体" w:cs="Arial"/>
          <w:color w:val="auto"/>
          <w:sz w:val="24"/>
          <w:lang w:val="en-US" w:eastAsia="zh-CN"/>
        </w:rPr>
        <w:t>无</w:t>
      </w:r>
    </w:p>
    <w:p w14:paraId="62EA1E03">
      <w:pPr>
        <w:spacing w:line="360" w:lineRule="auto"/>
        <w:rPr>
          <w:rFonts w:ascii="宋体" w:hAnsi="宋体"/>
          <w:b/>
          <w:color w:val="auto"/>
          <w:sz w:val="24"/>
        </w:rPr>
      </w:pPr>
      <w:r>
        <w:rPr>
          <w:rFonts w:hint="eastAsia" w:ascii="宋体" w:hAnsi="宋体"/>
          <w:b/>
          <w:color w:val="auto"/>
          <w:sz w:val="24"/>
        </w:rPr>
        <w:t>四、</w:t>
      </w:r>
      <w:r>
        <w:rPr>
          <w:rFonts w:hint="eastAsia" w:ascii="宋体" w:hAnsi="宋体"/>
          <w:b/>
          <w:color w:val="auto"/>
          <w:sz w:val="24"/>
          <w:lang w:val="en-US" w:eastAsia="zh-CN"/>
        </w:rPr>
        <w:t>磋商</w:t>
      </w:r>
      <w:r>
        <w:rPr>
          <w:rFonts w:hint="eastAsia" w:ascii="宋体" w:hAnsi="宋体"/>
          <w:b/>
          <w:color w:val="auto"/>
          <w:sz w:val="24"/>
        </w:rPr>
        <w:t>文件获取的方式、时间：</w:t>
      </w:r>
    </w:p>
    <w:bookmarkEnd w:id="9"/>
    <w:bookmarkEnd w:id="10"/>
    <w:p w14:paraId="24DD50F7">
      <w:pPr>
        <w:spacing w:line="360" w:lineRule="auto"/>
        <w:ind w:firstLine="480" w:firstLineChars="200"/>
        <w:rPr>
          <w:color w:val="auto"/>
          <w:sz w:val="24"/>
          <w:szCs w:val="32"/>
        </w:rPr>
      </w:pPr>
      <w:r>
        <w:rPr>
          <w:rFonts w:hint="eastAsia"/>
          <w:color w:val="auto"/>
          <w:sz w:val="24"/>
          <w:szCs w:val="32"/>
        </w:rPr>
        <w:t>本项目招标文件实行“政府采购云平台”在线获取，不提供</w:t>
      </w:r>
      <w:r>
        <w:rPr>
          <w:rFonts w:hint="eastAsia"/>
          <w:color w:val="auto"/>
          <w:sz w:val="24"/>
          <w:szCs w:val="32"/>
          <w:lang w:val="en-US" w:eastAsia="zh-CN"/>
        </w:rPr>
        <w:t>磋商</w:t>
      </w:r>
      <w:r>
        <w:rPr>
          <w:rFonts w:hint="eastAsia"/>
          <w:color w:val="auto"/>
          <w:sz w:val="24"/>
          <w:szCs w:val="32"/>
        </w:rPr>
        <w:t>文件纸质版。供应商获取</w:t>
      </w:r>
      <w:r>
        <w:rPr>
          <w:rFonts w:hint="eastAsia"/>
          <w:color w:val="auto"/>
          <w:sz w:val="24"/>
          <w:szCs w:val="32"/>
          <w:lang w:val="en-US" w:eastAsia="zh-CN"/>
        </w:rPr>
        <w:t>磋商</w:t>
      </w:r>
      <w:r>
        <w:rPr>
          <w:rFonts w:hint="eastAsia"/>
          <w:color w:val="auto"/>
          <w:sz w:val="24"/>
          <w:szCs w:val="32"/>
        </w:rPr>
        <w:t>文件前应先完成“政府采购云平台”的账号注册；</w:t>
      </w:r>
    </w:p>
    <w:p w14:paraId="5F19E712">
      <w:pPr>
        <w:spacing w:line="360" w:lineRule="auto"/>
        <w:ind w:firstLine="480" w:firstLineChars="200"/>
        <w:rPr>
          <w:color w:val="auto"/>
          <w:sz w:val="24"/>
          <w:szCs w:val="32"/>
        </w:rPr>
      </w:pPr>
      <w:r>
        <w:rPr>
          <w:color w:val="auto"/>
          <w:sz w:val="24"/>
          <w:szCs w:val="32"/>
        </w:rPr>
        <w:t>1</w:t>
      </w:r>
      <w:r>
        <w:rPr>
          <w:rFonts w:hint="eastAsia"/>
          <w:color w:val="auto"/>
          <w:sz w:val="24"/>
          <w:szCs w:val="32"/>
        </w:rPr>
        <w:t>、获取地址：</w:t>
      </w:r>
    </w:p>
    <w:p w14:paraId="28D78053">
      <w:pPr>
        <w:spacing w:line="360" w:lineRule="auto"/>
        <w:ind w:firstLine="480" w:firstLineChars="200"/>
        <w:rPr>
          <w:color w:val="auto"/>
          <w:sz w:val="24"/>
          <w:szCs w:val="32"/>
        </w:rPr>
      </w:pPr>
      <w:r>
        <w:rPr>
          <w:rFonts w:hint="eastAsia"/>
          <w:color w:val="auto"/>
          <w:sz w:val="24"/>
          <w:szCs w:val="32"/>
        </w:rPr>
        <w:t>（1）政采云平台（http://</w:t>
      </w:r>
      <w:r>
        <w:rPr>
          <w:rFonts w:hint="eastAsia" w:ascii="宋体" w:hAnsi="宋体" w:cs="宋体"/>
          <w:color w:val="auto"/>
          <w:sz w:val="24"/>
          <w:szCs w:val="32"/>
          <w:highlight w:val="none"/>
        </w:rPr>
        <w:t>www.zcygov.cn</w:t>
      </w:r>
      <w:r>
        <w:rPr>
          <w:rFonts w:hint="eastAsia"/>
          <w:color w:val="auto"/>
          <w:sz w:val="24"/>
          <w:szCs w:val="32"/>
        </w:rPr>
        <w:t>）；</w:t>
      </w:r>
    </w:p>
    <w:p w14:paraId="31678286">
      <w:pPr>
        <w:spacing w:line="360" w:lineRule="auto"/>
        <w:ind w:firstLine="480" w:firstLineChars="200"/>
        <w:rPr>
          <w:color w:val="auto"/>
          <w:sz w:val="24"/>
          <w:szCs w:val="32"/>
        </w:rPr>
      </w:pPr>
      <w:r>
        <w:rPr>
          <w:rFonts w:hint="eastAsia"/>
          <w:color w:val="auto"/>
          <w:sz w:val="24"/>
          <w:szCs w:val="32"/>
        </w:rPr>
        <w:t>（2）供应商网上报名操作指南：“浙江政府采购网-办事指南-省采中心-网上报名”（http://zfcg.czt.zj.gov.cn/bs_other/2018-03-30/12002.html）。</w:t>
      </w:r>
    </w:p>
    <w:p w14:paraId="16837985">
      <w:pPr>
        <w:spacing w:line="360" w:lineRule="auto"/>
        <w:ind w:firstLine="480" w:firstLineChars="200"/>
        <w:rPr>
          <w:color w:val="auto"/>
          <w:sz w:val="24"/>
          <w:szCs w:val="32"/>
        </w:rPr>
      </w:pPr>
      <w:r>
        <w:rPr>
          <w:color w:val="auto"/>
          <w:sz w:val="24"/>
          <w:szCs w:val="32"/>
        </w:rPr>
        <w:t>2</w:t>
      </w:r>
      <w:r>
        <w:rPr>
          <w:rFonts w:hint="eastAsia"/>
          <w:color w:val="auto"/>
          <w:sz w:val="24"/>
          <w:szCs w:val="32"/>
        </w:rPr>
        <w:t>、获取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21C87052">
      <w:pPr>
        <w:spacing w:line="360" w:lineRule="auto"/>
        <w:ind w:firstLine="480" w:firstLineChars="200"/>
        <w:rPr>
          <w:color w:val="auto"/>
          <w:sz w:val="24"/>
          <w:szCs w:val="32"/>
        </w:rPr>
      </w:pPr>
      <w:r>
        <w:rPr>
          <w:color w:val="auto"/>
          <w:sz w:val="24"/>
          <w:szCs w:val="32"/>
        </w:rPr>
        <w:t>3</w:t>
      </w:r>
      <w:r>
        <w:rPr>
          <w:rFonts w:hint="eastAsia"/>
          <w:color w:val="auto"/>
          <w:sz w:val="24"/>
          <w:szCs w:val="32"/>
        </w:rPr>
        <w:t>、供应商获取招标文件时须提交的文件资料：无，按政釆云系统要求进行获取。</w:t>
      </w:r>
    </w:p>
    <w:p w14:paraId="183BB26D">
      <w:pPr>
        <w:spacing w:line="360" w:lineRule="auto"/>
        <w:ind w:firstLine="480" w:firstLineChars="200"/>
        <w:rPr>
          <w:color w:val="auto"/>
          <w:sz w:val="24"/>
          <w:szCs w:val="32"/>
        </w:rPr>
      </w:pPr>
      <w:r>
        <w:rPr>
          <w:color w:val="auto"/>
          <w:sz w:val="24"/>
          <w:szCs w:val="32"/>
        </w:rPr>
        <w:t>4</w:t>
      </w:r>
      <w:r>
        <w:rPr>
          <w:rFonts w:hint="eastAsia"/>
          <w:color w:val="auto"/>
          <w:sz w:val="24"/>
          <w:szCs w:val="32"/>
        </w:rPr>
        <w:t>、获取时间：公告发布时间至投标截止时间。</w:t>
      </w:r>
    </w:p>
    <w:p w14:paraId="3049577E">
      <w:pPr>
        <w:spacing w:line="360" w:lineRule="auto"/>
        <w:rPr>
          <w:color w:val="auto"/>
          <w:sz w:val="24"/>
          <w:szCs w:val="32"/>
        </w:rPr>
      </w:pPr>
      <w:r>
        <w:rPr>
          <w:rFonts w:hint="eastAsia"/>
          <w:color w:val="auto"/>
          <w:sz w:val="24"/>
          <w:szCs w:val="32"/>
        </w:rPr>
        <w:t>备注：公开招标采购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仅需浏览招标文件的供应商可点击“游客，浏览招标文件”直接下载招标文件浏览，如需参加项目投标，请供应商按上述要求获取招标文件，如未在政采云系统内完成相关流程，采购组织机构将拒绝非报名供应商的投标文件，引起的投标无效责任自负。</w:t>
      </w:r>
      <w:r>
        <w:rPr>
          <w:rFonts w:hint="eastAsia" w:ascii="宋体" w:hAnsi="宋体" w:cs="宋体"/>
          <w:bCs/>
          <w:color w:val="auto"/>
          <w:sz w:val="24"/>
        </w:rPr>
        <w:t>▲</w:t>
      </w:r>
      <w:r>
        <w:rPr>
          <w:rFonts w:hint="eastAsia" w:ascii="宋体" w:hAnsi="宋体" w:cs="宋体"/>
          <w:color w:val="auto"/>
          <w:sz w:val="24"/>
          <w:szCs w:val="32"/>
          <w:highlight w:val="none"/>
        </w:rPr>
        <w:t>如未在政采云系统内完成相关流程，采购组织机构将拒绝非报名供应商的</w:t>
      </w:r>
      <w:r>
        <w:rPr>
          <w:rFonts w:hint="eastAsia" w:ascii="宋体" w:hAnsi="宋体" w:cs="宋体"/>
          <w:color w:val="auto"/>
          <w:sz w:val="24"/>
          <w:szCs w:val="32"/>
          <w:highlight w:val="none"/>
          <w:lang w:val="en-US" w:eastAsia="zh-CN"/>
        </w:rPr>
        <w:t>投标</w:t>
      </w:r>
      <w:r>
        <w:rPr>
          <w:rFonts w:hint="eastAsia" w:ascii="宋体" w:hAnsi="宋体" w:cs="宋体"/>
          <w:color w:val="auto"/>
          <w:sz w:val="24"/>
          <w:szCs w:val="32"/>
          <w:highlight w:val="none"/>
        </w:rPr>
        <w:t>响应文件，引起的投标无效责任自负。</w:t>
      </w:r>
    </w:p>
    <w:p w14:paraId="60D005AA">
      <w:pPr>
        <w:pStyle w:val="34"/>
        <w:spacing w:line="360" w:lineRule="auto"/>
        <w:rPr>
          <w:rStyle w:val="28"/>
          <w:rFonts w:ascii="宋体" w:hAnsi="宋体" w:cs="宋体"/>
          <w:color w:val="auto"/>
          <w:sz w:val="24"/>
        </w:rPr>
      </w:pPr>
      <w:r>
        <w:rPr>
          <w:rStyle w:val="28"/>
          <w:rFonts w:hint="eastAsia" w:cs="宋体"/>
          <w:color w:val="auto"/>
          <w:sz w:val="24"/>
        </w:rPr>
        <w:t>五</w:t>
      </w:r>
      <w:r>
        <w:rPr>
          <w:rStyle w:val="28"/>
          <w:rFonts w:hint="eastAsia" w:ascii="宋体" w:hAnsi="宋体" w:cs="宋体"/>
          <w:color w:val="auto"/>
          <w:sz w:val="24"/>
        </w:rPr>
        <w:t>、投标说明：</w:t>
      </w:r>
    </w:p>
    <w:p w14:paraId="2C534E3A">
      <w:pPr>
        <w:spacing w:line="360" w:lineRule="auto"/>
        <w:ind w:firstLine="480" w:firstLineChars="200"/>
        <w:rPr>
          <w:rFonts w:ascii="宋体" w:hAnsi="宋体" w:cs="宋体"/>
          <w:color w:val="auto"/>
          <w:kern w:val="0"/>
          <w:sz w:val="24"/>
          <w:u w:val="single"/>
        </w:rPr>
      </w:pPr>
      <w:r>
        <w:rPr>
          <w:rFonts w:hint="eastAsia" w:ascii="宋体" w:hAnsi="宋体" w:cs="宋体"/>
          <w:color w:val="auto"/>
          <w:kern w:val="0"/>
          <w:sz w:val="24"/>
          <w:u w:val="single"/>
        </w:rPr>
        <w:t>1.本项目实行电子投标，投标人应按照本项目</w:t>
      </w:r>
      <w:r>
        <w:rPr>
          <w:rFonts w:hint="eastAsia" w:ascii="宋体" w:hAnsi="宋体" w:cs="宋体"/>
          <w:color w:val="auto"/>
          <w:kern w:val="0"/>
          <w:sz w:val="24"/>
          <w:u w:val="single"/>
          <w:lang w:val="en-US" w:eastAsia="zh-CN"/>
        </w:rPr>
        <w:t>磋商</w:t>
      </w:r>
      <w:r>
        <w:rPr>
          <w:rFonts w:hint="eastAsia" w:ascii="宋体" w:hAnsi="宋体" w:cs="宋体"/>
          <w:color w:val="auto"/>
          <w:kern w:val="0"/>
          <w:sz w:val="24"/>
          <w:u w:val="single"/>
        </w:rPr>
        <w:t>文件和政采云平台的要求编制、加密并递交投标文件。投标人在使用系统进行投标的过程中遇到涉及平台使用的任何问题，可致电政采云平台技术支持热线咨询，联系方式：</w:t>
      </w:r>
      <w:r>
        <w:rPr>
          <w:rFonts w:hint="eastAsia" w:ascii="宋体" w:hAnsi="宋体" w:cs="宋体"/>
          <w:color w:val="auto"/>
          <w:kern w:val="0"/>
          <w:sz w:val="24"/>
          <w:u w:val="single"/>
          <w:lang w:val="en-US" w:eastAsia="zh-CN"/>
        </w:rPr>
        <w:t>95763</w:t>
      </w:r>
      <w:r>
        <w:rPr>
          <w:rFonts w:hint="eastAsia" w:ascii="宋体" w:hAnsi="宋体" w:cs="宋体"/>
          <w:color w:val="auto"/>
          <w:kern w:val="0"/>
          <w:sz w:val="24"/>
          <w:u w:val="single"/>
        </w:rPr>
        <w:t>。</w:t>
      </w:r>
    </w:p>
    <w:p w14:paraId="794A9825">
      <w:pPr>
        <w:spacing w:line="360" w:lineRule="auto"/>
        <w:ind w:firstLine="480" w:firstLineChars="200"/>
        <w:rPr>
          <w:rFonts w:ascii="宋体" w:hAnsi="宋体" w:cs="宋体"/>
          <w:color w:val="auto"/>
          <w:kern w:val="0"/>
          <w:sz w:val="24"/>
          <w:u w:val="single"/>
        </w:rPr>
      </w:pPr>
      <w:r>
        <w:rPr>
          <w:rFonts w:hint="eastAsia" w:ascii="宋体" w:hAnsi="宋体" w:cs="宋体"/>
          <w:color w:val="auto"/>
          <w:kern w:val="0"/>
          <w:sz w:val="24"/>
          <w:u w:val="single"/>
        </w:rPr>
        <w:t>2.投标人通过政采云平台电子投标工具制作投标文件，电子投标工具请供应商自行前往浙江政府采购网下载并安装，（下载网址：</w:t>
      </w:r>
      <w:r>
        <w:rPr>
          <w:rFonts w:hint="eastAsia"/>
          <w:color w:val="auto"/>
        </w:rPr>
        <w:fldChar w:fldCharType="begin"/>
      </w:r>
      <w:r>
        <w:rPr>
          <w:color w:val="auto"/>
        </w:rPr>
        <w:instrText xml:space="preserve"> HYPERLINK "http://www.zjzfcg.gov.cn/bidClientTemplate/2019-05-27/12946.html）" </w:instrText>
      </w:r>
      <w:r>
        <w:rPr>
          <w:rFonts w:hint="eastAsia"/>
          <w:color w:val="auto"/>
        </w:rPr>
        <w:fldChar w:fldCharType="separate"/>
      </w:r>
      <w:r>
        <w:rPr>
          <w:rFonts w:hint="eastAsia" w:ascii="宋体" w:hAnsi="宋体" w:cs="宋体"/>
          <w:color w:val="auto"/>
          <w:kern w:val="0"/>
          <w:sz w:val="24"/>
          <w:u w:val="single"/>
        </w:rPr>
        <w:t>http://www.zjzfcg.gov.cn/bidClientTemplate/2019-05-27/12946.html）</w:t>
      </w:r>
      <w:r>
        <w:rPr>
          <w:rFonts w:hint="eastAsia" w:ascii="宋体" w:hAnsi="宋体" w:cs="宋体"/>
          <w:color w:val="auto"/>
          <w:kern w:val="0"/>
          <w:sz w:val="24"/>
          <w:u w:val="single"/>
        </w:rPr>
        <w:fldChar w:fldCharType="end"/>
      </w:r>
    </w:p>
    <w:p w14:paraId="157CA20C">
      <w:pPr>
        <w:spacing w:line="360" w:lineRule="auto"/>
        <w:ind w:firstLine="480" w:firstLineChars="200"/>
        <w:rPr>
          <w:rFonts w:ascii="宋体" w:hAnsi="宋体" w:cs="宋体"/>
          <w:color w:val="auto"/>
          <w:kern w:val="0"/>
          <w:sz w:val="24"/>
          <w:u w:val="single"/>
        </w:rPr>
      </w:pPr>
      <w:r>
        <w:rPr>
          <w:rFonts w:hint="eastAsia" w:ascii="宋体" w:hAnsi="宋体" w:cs="宋体"/>
          <w:color w:val="auto"/>
          <w:kern w:val="0"/>
          <w:sz w:val="24"/>
          <w:u w:val="single"/>
        </w:rPr>
        <w:t>3.投标人应在开标前完成CA数字证书办理。（办理流程详见</w:t>
      </w:r>
      <w:r>
        <w:rPr>
          <w:rFonts w:hint="eastAsia"/>
          <w:color w:val="auto"/>
        </w:rPr>
        <w:fldChar w:fldCharType="begin"/>
      </w:r>
      <w:r>
        <w:rPr>
          <w:color w:val="auto"/>
        </w:rPr>
        <w:instrText xml:space="preserve"> HYPERLINK "http://www.zjzfcg.gov.cn/bidClientTemplate/2019-05-27/12945.html" </w:instrText>
      </w:r>
      <w:r>
        <w:rPr>
          <w:rFonts w:hint="eastAsia"/>
          <w:color w:val="auto"/>
        </w:rPr>
        <w:fldChar w:fldCharType="separate"/>
      </w:r>
      <w:r>
        <w:rPr>
          <w:rFonts w:hint="eastAsia" w:ascii="宋体" w:hAnsi="宋体" w:cs="宋体"/>
          <w:color w:val="auto"/>
          <w:kern w:val="0"/>
          <w:sz w:val="24"/>
          <w:u w:val="single"/>
        </w:rPr>
        <w:t>http://www.zjzfcg.gov.cn/bidClientTemplate/2019-05-27/12945.html</w:t>
      </w:r>
      <w:r>
        <w:rPr>
          <w:rFonts w:hint="eastAsia" w:ascii="宋体" w:hAnsi="宋体" w:cs="宋体"/>
          <w:color w:val="auto"/>
          <w:kern w:val="0"/>
          <w:sz w:val="24"/>
          <w:u w:val="single"/>
        </w:rPr>
        <w:fldChar w:fldCharType="end"/>
      </w:r>
      <w:r>
        <w:rPr>
          <w:rFonts w:hint="eastAsia" w:ascii="宋体" w:hAnsi="宋体" w:cs="宋体"/>
          <w:color w:val="auto"/>
          <w:kern w:val="0"/>
          <w:sz w:val="24"/>
          <w:u w:val="single"/>
        </w:rPr>
        <w:t>，完成CA数字证书办理预计一周左右，请各投标人自行把握时间）</w:t>
      </w:r>
    </w:p>
    <w:p w14:paraId="1034AF35">
      <w:pPr>
        <w:spacing w:line="360" w:lineRule="auto"/>
        <w:ind w:firstLine="480" w:firstLineChars="200"/>
        <w:rPr>
          <w:rFonts w:ascii="宋体" w:hAnsi="宋体" w:cs="宋体"/>
          <w:color w:val="auto"/>
          <w:kern w:val="0"/>
          <w:sz w:val="24"/>
          <w:u w:val="single"/>
        </w:rPr>
      </w:pPr>
      <w:r>
        <w:rPr>
          <w:rFonts w:hint="eastAsia" w:ascii="宋体" w:hAnsi="宋体" w:cs="宋体"/>
          <w:color w:val="auto"/>
          <w:kern w:val="0"/>
          <w:sz w:val="24"/>
          <w:u w:val="single"/>
        </w:rPr>
        <w:t>4.</w:t>
      </w:r>
      <w:r>
        <w:rPr>
          <w:rFonts w:hint="eastAsia" w:ascii="宋体" w:hAnsi="宋体" w:cs="Arial"/>
          <w:color w:val="auto"/>
          <w:sz w:val="24"/>
          <w:u w:val="single"/>
        </w:rPr>
        <w:t>供应商应当在投标截止时间前完成电子投标文件的传输递交，投标截止时间前可以补充、修改或者撤回电子投标文件。补充或者修改电子投标文件的，应当先行撤回原文件，补充、修改后重新传输递交。</w:t>
      </w:r>
      <w:r>
        <w:rPr>
          <w:rFonts w:hint="eastAsia" w:ascii="宋体" w:hAnsi="宋体" w:cs="宋体"/>
          <w:bCs/>
          <w:color w:val="auto"/>
          <w:sz w:val="24"/>
          <w:highlight w:val="none"/>
        </w:rPr>
        <w:t>▲</w:t>
      </w:r>
      <w:r>
        <w:rPr>
          <w:rFonts w:hint="eastAsia" w:ascii="宋体" w:hAnsi="宋体" w:cs="Arial"/>
          <w:color w:val="auto"/>
          <w:sz w:val="24"/>
          <w:u w:val="single"/>
        </w:rPr>
        <w:t>开标截止时间前未完成传输的，视为撤回投标文件。</w:t>
      </w:r>
    </w:p>
    <w:p w14:paraId="4210DFC7">
      <w:pPr>
        <w:spacing w:line="360" w:lineRule="auto"/>
        <w:ind w:firstLine="480" w:firstLineChars="200"/>
        <w:rPr>
          <w:rFonts w:ascii="宋体" w:hAnsi="宋体" w:cs="宋体"/>
          <w:bCs/>
          <w:color w:val="auto"/>
          <w:sz w:val="24"/>
          <w:u w:val="single"/>
        </w:rPr>
      </w:pPr>
      <w:r>
        <w:rPr>
          <w:rFonts w:hint="eastAsia" w:ascii="宋体" w:hAnsi="宋体" w:cs="宋体"/>
          <w:bCs/>
          <w:color w:val="auto"/>
          <w:sz w:val="24"/>
          <w:u w:val="single"/>
        </w:rPr>
        <w:t>5.响应文件的组成、份数、密封、效力</w:t>
      </w:r>
    </w:p>
    <w:p w14:paraId="21513082">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本项目实行电子投标，供应商应按要求编制、密封、提交电子加密响应文件。</w:t>
      </w:r>
    </w:p>
    <w:p w14:paraId="7000665E">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5.1电子投标文件，按政采云平台项目采购--电子招投标操作指南及本磋商文件要求编制。</w:t>
      </w:r>
    </w:p>
    <w:p w14:paraId="4324EA54">
      <w:pPr>
        <w:spacing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rPr>
        <w:t>5.2</w:t>
      </w:r>
      <w:r>
        <w:rPr>
          <w:rFonts w:hint="eastAsia" w:ascii="宋体" w:hAnsi="宋体" w:cs="宋体"/>
          <w:color w:val="auto"/>
          <w:sz w:val="24"/>
          <w:highlight w:val="none"/>
          <w:u w:val="single"/>
        </w:rPr>
        <w:t>投标供应商在“政府采购云平台”完成“电子加密投标文件”的上传递交后，还可以在投标截止时间前递交</w:t>
      </w:r>
      <w:r>
        <w:rPr>
          <w:rFonts w:hint="eastAsia" w:ascii="宋体" w:hAnsi="宋体" w:cs="宋体"/>
          <w:color w:val="auto"/>
          <w:sz w:val="24"/>
          <w:highlight w:val="none"/>
          <w:u w:val="single"/>
          <w:lang w:eastAsia="zh-CN"/>
        </w:rPr>
        <w:t>（发送至采购代理机构指定邮箱）</w:t>
      </w:r>
      <w:r>
        <w:rPr>
          <w:rFonts w:hint="eastAsia" w:ascii="宋体" w:hAnsi="宋体" w:cs="宋体"/>
          <w:color w:val="auto"/>
          <w:sz w:val="24"/>
          <w:highlight w:val="none"/>
          <w:u w:val="single"/>
        </w:rPr>
        <w:t>经政采云平台加密处理的、以数据电文形式的 “备份投标文件”，可采用以下方式（逾期</w:t>
      </w:r>
      <w:r>
        <w:rPr>
          <w:rFonts w:hint="eastAsia" w:ascii="宋体" w:hAnsi="宋体" w:cs="宋体"/>
          <w:color w:val="auto"/>
          <w:sz w:val="24"/>
          <w:highlight w:val="none"/>
          <w:u w:val="single"/>
          <w:lang w:eastAsia="zh-CN"/>
        </w:rPr>
        <w:t>递交</w:t>
      </w:r>
      <w:r>
        <w:rPr>
          <w:rFonts w:hint="eastAsia" w:ascii="宋体" w:hAnsi="宋体" w:cs="宋体"/>
          <w:color w:val="auto"/>
          <w:sz w:val="24"/>
          <w:highlight w:val="none"/>
          <w:u w:val="single"/>
        </w:rPr>
        <w:t>将被</w:t>
      </w:r>
      <w:r>
        <w:rPr>
          <w:rFonts w:hint="eastAsia" w:ascii="宋体" w:hAnsi="宋体" w:cs="宋体"/>
          <w:color w:val="auto"/>
          <w:sz w:val="24"/>
          <w:highlight w:val="none"/>
          <w:u w:val="single"/>
          <w:lang w:eastAsia="zh-CN"/>
        </w:rPr>
        <w:t>视为未递交</w:t>
      </w:r>
      <w:r>
        <w:rPr>
          <w:rFonts w:hint="eastAsia" w:ascii="宋体" w:hAnsi="宋体" w:cs="宋体"/>
          <w:color w:val="auto"/>
          <w:sz w:val="24"/>
          <w:highlight w:val="none"/>
          <w:u w:val="single"/>
        </w:rPr>
        <w:t>）：</w:t>
      </w:r>
    </w:p>
    <w:p w14:paraId="75D89426">
      <w:pPr>
        <w:numPr>
          <w:ilvl w:val="0"/>
          <w:numId w:val="0"/>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在</w:t>
      </w: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截止时间前</w:t>
      </w:r>
      <w:r>
        <w:rPr>
          <w:rFonts w:hint="default" w:ascii="宋体" w:hAnsi="宋体" w:cs="宋体"/>
          <w:color w:val="auto"/>
          <w:sz w:val="24"/>
          <w:highlight w:val="none"/>
          <w:lang w:eastAsia="zh-CN"/>
        </w:rPr>
        <w:t>递交（以邮箱收到时间为准）</w:t>
      </w:r>
      <w:r>
        <w:rPr>
          <w:rFonts w:hint="eastAsia" w:ascii="宋体" w:hAnsi="宋体" w:cs="宋体"/>
          <w:color w:val="auto"/>
          <w:sz w:val="24"/>
          <w:highlight w:val="none"/>
        </w:rPr>
        <w:t>到</w:t>
      </w:r>
      <w:r>
        <w:rPr>
          <w:rFonts w:hint="default" w:ascii="宋体" w:hAnsi="宋体" w:cs="宋体"/>
          <w:color w:val="auto"/>
          <w:sz w:val="24"/>
          <w:highlight w:val="none"/>
          <w:lang w:eastAsia="zh-CN"/>
        </w:rPr>
        <w:t>采购代理机构指定邮箱（投递邮</w:t>
      </w:r>
      <w:r>
        <w:rPr>
          <w:rFonts w:hint="eastAsia" w:ascii="宋体" w:hAnsi="宋体" w:cs="宋体"/>
          <w:snapToGrid w:val="0"/>
          <w:color w:val="auto"/>
          <w:kern w:val="0"/>
          <w:sz w:val="24"/>
          <w:highlight w:val="none"/>
          <w:lang w:eastAsia="zh-CN"/>
        </w:rPr>
        <w:t>箱：</w:t>
      </w:r>
      <w:r>
        <w:rPr>
          <w:rFonts w:hint="eastAsia" w:ascii="宋体" w:hAnsi="宋体" w:cs="宋体"/>
          <w:snapToGrid w:val="0"/>
          <w:color w:val="auto"/>
          <w:kern w:val="0"/>
          <w:sz w:val="24"/>
          <w:highlight w:val="none"/>
          <w:lang w:val="en-US" w:eastAsia="zh-CN"/>
        </w:rPr>
        <w:fldChar w:fldCharType="begin"/>
      </w:r>
      <w:r>
        <w:rPr>
          <w:rFonts w:hint="eastAsia" w:ascii="宋体" w:hAnsi="宋体" w:cs="宋体"/>
          <w:snapToGrid w:val="0"/>
          <w:color w:val="auto"/>
          <w:kern w:val="0"/>
          <w:sz w:val="24"/>
          <w:highlight w:val="none"/>
          <w:lang w:val="en-US" w:eastAsia="zh-CN"/>
        </w:rPr>
        <w:instrText xml:space="preserve"> HYPERLINK "mailto:158031591@qq.com，邮件标题注明投标项目名称、投标单位名称）；" </w:instrText>
      </w:r>
      <w:r>
        <w:rPr>
          <w:rFonts w:hint="eastAsia" w:ascii="宋体" w:hAnsi="宋体" w:cs="宋体"/>
          <w:snapToGrid w:val="0"/>
          <w:color w:val="auto"/>
          <w:kern w:val="0"/>
          <w:sz w:val="24"/>
          <w:highlight w:val="none"/>
          <w:lang w:val="en-US" w:eastAsia="zh-CN"/>
        </w:rPr>
        <w:fldChar w:fldCharType="separate"/>
      </w:r>
      <w:r>
        <w:rPr>
          <w:rStyle w:val="27"/>
          <w:rFonts w:hint="eastAsia" w:ascii="宋体" w:hAnsi="宋体" w:cs="宋体"/>
          <w:snapToGrid w:val="0"/>
          <w:color w:val="auto"/>
          <w:kern w:val="0"/>
          <w:sz w:val="24"/>
          <w:highlight w:val="none"/>
          <w:lang w:val="en-US" w:eastAsia="zh-CN"/>
        </w:rPr>
        <w:t>75326417@qq.com</w:t>
      </w:r>
      <w:r>
        <w:rPr>
          <w:rStyle w:val="27"/>
          <w:rFonts w:hint="eastAsia" w:ascii="宋体" w:hAnsi="宋体" w:cs="宋体"/>
          <w:snapToGrid w:val="0"/>
          <w:color w:val="auto"/>
          <w:kern w:val="0"/>
          <w:sz w:val="24"/>
          <w:highlight w:val="none"/>
          <w:lang w:eastAsia="zh-CN"/>
        </w:rPr>
        <w:t>，</w:t>
      </w:r>
      <w:r>
        <w:rPr>
          <w:rStyle w:val="27"/>
          <w:rFonts w:hint="eastAsia" w:ascii="宋体" w:hAnsi="宋体" w:cs="宋体"/>
          <w:snapToGrid w:val="0"/>
          <w:color w:val="auto"/>
          <w:kern w:val="0"/>
          <w:sz w:val="24"/>
          <w:highlight w:val="none"/>
          <w:lang w:val="en-US" w:eastAsia="zh-CN"/>
        </w:rPr>
        <w:t>邮件标题注明投标项目名称、投标单位名称</w:t>
      </w:r>
      <w:r>
        <w:rPr>
          <w:rStyle w:val="27"/>
          <w:rFonts w:hint="eastAsia" w:ascii="宋体" w:hAnsi="宋体" w:cs="宋体"/>
          <w:snapToGrid w:val="0"/>
          <w:color w:val="auto"/>
          <w:kern w:val="0"/>
          <w:sz w:val="24"/>
          <w:highlight w:val="none"/>
          <w:lang w:eastAsia="zh-CN"/>
        </w:rPr>
        <w:t>）</w:t>
      </w:r>
      <w:r>
        <w:rPr>
          <w:rStyle w:val="27"/>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lang w:val="en-US" w:eastAsia="zh-CN"/>
        </w:rPr>
        <w:fldChar w:fldCharType="end"/>
      </w:r>
    </w:p>
    <w:p w14:paraId="009F2B6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备份响应文件由供应商自行确定是否提交，因备份响应文件未加密而造成失密等情况，采购代理机构概不负责。</w:t>
      </w:r>
      <w:r>
        <w:rPr>
          <w:rFonts w:hint="eastAsia" w:ascii="宋体" w:hAnsi="宋体" w:cs="宋体"/>
          <w:bCs/>
          <w:color w:val="auto"/>
          <w:sz w:val="24"/>
          <w:highlight w:val="none"/>
        </w:rPr>
        <w:t>▲</w:t>
      </w:r>
      <w:r>
        <w:rPr>
          <w:rFonts w:hint="eastAsia" w:ascii="宋体" w:hAnsi="宋体" w:cs="宋体"/>
          <w:color w:val="auto"/>
          <w:sz w:val="24"/>
          <w:highlight w:val="none"/>
        </w:rPr>
        <w:t>未在系统上提交响应文件而仅提交备份响应文件的，其响应无效。</w:t>
      </w:r>
    </w:p>
    <w:p w14:paraId="2908D1DE">
      <w:pPr>
        <w:spacing w:line="360" w:lineRule="auto"/>
        <w:ind w:firstLine="480" w:firstLineChars="200"/>
        <w:rPr>
          <w:rFonts w:ascii="宋体" w:hAnsi="宋体" w:cs="宋体"/>
          <w:color w:val="auto"/>
          <w:sz w:val="24"/>
          <w:u w:val="single"/>
        </w:rPr>
      </w:pPr>
      <w:r>
        <w:rPr>
          <w:rFonts w:hint="eastAsia" w:ascii="宋体" w:hAnsi="宋体" w:cs="宋体"/>
          <w:bCs/>
          <w:color w:val="auto"/>
          <w:sz w:val="24"/>
          <w:highlight w:val="none"/>
        </w:rPr>
        <w:t>▲</w:t>
      </w:r>
      <w:r>
        <w:rPr>
          <w:rFonts w:hint="eastAsia" w:ascii="宋体" w:hAnsi="宋体" w:cs="宋体"/>
          <w:color w:val="auto"/>
          <w:sz w:val="24"/>
          <w:highlight w:val="none"/>
        </w:rPr>
        <w:t>5.3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7E04DC4D">
      <w:pPr>
        <w:spacing w:line="360" w:lineRule="auto"/>
        <w:ind w:firstLine="482" w:firstLineChars="200"/>
        <w:rPr>
          <w:rFonts w:ascii="宋体" w:hAnsi="宋体" w:cs="宋体"/>
          <w:color w:val="auto"/>
          <w:sz w:val="24"/>
          <w:szCs w:val="32"/>
        </w:rPr>
      </w:pPr>
      <w:r>
        <w:rPr>
          <w:rFonts w:hint="eastAsia" w:ascii="宋体" w:hAnsi="宋体" w:cs="宋体"/>
          <w:b/>
          <w:bCs/>
          <w:color w:val="auto"/>
          <w:sz w:val="24"/>
          <w:szCs w:val="32"/>
        </w:rPr>
        <w:t>六、开标截止时间及开标时间：详见浙江政府采购网招标公告；</w:t>
      </w:r>
    </w:p>
    <w:p w14:paraId="2564E66E">
      <w:pPr>
        <w:spacing w:line="360" w:lineRule="auto"/>
        <w:ind w:firstLine="482" w:firstLineChars="200"/>
        <w:rPr>
          <w:rFonts w:ascii="宋体" w:hAnsi="宋体" w:cs="宋体"/>
          <w:color w:val="auto"/>
          <w:sz w:val="24"/>
          <w:szCs w:val="32"/>
        </w:rPr>
      </w:pPr>
      <w:r>
        <w:rPr>
          <w:rFonts w:hint="eastAsia" w:ascii="宋体" w:hAnsi="宋体" w:cs="宋体"/>
          <w:b/>
          <w:bCs/>
          <w:color w:val="auto"/>
          <w:sz w:val="24"/>
          <w:szCs w:val="32"/>
        </w:rPr>
        <w:t>七、开标地点：</w:t>
      </w:r>
      <w:r>
        <w:rPr>
          <w:rFonts w:hint="eastAsia" w:asciiTheme="minorEastAsia" w:hAnsiTheme="minorEastAsia" w:eastAsiaTheme="minorEastAsia"/>
          <w:color w:val="auto"/>
          <w:kern w:val="0"/>
          <w:sz w:val="24"/>
        </w:rPr>
        <w:t>通过“政府采购云平台（</w:t>
      </w:r>
      <w:r>
        <w:rPr>
          <w:rFonts w:asciiTheme="minorEastAsia" w:hAnsiTheme="minorEastAsia" w:eastAsiaTheme="minorEastAsia"/>
          <w:color w:val="auto"/>
          <w:kern w:val="0"/>
          <w:sz w:val="24"/>
        </w:rPr>
        <w:t>www.zcygov.cn）”实行在线投标响应</w:t>
      </w:r>
    </w:p>
    <w:p w14:paraId="508B5472">
      <w:pPr>
        <w:widowControl/>
        <w:spacing w:line="360" w:lineRule="auto"/>
        <w:ind w:firstLine="482" w:firstLineChars="200"/>
        <w:jc w:val="left"/>
        <w:rPr>
          <w:rFonts w:ascii="宋体" w:hAnsi="宋体" w:cs="宋体"/>
          <w:color w:val="auto"/>
          <w:sz w:val="24"/>
        </w:rPr>
      </w:pPr>
      <w:r>
        <w:rPr>
          <w:rFonts w:hint="eastAsia" w:ascii="宋体" w:hAnsi="宋体" w:cs="宋体"/>
          <w:b/>
          <w:color w:val="auto"/>
          <w:kern w:val="0"/>
          <w:sz w:val="24"/>
        </w:rPr>
        <w:t xml:space="preserve">八、供应商信用信息查询渠道及截止时点、信用信息查询记录和证据留存的具体方式、信用信息的使用规则： </w:t>
      </w:r>
    </w:p>
    <w:p w14:paraId="2982EE05">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rPr>
        <w:t xml:space="preserve">1、查询渠道：“信用中国”（www.creditchina.gov.cn）、“中国政府采购网”（www.ccgp.gov.cn）、“浙江政府采购网（www.zjzfcg.gov.cn）。 </w:t>
      </w:r>
    </w:p>
    <w:p w14:paraId="47BA4D12">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rPr>
        <w:t xml:space="preserve">2、信用信息查询的截止时点：开标后评标前。 </w:t>
      </w:r>
    </w:p>
    <w:p w14:paraId="5F1A9425">
      <w:pPr>
        <w:spacing w:line="360" w:lineRule="auto"/>
        <w:ind w:firstLine="480" w:firstLineChars="200"/>
        <w:rPr>
          <w:rFonts w:ascii="宋体" w:hAnsi="宋体" w:cs="宋体"/>
          <w:color w:val="auto"/>
          <w:sz w:val="24"/>
        </w:rPr>
      </w:pPr>
      <w:r>
        <w:rPr>
          <w:rFonts w:hint="eastAsia" w:ascii="宋体" w:hAnsi="宋体" w:cs="宋体"/>
          <w:color w:val="auto"/>
          <w:kern w:val="0"/>
          <w:sz w:val="24"/>
        </w:rPr>
        <w:t>3、信用信息查询记录和证据留存的具体方式：由采购代理机构在规定查询时间内</w:t>
      </w:r>
      <w:r>
        <w:rPr>
          <w:rFonts w:hint="eastAsia" w:ascii="宋体" w:hAnsi="宋体" w:cs="宋体"/>
          <w:color w:val="auto"/>
          <w:sz w:val="24"/>
        </w:rPr>
        <w:t>打印信用信息查询记录并归入项目档案。</w:t>
      </w:r>
    </w:p>
    <w:p w14:paraId="24ABC968">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4、信用信息的使用规则：对列入失信被执行人、重大税收违法案件当事人名单、政府采购严重违法失信行为记录名单及其他不符合《中华人民共和国政府采购法》第二</w:t>
      </w:r>
      <w:r>
        <w:rPr>
          <w:rFonts w:hint="eastAsia" w:ascii="宋体" w:hAnsi="宋体" w:cs="宋体"/>
          <w:color w:val="auto"/>
          <w:kern w:val="0"/>
          <w:sz w:val="24"/>
        </w:rPr>
        <w:t xml:space="preserve">十二条规定条件的供应商，将被拒绝其参与政府采购活动。 </w:t>
      </w:r>
    </w:p>
    <w:p w14:paraId="365C511A">
      <w:pPr>
        <w:widowControl/>
        <w:spacing w:line="360" w:lineRule="auto"/>
        <w:ind w:firstLine="482" w:firstLineChars="200"/>
        <w:jc w:val="left"/>
        <w:rPr>
          <w:rFonts w:ascii="宋体" w:hAnsi="宋体" w:cs="宋体"/>
          <w:color w:val="auto"/>
          <w:kern w:val="0"/>
          <w:sz w:val="24"/>
        </w:rPr>
      </w:pPr>
      <w:r>
        <w:rPr>
          <w:rFonts w:hint="eastAsia" w:ascii="宋体" w:hAnsi="宋体" w:cs="宋体"/>
          <w:b/>
          <w:bCs/>
          <w:color w:val="auto"/>
          <w:kern w:val="0"/>
          <w:sz w:val="24"/>
        </w:rPr>
        <w:t>九、公告期限：</w:t>
      </w:r>
      <w:r>
        <w:rPr>
          <w:rFonts w:hint="eastAsia" w:ascii="宋体" w:hAnsi="宋体" w:cs="宋体"/>
          <w:color w:val="auto"/>
          <w:kern w:val="0"/>
          <w:sz w:val="24"/>
        </w:rPr>
        <w:t>自本公告发布之日起</w:t>
      </w:r>
      <w:r>
        <w:rPr>
          <w:rFonts w:hint="eastAsia" w:ascii="宋体" w:hAnsi="宋体" w:cs="宋体"/>
          <w:color w:val="auto"/>
          <w:kern w:val="0"/>
          <w:sz w:val="24"/>
          <w:lang w:val="en-US" w:eastAsia="zh-CN"/>
        </w:rPr>
        <w:t>3</w:t>
      </w:r>
      <w:r>
        <w:rPr>
          <w:rFonts w:hint="eastAsia" w:ascii="宋体" w:hAnsi="宋体" w:cs="宋体"/>
          <w:color w:val="auto"/>
          <w:kern w:val="0"/>
          <w:sz w:val="24"/>
        </w:rPr>
        <w:t>个工作日。</w:t>
      </w:r>
    </w:p>
    <w:p w14:paraId="5DE51E4E">
      <w:pPr>
        <w:widowControl/>
        <w:spacing w:line="360" w:lineRule="auto"/>
        <w:ind w:firstLine="482" w:firstLineChars="200"/>
        <w:jc w:val="left"/>
        <w:rPr>
          <w:rFonts w:ascii="宋体" w:hAnsi="宋体" w:cs="宋体"/>
          <w:color w:val="auto"/>
          <w:sz w:val="24"/>
        </w:rPr>
      </w:pPr>
      <w:r>
        <w:rPr>
          <w:rFonts w:hint="eastAsia" w:ascii="宋体" w:hAnsi="宋体" w:cs="宋体"/>
          <w:b/>
          <w:color w:val="auto"/>
          <w:kern w:val="0"/>
          <w:sz w:val="24"/>
        </w:rPr>
        <w:t xml:space="preserve">十、相关注意事项： </w:t>
      </w:r>
    </w:p>
    <w:p w14:paraId="0F79AA8C">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1、供应商认为采购文件使自己的权益受到损害的，可以自获取采购文件之日或者采购文件公告期限届满之日起7个工作日内，以书面形式一次性针对同一环节向采购人和采购代理机构提出质疑</w:t>
      </w:r>
      <w:r>
        <w:rPr>
          <w:rFonts w:hint="eastAsia" w:ascii="宋体" w:hAnsi="宋体" w:cs="宋体"/>
          <w:color w:val="auto"/>
          <w:kern w:val="0"/>
          <w:sz w:val="24"/>
          <w:lang w:eastAsia="zh-CN"/>
        </w:rPr>
        <w:t>，后续就</w:t>
      </w:r>
      <w:r>
        <w:rPr>
          <w:rFonts w:hint="eastAsia" w:ascii="宋体" w:hAnsi="宋体" w:cs="宋体"/>
          <w:color w:val="auto"/>
          <w:kern w:val="0"/>
          <w:sz w:val="24"/>
          <w:lang w:val="en-US" w:eastAsia="zh-CN"/>
        </w:rPr>
        <w:t>招标</w:t>
      </w:r>
      <w:r>
        <w:rPr>
          <w:rFonts w:hint="eastAsia" w:ascii="宋体" w:hAnsi="宋体" w:cs="宋体"/>
          <w:color w:val="auto"/>
          <w:kern w:val="0"/>
          <w:sz w:val="24"/>
          <w:lang w:eastAsia="zh-CN"/>
        </w:rPr>
        <w:t>过程、</w:t>
      </w:r>
      <w:r>
        <w:rPr>
          <w:rFonts w:hint="eastAsia" w:ascii="宋体" w:hAnsi="宋体" w:cs="宋体"/>
          <w:color w:val="auto"/>
          <w:kern w:val="0"/>
          <w:sz w:val="24"/>
          <w:lang w:val="en-US" w:eastAsia="zh-CN"/>
        </w:rPr>
        <w:t>招标</w:t>
      </w:r>
      <w:r>
        <w:rPr>
          <w:rFonts w:hint="eastAsia" w:ascii="宋体" w:hAnsi="宋体" w:cs="宋体"/>
          <w:color w:val="auto"/>
          <w:kern w:val="0"/>
          <w:sz w:val="24"/>
          <w:lang w:eastAsia="zh-CN"/>
        </w:rPr>
        <w:t>结果提出质疑的，也应在同一环节一次性提出</w:t>
      </w:r>
      <w:r>
        <w:rPr>
          <w:rFonts w:hint="eastAsia" w:ascii="宋体" w:hAnsi="宋体" w:cs="宋体"/>
          <w:color w:val="auto"/>
          <w:kern w:val="0"/>
          <w:sz w:val="24"/>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16E1D88">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rPr>
        <w:t xml:space="preserve">2、根据《浙江省政府采购供应商注册及诚信管理暂行办法》浙财采监【2009】28 号文件，请各供应商及时办理浙江政府采购网“政府采购供应商注册”手续。 </w:t>
      </w:r>
    </w:p>
    <w:p w14:paraId="58917BD4">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rPr>
        <w:t xml:space="preserve">3、参与政府采购项目的注册供应商，需登录浙江政府采购网（http://zfcg.czt.zj.gov.cn）进行网上获取文件；尚未注册的供应商应当先在浙江政府采购网上申请注册，注册终审通过后再进行网上获取文件。 </w:t>
      </w:r>
    </w:p>
    <w:p w14:paraId="34F6FDC3">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rPr>
        <w:t xml:space="preserve">4、本项目所有公告发布网站：“浙江省政府采购网”（http:// www.zjzfcg.gov.cn）。 </w:t>
      </w:r>
    </w:p>
    <w:p w14:paraId="0CCF4F96">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rPr>
        <w:t xml:space="preserve">5、采购文件发售截止时间之后有潜在供应商提出要求获取采购文件的允许其报名获取，但对采购文件有异议应按规定的时间提出，逾期提出的，采购组织机构可不予受理、答复。 </w:t>
      </w:r>
    </w:p>
    <w:p w14:paraId="321B5A0B">
      <w:pPr>
        <w:widowControl/>
        <w:spacing w:line="36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6.开标时间后30分钟内，供应商须登录“政采云”平台，用“项目采购-开标评标”功能解密投标文件，投标人未按时解密或解密失败的，其上传的电子投标文件自动失效，CA及解密电脑设备自备。</w:t>
      </w:r>
    </w:p>
    <w:p w14:paraId="4E390295">
      <w:pPr>
        <w:spacing w:line="360" w:lineRule="auto"/>
        <w:ind w:firstLine="482" w:firstLineChars="200"/>
        <w:rPr>
          <w:rFonts w:ascii="宋体" w:hAnsi="宋体" w:cs="宋体"/>
          <w:b/>
          <w:bCs/>
          <w:color w:val="auto"/>
          <w:sz w:val="24"/>
        </w:rPr>
      </w:pPr>
      <w:r>
        <w:rPr>
          <w:rFonts w:hint="eastAsia" w:ascii="宋体" w:hAnsi="宋体" w:cs="宋体"/>
          <w:b/>
          <w:bCs/>
          <w:color w:val="auto"/>
          <w:sz w:val="24"/>
        </w:rPr>
        <w:t>十一、其余事项：</w:t>
      </w:r>
    </w:p>
    <w:p w14:paraId="52391C69">
      <w:pPr>
        <w:spacing w:line="360" w:lineRule="auto"/>
        <w:rPr>
          <w:rFonts w:ascii="宋体" w:hAnsi="宋体" w:cs="宋体"/>
          <w:color w:val="auto"/>
          <w:sz w:val="24"/>
        </w:rPr>
      </w:pPr>
      <w:r>
        <w:rPr>
          <w:rFonts w:hint="eastAsia" w:ascii="宋体" w:hAnsi="宋体" w:cs="宋体"/>
          <w:color w:val="auto"/>
          <w:sz w:val="24"/>
        </w:rPr>
        <w:t>中标供应商如有融资需求，可使用以下银行的政采贷服务。</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1"/>
        <w:gridCol w:w="1452"/>
        <w:gridCol w:w="1688"/>
        <w:gridCol w:w="2131"/>
      </w:tblGrid>
      <w:tr w14:paraId="317F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6B27F844">
            <w:pPr>
              <w:jc w:val="center"/>
              <w:rPr>
                <w:rFonts w:ascii="宋体" w:hAnsi="宋体" w:cs="宋体"/>
                <w:color w:val="auto"/>
                <w:sz w:val="24"/>
              </w:rPr>
            </w:pPr>
            <w:r>
              <w:rPr>
                <w:rFonts w:hint="eastAsia" w:ascii="宋体" w:hAnsi="宋体" w:cs="宋体"/>
                <w:color w:val="auto"/>
                <w:sz w:val="24"/>
              </w:rPr>
              <w:t>银行</w:t>
            </w:r>
          </w:p>
        </w:tc>
        <w:tc>
          <w:tcPr>
            <w:tcW w:w="1452" w:type="dxa"/>
            <w:vAlign w:val="center"/>
          </w:tcPr>
          <w:p w14:paraId="387DAB29">
            <w:pPr>
              <w:jc w:val="center"/>
              <w:rPr>
                <w:rFonts w:ascii="宋体" w:hAnsi="宋体" w:cs="宋体"/>
                <w:color w:val="auto"/>
                <w:sz w:val="24"/>
              </w:rPr>
            </w:pPr>
            <w:r>
              <w:rPr>
                <w:rFonts w:hint="eastAsia" w:ascii="宋体" w:hAnsi="宋体" w:cs="宋体"/>
                <w:color w:val="auto"/>
                <w:sz w:val="24"/>
              </w:rPr>
              <w:t>贷款年利率</w:t>
            </w:r>
          </w:p>
        </w:tc>
        <w:tc>
          <w:tcPr>
            <w:tcW w:w="1688" w:type="dxa"/>
            <w:vAlign w:val="center"/>
          </w:tcPr>
          <w:p w14:paraId="1D9FAF4C">
            <w:pPr>
              <w:jc w:val="center"/>
              <w:rPr>
                <w:rFonts w:ascii="宋体" w:hAnsi="宋体" w:cs="宋体"/>
                <w:color w:val="auto"/>
                <w:sz w:val="24"/>
              </w:rPr>
            </w:pPr>
            <w:r>
              <w:rPr>
                <w:rFonts w:hint="eastAsia" w:ascii="宋体" w:hAnsi="宋体" w:cs="宋体"/>
                <w:color w:val="auto"/>
                <w:sz w:val="24"/>
              </w:rPr>
              <w:t>联系人</w:t>
            </w:r>
          </w:p>
        </w:tc>
        <w:tc>
          <w:tcPr>
            <w:tcW w:w="2131" w:type="dxa"/>
            <w:vAlign w:val="center"/>
          </w:tcPr>
          <w:p w14:paraId="73AFCF89">
            <w:pPr>
              <w:jc w:val="center"/>
              <w:rPr>
                <w:rFonts w:ascii="宋体" w:hAnsi="宋体" w:cs="宋体"/>
                <w:color w:val="auto"/>
                <w:sz w:val="24"/>
              </w:rPr>
            </w:pPr>
            <w:r>
              <w:rPr>
                <w:rFonts w:hint="eastAsia" w:ascii="宋体" w:hAnsi="宋体" w:cs="宋体"/>
                <w:color w:val="auto"/>
                <w:sz w:val="24"/>
              </w:rPr>
              <w:t>联系电话</w:t>
            </w:r>
          </w:p>
        </w:tc>
      </w:tr>
      <w:tr w14:paraId="7104D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1A652F9E">
            <w:pPr>
              <w:jc w:val="center"/>
              <w:rPr>
                <w:rFonts w:ascii="宋体" w:hAnsi="宋体" w:cs="宋体"/>
                <w:color w:val="auto"/>
                <w:sz w:val="24"/>
              </w:rPr>
            </w:pPr>
            <w:r>
              <w:rPr>
                <w:rFonts w:hint="eastAsia" w:ascii="宋体" w:hAnsi="宋体" w:cs="宋体"/>
                <w:color w:val="auto"/>
                <w:sz w:val="24"/>
              </w:rPr>
              <w:t>中国工商银行</w:t>
            </w:r>
          </w:p>
        </w:tc>
        <w:tc>
          <w:tcPr>
            <w:tcW w:w="1452" w:type="dxa"/>
            <w:vAlign w:val="center"/>
          </w:tcPr>
          <w:p w14:paraId="73779CC5">
            <w:pPr>
              <w:jc w:val="center"/>
              <w:rPr>
                <w:rFonts w:ascii="宋体" w:hAnsi="宋体" w:cs="宋体"/>
                <w:color w:val="auto"/>
                <w:sz w:val="24"/>
              </w:rPr>
            </w:pPr>
            <w:r>
              <w:rPr>
                <w:rFonts w:hint="eastAsia" w:ascii="宋体" w:hAnsi="宋体" w:cs="宋体"/>
                <w:color w:val="auto"/>
                <w:sz w:val="24"/>
              </w:rPr>
              <w:t>3.8%起</w:t>
            </w:r>
          </w:p>
        </w:tc>
        <w:tc>
          <w:tcPr>
            <w:tcW w:w="1688" w:type="dxa"/>
            <w:vAlign w:val="center"/>
          </w:tcPr>
          <w:p w14:paraId="32F13B55">
            <w:pPr>
              <w:jc w:val="center"/>
              <w:rPr>
                <w:rFonts w:ascii="宋体" w:hAnsi="宋体" w:cs="宋体"/>
                <w:color w:val="auto"/>
                <w:sz w:val="24"/>
              </w:rPr>
            </w:pPr>
            <w:r>
              <w:rPr>
                <w:rFonts w:hint="eastAsia" w:ascii="宋体" w:hAnsi="宋体" w:cs="宋体"/>
                <w:color w:val="auto"/>
                <w:sz w:val="24"/>
              </w:rPr>
              <w:t>王霖</w:t>
            </w:r>
          </w:p>
        </w:tc>
        <w:tc>
          <w:tcPr>
            <w:tcW w:w="2131" w:type="dxa"/>
            <w:vAlign w:val="center"/>
          </w:tcPr>
          <w:p w14:paraId="659B9317">
            <w:pPr>
              <w:jc w:val="center"/>
              <w:rPr>
                <w:rFonts w:ascii="宋体" w:hAnsi="宋体" w:cs="宋体"/>
                <w:color w:val="auto"/>
                <w:sz w:val="24"/>
              </w:rPr>
            </w:pPr>
            <w:r>
              <w:rPr>
                <w:rFonts w:hint="eastAsia" w:ascii="宋体" w:hAnsi="宋体" w:cs="宋体"/>
                <w:color w:val="auto"/>
                <w:sz w:val="24"/>
              </w:rPr>
              <w:t>88588246  13857654562</w:t>
            </w:r>
          </w:p>
        </w:tc>
      </w:tr>
      <w:tr w14:paraId="79A9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5B4CE7A4">
            <w:pPr>
              <w:jc w:val="center"/>
              <w:rPr>
                <w:rFonts w:ascii="宋体" w:hAnsi="宋体" w:cs="宋体"/>
                <w:color w:val="auto"/>
                <w:sz w:val="24"/>
              </w:rPr>
            </w:pPr>
            <w:r>
              <w:rPr>
                <w:rFonts w:hint="eastAsia" w:ascii="宋体" w:hAnsi="宋体" w:cs="宋体"/>
                <w:color w:val="auto"/>
                <w:sz w:val="24"/>
              </w:rPr>
              <w:t>中国农业银行</w:t>
            </w:r>
          </w:p>
        </w:tc>
        <w:tc>
          <w:tcPr>
            <w:tcW w:w="1452" w:type="dxa"/>
            <w:vAlign w:val="center"/>
          </w:tcPr>
          <w:p w14:paraId="2FAED688">
            <w:pPr>
              <w:jc w:val="center"/>
              <w:rPr>
                <w:rFonts w:ascii="宋体" w:hAnsi="宋体" w:cs="宋体"/>
                <w:color w:val="auto"/>
                <w:sz w:val="24"/>
              </w:rPr>
            </w:pPr>
            <w:r>
              <w:rPr>
                <w:rFonts w:hint="eastAsia" w:ascii="宋体" w:hAnsi="宋体" w:cs="宋体"/>
                <w:color w:val="auto"/>
                <w:sz w:val="24"/>
              </w:rPr>
              <w:t>3.8%起</w:t>
            </w:r>
          </w:p>
        </w:tc>
        <w:tc>
          <w:tcPr>
            <w:tcW w:w="1688" w:type="dxa"/>
            <w:vAlign w:val="center"/>
          </w:tcPr>
          <w:p w14:paraId="713B63B7">
            <w:pPr>
              <w:jc w:val="center"/>
              <w:rPr>
                <w:rFonts w:ascii="宋体" w:hAnsi="宋体" w:cs="宋体"/>
                <w:color w:val="auto"/>
                <w:sz w:val="24"/>
              </w:rPr>
            </w:pPr>
            <w:r>
              <w:rPr>
                <w:rFonts w:hint="eastAsia" w:ascii="宋体" w:hAnsi="宋体" w:cs="宋体"/>
                <w:color w:val="auto"/>
                <w:sz w:val="24"/>
              </w:rPr>
              <w:t>龚盛</w:t>
            </w:r>
          </w:p>
        </w:tc>
        <w:tc>
          <w:tcPr>
            <w:tcW w:w="2131" w:type="dxa"/>
            <w:vAlign w:val="center"/>
          </w:tcPr>
          <w:p w14:paraId="1F364EA6">
            <w:pPr>
              <w:jc w:val="center"/>
              <w:rPr>
                <w:rFonts w:ascii="宋体" w:hAnsi="宋体" w:cs="宋体"/>
                <w:color w:val="auto"/>
                <w:sz w:val="24"/>
              </w:rPr>
            </w:pPr>
            <w:r>
              <w:rPr>
                <w:rFonts w:hint="eastAsia" w:ascii="宋体" w:hAnsi="宋体" w:cs="宋体"/>
                <w:color w:val="auto"/>
                <w:sz w:val="24"/>
              </w:rPr>
              <w:t>15858682216</w:t>
            </w:r>
          </w:p>
        </w:tc>
      </w:tr>
      <w:tr w14:paraId="2E2E4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5508C253">
            <w:pPr>
              <w:jc w:val="center"/>
              <w:rPr>
                <w:rFonts w:ascii="宋体" w:hAnsi="宋体" w:cs="宋体"/>
                <w:color w:val="auto"/>
                <w:sz w:val="24"/>
              </w:rPr>
            </w:pPr>
            <w:r>
              <w:rPr>
                <w:rFonts w:hint="eastAsia" w:ascii="宋体" w:hAnsi="宋体" w:cs="宋体"/>
                <w:color w:val="auto"/>
                <w:sz w:val="24"/>
              </w:rPr>
              <w:t>中国建设银行</w:t>
            </w:r>
          </w:p>
        </w:tc>
        <w:tc>
          <w:tcPr>
            <w:tcW w:w="1452" w:type="dxa"/>
            <w:vAlign w:val="center"/>
          </w:tcPr>
          <w:p w14:paraId="136DD23E">
            <w:pPr>
              <w:jc w:val="center"/>
              <w:rPr>
                <w:rFonts w:ascii="宋体" w:hAnsi="宋体" w:cs="宋体"/>
                <w:color w:val="auto"/>
                <w:sz w:val="24"/>
              </w:rPr>
            </w:pPr>
            <w:r>
              <w:rPr>
                <w:rFonts w:hint="eastAsia" w:ascii="宋体" w:hAnsi="宋体" w:cs="宋体"/>
                <w:color w:val="auto"/>
                <w:sz w:val="24"/>
              </w:rPr>
              <w:t>3.8%起</w:t>
            </w:r>
          </w:p>
        </w:tc>
        <w:tc>
          <w:tcPr>
            <w:tcW w:w="1688" w:type="dxa"/>
            <w:vAlign w:val="center"/>
          </w:tcPr>
          <w:p w14:paraId="3137FD59">
            <w:pPr>
              <w:jc w:val="center"/>
              <w:rPr>
                <w:rFonts w:ascii="宋体" w:hAnsi="宋体" w:cs="宋体"/>
                <w:color w:val="auto"/>
                <w:sz w:val="24"/>
              </w:rPr>
            </w:pPr>
            <w:r>
              <w:rPr>
                <w:rFonts w:hint="eastAsia" w:ascii="宋体" w:hAnsi="宋体" w:cs="宋体"/>
                <w:color w:val="auto"/>
                <w:sz w:val="24"/>
              </w:rPr>
              <w:t>梅晶晶</w:t>
            </w:r>
          </w:p>
        </w:tc>
        <w:tc>
          <w:tcPr>
            <w:tcW w:w="2131" w:type="dxa"/>
            <w:vAlign w:val="center"/>
          </w:tcPr>
          <w:p w14:paraId="24D36815">
            <w:pPr>
              <w:jc w:val="center"/>
              <w:rPr>
                <w:rFonts w:ascii="宋体" w:hAnsi="宋体" w:cs="宋体"/>
                <w:color w:val="auto"/>
                <w:sz w:val="24"/>
              </w:rPr>
            </w:pPr>
            <w:r>
              <w:rPr>
                <w:rFonts w:hint="eastAsia" w:ascii="宋体" w:hAnsi="宋体" w:cs="宋体"/>
                <w:color w:val="auto"/>
                <w:sz w:val="24"/>
              </w:rPr>
              <w:t>88525339</w:t>
            </w:r>
          </w:p>
          <w:p w14:paraId="3E00ED34">
            <w:pPr>
              <w:jc w:val="center"/>
              <w:rPr>
                <w:rFonts w:ascii="宋体" w:hAnsi="宋体" w:cs="宋体"/>
                <w:color w:val="auto"/>
                <w:sz w:val="24"/>
              </w:rPr>
            </w:pPr>
            <w:r>
              <w:rPr>
                <w:rFonts w:hint="eastAsia" w:ascii="宋体" w:hAnsi="宋体" w:cs="宋体"/>
                <w:color w:val="auto"/>
                <w:sz w:val="24"/>
              </w:rPr>
              <w:t>13736585303</w:t>
            </w:r>
          </w:p>
        </w:tc>
      </w:tr>
      <w:tr w14:paraId="3EAB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5D81AC6D">
            <w:pPr>
              <w:jc w:val="center"/>
              <w:rPr>
                <w:rFonts w:ascii="宋体" w:hAnsi="宋体" w:cs="宋体"/>
                <w:color w:val="auto"/>
                <w:sz w:val="24"/>
              </w:rPr>
            </w:pPr>
            <w:r>
              <w:rPr>
                <w:rFonts w:hint="eastAsia" w:ascii="宋体" w:hAnsi="宋体" w:cs="宋体"/>
                <w:color w:val="auto"/>
                <w:sz w:val="24"/>
              </w:rPr>
              <w:t>中国银行</w:t>
            </w:r>
          </w:p>
        </w:tc>
        <w:tc>
          <w:tcPr>
            <w:tcW w:w="1452" w:type="dxa"/>
            <w:vAlign w:val="center"/>
          </w:tcPr>
          <w:p w14:paraId="2FAE4D81">
            <w:pPr>
              <w:jc w:val="center"/>
              <w:rPr>
                <w:rFonts w:ascii="宋体" w:hAnsi="宋体" w:cs="宋体"/>
                <w:color w:val="auto"/>
                <w:sz w:val="24"/>
              </w:rPr>
            </w:pPr>
            <w:r>
              <w:rPr>
                <w:rFonts w:hint="eastAsia" w:ascii="宋体" w:hAnsi="宋体" w:cs="宋体"/>
                <w:color w:val="auto"/>
                <w:sz w:val="24"/>
              </w:rPr>
              <w:t>3.75%起</w:t>
            </w:r>
          </w:p>
        </w:tc>
        <w:tc>
          <w:tcPr>
            <w:tcW w:w="1688" w:type="dxa"/>
            <w:vAlign w:val="center"/>
          </w:tcPr>
          <w:p w14:paraId="2A0378E9">
            <w:pPr>
              <w:jc w:val="center"/>
              <w:rPr>
                <w:rFonts w:ascii="宋体" w:hAnsi="宋体" w:cs="宋体"/>
                <w:color w:val="auto"/>
                <w:sz w:val="24"/>
              </w:rPr>
            </w:pPr>
            <w:r>
              <w:rPr>
                <w:rFonts w:hint="eastAsia" w:ascii="宋体" w:hAnsi="宋体" w:cs="宋体"/>
                <w:color w:val="auto"/>
                <w:sz w:val="24"/>
              </w:rPr>
              <w:t>任茜</w:t>
            </w:r>
          </w:p>
        </w:tc>
        <w:tc>
          <w:tcPr>
            <w:tcW w:w="2131" w:type="dxa"/>
            <w:vAlign w:val="center"/>
          </w:tcPr>
          <w:p w14:paraId="72986484">
            <w:pPr>
              <w:jc w:val="center"/>
              <w:rPr>
                <w:rFonts w:ascii="宋体" w:hAnsi="宋体" w:cs="宋体"/>
                <w:color w:val="auto"/>
                <w:sz w:val="24"/>
              </w:rPr>
            </w:pPr>
            <w:r>
              <w:rPr>
                <w:rFonts w:hint="eastAsia" w:ascii="宋体" w:hAnsi="宋体" w:cs="宋体"/>
                <w:color w:val="auto"/>
                <w:sz w:val="24"/>
              </w:rPr>
              <w:t>13857695378</w:t>
            </w:r>
          </w:p>
        </w:tc>
      </w:tr>
      <w:tr w14:paraId="0EFDD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4C1038A4">
            <w:pPr>
              <w:jc w:val="center"/>
              <w:rPr>
                <w:rFonts w:ascii="宋体" w:hAnsi="宋体" w:cs="宋体"/>
                <w:color w:val="auto"/>
                <w:sz w:val="24"/>
              </w:rPr>
            </w:pPr>
            <w:r>
              <w:rPr>
                <w:rFonts w:hint="eastAsia" w:ascii="宋体" w:hAnsi="宋体" w:cs="宋体"/>
                <w:color w:val="auto"/>
                <w:sz w:val="24"/>
              </w:rPr>
              <w:t>浦发银行台州分行</w:t>
            </w:r>
          </w:p>
        </w:tc>
        <w:tc>
          <w:tcPr>
            <w:tcW w:w="1452" w:type="dxa"/>
            <w:vAlign w:val="center"/>
          </w:tcPr>
          <w:p w14:paraId="6D190A42">
            <w:pPr>
              <w:jc w:val="center"/>
              <w:rPr>
                <w:rFonts w:ascii="宋体" w:hAnsi="宋体" w:cs="宋体"/>
                <w:color w:val="auto"/>
                <w:sz w:val="24"/>
              </w:rPr>
            </w:pPr>
            <w:r>
              <w:rPr>
                <w:rFonts w:hint="eastAsia" w:ascii="宋体" w:hAnsi="宋体" w:cs="宋体"/>
                <w:color w:val="auto"/>
                <w:sz w:val="24"/>
              </w:rPr>
              <w:t>4.05%起</w:t>
            </w:r>
          </w:p>
        </w:tc>
        <w:tc>
          <w:tcPr>
            <w:tcW w:w="1688" w:type="dxa"/>
            <w:vAlign w:val="center"/>
          </w:tcPr>
          <w:p w14:paraId="6FED9D83">
            <w:pPr>
              <w:jc w:val="center"/>
              <w:rPr>
                <w:rFonts w:ascii="宋体" w:hAnsi="宋体" w:cs="宋体"/>
                <w:color w:val="auto"/>
                <w:sz w:val="24"/>
              </w:rPr>
            </w:pPr>
            <w:r>
              <w:rPr>
                <w:rFonts w:hint="eastAsia" w:ascii="宋体" w:hAnsi="宋体" w:cs="宋体"/>
                <w:color w:val="auto"/>
                <w:sz w:val="24"/>
              </w:rPr>
              <w:t>王渊</w:t>
            </w:r>
          </w:p>
        </w:tc>
        <w:tc>
          <w:tcPr>
            <w:tcW w:w="2131" w:type="dxa"/>
            <w:vAlign w:val="center"/>
          </w:tcPr>
          <w:p w14:paraId="3EF37280">
            <w:pPr>
              <w:jc w:val="center"/>
              <w:rPr>
                <w:rFonts w:ascii="宋体" w:hAnsi="宋体" w:cs="宋体"/>
                <w:color w:val="auto"/>
                <w:sz w:val="24"/>
              </w:rPr>
            </w:pPr>
            <w:r>
              <w:rPr>
                <w:rFonts w:hint="eastAsia" w:ascii="宋体" w:hAnsi="宋体" w:cs="宋体"/>
                <w:color w:val="auto"/>
                <w:sz w:val="24"/>
              </w:rPr>
              <w:t>13616676319</w:t>
            </w:r>
          </w:p>
        </w:tc>
      </w:tr>
      <w:tr w14:paraId="0BF20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2B8C9B3A">
            <w:pPr>
              <w:jc w:val="center"/>
              <w:rPr>
                <w:rFonts w:ascii="宋体" w:hAnsi="宋体" w:cs="宋体"/>
                <w:color w:val="auto"/>
                <w:sz w:val="24"/>
              </w:rPr>
            </w:pPr>
            <w:r>
              <w:rPr>
                <w:rFonts w:hint="eastAsia" w:ascii="宋体" w:hAnsi="宋体" w:cs="宋体"/>
                <w:color w:val="auto"/>
                <w:sz w:val="24"/>
              </w:rPr>
              <w:t>浦发银行椒江分行</w:t>
            </w:r>
          </w:p>
        </w:tc>
        <w:tc>
          <w:tcPr>
            <w:tcW w:w="1452" w:type="dxa"/>
            <w:vAlign w:val="center"/>
          </w:tcPr>
          <w:p w14:paraId="5CE1B413">
            <w:pPr>
              <w:jc w:val="center"/>
              <w:rPr>
                <w:rFonts w:ascii="宋体" w:hAnsi="宋体" w:cs="宋体"/>
                <w:color w:val="auto"/>
                <w:sz w:val="24"/>
              </w:rPr>
            </w:pPr>
            <w:r>
              <w:rPr>
                <w:rFonts w:hint="eastAsia" w:ascii="宋体" w:hAnsi="宋体" w:cs="宋体"/>
                <w:color w:val="auto"/>
                <w:sz w:val="24"/>
              </w:rPr>
              <w:t>4.05%起</w:t>
            </w:r>
          </w:p>
        </w:tc>
        <w:tc>
          <w:tcPr>
            <w:tcW w:w="1688" w:type="dxa"/>
            <w:vAlign w:val="center"/>
          </w:tcPr>
          <w:p w14:paraId="2860535D">
            <w:pPr>
              <w:jc w:val="center"/>
              <w:rPr>
                <w:rFonts w:ascii="宋体" w:hAnsi="宋体" w:cs="宋体"/>
                <w:color w:val="auto"/>
                <w:sz w:val="24"/>
              </w:rPr>
            </w:pPr>
            <w:r>
              <w:rPr>
                <w:rFonts w:hint="eastAsia" w:ascii="宋体" w:hAnsi="宋体" w:cs="宋体"/>
                <w:color w:val="auto"/>
                <w:sz w:val="24"/>
              </w:rPr>
              <w:t>孙瑞华</w:t>
            </w:r>
          </w:p>
        </w:tc>
        <w:tc>
          <w:tcPr>
            <w:tcW w:w="2131" w:type="dxa"/>
            <w:vAlign w:val="center"/>
          </w:tcPr>
          <w:p w14:paraId="427834B4">
            <w:pPr>
              <w:jc w:val="center"/>
              <w:rPr>
                <w:rFonts w:ascii="宋体" w:hAnsi="宋体" w:cs="宋体"/>
                <w:color w:val="auto"/>
                <w:sz w:val="24"/>
              </w:rPr>
            </w:pPr>
            <w:r>
              <w:rPr>
                <w:rFonts w:hint="eastAsia" w:ascii="宋体" w:hAnsi="宋体" w:cs="宋体"/>
                <w:color w:val="auto"/>
                <w:sz w:val="24"/>
              </w:rPr>
              <w:t>13857688081</w:t>
            </w:r>
          </w:p>
        </w:tc>
      </w:tr>
      <w:tr w14:paraId="2A2C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15C6CA5B">
            <w:pPr>
              <w:jc w:val="center"/>
              <w:rPr>
                <w:rFonts w:ascii="宋体" w:hAnsi="宋体" w:cs="宋体"/>
                <w:color w:val="auto"/>
                <w:sz w:val="24"/>
              </w:rPr>
            </w:pPr>
            <w:r>
              <w:rPr>
                <w:rFonts w:hint="eastAsia" w:ascii="宋体" w:hAnsi="宋体" w:cs="宋体"/>
                <w:color w:val="auto"/>
                <w:sz w:val="24"/>
              </w:rPr>
              <w:t>交通银行台州分行</w:t>
            </w:r>
          </w:p>
        </w:tc>
        <w:tc>
          <w:tcPr>
            <w:tcW w:w="1452" w:type="dxa"/>
            <w:vAlign w:val="center"/>
          </w:tcPr>
          <w:p w14:paraId="358A40E5">
            <w:pPr>
              <w:jc w:val="center"/>
              <w:rPr>
                <w:rFonts w:ascii="宋体" w:hAnsi="宋体" w:cs="宋体"/>
                <w:color w:val="auto"/>
                <w:sz w:val="24"/>
              </w:rPr>
            </w:pPr>
            <w:r>
              <w:rPr>
                <w:rFonts w:hint="eastAsia" w:ascii="宋体" w:hAnsi="宋体" w:cs="宋体"/>
                <w:color w:val="auto"/>
                <w:sz w:val="24"/>
              </w:rPr>
              <w:t>3.75%起</w:t>
            </w:r>
          </w:p>
        </w:tc>
        <w:tc>
          <w:tcPr>
            <w:tcW w:w="1688" w:type="dxa"/>
            <w:vAlign w:val="center"/>
          </w:tcPr>
          <w:p w14:paraId="1909830F">
            <w:pPr>
              <w:jc w:val="center"/>
              <w:rPr>
                <w:rFonts w:ascii="宋体" w:hAnsi="宋体" w:cs="宋体"/>
                <w:color w:val="auto"/>
                <w:sz w:val="24"/>
              </w:rPr>
            </w:pPr>
            <w:r>
              <w:rPr>
                <w:rFonts w:hint="eastAsia" w:ascii="宋体" w:hAnsi="宋体" w:cs="宋体"/>
                <w:color w:val="auto"/>
                <w:sz w:val="24"/>
              </w:rPr>
              <w:t>周翔宇</w:t>
            </w:r>
          </w:p>
        </w:tc>
        <w:tc>
          <w:tcPr>
            <w:tcW w:w="2131" w:type="dxa"/>
            <w:vAlign w:val="center"/>
          </w:tcPr>
          <w:p w14:paraId="3F8F4FFF">
            <w:pPr>
              <w:jc w:val="center"/>
              <w:rPr>
                <w:rFonts w:ascii="宋体" w:hAnsi="宋体" w:cs="宋体"/>
                <w:color w:val="auto"/>
                <w:sz w:val="24"/>
              </w:rPr>
            </w:pPr>
            <w:r>
              <w:rPr>
                <w:rFonts w:hint="eastAsia" w:ascii="宋体" w:hAnsi="宋体" w:cs="宋体"/>
                <w:color w:val="auto"/>
                <w:sz w:val="24"/>
              </w:rPr>
              <w:t>13867697018</w:t>
            </w:r>
          </w:p>
        </w:tc>
      </w:tr>
      <w:tr w14:paraId="6818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64771C28">
            <w:pPr>
              <w:jc w:val="center"/>
              <w:rPr>
                <w:rFonts w:ascii="宋体" w:hAnsi="宋体" w:cs="宋体"/>
                <w:color w:val="auto"/>
                <w:sz w:val="24"/>
              </w:rPr>
            </w:pPr>
            <w:r>
              <w:rPr>
                <w:rFonts w:hint="eastAsia" w:ascii="宋体" w:hAnsi="宋体" w:cs="宋体"/>
                <w:color w:val="auto"/>
                <w:sz w:val="24"/>
              </w:rPr>
              <w:t>招商银行台州分行</w:t>
            </w:r>
          </w:p>
        </w:tc>
        <w:tc>
          <w:tcPr>
            <w:tcW w:w="1452" w:type="dxa"/>
            <w:vAlign w:val="center"/>
          </w:tcPr>
          <w:p w14:paraId="4A1E0BBF">
            <w:pPr>
              <w:jc w:val="center"/>
              <w:rPr>
                <w:rFonts w:ascii="宋体" w:hAnsi="宋体" w:cs="宋体"/>
                <w:color w:val="auto"/>
                <w:sz w:val="24"/>
              </w:rPr>
            </w:pPr>
            <w:r>
              <w:rPr>
                <w:rFonts w:hint="eastAsia" w:ascii="宋体" w:hAnsi="宋体" w:cs="宋体"/>
                <w:color w:val="auto"/>
                <w:sz w:val="24"/>
              </w:rPr>
              <w:t>4.32%起</w:t>
            </w:r>
          </w:p>
        </w:tc>
        <w:tc>
          <w:tcPr>
            <w:tcW w:w="1688" w:type="dxa"/>
            <w:vAlign w:val="center"/>
          </w:tcPr>
          <w:p w14:paraId="34DAE83F">
            <w:pPr>
              <w:jc w:val="center"/>
              <w:rPr>
                <w:rFonts w:ascii="宋体" w:hAnsi="宋体" w:cs="宋体"/>
                <w:color w:val="auto"/>
                <w:sz w:val="24"/>
              </w:rPr>
            </w:pPr>
            <w:r>
              <w:rPr>
                <w:rFonts w:hint="eastAsia" w:ascii="宋体" w:hAnsi="宋体" w:cs="宋体"/>
                <w:color w:val="auto"/>
                <w:sz w:val="24"/>
              </w:rPr>
              <w:t>王海玲</w:t>
            </w:r>
          </w:p>
        </w:tc>
        <w:tc>
          <w:tcPr>
            <w:tcW w:w="2131" w:type="dxa"/>
            <w:vAlign w:val="center"/>
          </w:tcPr>
          <w:p w14:paraId="1E84EC57">
            <w:pPr>
              <w:jc w:val="center"/>
              <w:rPr>
                <w:rFonts w:ascii="宋体" w:hAnsi="宋体" w:cs="宋体"/>
                <w:color w:val="auto"/>
                <w:sz w:val="24"/>
              </w:rPr>
            </w:pPr>
            <w:r>
              <w:rPr>
                <w:rFonts w:hint="eastAsia" w:ascii="宋体" w:hAnsi="宋体" w:cs="宋体"/>
                <w:color w:val="auto"/>
                <w:sz w:val="24"/>
              </w:rPr>
              <w:t>13566413827</w:t>
            </w:r>
          </w:p>
        </w:tc>
      </w:tr>
      <w:tr w14:paraId="7C822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333F488D">
            <w:pPr>
              <w:jc w:val="center"/>
              <w:rPr>
                <w:rFonts w:ascii="宋体" w:hAnsi="宋体" w:cs="宋体"/>
                <w:color w:val="auto"/>
                <w:sz w:val="24"/>
              </w:rPr>
            </w:pPr>
            <w:r>
              <w:rPr>
                <w:rFonts w:hint="eastAsia" w:ascii="宋体" w:hAnsi="宋体" w:cs="宋体"/>
                <w:color w:val="auto"/>
                <w:sz w:val="24"/>
              </w:rPr>
              <w:t>浙商银行台州分行</w:t>
            </w:r>
          </w:p>
        </w:tc>
        <w:tc>
          <w:tcPr>
            <w:tcW w:w="1452" w:type="dxa"/>
            <w:vAlign w:val="center"/>
          </w:tcPr>
          <w:p w14:paraId="4734469C">
            <w:pPr>
              <w:jc w:val="center"/>
              <w:rPr>
                <w:rFonts w:ascii="宋体" w:hAnsi="宋体" w:cs="宋体"/>
                <w:color w:val="auto"/>
                <w:sz w:val="24"/>
              </w:rPr>
            </w:pPr>
            <w:r>
              <w:rPr>
                <w:rFonts w:hint="eastAsia" w:ascii="宋体" w:hAnsi="宋体" w:cs="宋体"/>
                <w:color w:val="auto"/>
                <w:sz w:val="24"/>
              </w:rPr>
              <w:t>5.01%起</w:t>
            </w:r>
          </w:p>
        </w:tc>
        <w:tc>
          <w:tcPr>
            <w:tcW w:w="1688" w:type="dxa"/>
            <w:vAlign w:val="center"/>
          </w:tcPr>
          <w:p w14:paraId="03BB594C">
            <w:pPr>
              <w:jc w:val="center"/>
              <w:rPr>
                <w:rFonts w:ascii="宋体" w:hAnsi="宋体" w:cs="宋体"/>
                <w:color w:val="auto"/>
                <w:sz w:val="24"/>
              </w:rPr>
            </w:pPr>
            <w:r>
              <w:rPr>
                <w:rFonts w:hint="eastAsia" w:ascii="宋体" w:hAnsi="宋体" w:cs="宋体"/>
                <w:color w:val="auto"/>
                <w:sz w:val="24"/>
              </w:rPr>
              <w:t>章涉漪</w:t>
            </w:r>
          </w:p>
        </w:tc>
        <w:tc>
          <w:tcPr>
            <w:tcW w:w="2131" w:type="dxa"/>
            <w:vAlign w:val="center"/>
          </w:tcPr>
          <w:p w14:paraId="65B8B9AF">
            <w:pPr>
              <w:jc w:val="center"/>
              <w:rPr>
                <w:rFonts w:ascii="宋体" w:hAnsi="宋体" w:cs="宋体"/>
                <w:color w:val="auto"/>
                <w:sz w:val="24"/>
              </w:rPr>
            </w:pPr>
            <w:r>
              <w:rPr>
                <w:rFonts w:hint="eastAsia" w:ascii="宋体" w:hAnsi="宋体" w:cs="宋体"/>
                <w:color w:val="auto"/>
                <w:sz w:val="24"/>
              </w:rPr>
              <w:t>81880185</w:t>
            </w:r>
          </w:p>
          <w:p w14:paraId="0EFD6BEA">
            <w:pPr>
              <w:jc w:val="center"/>
              <w:rPr>
                <w:rFonts w:ascii="宋体" w:hAnsi="宋体" w:cs="宋体"/>
                <w:color w:val="auto"/>
                <w:sz w:val="24"/>
              </w:rPr>
            </w:pPr>
            <w:r>
              <w:rPr>
                <w:rFonts w:hint="eastAsia" w:ascii="宋体" w:hAnsi="宋体" w:cs="宋体"/>
                <w:color w:val="auto"/>
                <w:sz w:val="24"/>
              </w:rPr>
              <w:t>13606681262</w:t>
            </w:r>
          </w:p>
        </w:tc>
      </w:tr>
      <w:tr w14:paraId="0899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59B863E0">
            <w:pPr>
              <w:jc w:val="center"/>
              <w:rPr>
                <w:rFonts w:ascii="宋体" w:hAnsi="宋体" w:cs="宋体"/>
                <w:color w:val="auto"/>
                <w:sz w:val="24"/>
              </w:rPr>
            </w:pPr>
            <w:r>
              <w:rPr>
                <w:rFonts w:hint="eastAsia" w:ascii="宋体" w:hAnsi="宋体" w:cs="宋体"/>
                <w:color w:val="auto"/>
                <w:sz w:val="24"/>
              </w:rPr>
              <w:t>中信银行台州分行</w:t>
            </w:r>
          </w:p>
        </w:tc>
        <w:tc>
          <w:tcPr>
            <w:tcW w:w="1452" w:type="dxa"/>
            <w:vAlign w:val="center"/>
          </w:tcPr>
          <w:p w14:paraId="5ED95D5C">
            <w:pPr>
              <w:jc w:val="center"/>
              <w:rPr>
                <w:rFonts w:ascii="宋体" w:hAnsi="宋体" w:cs="宋体"/>
                <w:color w:val="auto"/>
                <w:sz w:val="24"/>
              </w:rPr>
            </w:pPr>
            <w:r>
              <w:rPr>
                <w:rFonts w:hint="eastAsia" w:ascii="宋体" w:hAnsi="宋体" w:cs="宋体"/>
                <w:color w:val="auto"/>
                <w:sz w:val="24"/>
              </w:rPr>
              <w:t>4.15%起</w:t>
            </w:r>
          </w:p>
        </w:tc>
        <w:tc>
          <w:tcPr>
            <w:tcW w:w="1688" w:type="dxa"/>
            <w:vAlign w:val="center"/>
          </w:tcPr>
          <w:p w14:paraId="09306B11">
            <w:pPr>
              <w:jc w:val="center"/>
              <w:rPr>
                <w:rFonts w:ascii="宋体" w:hAnsi="宋体" w:cs="宋体"/>
                <w:color w:val="auto"/>
                <w:sz w:val="24"/>
              </w:rPr>
            </w:pPr>
            <w:r>
              <w:rPr>
                <w:rFonts w:hint="eastAsia" w:ascii="宋体" w:hAnsi="宋体" w:cs="宋体"/>
                <w:color w:val="auto"/>
                <w:sz w:val="24"/>
              </w:rPr>
              <w:t>陈金园</w:t>
            </w:r>
          </w:p>
        </w:tc>
        <w:tc>
          <w:tcPr>
            <w:tcW w:w="2131" w:type="dxa"/>
            <w:vAlign w:val="center"/>
          </w:tcPr>
          <w:p w14:paraId="4776F053">
            <w:pPr>
              <w:jc w:val="center"/>
              <w:rPr>
                <w:rFonts w:ascii="宋体" w:hAnsi="宋体" w:cs="宋体"/>
                <w:color w:val="auto"/>
                <w:sz w:val="24"/>
              </w:rPr>
            </w:pPr>
            <w:r>
              <w:rPr>
                <w:rFonts w:hint="eastAsia" w:ascii="宋体" w:hAnsi="宋体" w:cs="宋体"/>
                <w:color w:val="auto"/>
                <w:sz w:val="24"/>
              </w:rPr>
              <w:t>13586052161</w:t>
            </w:r>
          </w:p>
        </w:tc>
      </w:tr>
      <w:tr w14:paraId="59C68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661D4ED1">
            <w:pPr>
              <w:jc w:val="center"/>
              <w:rPr>
                <w:rFonts w:ascii="宋体" w:hAnsi="宋体" w:cs="宋体"/>
                <w:color w:val="auto"/>
                <w:sz w:val="24"/>
              </w:rPr>
            </w:pPr>
            <w:r>
              <w:rPr>
                <w:rFonts w:hint="eastAsia" w:ascii="宋体" w:hAnsi="宋体" w:cs="宋体"/>
                <w:color w:val="auto"/>
                <w:sz w:val="24"/>
              </w:rPr>
              <w:t>华夏银行台州分行</w:t>
            </w:r>
          </w:p>
        </w:tc>
        <w:tc>
          <w:tcPr>
            <w:tcW w:w="1452" w:type="dxa"/>
            <w:vAlign w:val="center"/>
          </w:tcPr>
          <w:p w14:paraId="4B56684D">
            <w:pPr>
              <w:jc w:val="center"/>
              <w:rPr>
                <w:rFonts w:ascii="宋体" w:hAnsi="宋体" w:cs="宋体"/>
                <w:color w:val="auto"/>
                <w:sz w:val="24"/>
              </w:rPr>
            </w:pPr>
            <w:r>
              <w:rPr>
                <w:rFonts w:hint="eastAsia" w:ascii="宋体" w:hAnsi="宋体" w:cs="宋体"/>
                <w:color w:val="auto"/>
                <w:sz w:val="24"/>
              </w:rPr>
              <w:t>4.5%起</w:t>
            </w:r>
          </w:p>
        </w:tc>
        <w:tc>
          <w:tcPr>
            <w:tcW w:w="1688" w:type="dxa"/>
            <w:vAlign w:val="center"/>
          </w:tcPr>
          <w:p w14:paraId="03404A38">
            <w:pPr>
              <w:jc w:val="center"/>
              <w:rPr>
                <w:rFonts w:ascii="宋体" w:hAnsi="宋体" w:cs="宋体"/>
                <w:color w:val="auto"/>
                <w:sz w:val="24"/>
              </w:rPr>
            </w:pPr>
            <w:r>
              <w:rPr>
                <w:rFonts w:hint="eastAsia" w:ascii="宋体" w:hAnsi="宋体" w:cs="宋体"/>
                <w:color w:val="auto"/>
                <w:sz w:val="24"/>
              </w:rPr>
              <w:t>邱明达</w:t>
            </w:r>
          </w:p>
        </w:tc>
        <w:tc>
          <w:tcPr>
            <w:tcW w:w="2131" w:type="dxa"/>
            <w:vAlign w:val="center"/>
          </w:tcPr>
          <w:p w14:paraId="3FE43E23">
            <w:pPr>
              <w:jc w:val="center"/>
              <w:rPr>
                <w:rFonts w:ascii="宋体" w:hAnsi="宋体" w:cs="宋体"/>
                <w:color w:val="auto"/>
                <w:sz w:val="24"/>
              </w:rPr>
            </w:pPr>
            <w:r>
              <w:rPr>
                <w:rFonts w:hint="eastAsia" w:ascii="宋体" w:hAnsi="宋体" w:cs="宋体"/>
                <w:color w:val="auto"/>
                <w:sz w:val="24"/>
              </w:rPr>
              <w:t>81871518</w:t>
            </w:r>
          </w:p>
          <w:p w14:paraId="4DBFB00A">
            <w:pPr>
              <w:jc w:val="center"/>
              <w:rPr>
                <w:rFonts w:ascii="宋体" w:hAnsi="宋体" w:cs="宋体"/>
                <w:color w:val="auto"/>
                <w:sz w:val="24"/>
              </w:rPr>
            </w:pPr>
            <w:r>
              <w:rPr>
                <w:rFonts w:hint="eastAsia" w:ascii="宋体" w:hAnsi="宋体" w:cs="宋体"/>
                <w:color w:val="auto"/>
                <w:sz w:val="24"/>
              </w:rPr>
              <w:t>13736252233</w:t>
            </w:r>
          </w:p>
        </w:tc>
      </w:tr>
      <w:tr w14:paraId="63C22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1CFF417F">
            <w:pPr>
              <w:jc w:val="center"/>
              <w:rPr>
                <w:rFonts w:ascii="宋体" w:hAnsi="宋体" w:cs="宋体"/>
                <w:color w:val="auto"/>
                <w:sz w:val="24"/>
              </w:rPr>
            </w:pPr>
            <w:r>
              <w:rPr>
                <w:rFonts w:hint="eastAsia" w:ascii="宋体" w:hAnsi="宋体" w:cs="宋体"/>
                <w:color w:val="auto"/>
                <w:sz w:val="24"/>
              </w:rPr>
              <w:t>泰隆银行开发区支行</w:t>
            </w:r>
          </w:p>
        </w:tc>
        <w:tc>
          <w:tcPr>
            <w:tcW w:w="1452" w:type="dxa"/>
            <w:vAlign w:val="center"/>
          </w:tcPr>
          <w:p w14:paraId="4C7410F9">
            <w:pPr>
              <w:jc w:val="center"/>
              <w:rPr>
                <w:rFonts w:ascii="宋体" w:hAnsi="宋体" w:cs="宋体"/>
                <w:color w:val="auto"/>
                <w:sz w:val="24"/>
              </w:rPr>
            </w:pPr>
            <w:r>
              <w:rPr>
                <w:rFonts w:hint="eastAsia" w:ascii="宋体" w:hAnsi="宋体" w:cs="宋体"/>
                <w:color w:val="auto"/>
                <w:sz w:val="24"/>
              </w:rPr>
              <w:t>5.6%起</w:t>
            </w:r>
          </w:p>
        </w:tc>
        <w:tc>
          <w:tcPr>
            <w:tcW w:w="1688" w:type="dxa"/>
            <w:vAlign w:val="center"/>
          </w:tcPr>
          <w:p w14:paraId="08120FB8">
            <w:pPr>
              <w:jc w:val="center"/>
              <w:rPr>
                <w:rFonts w:ascii="宋体" w:hAnsi="宋体" w:cs="宋体"/>
                <w:color w:val="auto"/>
                <w:sz w:val="24"/>
              </w:rPr>
            </w:pPr>
            <w:r>
              <w:rPr>
                <w:rFonts w:hint="eastAsia" w:ascii="宋体" w:hAnsi="宋体" w:cs="宋体"/>
                <w:color w:val="auto"/>
                <w:sz w:val="24"/>
              </w:rPr>
              <w:t>梁宛莉</w:t>
            </w:r>
          </w:p>
        </w:tc>
        <w:tc>
          <w:tcPr>
            <w:tcW w:w="2131" w:type="dxa"/>
            <w:vAlign w:val="center"/>
          </w:tcPr>
          <w:p w14:paraId="3D9A062A">
            <w:pPr>
              <w:jc w:val="center"/>
              <w:rPr>
                <w:rFonts w:ascii="宋体" w:hAnsi="宋体" w:cs="宋体"/>
                <w:color w:val="auto"/>
                <w:sz w:val="24"/>
              </w:rPr>
            </w:pPr>
            <w:r>
              <w:rPr>
                <w:rFonts w:hint="eastAsia" w:ascii="宋体" w:hAnsi="宋体" w:cs="宋体"/>
                <w:color w:val="auto"/>
                <w:sz w:val="24"/>
              </w:rPr>
              <w:t>13306869100</w:t>
            </w:r>
          </w:p>
        </w:tc>
      </w:tr>
      <w:tr w14:paraId="499AC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1129D3DE">
            <w:pPr>
              <w:jc w:val="center"/>
              <w:rPr>
                <w:rFonts w:ascii="宋体" w:hAnsi="宋体" w:cs="宋体"/>
                <w:color w:val="auto"/>
                <w:sz w:val="24"/>
              </w:rPr>
            </w:pPr>
            <w:r>
              <w:rPr>
                <w:rFonts w:hint="eastAsia" w:ascii="宋体" w:hAnsi="宋体" w:cs="宋体"/>
                <w:color w:val="auto"/>
                <w:sz w:val="24"/>
              </w:rPr>
              <w:t>民泰银行椒江支行</w:t>
            </w:r>
          </w:p>
        </w:tc>
        <w:tc>
          <w:tcPr>
            <w:tcW w:w="1452" w:type="dxa"/>
            <w:vAlign w:val="center"/>
          </w:tcPr>
          <w:p w14:paraId="614F3277">
            <w:pPr>
              <w:jc w:val="center"/>
              <w:rPr>
                <w:rFonts w:ascii="宋体" w:hAnsi="宋体" w:cs="宋体"/>
                <w:color w:val="auto"/>
                <w:sz w:val="24"/>
              </w:rPr>
            </w:pPr>
            <w:r>
              <w:rPr>
                <w:rFonts w:hint="eastAsia" w:ascii="宋体" w:hAnsi="宋体" w:cs="宋体"/>
                <w:color w:val="auto"/>
                <w:sz w:val="24"/>
              </w:rPr>
              <w:t>5.8%起</w:t>
            </w:r>
          </w:p>
        </w:tc>
        <w:tc>
          <w:tcPr>
            <w:tcW w:w="1688" w:type="dxa"/>
            <w:vAlign w:val="center"/>
          </w:tcPr>
          <w:p w14:paraId="6DC4F850">
            <w:pPr>
              <w:jc w:val="center"/>
              <w:rPr>
                <w:rFonts w:ascii="宋体" w:hAnsi="宋体" w:cs="宋体"/>
                <w:color w:val="auto"/>
                <w:sz w:val="24"/>
              </w:rPr>
            </w:pPr>
            <w:r>
              <w:rPr>
                <w:rFonts w:hint="eastAsia" w:ascii="宋体" w:hAnsi="宋体" w:cs="宋体"/>
                <w:color w:val="auto"/>
                <w:sz w:val="24"/>
              </w:rPr>
              <w:t>陈慧珠</w:t>
            </w:r>
          </w:p>
        </w:tc>
        <w:tc>
          <w:tcPr>
            <w:tcW w:w="2131" w:type="dxa"/>
            <w:vAlign w:val="center"/>
          </w:tcPr>
          <w:p w14:paraId="26F2CC64">
            <w:pPr>
              <w:jc w:val="center"/>
              <w:rPr>
                <w:rFonts w:ascii="宋体" w:hAnsi="宋体" w:cs="宋体"/>
                <w:color w:val="auto"/>
                <w:sz w:val="24"/>
              </w:rPr>
            </w:pPr>
            <w:r>
              <w:rPr>
                <w:rFonts w:hint="eastAsia" w:ascii="宋体" w:hAnsi="宋体" w:cs="宋体"/>
                <w:color w:val="auto"/>
                <w:sz w:val="24"/>
              </w:rPr>
              <w:t>13857699669</w:t>
            </w:r>
          </w:p>
        </w:tc>
      </w:tr>
      <w:tr w14:paraId="31EB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02AF8368">
            <w:pPr>
              <w:jc w:val="center"/>
              <w:rPr>
                <w:rFonts w:ascii="宋体" w:hAnsi="宋体" w:cs="宋体"/>
                <w:color w:val="auto"/>
                <w:sz w:val="24"/>
              </w:rPr>
            </w:pPr>
            <w:r>
              <w:rPr>
                <w:rFonts w:hint="eastAsia" w:ascii="宋体" w:hAnsi="宋体" w:cs="宋体"/>
                <w:color w:val="auto"/>
                <w:sz w:val="24"/>
              </w:rPr>
              <w:t>绍兴银行台州分行</w:t>
            </w:r>
          </w:p>
        </w:tc>
        <w:tc>
          <w:tcPr>
            <w:tcW w:w="1452" w:type="dxa"/>
            <w:vAlign w:val="center"/>
          </w:tcPr>
          <w:p w14:paraId="63897716">
            <w:pPr>
              <w:jc w:val="center"/>
              <w:rPr>
                <w:rFonts w:ascii="宋体" w:hAnsi="宋体" w:cs="宋体"/>
                <w:color w:val="auto"/>
                <w:sz w:val="24"/>
              </w:rPr>
            </w:pPr>
            <w:r>
              <w:rPr>
                <w:rFonts w:hint="eastAsia" w:ascii="宋体" w:hAnsi="宋体" w:cs="宋体"/>
                <w:color w:val="auto"/>
                <w:sz w:val="24"/>
              </w:rPr>
              <w:t>5.1%起</w:t>
            </w:r>
          </w:p>
        </w:tc>
        <w:tc>
          <w:tcPr>
            <w:tcW w:w="1688" w:type="dxa"/>
            <w:vAlign w:val="center"/>
          </w:tcPr>
          <w:p w14:paraId="216DA377">
            <w:pPr>
              <w:jc w:val="center"/>
              <w:rPr>
                <w:rFonts w:ascii="宋体" w:hAnsi="宋体" w:cs="宋体"/>
                <w:color w:val="auto"/>
                <w:sz w:val="24"/>
              </w:rPr>
            </w:pPr>
            <w:r>
              <w:rPr>
                <w:rFonts w:hint="eastAsia" w:ascii="宋体" w:hAnsi="宋体" w:cs="宋体"/>
                <w:color w:val="auto"/>
                <w:sz w:val="24"/>
              </w:rPr>
              <w:t>郭庭斌</w:t>
            </w:r>
          </w:p>
        </w:tc>
        <w:tc>
          <w:tcPr>
            <w:tcW w:w="2131" w:type="dxa"/>
            <w:vAlign w:val="center"/>
          </w:tcPr>
          <w:p w14:paraId="75609545">
            <w:pPr>
              <w:jc w:val="center"/>
              <w:rPr>
                <w:rFonts w:ascii="宋体" w:hAnsi="宋体" w:cs="宋体"/>
                <w:color w:val="auto"/>
                <w:sz w:val="24"/>
              </w:rPr>
            </w:pPr>
            <w:r>
              <w:rPr>
                <w:rFonts w:hint="eastAsia" w:ascii="宋体" w:hAnsi="宋体" w:cs="宋体"/>
                <w:color w:val="auto"/>
                <w:sz w:val="24"/>
              </w:rPr>
              <w:t>15958633119</w:t>
            </w:r>
          </w:p>
        </w:tc>
      </w:tr>
      <w:tr w14:paraId="64FA8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22AFCB78">
            <w:pPr>
              <w:jc w:val="center"/>
              <w:rPr>
                <w:rFonts w:ascii="宋体" w:hAnsi="宋体" w:cs="宋体"/>
                <w:color w:val="auto"/>
                <w:sz w:val="24"/>
              </w:rPr>
            </w:pPr>
            <w:r>
              <w:rPr>
                <w:rFonts w:hint="eastAsia" w:ascii="宋体" w:hAnsi="宋体" w:cs="宋体"/>
                <w:color w:val="auto"/>
                <w:sz w:val="24"/>
              </w:rPr>
              <w:t>温州银行台州分行</w:t>
            </w:r>
          </w:p>
        </w:tc>
        <w:tc>
          <w:tcPr>
            <w:tcW w:w="1452" w:type="dxa"/>
            <w:vAlign w:val="center"/>
          </w:tcPr>
          <w:p w14:paraId="34B287F8">
            <w:pPr>
              <w:jc w:val="center"/>
              <w:rPr>
                <w:rFonts w:ascii="宋体" w:hAnsi="宋体" w:cs="宋体"/>
                <w:color w:val="auto"/>
                <w:sz w:val="24"/>
              </w:rPr>
            </w:pPr>
            <w:r>
              <w:rPr>
                <w:rFonts w:hint="eastAsia" w:ascii="宋体" w:hAnsi="宋体" w:cs="宋体"/>
                <w:color w:val="auto"/>
                <w:sz w:val="24"/>
              </w:rPr>
              <w:t>4.55%起</w:t>
            </w:r>
          </w:p>
        </w:tc>
        <w:tc>
          <w:tcPr>
            <w:tcW w:w="1688" w:type="dxa"/>
            <w:vAlign w:val="center"/>
          </w:tcPr>
          <w:p w14:paraId="3F1A8199">
            <w:pPr>
              <w:jc w:val="center"/>
              <w:rPr>
                <w:rFonts w:ascii="宋体" w:hAnsi="宋体" w:cs="宋体"/>
                <w:color w:val="auto"/>
                <w:sz w:val="24"/>
              </w:rPr>
            </w:pPr>
            <w:r>
              <w:rPr>
                <w:rFonts w:hint="eastAsia" w:ascii="宋体" w:hAnsi="宋体" w:cs="宋体"/>
                <w:color w:val="auto"/>
                <w:sz w:val="24"/>
              </w:rPr>
              <w:t>王晓波</w:t>
            </w:r>
          </w:p>
        </w:tc>
        <w:tc>
          <w:tcPr>
            <w:tcW w:w="2131" w:type="dxa"/>
            <w:vAlign w:val="center"/>
          </w:tcPr>
          <w:p w14:paraId="68E55989">
            <w:pPr>
              <w:jc w:val="center"/>
              <w:rPr>
                <w:rFonts w:ascii="宋体" w:hAnsi="宋体" w:cs="宋体"/>
                <w:color w:val="auto"/>
                <w:sz w:val="24"/>
              </w:rPr>
            </w:pPr>
            <w:r>
              <w:rPr>
                <w:rFonts w:hint="eastAsia" w:ascii="宋体" w:hAnsi="宋体" w:cs="宋体"/>
                <w:color w:val="auto"/>
                <w:sz w:val="24"/>
              </w:rPr>
              <w:t>15824005475</w:t>
            </w:r>
          </w:p>
        </w:tc>
      </w:tr>
      <w:tr w14:paraId="3388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36A9CFED">
            <w:pPr>
              <w:jc w:val="center"/>
              <w:rPr>
                <w:rFonts w:ascii="宋体" w:hAnsi="宋体" w:cs="宋体"/>
                <w:color w:val="auto"/>
                <w:sz w:val="24"/>
              </w:rPr>
            </w:pPr>
            <w:r>
              <w:rPr>
                <w:rFonts w:hint="eastAsia" w:ascii="宋体" w:hAnsi="宋体" w:cs="宋体"/>
                <w:color w:val="auto"/>
                <w:sz w:val="24"/>
              </w:rPr>
              <w:t>平安银行台州分行</w:t>
            </w:r>
          </w:p>
        </w:tc>
        <w:tc>
          <w:tcPr>
            <w:tcW w:w="1452" w:type="dxa"/>
            <w:vAlign w:val="center"/>
          </w:tcPr>
          <w:p w14:paraId="0A34BA09">
            <w:pPr>
              <w:jc w:val="center"/>
              <w:rPr>
                <w:rFonts w:ascii="宋体" w:hAnsi="宋体" w:cs="宋体"/>
                <w:color w:val="auto"/>
                <w:sz w:val="24"/>
              </w:rPr>
            </w:pPr>
            <w:r>
              <w:rPr>
                <w:rFonts w:hint="eastAsia" w:ascii="宋体" w:hAnsi="宋体" w:cs="宋体"/>
                <w:color w:val="auto"/>
                <w:sz w:val="24"/>
              </w:rPr>
              <w:t>6.53%起</w:t>
            </w:r>
          </w:p>
        </w:tc>
        <w:tc>
          <w:tcPr>
            <w:tcW w:w="1688" w:type="dxa"/>
            <w:vAlign w:val="center"/>
          </w:tcPr>
          <w:p w14:paraId="77448235">
            <w:pPr>
              <w:jc w:val="center"/>
              <w:rPr>
                <w:rFonts w:ascii="宋体" w:hAnsi="宋体" w:cs="宋体"/>
                <w:color w:val="auto"/>
                <w:sz w:val="24"/>
              </w:rPr>
            </w:pPr>
            <w:r>
              <w:rPr>
                <w:rFonts w:hint="eastAsia" w:ascii="宋体" w:hAnsi="宋体" w:cs="宋体"/>
                <w:color w:val="auto"/>
                <w:sz w:val="24"/>
              </w:rPr>
              <w:t>李俊丽</w:t>
            </w:r>
          </w:p>
        </w:tc>
        <w:tc>
          <w:tcPr>
            <w:tcW w:w="2131" w:type="dxa"/>
            <w:vAlign w:val="center"/>
          </w:tcPr>
          <w:p w14:paraId="4B8A0D13">
            <w:pPr>
              <w:jc w:val="center"/>
              <w:rPr>
                <w:rFonts w:ascii="宋体" w:hAnsi="宋体" w:cs="宋体"/>
                <w:color w:val="auto"/>
                <w:sz w:val="24"/>
              </w:rPr>
            </w:pPr>
            <w:r>
              <w:rPr>
                <w:rFonts w:hint="eastAsia" w:ascii="宋体" w:hAnsi="宋体" w:cs="宋体"/>
                <w:color w:val="auto"/>
                <w:sz w:val="24"/>
              </w:rPr>
              <w:t>15906861025</w:t>
            </w:r>
          </w:p>
        </w:tc>
      </w:tr>
      <w:tr w14:paraId="1D9A1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06F3BAF7">
            <w:pPr>
              <w:jc w:val="center"/>
              <w:rPr>
                <w:rFonts w:ascii="宋体" w:hAnsi="宋体" w:cs="宋体"/>
                <w:color w:val="auto"/>
                <w:sz w:val="24"/>
              </w:rPr>
            </w:pPr>
            <w:r>
              <w:rPr>
                <w:rFonts w:hint="eastAsia" w:ascii="宋体" w:hAnsi="宋体" w:cs="宋体"/>
                <w:color w:val="auto"/>
                <w:sz w:val="24"/>
              </w:rPr>
              <w:t>宁波银行台州分行</w:t>
            </w:r>
          </w:p>
        </w:tc>
        <w:tc>
          <w:tcPr>
            <w:tcW w:w="1452" w:type="dxa"/>
            <w:vAlign w:val="center"/>
          </w:tcPr>
          <w:p w14:paraId="27656878">
            <w:pPr>
              <w:jc w:val="center"/>
              <w:rPr>
                <w:rFonts w:ascii="宋体" w:hAnsi="宋体" w:cs="宋体"/>
                <w:color w:val="auto"/>
                <w:sz w:val="24"/>
              </w:rPr>
            </w:pPr>
            <w:r>
              <w:rPr>
                <w:rFonts w:hint="eastAsia" w:ascii="宋体" w:hAnsi="宋体" w:cs="宋体"/>
                <w:color w:val="auto"/>
                <w:sz w:val="24"/>
              </w:rPr>
              <w:t>4.35%起</w:t>
            </w:r>
          </w:p>
        </w:tc>
        <w:tc>
          <w:tcPr>
            <w:tcW w:w="1688" w:type="dxa"/>
            <w:vAlign w:val="center"/>
          </w:tcPr>
          <w:p w14:paraId="593FDA76">
            <w:pPr>
              <w:jc w:val="center"/>
              <w:rPr>
                <w:rFonts w:ascii="宋体" w:hAnsi="宋体" w:cs="宋体"/>
                <w:color w:val="auto"/>
                <w:sz w:val="24"/>
              </w:rPr>
            </w:pPr>
            <w:r>
              <w:rPr>
                <w:rFonts w:hint="eastAsia" w:ascii="宋体" w:hAnsi="宋体" w:cs="宋体"/>
                <w:color w:val="auto"/>
                <w:sz w:val="24"/>
              </w:rPr>
              <w:t>戴莉丽</w:t>
            </w:r>
          </w:p>
        </w:tc>
        <w:tc>
          <w:tcPr>
            <w:tcW w:w="2131" w:type="dxa"/>
            <w:vAlign w:val="center"/>
          </w:tcPr>
          <w:p w14:paraId="268EC6A3">
            <w:pPr>
              <w:jc w:val="center"/>
              <w:rPr>
                <w:rFonts w:ascii="宋体" w:hAnsi="宋体" w:cs="宋体"/>
                <w:color w:val="auto"/>
                <w:sz w:val="24"/>
              </w:rPr>
            </w:pPr>
            <w:r>
              <w:rPr>
                <w:rFonts w:hint="eastAsia" w:ascii="宋体" w:hAnsi="宋体" w:cs="宋体"/>
                <w:color w:val="auto"/>
                <w:sz w:val="24"/>
              </w:rPr>
              <w:t>13566627207</w:t>
            </w:r>
          </w:p>
        </w:tc>
      </w:tr>
      <w:tr w14:paraId="3B2F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357DBCA6">
            <w:pPr>
              <w:jc w:val="center"/>
              <w:rPr>
                <w:rFonts w:ascii="宋体" w:hAnsi="宋体" w:cs="宋体"/>
                <w:color w:val="auto"/>
                <w:sz w:val="24"/>
              </w:rPr>
            </w:pPr>
            <w:r>
              <w:rPr>
                <w:rFonts w:hint="eastAsia" w:ascii="宋体" w:hAnsi="宋体" w:cs="宋体"/>
                <w:color w:val="auto"/>
                <w:sz w:val="24"/>
              </w:rPr>
              <w:t>金华银行台州分行</w:t>
            </w:r>
          </w:p>
        </w:tc>
        <w:tc>
          <w:tcPr>
            <w:tcW w:w="1452" w:type="dxa"/>
            <w:vAlign w:val="center"/>
          </w:tcPr>
          <w:p w14:paraId="07998087">
            <w:pPr>
              <w:jc w:val="center"/>
              <w:rPr>
                <w:rFonts w:ascii="宋体" w:hAnsi="宋体" w:cs="宋体"/>
                <w:color w:val="auto"/>
                <w:sz w:val="24"/>
              </w:rPr>
            </w:pPr>
            <w:r>
              <w:rPr>
                <w:rFonts w:hint="eastAsia" w:ascii="宋体" w:hAnsi="宋体" w:cs="宋体"/>
                <w:color w:val="auto"/>
                <w:sz w:val="24"/>
              </w:rPr>
              <w:t>4.05%起</w:t>
            </w:r>
          </w:p>
        </w:tc>
        <w:tc>
          <w:tcPr>
            <w:tcW w:w="1688" w:type="dxa"/>
            <w:vAlign w:val="center"/>
          </w:tcPr>
          <w:p w14:paraId="7A07A213">
            <w:pPr>
              <w:jc w:val="center"/>
              <w:rPr>
                <w:rFonts w:ascii="宋体" w:hAnsi="宋体" w:cs="宋体"/>
                <w:color w:val="auto"/>
                <w:sz w:val="24"/>
              </w:rPr>
            </w:pPr>
            <w:r>
              <w:rPr>
                <w:rFonts w:hint="eastAsia" w:ascii="宋体" w:hAnsi="宋体" w:cs="宋体"/>
                <w:color w:val="auto"/>
                <w:sz w:val="24"/>
              </w:rPr>
              <w:t>金雪婷</w:t>
            </w:r>
          </w:p>
        </w:tc>
        <w:tc>
          <w:tcPr>
            <w:tcW w:w="2131" w:type="dxa"/>
            <w:vAlign w:val="center"/>
          </w:tcPr>
          <w:p w14:paraId="6C1F997B">
            <w:pPr>
              <w:jc w:val="center"/>
              <w:rPr>
                <w:rFonts w:ascii="宋体" w:hAnsi="宋体" w:cs="宋体"/>
                <w:color w:val="auto"/>
                <w:sz w:val="24"/>
              </w:rPr>
            </w:pPr>
            <w:r>
              <w:rPr>
                <w:rFonts w:hint="eastAsia" w:ascii="宋体" w:hAnsi="宋体" w:cs="宋体"/>
                <w:color w:val="auto"/>
                <w:sz w:val="24"/>
              </w:rPr>
              <w:t>81886670</w:t>
            </w:r>
          </w:p>
          <w:p w14:paraId="278612C3">
            <w:pPr>
              <w:jc w:val="center"/>
              <w:rPr>
                <w:rFonts w:ascii="宋体" w:hAnsi="宋体" w:cs="宋体"/>
                <w:color w:val="auto"/>
                <w:sz w:val="24"/>
              </w:rPr>
            </w:pPr>
            <w:r>
              <w:rPr>
                <w:rFonts w:hint="eastAsia" w:ascii="宋体" w:hAnsi="宋体" w:cs="宋体"/>
                <w:color w:val="auto"/>
                <w:sz w:val="24"/>
              </w:rPr>
              <w:t>15968661569</w:t>
            </w:r>
          </w:p>
        </w:tc>
      </w:tr>
      <w:tr w14:paraId="2F42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26305C84">
            <w:pPr>
              <w:jc w:val="center"/>
              <w:rPr>
                <w:rFonts w:ascii="宋体" w:hAnsi="宋体" w:cs="宋体"/>
                <w:color w:val="auto"/>
                <w:sz w:val="24"/>
              </w:rPr>
            </w:pPr>
            <w:r>
              <w:rPr>
                <w:rFonts w:hint="eastAsia" w:ascii="宋体" w:hAnsi="宋体" w:cs="宋体"/>
                <w:color w:val="auto"/>
                <w:sz w:val="24"/>
              </w:rPr>
              <w:t>台州银行</w:t>
            </w:r>
          </w:p>
        </w:tc>
        <w:tc>
          <w:tcPr>
            <w:tcW w:w="1452" w:type="dxa"/>
            <w:vAlign w:val="center"/>
          </w:tcPr>
          <w:p w14:paraId="3BB1FBAB">
            <w:pPr>
              <w:jc w:val="center"/>
              <w:rPr>
                <w:rFonts w:ascii="宋体" w:hAnsi="宋体" w:cs="宋体"/>
                <w:color w:val="auto"/>
                <w:sz w:val="24"/>
              </w:rPr>
            </w:pPr>
            <w:r>
              <w:rPr>
                <w:rFonts w:hint="eastAsia" w:ascii="宋体" w:hAnsi="宋体" w:cs="宋体"/>
                <w:color w:val="auto"/>
                <w:sz w:val="24"/>
              </w:rPr>
              <w:t>5.6%起</w:t>
            </w:r>
          </w:p>
        </w:tc>
        <w:tc>
          <w:tcPr>
            <w:tcW w:w="1688" w:type="dxa"/>
            <w:vAlign w:val="center"/>
          </w:tcPr>
          <w:p w14:paraId="211ADC57">
            <w:pPr>
              <w:jc w:val="center"/>
              <w:rPr>
                <w:rFonts w:ascii="宋体" w:hAnsi="宋体" w:cs="宋体"/>
                <w:color w:val="auto"/>
                <w:sz w:val="24"/>
              </w:rPr>
            </w:pPr>
            <w:r>
              <w:rPr>
                <w:rFonts w:hint="eastAsia" w:ascii="宋体" w:hAnsi="宋体" w:cs="宋体"/>
                <w:color w:val="auto"/>
                <w:sz w:val="24"/>
              </w:rPr>
              <w:t>洪婷</w:t>
            </w:r>
          </w:p>
        </w:tc>
        <w:tc>
          <w:tcPr>
            <w:tcW w:w="2131" w:type="dxa"/>
            <w:vAlign w:val="center"/>
          </w:tcPr>
          <w:p w14:paraId="369C0014">
            <w:pPr>
              <w:jc w:val="center"/>
              <w:rPr>
                <w:rFonts w:ascii="宋体" w:hAnsi="宋体" w:cs="宋体"/>
                <w:color w:val="auto"/>
                <w:sz w:val="24"/>
              </w:rPr>
            </w:pPr>
            <w:r>
              <w:rPr>
                <w:rFonts w:hint="eastAsia" w:ascii="宋体" w:hAnsi="宋体" w:cs="宋体"/>
                <w:color w:val="auto"/>
                <w:sz w:val="24"/>
              </w:rPr>
              <w:t>15858624999</w:t>
            </w:r>
          </w:p>
        </w:tc>
      </w:tr>
      <w:tr w14:paraId="2563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531C8997">
            <w:pPr>
              <w:jc w:val="center"/>
              <w:rPr>
                <w:rFonts w:ascii="宋体" w:hAnsi="宋体" w:cs="宋体"/>
                <w:color w:val="auto"/>
                <w:sz w:val="24"/>
              </w:rPr>
            </w:pPr>
            <w:r>
              <w:rPr>
                <w:rFonts w:hint="eastAsia" w:ascii="宋体" w:hAnsi="宋体" w:cs="宋体"/>
                <w:color w:val="auto"/>
                <w:sz w:val="24"/>
              </w:rPr>
              <w:t>邮储银行台州分行</w:t>
            </w:r>
          </w:p>
        </w:tc>
        <w:tc>
          <w:tcPr>
            <w:tcW w:w="1452" w:type="dxa"/>
            <w:vAlign w:val="center"/>
          </w:tcPr>
          <w:p w14:paraId="3FB9BA82">
            <w:pPr>
              <w:jc w:val="center"/>
              <w:rPr>
                <w:rFonts w:ascii="宋体" w:hAnsi="宋体" w:cs="宋体"/>
                <w:color w:val="auto"/>
                <w:sz w:val="24"/>
              </w:rPr>
            </w:pPr>
            <w:r>
              <w:rPr>
                <w:rFonts w:hint="eastAsia" w:ascii="宋体" w:hAnsi="宋体" w:cs="宋体"/>
                <w:color w:val="auto"/>
                <w:sz w:val="24"/>
              </w:rPr>
              <w:t>3.85%起</w:t>
            </w:r>
          </w:p>
        </w:tc>
        <w:tc>
          <w:tcPr>
            <w:tcW w:w="1688" w:type="dxa"/>
            <w:vAlign w:val="center"/>
          </w:tcPr>
          <w:p w14:paraId="38EBA424">
            <w:pPr>
              <w:jc w:val="center"/>
              <w:rPr>
                <w:rFonts w:ascii="宋体" w:hAnsi="宋体" w:cs="宋体"/>
                <w:color w:val="auto"/>
                <w:sz w:val="24"/>
              </w:rPr>
            </w:pPr>
            <w:r>
              <w:rPr>
                <w:rFonts w:hint="eastAsia" w:ascii="宋体" w:hAnsi="宋体" w:cs="宋体"/>
                <w:color w:val="auto"/>
                <w:sz w:val="24"/>
              </w:rPr>
              <w:t>董庆</w:t>
            </w:r>
          </w:p>
        </w:tc>
        <w:tc>
          <w:tcPr>
            <w:tcW w:w="2131" w:type="dxa"/>
            <w:vAlign w:val="center"/>
          </w:tcPr>
          <w:p w14:paraId="656782D6">
            <w:pPr>
              <w:jc w:val="center"/>
              <w:rPr>
                <w:rFonts w:ascii="宋体" w:hAnsi="宋体" w:cs="宋体"/>
                <w:color w:val="auto"/>
                <w:sz w:val="24"/>
              </w:rPr>
            </w:pPr>
            <w:r>
              <w:rPr>
                <w:rFonts w:hint="eastAsia" w:ascii="宋体" w:hAnsi="宋体" w:cs="宋体"/>
                <w:color w:val="auto"/>
                <w:sz w:val="24"/>
              </w:rPr>
              <w:t>81888982</w:t>
            </w:r>
          </w:p>
          <w:p w14:paraId="4B1C9CAB">
            <w:pPr>
              <w:jc w:val="center"/>
              <w:rPr>
                <w:rFonts w:ascii="宋体" w:hAnsi="宋体" w:cs="宋体"/>
                <w:color w:val="auto"/>
                <w:sz w:val="24"/>
              </w:rPr>
            </w:pPr>
            <w:r>
              <w:rPr>
                <w:rFonts w:hint="eastAsia" w:ascii="宋体" w:hAnsi="宋体" w:cs="宋体"/>
                <w:color w:val="auto"/>
                <w:sz w:val="24"/>
              </w:rPr>
              <w:t>18957683735</w:t>
            </w:r>
          </w:p>
        </w:tc>
      </w:tr>
    </w:tbl>
    <w:p w14:paraId="1206F75A">
      <w:pPr>
        <w:ind w:firstLine="482" w:firstLineChars="200"/>
        <w:rPr>
          <w:rFonts w:ascii="宋体" w:hAnsi="宋体" w:cs="宋体"/>
          <w:b/>
          <w:bCs/>
          <w:color w:val="auto"/>
          <w:sz w:val="24"/>
        </w:rPr>
      </w:pPr>
      <w:r>
        <w:rPr>
          <w:rFonts w:hint="eastAsia" w:ascii="宋体" w:hAnsi="宋体" w:cs="宋体"/>
          <w:b/>
          <w:bCs/>
          <w:color w:val="auto"/>
          <w:sz w:val="24"/>
        </w:rPr>
        <w:t>十二、联系方式：</w:t>
      </w:r>
    </w:p>
    <w:p w14:paraId="50FD0276">
      <w:pPr>
        <w:snapToGrid w:val="0"/>
        <w:spacing w:line="360" w:lineRule="auto"/>
        <w:ind w:firstLine="540" w:firstLineChars="225"/>
        <w:rPr>
          <w:rFonts w:hint="eastAsia" w:ascii="宋体" w:hAnsi="宋体" w:eastAsia="宋体" w:cs="宋体"/>
          <w:color w:val="auto"/>
          <w:sz w:val="24"/>
          <w:lang w:eastAsia="zh-CN"/>
        </w:rPr>
      </w:pPr>
      <w:r>
        <w:rPr>
          <w:rFonts w:hint="eastAsia" w:ascii="宋体" w:hAnsi="宋体" w:cs="宋体"/>
          <w:color w:val="auto"/>
          <w:sz w:val="24"/>
        </w:rPr>
        <w:t>1、采购代理机构名称：</w:t>
      </w:r>
      <w:r>
        <w:rPr>
          <w:rFonts w:hint="eastAsia" w:ascii="宋体" w:hAnsi="宋体" w:cs="宋体"/>
          <w:color w:val="auto"/>
          <w:sz w:val="24"/>
          <w:lang w:eastAsia="zh-CN"/>
        </w:rPr>
        <w:t>浙江首信工程项目管理有限公司</w:t>
      </w:r>
    </w:p>
    <w:p w14:paraId="623E45D4">
      <w:pPr>
        <w:snapToGrid w:val="0"/>
        <w:spacing w:line="360" w:lineRule="auto"/>
        <w:ind w:firstLine="540" w:firstLineChars="225"/>
        <w:rPr>
          <w:rFonts w:hint="eastAsia" w:ascii="宋体" w:hAnsi="宋体" w:eastAsia="宋体" w:cs="宋体"/>
          <w:color w:val="auto"/>
          <w:sz w:val="24"/>
          <w:lang w:eastAsia="zh-CN"/>
        </w:rPr>
      </w:pPr>
      <w:r>
        <w:rPr>
          <w:rFonts w:hint="eastAsia" w:ascii="宋体" w:hAnsi="宋体" w:cs="宋体"/>
          <w:color w:val="auto"/>
          <w:sz w:val="24"/>
        </w:rPr>
        <w:t>联系人：</w:t>
      </w:r>
      <w:r>
        <w:rPr>
          <w:rFonts w:hint="eastAsia" w:ascii="宋体" w:hAnsi="宋体" w:cs="宋体"/>
          <w:color w:val="auto"/>
          <w:sz w:val="24"/>
          <w:lang w:eastAsia="zh-CN"/>
        </w:rPr>
        <w:t>马工</w:t>
      </w:r>
    </w:p>
    <w:p w14:paraId="4BEFD0E8">
      <w:pPr>
        <w:snapToGrid w:val="0"/>
        <w:spacing w:line="360" w:lineRule="auto"/>
        <w:ind w:firstLine="540" w:firstLineChars="225"/>
        <w:rPr>
          <w:rFonts w:hint="eastAsia" w:ascii="宋体" w:hAnsi="宋体" w:eastAsia="宋体" w:cs="宋体"/>
          <w:color w:val="auto"/>
          <w:sz w:val="24"/>
          <w:lang w:eastAsia="zh-CN"/>
        </w:rPr>
      </w:pPr>
      <w:r>
        <w:rPr>
          <w:rFonts w:hint="eastAsia" w:ascii="宋体" w:hAnsi="宋体" w:cs="宋体"/>
          <w:color w:val="auto"/>
          <w:sz w:val="24"/>
        </w:rPr>
        <w:t>联系电话：</w:t>
      </w:r>
      <w:r>
        <w:rPr>
          <w:rFonts w:hint="eastAsia" w:ascii="宋体" w:hAnsi="宋体" w:cs="宋体"/>
          <w:color w:val="auto"/>
          <w:sz w:val="24"/>
          <w:lang w:eastAsia="zh-CN"/>
        </w:rPr>
        <w:t>13515761372</w:t>
      </w:r>
    </w:p>
    <w:p w14:paraId="47A0FBF3">
      <w:pPr>
        <w:snapToGrid w:val="0"/>
        <w:spacing w:line="360" w:lineRule="auto"/>
        <w:ind w:firstLine="540" w:firstLineChars="225"/>
        <w:rPr>
          <w:rFonts w:hint="eastAsia" w:ascii="宋体" w:hAnsi="宋体" w:eastAsia="宋体" w:cs="宋体"/>
          <w:color w:val="auto"/>
          <w:sz w:val="24"/>
          <w:lang w:eastAsia="zh-CN"/>
        </w:rPr>
      </w:pPr>
      <w:r>
        <w:rPr>
          <w:rFonts w:hint="eastAsia" w:ascii="宋体" w:hAnsi="宋体" w:cs="宋体"/>
          <w:color w:val="auto"/>
          <w:sz w:val="24"/>
        </w:rPr>
        <w:t>代理机构质疑联系人：</w:t>
      </w:r>
      <w:r>
        <w:rPr>
          <w:rFonts w:hint="eastAsia" w:ascii="宋体" w:hAnsi="宋体" w:cs="宋体"/>
          <w:color w:val="auto"/>
          <w:sz w:val="24"/>
          <w:lang w:val="en-US" w:eastAsia="zh-CN"/>
        </w:rPr>
        <w:t>应</w:t>
      </w:r>
      <w:r>
        <w:rPr>
          <w:rFonts w:hint="eastAsia" w:ascii="宋体" w:hAnsi="宋体" w:cs="宋体"/>
          <w:color w:val="auto"/>
          <w:sz w:val="24"/>
          <w:lang w:eastAsia="zh-CN"/>
        </w:rPr>
        <w:t>工</w:t>
      </w:r>
    </w:p>
    <w:p w14:paraId="366FB2B0">
      <w:pPr>
        <w:snapToGrid w:val="0"/>
        <w:spacing w:line="360" w:lineRule="auto"/>
        <w:ind w:firstLine="540" w:firstLineChars="225"/>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lang w:val="en-US" w:eastAsia="zh-CN"/>
        </w:rPr>
        <w:t>13566886101</w:t>
      </w:r>
      <w:r>
        <w:rPr>
          <w:rFonts w:hint="eastAsia" w:ascii="宋体" w:hAnsi="宋体" w:cs="宋体"/>
          <w:color w:val="auto"/>
          <w:sz w:val="24"/>
        </w:rPr>
        <w:t>（受理供应商注册、中标结果相关质疑及答复）</w:t>
      </w:r>
    </w:p>
    <w:p w14:paraId="4213F5DD">
      <w:pPr>
        <w:snapToGrid w:val="0"/>
        <w:spacing w:line="360" w:lineRule="auto"/>
        <w:ind w:firstLine="540" w:firstLineChars="225"/>
        <w:rPr>
          <w:rFonts w:hint="default" w:ascii="宋体" w:hAnsi="宋体" w:eastAsia="宋体" w:cs="宋体"/>
          <w:color w:val="auto"/>
          <w:sz w:val="24"/>
          <w:lang w:val="en-US" w:eastAsia="zh-CN"/>
        </w:rPr>
      </w:pPr>
      <w:r>
        <w:rPr>
          <w:rFonts w:hint="eastAsia" w:ascii="宋体" w:hAnsi="宋体" w:cs="宋体"/>
          <w:color w:val="auto"/>
          <w:sz w:val="24"/>
        </w:rPr>
        <w:t>地址：台州市椒江区第一时间生活广场60</w:t>
      </w:r>
      <w:r>
        <w:rPr>
          <w:rFonts w:hint="eastAsia" w:ascii="宋体" w:hAnsi="宋体" w:cs="宋体"/>
          <w:color w:val="auto"/>
          <w:sz w:val="24"/>
          <w:lang w:val="en-US" w:eastAsia="zh-CN"/>
        </w:rPr>
        <w:t>3室</w:t>
      </w:r>
    </w:p>
    <w:p w14:paraId="0F50635C">
      <w:pPr>
        <w:snapToGrid w:val="0"/>
        <w:spacing w:line="360" w:lineRule="auto"/>
        <w:ind w:firstLine="540" w:firstLineChars="225"/>
        <w:rPr>
          <w:rFonts w:hint="eastAsia" w:ascii="宋体" w:hAnsi="宋体" w:eastAsia="宋体" w:cs="宋体"/>
          <w:color w:val="auto"/>
          <w:sz w:val="24"/>
          <w:lang w:eastAsia="zh-CN"/>
        </w:rPr>
      </w:pPr>
      <w:r>
        <w:rPr>
          <w:rFonts w:hint="eastAsia" w:ascii="宋体" w:hAnsi="宋体" w:cs="宋体"/>
          <w:color w:val="auto"/>
          <w:sz w:val="24"/>
        </w:rPr>
        <w:t>2、采购人名称：</w:t>
      </w:r>
      <w:r>
        <w:rPr>
          <w:rFonts w:hint="eastAsia" w:ascii="宋体" w:hAnsi="宋体" w:cs="宋体"/>
          <w:color w:val="auto"/>
          <w:sz w:val="24"/>
          <w:lang w:eastAsia="zh-CN"/>
        </w:rPr>
        <w:t>台州市生态环境局椒江分局（本级）</w:t>
      </w:r>
    </w:p>
    <w:p w14:paraId="34B07580">
      <w:pPr>
        <w:snapToGrid w:val="0"/>
        <w:spacing w:line="360" w:lineRule="auto"/>
        <w:ind w:firstLine="540" w:firstLineChars="225"/>
        <w:rPr>
          <w:rFonts w:ascii="宋体" w:hAnsi="宋体" w:cs="宋体"/>
          <w:color w:val="auto"/>
          <w:sz w:val="24"/>
        </w:rPr>
      </w:pPr>
      <w:r>
        <w:rPr>
          <w:rFonts w:hint="eastAsia" w:ascii="宋体" w:hAnsi="宋体" w:cs="宋体"/>
          <w:color w:val="auto"/>
          <w:sz w:val="24"/>
        </w:rPr>
        <w:t>采购单位联系人：</w:t>
      </w:r>
      <w:r>
        <w:rPr>
          <w:rFonts w:hint="eastAsia" w:ascii="宋体" w:hAnsi="宋体" w:cs="宋体"/>
          <w:color w:val="auto"/>
          <w:sz w:val="24"/>
          <w:lang w:val="en-US" w:eastAsia="zh-CN"/>
        </w:rPr>
        <w:t>周</w:t>
      </w:r>
      <w:r>
        <w:rPr>
          <w:rFonts w:hint="eastAsia" w:ascii="宋体" w:hAnsi="宋体" w:cs="宋体"/>
          <w:color w:val="auto"/>
          <w:sz w:val="24"/>
        </w:rPr>
        <w:t xml:space="preserve">先生 </w:t>
      </w:r>
    </w:p>
    <w:p w14:paraId="7F076E39">
      <w:pPr>
        <w:snapToGrid w:val="0"/>
        <w:spacing w:line="360" w:lineRule="auto"/>
        <w:ind w:firstLine="540" w:firstLineChars="225"/>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lang w:val="en-US" w:eastAsia="zh-CN"/>
        </w:rPr>
        <w:t>18258662033</w:t>
      </w:r>
      <w:r>
        <w:rPr>
          <w:rFonts w:hint="eastAsia" w:ascii="宋体" w:hAnsi="宋体" w:cs="宋体"/>
          <w:color w:val="auto"/>
          <w:sz w:val="24"/>
        </w:rPr>
        <w:t xml:space="preserve">  </w:t>
      </w:r>
    </w:p>
    <w:p w14:paraId="6DE0C4B0">
      <w:pPr>
        <w:snapToGrid w:val="0"/>
        <w:spacing w:line="360" w:lineRule="auto"/>
        <w:ind w:firstLine="540" w:firstLineChars="225"/>
        <w:rPr>
          <w:rFonts w:hint="default" w:eastAsia="宋体"/>
          <w:color w:val="auto"/>
          <w:lang w:val="en-US" w:eastAsia="zh-CN"/>
        </w:rPr>
      </w:pPr>
      <w:r>
        <w:rPr>
          <w:rFonts w:hint="eastAsia" w:ascii="宋体" w:hAnsi="宋体" w:cs="宋体"/>
          <w:color w:val="auto"/>
          <w:sz w:val="24"/>
        </w:rPr>
        <w:t>地址：椒江区</w:t>
      </w:r>
      <w:r>
        <w:rPr>
          <w:rFonts w:hint="eastAsia" w:ascii="宋体" w:hAnsi="宋体" w:cs="宋体"/>
          <w:color w:val="auto"/>
          <w:sz w:val="24"/>
          <w:lang w:val="en-US" w:eastAsia="zh-CN"/>
        </w:rPr>
        <w:t>建设路7号</w:t>
      </w:r>
    </w:p>
    <w:p w14:paraId="21161B19">
      <w:pPr>
        <w:snapToGrid w:val="0"/>
        <w:spacing w:line="360" w:lineRule="auto"/>
        <w:ind w:firstLine="540" w:firstLineChars="225"/>
        <w:rPr>
          <w:rFonts w:hint="eastAsia" w:ascii="宋体" w:hAnsi="宋体" w:eastAsia="宋体" w:cs="宋体"/>
          <w:i w:val="0"/>
          <w:iCs w:val="0"/>
          <w:caps w:val="0"/>
          <w:color w:val="auto"/>
          <w:spacing w:val="0"/>
          <w:kern w:val="2"/>
          <w:sz w:val="24"/>
          <w:szCs w:val="24"/>
        </w:rPr>
      </w:pPr>
    </w:p>
    <w:p w14:paraId="12A93EB0">
      <w:pPr>
        <w:snapToGrid w:val="0"/>
        <w:spacing w:line="360" w:lineRule="auto"/>
        <w:ind w:firstLine="540" w:firstLineChars="225"/>
        <w:rPr>
          <w:rFonts w:hint="eastAsia" w:ascii="宋体" w:hAnsi="宋体" w:eastAsia="宋体" w:cs="宋体"/>
          <w:i w:val="0"/>
          <w:iCs w:val="0"/>
          <w:caps w:val="0"/>
          <w:color w:val="auto"/>
          <w:spacing w:val="0"/>
          <w:kern w:val="2"/>
          <w:sz w:val="24"/>
          <w:szCs w:val="24"/>
        </w:rPr>
      </w:pPr>
      <w:r>
        <w:rPr>
          <w:rFonts w:hint="eastAsia" w:ascii="宋体" w:hAnsi="宋体" w:eastAsia="宋体" w:cs="宋体"/>
          <w:i w:val="0"/>
          <w:iCs w:val="0"/>
          <w:caps w:val="0"/>
          <w:color w:val="auto"/>
          <w:spacing w:val="0"/>
          <w:kern w:val="2"/>
          <w:sz w:val="24"/>
          <w:szCs w:val="24"/>
        </w:rPr>
        <w:t>质疑联系人：</w:t>
      </w:r>
      <w:r>
        <w:rPr>
          <w:rFonts w:hint="eastAsia" w:ascii="宋体" w:hAnsi="宋体" w:cs="宋体"/>
          <w:i w:val="0"/>
          <w:iCs w:val="0"/>
          <w:caps w:val="0"/>
          <w:color w:val="auto"/>
          <w:spacing w:val="0"/>
          <w:kern w:val="2"/>
          <w:sz w:val="24"/>
          <w:szCs w:val="24"/>
          <w:lang w:val="en-US" w:eastAsia="zh-CN"/>
        </w:rPr>
        <w:t xml:space="preserve">刘工 </w:t>
      </w:r>
      <w:r>
        <w:rPr>
          <w:rFonts w:hint="eastAsia" w:ascii="宋体" w:hAnsi="宋体" w:eastAsia="宋体" w:cs="宋体"/>
          <w:i w:val="0"/>
          <w:iCs w:val="0"/>
          <w:caps w:val="0"/>
          <w:color w:val="auto"/>
          <w:spacing w:val="0"/>
          <w:kern w:val="2"/>
          <w:sz w:val="24"/>
          <w:szCs w:val="24"/>
        </w:rPr>
        <w:t> </w:t>
      </w:r>
    </w:p>
    <w:p w14:paraId="3FA8B410">
      <w:pPr>
        <w:snapToGrid w:val="0"/>
        <w:spacing w:line="360" w:lineRule="auto"/>
        <w:ind w:firstLine="540" w:firstLineChars="225"/>
        <w:rPr>
          <w:rFonts w:hint="eastAsia" w:ascii="宋体" w:hAnsi="宋体" w:eastAsia="宋体" w:cs="宋体"/>
          <w:i w:val="0"/>
          <w:iCs w:val="0"/>
          <w:caps w:val="0"/>
          <w:color w:val="auto"/>
          <w:spacing w:val="0"/>
          <w:kern w:val="2"/>
          <w:sz w:val="24"/>
          <w:szCs w:val="24"/>
        </w:rPr>
      </w:pPr>
      <w:r>
        <w:rPr>
          <w:rFonts w:hint="eastAsia" w:ascii="宋体" w:hAnsi="宋体" w:eastAsia="宋体" w:cs="宋体"/>
          <w:i w:val="0"/>
          <w:iCs w:val="0"/>
          <w:caps w:val="0"/>
          <w:color w:val="auto"/>
          <w:spacing w:val="0"/>
          <w:kern w:val="2"/>
          <w:sz w:val="24"/>
          <w:szCs w:val="24"/>
        </w:rPr>
        <w:t>质疑联系方式：</w:t>
      </w:r>
      <w:r>
        <w:rPr>
          <w:rFonts w:hint="eastAsia" w:ascii="宋体" w:hAnsi="宋体" w:eastAsia="宋体" w:cs="宋体"/>
          <w:i w:val="0"/>
          <w:iCs w:val="0"/>
          <w:caps w:val="0"/>
          <w:color w:val="auto"/>
          <w:spacing w:val="0"/>
          <w:kern w:val="2"/>
          <w:sz w:val="24"/>
          <w:szCs w:val="24"/>
          <w:lang w:val="en-US" w:eastAsia="zh-CN"/>
        </w:rPr>
        <w:t>0576-</w:t>
      </w:r>
      <w:r>
        <w:rPr>
          <w:rFonts w:hint="eastAsia" w:ascii="宋体" w:hAnsi="宋体" w:cs="宋体"/>
          <w:i w:val="0"/>
          <w:iCs w:val="0"/>
          <w:caps w:val="0"/>
          <w:color w:val="auto"/>
          <w:spacing w:val="0"/>
          <w:kern w:val="2"/>
          <w:sz w:val="24"/>
          <w:szCs w:val="24"/>
          <w:lang w:val="en-US" w:eastAsia="zh-CN"/>
        </w:rPr>
        <w:t>88209097</w:t>
      </w:r>
      <w:r>
        <w:rPr>
          <w:rFonts w:hint="eastAsia" w:ascii="宋体" w:hAnsi="宋体" w:eastAsia="宋体" w:cs="宋体"/>
          <w:i w:val="0"/>
          <w:iCs w:val="0"/>
          <w:caps w:val="0"/>
          <w:color w:val="auto"/>
          <w:spacing w:val="0"/>
          <w:kern w:val="2"/>
          <w:sz w:val="24"/>
          <w:szCs w:val="24"/>
          <w:lang w:val="en-US" w:eastAsia="zh-CN"/>
        </w:rPr>
        <w:t xml:space="preserve"> </w:t>
      </w:r>
      <w:r>
        <w:rPr>
          <w:rFonts w:hint="eastAsia" w:ascii="宋体" w:hAnsi="宋体" w:eastAsia="宋体" w:cs="宋体"/>
          <w:i w:val="0"/>
          <w:iCs w:val="0"/>
          <w:caps w:val="0"/>
          <w:color w:val="auto"/>
          <w:spacing w:val="0"/>
          <w:kern w:val="2"/>
          <w:sz w:val="24"/>
          <w:szCs w:val="24"/>
        </w:rPr>
        <w:t> </w:t>
      </w:r>
    </w:p>
    <w:p w14:paraId="72FA167A">
      <w:pPr>
        <w:rPr>
          <w:color w:val="auto"/>
        </w:rPr>
      </w:pPr>
    </w:p>
    <w:p w14:paraId="71C94812">
      <w:pPr>
        <w:snapToGrid w:val="0"/>
        <w:spacing w:line="360" w:lineRule="auto"/>
        <w:ind w:firstLine="540" w:firstLineChars="225"/>
        <w:rPr>
          <w:rFonts w:ascii="宋体" w:hAnsi="宋体" w:cs="宋体"/>
          <w:color w:val="auto"/>
          <w:sz w:val="24"/>
        </w:rPr>
      </w:pPr>
      <w:r>
        <w:rPr>
          <w:rFonts w:hint="eastAsia" w:ascii="宋体" w:hAnsi="宋体" w:cs="宋体"/>
          <w:color w:val="auto"/>
          <w:sz w:val="24"/>
        </w:rPr>
        <w:t>3、同级政府采购监管管理部门：</w:t>
      </w:r>
    </w:p>
    <w:p w14:paraId="31B9B8FF">
      <w:pPr>
        <w:snapToGrid w:val="0"/>
        <w:spacing w:line="360" w:lineRule="auto"/>
        <w:ind w:firstLine="540" w:firstLineChars="225"/>
        <w:rPr>
          <w:rFonts w:ascii="宋体" w:hAnsi="宋体" w:cs="宋体"/>
          <w:color w:val="auto"/>
          <w:sz w:val="24"/>
        </w:rPr>
      </w:pPr>
      <w:r>
        <w:rPr>
          <w:rFonts w:hint="eastAsia" w:ascii="宋体" w:hAnsi="宋体" w:cs="宋体"/>
          <w:color w:val="auto"/>
          <w:sz w:val="24"/>
        </w:rPr>
        <w:t>台州市椒江区财政局政府采购监管科；</w:t>
      </w:r>
    </w:p>
    <w:p w14:paraId="4B5EA712">
      <w:pPr>
        <w:snapToGrid w:val="0"/>
        <w:spacing w:line="360" w:lineRule="auto"/>
        <w:ind w:firstLine="540" w:firstLineChars="225"/>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lang w:val="en-US" w:eastAsia="zh-CN"/>
        </w:rPr>
        <w:t>王</w:t>
      </w:r>
      <w:r>
        <w:rPr>
          <w:rFonts w:hint="eastAsia" w:ascii="宋体" w:hAnsi="宋体" w:cs="宋体"/>
          <w:color w:val="auto"/>
          <w:sz w:val="24"/>
        </w:rPr>
        <w:t>老师； 监督投诉电话：0576-8</w:t>
      </w:r>
      <w:r>
        <w:rPr>
          <w:rFonts w:hint="eastAsia" w:ascii="宋体" w:hAnsi="宋体" w:cs="宋体"/>
          <w:color w:val="auto"/>
          <w:sz w:val="24"/>
          <w:lang w:val="en-US" w:eastAsia="zh-CN"/>
        </w:rPr>
        <w:t>9069286</w:t>
      </w:r>
      <w:r>
        <w:rPr>
          <w:rFonts w:hint="eastAsia" w:ascii="宋体" w:hAnsi="宋体" w:cs="宋体"/>
          <w:color w:val="auto"/>
          <w:sz w:val="24"/>
        </w:rPr>
        <w:t>。</w:t>
      </w:r>
    </w:p>
    <w:p w14:paraId="1B2ACD36">
      <w:pPr>
        <w:snapToGrid w:val="0"/>
        <w:spacing w:line="360" w:lineRule="auto"/>
        <w:ind w:firstLine="540" w:firstLineChars="225"/>
        <w:rPr>
          <w:rFonts w:ascii="宋体" w:hAnsi="宋体" w:cs="宋体"/>
          <w:color w:val="auto"/>
          <w:sz w:val="24"/>
        </w:rPr>
      </w:pPr>
      <w:r>
        <w:rPr>
          <w:rFonts w:hint="eastAsia" w:ascii="宋体" w:hAnsi="宋体" w:cs="宋体"/>
          <w:color w:val="auto"/>
          <w:sz w:val="24"/>
        </w:rPr>
        <w:t>地    址：台州市椒江区建设路6号 </w:t>
      </w:r>
    </w:p>
    <w:p w14:paraId="08FDB816">
      <w:pPr>
        <w:jc w:val="left"/>
        <w:rPr>
          <w:rFonts w:ascii="宋体" w:hAnsi="宋体" w:cs="宋体"/>
          <w:color w:val="auto"/>
          <w:sz w:val="24"/>
        </w:rPr>
      </w:pPr>
    </w:p>
    <w:p w14:paraId="22475DD4">
      <w:pPr>
        <w:jc w:val="right"/>
        <w:rPr>
          <w:rFonts w:hint="eastAsia" w:ascii="宋体" w:hAnsi="宋体" w:eastAsia="宋体" w:cs="宋体"/>
          <w:color w:val="auto"/>
          <w:sz w:val="24"/>
          <w:lang w:eastAsia="zh-CN"/>
        </w:rPr>
      </w:pPr>
      <w:r>
        <w:rPr>
          <w:rFonts w:hint="eastAsia" w:ascii="宋体" w:hAnsi="宋体" w:cs="宋体"/>
          <w:color w:val="auto"/>
          <w:sz w:val="24"/>
          <w:lang w:eastAsia="zh-CN"/>
        </w:rPr>
        <w:t>浙江首信工程项目管理有限公司</w:t>
      </w:r>
    </w:p>
    <w:p w14:paraId="1A4517C5">
      <w:pPr>
        <w:ind w:firstLine="6720" w:firstLineChars="2800"/>
        <w:rPr>
          <w:rFonts w:ascii="宋体" w:hAnsi="宋体" w:cs="宋体"/>
          <w:color w:val="auto"/>
          <w:sz w:val="24"/>
        </w:rPr>
      </w:pPr>
      <w:r>
        <w:rPr>
          <w:rFonts w:hint="eastAsia" w:ascii="宋体" w:hAnsi="宋体" w:cs="宋体"/>
          <w:color w:val="auto"/>
          <w:sz w:val="24"/>
        </w:rPr>
        <w:t>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2</w:t>
      </w:r>
      <w:r>
        <w:rPr>
          <w:rFonts w:hint="eastAsia" w:ascii="宋体" w:hAnsi="宋体" w:cs="宋体"/>
          <w:color w:val="auto"/>
          <w:sz w:val="24"/>
        </w:rPr>
        <w:t>月</w:t>
      </w:r>
    </w:p>
    <w:p w14:paraId="7C4BB472">
      <w:pPr>
        <w:rPr>
          <w:color w:val="auto"/>
          <w:sz w:val="24"/>
        </w:rPr>
      </w:pPr>
    </w:p>
    <w:p w14:paraId="18719C64">
      <w:pPr>
        <w:rPr>
          <w:color w:val="auto"/>
          <w:sz w:val="24"/>
        </w:rPr>
      </w:pPr>
    </w:p>
    <w:p w14:paraId="5B923139">
      <w:pPr>
        <w:rPr>
          <w:color w:val="auto"/>
          <w:sz w:val="24"/>
        </w:rPr>
      </w:pPr>
    </w:p>
    <w:p w14:paraId="6685E213">
      <w:pPr>
        <w:rPr>
          <w:color w:val="auto"/>
          <w:sz w:val="24"/>
        </w:rPr>
      </w:pPr>
    </w:p>
    <w:p w14:paraId="01B58554">
      <w:pPr>
        <w:rPr>
          <w:color w:val="auto"/>
          <w:sz w:val="24"/>
        </w:rPr>
      </w:pPr>
    </w:p>
    <w:p w14:paraId="60F7879D">
      <w:pPr>
        <w:rPr>
          <w:color w:val="auto"/>
          <w:sz w:val="24"/>
        </w:rPr>
      </w:pPr>
    </w:p>
    <w:p w14:paraId="32C0DA15">
      <w:pPr>
        <w:rPr>
          <w:rFonts w:ascii="宋体" w:hAnsi="宋体"/>
          <w:b/>
          <w:bCs/>
          <w:color w:val="auto"/>
          <w:sz w:val="36"/>
          <w:szCs w:val="36"/>
        </w:rPr>
      </w:pPr>
      <w:bookmarkStart w:id="11" w:name="_Toc258_WPSOffice_Level1"/>
      <w:bookmarkStart w:id="12" w:name="_Toc333823820"/>
      <w:r>
        <w:rPr>
          <w:rFonts w:hint="eastAsia" w:ascii="宋体" w:hAnsi="宋体"/>
          <w:b/>
          <w:bCs/>
          <w:color w:val="auto"/>
          <w:sz w:val="36"/>
          <w:szCs w:val="36"/>
        </w:rPr>
        <w:br w:type="page"/>
      </w:r>
    </w:p>
    <w:p w14:paraId="31E28981">
      <w:pPr>
        <w:tabs>
          <w:tab w:val="left" w:pos="1620"/>
        </w:tabs>
        <w:snapToGrid w:val="0"/>
        <w:jc w:val="center"/>
        <w:outlineLvl w:val="0"/>
        <w:rPr>
          <w:rFonts w:ascii="宋体" w:hAnsi="宋体"/>
          <w:b/>
          <w:bCs/>
          <w:color w:val="auto"/>
          <w:sz w:val="36"/>
          <w:szCs w:val="36"/>
        </w:rPr>
      </w:pPr>
      <w:r>
        <w:rPr>
          <w:rFonts w:hint="eastAsia" w:ascii="宋体" w:hAnsi="宋体"/>
          <w:b/>
          <w:bCs/>
          <w:color w:val="auto"/>
          <w:sz w:val="36"/>
          <w:szCs w:val="36"/>
        </w:rPr>
        <w:t xml:space="preserve">第二章 </w:t>
      </w:r>
      <w:r>
        <w:rPr>
          <w:rFonts w:hint="eastAsia" w:ascii="宋体" w:hAnsi="宋体"/>
          <w:b/>
          <w:bCs/>
          <w:color w:val="auto"/>
          <w:sz w:val="36"/>
          <w:szCs w:val="36"/>
          <w:lang w:val="en-US" w:eastAsia="zh-CN"/>
        </w:rPr>
        <w:t>采购</w:t>
      </w:r>
      <w:r>
        <w:rPr>
          <w:rFonts w:hint="eastAsia" w:ascii="宋体" w:hAnsi="宋体"/>
          <w:b/>
          <w:bCs/>
          <w:color w:val="auto"/>
          <w:sz w:val="36"/>
          <w:szCs w:val="36"/>
        </w:rPr>
        <w:t>需求</w:t>
      </w:r>
    </w:p>
    <w:p w14:paraId="63EF1937">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一、概述</w:t>
      </w:r>
    </w:p>
    <w:p w14:paraId="6CC0409E">
      <w:pPr>
        <w:keepNext w:val="0"/>
        <w:keepLines w:val="0"/>
        <w:pageBreakBefore w:val="0"/>
        <w:widowControl/>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目前，</w:t>
      </w:r>
      <w:r>
        <w:rPr>
          <w:rFonts w:hint="eastAsia" w:ascii="宋体" w:hAnsi="宋体" w:eastAsia="宋体" w:cs="宋体"/>
          <w:color w:val="auto"/>
          <w:sz w:val="24"/>
          <w:szCs w:val="24"/>
          <w:highlight w:val="none"/>
          <w:lang w:eastAsia="zh-CN"/>
        </w:rPr>
        <w:t>椒江</w:t>
      </w:r>
      <w:r>
        <w:rPr>
          <w:rFonts w:hint="eastAsia" w:ascii="宋体" w:hAnsi="宋体" w:cs="宋体"/>
          <w:color w:val="auto"/>
          <w:sz w:val="24"/>
          <w:szCs w:val="24"/>
          <w:highlight w:val="none"/>
          <w:lang w:val="en-US" w:eastAsia="zh-CN"/>
        </w:rPr>
        <w:t>区43家</w:t>
      </w:r>
      <w:r>
        <w:rPr>
          <w:rFonts w:hint="eastAsia" w:ascii="宋体" w:hAnsi="宋体" w:eastAsia="宋体" w:cs="宋体"/>
          <w:color w:val="auto"/>
          <w:sz w:val="24"/>
          <w:szCs w:val="24"/>
          <w:highlight w:val="none"/>
        </w:rPr>
        <w:t>眼镜</w:t>
      </w:r>
      <w:r>
        <w:rPr>
          <w:rFonts w:hint="eastAsia" w:ascii="宋体" w:hAnsi="宋体" w:cs="宋体"/>
          <w:color w:val="auto"/>
          <w:sz w:val="24"/>
          <w:szCs w:val="24"/>
          <w:highlight w:val="none"/>
          <w:lang w:val="en-US" w:eastAsia="zh-CN"/>
        </w:rPr>
        <w:t>和16家</w:t>
      </w:r>
      <w:r>
        <w:rPr>
          <w:rFonts w:hint="eastAsia" w:ascii="宋体" w:hAnsi="宋体" w:eastAsia="宋体" w:cs="宋体"/>
          <w:color w:val="auto"/>
          <w:sz w:val="24"/>
          <w:szCs w:val="24"/>
          <w:highlight w:val="none"/>
          <w:lang w:eastAsia="zh-CN"/>
        </w:rPr>
        <w:t>喷水织布行业</w:t>
      </w:r>
      <w:r>
        <w:rPr>
          <w:rFonts w:hint="eastAsia" w:ascii="宋体" w:hAnsi="宋体" w:cs="宋体"/>
          <w:color w:val="auto"/>
          <w:sz w:val="24"/>
          <w:szCs w:val="24"/>
          <w:highlight w:val="none"/>
          <w:lang w:val="en-US" w:eastAsia="zh-CN"/>
        </w:rPr>
        <w:t>的污染防治设施已安装有全套的过程监控设备，</w:t>
      </w:r>
      <w:r>
        <w:rPr>
          <w:rFonts w:hint="eastAsia" w:ascii="宋体" w:hAnsi="宋体" w:eastAsia="宋体" w:cs="宋体"/>
          <w:color w:val="auto"/>
          <w:sz w:val="24"/>
          <w:szCs w:val="24"/>
          <w:highlight w:val="none"/>
        </w:rPr>
        <w:t>通过</w:t>
      </w:r>
      <w:r>
        <w:rPr>
          <w:rFonts w:hint="eastAsia" w:ascii="宋体" w:hAnsi="宋体" w:cs="宋体"/>
          <w:color w:val="auto"/>
          <w:sz w:val="24"/>
          <w:szCs w:val="24"/>
          <w:highlight w:val="none"/>
          <w:lang w:val="en-US" w:eastAsia="zh-CN"/>
        </w:rPr>
        <w:t>监控设备</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企业的</w:t>
      </w:r>
      <w:r>
        <w:rPr>
          <w:rFonts w:hint="eastAsia" w:ascii="宋体" w:hAnsi="宋体" w:eastAsia="宋体" w:cs="宋体"/>
          <w:color w:val="auto"/>
          <w:sz w:val="24"/>
          <w:szCs w:val="24"/>
          <w:highlight w:val="none"/>
        </w:rPr>
        <w:t>污染防治设施运行参数等信息实时采集整合并传输到椒江区“</w:t>
      </w:r>
      <w:r>
        <w:rPr>
          <w:rFonts w:hint="eastAsia" w:ascii="宋体" w:hAnsi="宋体" w:eastAsia="宋体" w:cs="宋体"/>
          <w:color w:val="auto"/>
          <w:sz w:val="24"/>
          <w:szCs w:val="24"/>
          <w:highlight w:val="none"/>
          <w:lang w:eastAsia="zh-CN"/>
        </w:rPr>
        <w:t>环保全生命周期</w:t>
      </w:r>
      <w:r>
        <w:rPr>
          <w:rFonts w:hint="eastAsia" w:ascii="宋体" w:hAnsi="宋体" w:eastAsia="宋体" w:cs="宋体"/>
          <w:color w:val="auto"/>
          <w:sz w:val="24"/>
          <w:szCs w:val="24"/>
          <w:highlight w:val="none"/>
        </w:rPr>
        <w:t>一件事”平台，经系统逻辑分析，做出智能响应，可及时发现企业不正常运行污染防治设施、超标排放等违法违规行为，并进行信息报警，方便执法和企业管理人员及时处置。执法人员可以</w:t>
      </w:r>
      <w:r>
        <w:rPr>
          <w:rFonts w:hint="eastAsia" w:ascii="宋体" w:hAnsi="宋体" w:cs="宋体"/>
          <w:color w:val="auto"/>
          <w:sz w:val="24"/>
          <w:szCs w:val="24"/>
          <w:highlight w:val="none"/>
          <w:lang w:val="en-US" w:eastAsia="zh-CN"/>
        </w:rPr>
        <w:t>通过平台数据</w:t>
      </w:r>
      <w:r>
        <w:rPr>
          <w:rFonts w:hint="eastAsia" w:ascii="宋体" w:hAnsi="宋体" w:eastAsia="宋体" w:cs="宋体"/>
          <w:color w:val="auto"/>
          <w:sz w:val="24"/>
          <w:szCs w:val="24"/>
          <w:highlight w:val="none"/>
        </w:rPr>
        <w:t>选取任意时段企业运行参数及视频,进行同步查看，分析判断企业有无违法违规行为，有效提升眼镜行业</w:t>
      </w:r>
      <w:r>
        <w:rPr>
          <w:rFonts w:hint="eastAsia" w:ascii="宋体" w:hAnsi="宋体" w:eastAsia="宋体" w:cs="宋体"/>
          <w:color w:val="auto"/>
          <w:sz w:val="24"/>
          <w:szCs w:val="24"/>
          <w:highlight w:val="none"/>
          <w:lang w:eastAsia="zh-CN"/>
        </w:rPr>
        <w:t>、喷水织布行业的</w:t>
      </w:r>
      <w:r>
        <w:rPr>
          <w:rFonts w:hint="eastAsia" w:ascii="宋体" w:hAnsi="宋体" w:eastAsia="宋体" w:cs="宋体"/>
          <w:color w:val="auto"/>
          <w:sz w:val="24"/>
          <w:szCs w:val="24"/>
          <w:highlight w:val="none"/>
        </w:rPr>
        <w:t>环保管理水平。</w:t>
      </w:r>
      <w:r>
        <w:rPr>
          <w:rFonts w:hint="eastAsia" w:ascii="宋体" w:hAnsi="宋体" w:cs="宋体"/>
          <w:color w:val="auto"/>
          <w:sz w:val="24"/>
          <w:szCs w:val="24"/>
          <w:highlight w:val="none"/>
          <w:lang w:val="en-US" w:eastAsia="zh-CN"/>
        </w:rPr>
        <w:t>为保证已安装的过程监控设备能长期稳定运行，为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环保全生命周期</w:t>
      </w:r>
      <w:r>
        <w:rPr>
          <w:rFonts w:hint="eastAsia" w:ascii="宋体" w:hAnsi="宋体" w:eastAsia="宋体" w:cs="宋体"/>
          <w:color w:val="auto"/>
          <w:sz w:val="24"/>
          <w:szCs w:val="24"/>
          <w:highlight w:val="none"/>
        </w:rPr>
        <w:t>一件事”</w:t>
      </w:r>
      <w:r>
        <w:rPr>
          <w:rFonts w:hint="eastAsia" w:ascii="宋体" w:hAnsi="宋体" w:cs="宋体"/>
          <w:color w:val="auto"/>
          <w:sz w:val="24"/>
          <w:szCs w:val="24"/>
          <w:highlight w:val="none"/>
          <w:lang w:val="en-US" w:eastAsia="zh-CN"/>
        </w:rPr>
        <w:t>平台提供有效的分析数据，</w:t>
      </w:r>
      <w:r>
        <w:rPr>
          <w:rFonts w:hint="eastAsia" w:ascii="宋体" w:hAnsi="宋体" w:eastAsia="宋体" w:cs="宋体"/>
          <w:bCs/>
          <w:color w:val="auto"/>
          <w:sz w:val="24"/>
          <w:szCs w:val="24"/>
          <w:highlight w:val="none"/>
        </w:rPr>
        <w:t>椒江生态环境分局</w:t>
      </w:r>
      <w:r>
        <w:rPr>
          <w:rFonts w:hint="eastAsia" w:ascii="宋体" w:hAnsi="宋体" w:cs="宋体"/>
          <w:bCs/>
          <w:color w:val="auto"/>
          <w:sz w:val="24"/>
          <w:szCs w:val="24"/>
          <w:highlight w:val="none"/>
          <w:lang w:val="en-US" w:eastAsia="zh-CN"/>
        </w:rPr>
        <w:t>决定</w:t>
      </w:r>
      <w:r>
        <w:rPr>
          <w:rFonts w:hint="eastAsia" w:ascii="宋体" w:hAnsi="宋体" w:eastAsia="宋体" w:cs="宋体"/>
          <w:bCs/>
          <w:color w:val="auto"/>
          <w:sz w:val="24"/>
          <w:szCs w:val="24"/>
          <w:highlight w:val="none"/>
          <w:lang w:val="en-US" w:eastAsia="zh-CN"/>
        </w:rPr>
        <w:t>采购椒江区眼镜、喷水织布行业环保过程监控运维服务项目。</w:t>
      </w:r>
    </w:p>
    <w:p w14:paraId="7B0754BF">
      <w:pPr>
        <w:snapToGrid w:val="0"/>
        <w:spacing w:before="156" w:beforeLines="50"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二、眼镜行业、喷水织布行业企业清单</w:t>
      </w:r>
    </w:p>
    <w:p w14:paraId="455AEB97">
      <w:pPr>
        <w:pStyle w:val="7"/>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1、眼镜企业名单</w:t>
      </w:r>
    </w:p>
    <w:tbl>
      <w:tblPr>
        <w:tblStyle w:val="26"/>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8"/>
        <w:gridCol w:w="5417"/>
        <w:gridCol w:w="2325"/>
      </w:tblGrid>
      <w:tr w14:paraId="64758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95F63F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7D739B2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企业名称</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5D1441C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废气处理设备套数</w:t>
            </w:r>
          </w:p>
        </w:tc>
      </w:tr>
      <w:tr w14:paraId="10EEB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54928E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178" w:type="pct"/>
            <w:vMerge w:val="restart"/>
            <w:tcBorders>
              <w:top w:val="single" w:color="000000" w:sz="4" w:space="0"/>
              <w:left w:val="single" w:color="000000" w:sz="4" w:space="0"/>
              <w:bottom w:val="single" w:color="000000" w:sz="4" w:space="0"/>
              <w:right w:val="single" w:color="000000" w:sz="4" w:space="0"/>
            </w:tcBorders>
            <w:noWrap w:val="0"/>
            <w:vAlign w:val="center"/>
          </w:tcPr>
          <w:p w14:paraId="4342DE2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台州市椒江盈科光学眼镜有限公司（现陶意）</w:t>
            </w:r>
          </w:p>
        </w:tc>
        <w:tc>
          <w:tcPr>
            <w:tcW w:w="1364" w:type="pct"/>
            <w:vMerge w:val="restart"/>
            <w:tcBorders>
              <w:top w:val="single" w:color="000000" w:sz="4" w:space="0"/>
              <w:left w:val="single" w:color="000000" w:sz="4" w:space="0"/>
              <w:bottom w:val="single" w:color="000000" w:sz="4" w:space="0"/>
              <w:right w:val="single" w:color="000000" w:sz="4" w:space="0"/>
            </w:tcBorders>
            <w:noWrap w:val="0"/>
            <w:vAlign w:val="center"/>
          </w:tcPr>
          <w:p w14:paraId="6360751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2套</w:t>
            </w:r>
          </w:p>
        </w:tc>
      </w:tr>
      <w:tr w14:paraId="5E3AC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DD67C3">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31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AA42A3">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13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08D0F1">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r>
      <w:tr w14:paraId="0ECED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restart"/>
            <w:tcBorders>
              <w:top w:val="single" w:color="000000" w:sz="4" w:space="0"/>
              <w:left w:val="single" w:color="000000" w:sz="4" w:space="0"/>
              <w:bottom w:val="single" w:color="000000" w:sz="4" w:space="0"/>
              <w:right w:val="single" w:color="000000" w:sz="4" w:space="0"/>
            </w:tcBorders>
            <w:noWrap w:val="0"/>
            <w:vAlign w:val="center"/>
          </w:tcPr>
          <w:p w14:paraId="3D64C87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178" w:type="pct"/>
            <w:vMerge w:val="restart"/>
            <w:tcBorders>
              <w:top w:val="single" w:color="000000" w:sz="4" w:space="0"/>
              <w:left w:val="single" w:color="000000" w:sz="4" w:space="0"/>
              <w:bottom w:val="single" w:color="000000" w:sz="4" w:space="0"/>
              <w:right w:val="single" w:color="000000" w:sz="4" w:space="0"/>
            </w:tcBorders>
            <w:noWrap w:val="0"/>
            <w:vAlign w:val="center"/>
          </w:tcPr>
          <w:p w14:paraId="0332693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台州市艾米眼镜有限公司</w:t>
            </w:r>
          </w:p>
        </w:tc>
        <w:tc>
          <w:tcPr>
            <w:tcW w:w="1364" w:type="pct"/>
            <w:vMerge w:val="restart"/>
            <w:tcBorders>
              <w:top w:val="single" w:color="000000" w:sz="4" w:space="0"/>
              <w:left w:val="single" w:color="000000" w:sz="4" w:space="0"/>
              <w:bottom w:val="single" w:color="000000" w:sz="4" w:space="0"/>
              <w:right w:val="single" w:color="000000" w:sz="4" w:space="0"/>
            </w:tcBorders>
            <w:noWrap w:val="0"/>
            <w:vAlign w:val="center"/>
          </w:tcPr>
          <w:p w14:paraId="10EA5B7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74E81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2D5CEF">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31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C6918F">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13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3BAD13">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r>
      <w:tr w14:paraId="758A7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2B605DD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1806CFC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台州市椒江中联眼镜有限公司</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47C3ABE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2套</w:t>
            </w:r>
          </w:p>
        </w:tc>
      </w:tr>
      <w:tr w14:paraId="21900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7FB71EA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2A6EE2D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台州市椒江雅达眼镜有限公司</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3E94C09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2套</w:t>
            </w:r>
          </w:p>
        </w:tc>
      </w:tr>
      <w:tr w14:paraId="1007C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6EC726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3178" w:type="pct"/>
            <w:vMerge w:val="restart"/>
            <w:tcBorders>
              <w:top w:val="single" w:color="000000" w:sz="4" w:space="0"/>
              <w:left w:val="single" w:color="000000" w:sz="4" w:space="0"/>
              <w:bottom w:val="single" w:color="000000" w:sz="4" w:space="0"/>
              <w:right w:val="single" w:color="000000" w:sz="4" w:space="0"/>
            </w:tcBorders>
            <w:noWrap w:val="0"/>
            <w:vAlign w:val="center"/>
          </w:tcPr>
          <w:p w14:paraId="6A816B0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台州市远明眼镜有限公司</w:t>
            </w:r>
          </w:p>
        </w:tc>
        <w:tc>
          <w:tcPr>
            <w:tcW w:w="1364" w:type="pct"/>
            <w:vMerge w:val="restart"/>
            <w:tcBorders>
              <w:top w:val="single" w:color="000000" w:sz="4" w:space="0"/>
              <w:left w:val="single" w:color="000000" w:sz="4" w:space="0"/>
              <w:bottom w:val="single" w:color="000000" w:sz="4" w:space="0"/>
              <w:right w:val="single" w:color="000000" w:sz="4" w:space="0"/>
            </w:tcBorders>
            <w:noWrap w:val="0"/>
            <w:vAlign w:val="center"/>
          </w:tcPr>
          <w:p w14:paraId="6454B4C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2套</w:t>
            </w:r>
          </w:p>
        </w:tc>
      </w:tr>
      <w:tr w14:paraId="18CB0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22629D">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31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027E1D">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13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3191CC">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r>
      <w:tr w14:paraId="1117E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restart"/>
            <w:tcBorders>
              <w:top w:val="single" w:color="000000" w:sz="4" w:space="0"/>
              <w:left w:val="single" w:color="000000" w:sz="4" w:space="0"/>
              <w:bottom w:val="single" w:color="000000" w:sz="4" w:space="0"/>
              <w:right w:val="single" w:color="000000" w:sz="4" w:space="0"/>
            </w:tcBorders>
            <w:noWrap w:val="0"/>
            <w:vAlign w:val="center"/>
          </w:tcPr>
          <w:p w14:paraId="318B0F8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3178" w:type="pct"/>
            <w:vMerge w:val="restart"/>
            <w:tcBorders>
              <w:top w:val="single" w:color="000000" w:sz="4" w:space="0"/>
              <w:left w:val="single" w:color="000000" w:sz="4" w:space="0"/>
              <w:bottom w:val="single" w:color="000000" w:sz="4" w:space="0"/>
              <w:right w:val="single" w:color="000000" w:sz="4" w:space="0"/>
            </w:tcBorders>
            <w:noWrap w:val="0"/>
            <w:vAlign w:val="center"/>
          </w:tcPr>
          <w:p w14:paraId="3CB11A0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台州市工友眼镜有限公司</w:t>
            </w:r>
          </w:p>
        </w:tc>
        <w:tc>
          <w:tcPr>
            <w:tcW w:w="1364" w:type="pct"/>
            <w:vMerge w:val="restart"/>
            <w:tcBorders>
              <w:top w:val="single" w:color="000000" w:sz="4" w:space="0"/>
              <w:left w:val="single" w:color="000000" w:sz="4" w:space="0"/>
              <w:bottom w:val="single" w:color="000000" w:sz="4" w:space="0"/>
              <w:right w:val="single" w:color="000000" w:sz="4" w:space="0"/>
            </w:tcBorders>
            <w:noWrap w:val="0"/>
            <w:vAlign w:val="center"/>
          </w:tcPr>
          <w:p w14:paraId="466C407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3C938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5DDF2E">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31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E82C64">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13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D31D82">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r>
      <w:tr w14:paraId="3772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00F9694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5706C21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台州市鼎昌眼镜有限公司</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4D88386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1套</w:t>
            </w:r>
          </w:p>
        </w:tc>
      </w:tr>
      <w:tr w14:paraId="31CE2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DE4004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3178" w:type="pct"/>
            <w:vMerge w:val="restart"/>
            <w:tcBorders>
              <w:top w:val="single" w:color="000000" w:sz="4" w:space="0"/>
              <w:left w:val="single" w:color="000000" w:sz="4" w:space="0"/>
              <w:bottom w:val="single" w:color="000000" w:sz="4" w:space="0"/>
              <w:right w:val="single" w:color="000000" w:sz="4" w:space="0"/>
            </w:tcBorders>
            <w:noWrap w:val="0"/>
            <w:vAlign w:val="center"/>
          </w:tcPr>
          <w:p w14:paraId="5A11088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台州市新时代光学眼镜有限公司</w:t>
            </w:r>
          </w:p>
        </w:tc>
        <w:tc>
          <w:tcPr>
            <w:tcW w:w="1364" w:type="pct"/>
            <w:vMerge w:val="restart"/>
            <w:tcBorders>
              <w:top w:val="single" w:color="000000" w:sz="4" w:space="0"/>
              <w:left w:val="single" w:color="000000" w:sz="4" w:space="0"/>
              <w:bottom w:val="single" w:color="000000" w:sz="4" w:space="0"/>
              <w:right w:val="single" w:color="000000" w:sz="4" w:space="0"/>
            </w:tcBorders>
            <w:noWrap w:val="0"/>
            <w:vAlign w:val="center"/>
          </w:tcPr>
          <w:p w14:paraId="4A6C80F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套</w:t>
            </w:r>
          </w:p>
        </w:tc>
      </w:tr>
      <w:tr w14:paraId="722F7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F99159">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31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349D08">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13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071503">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r>
      <w:tr w14:paraId="1FA14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restart"/>
            <w:tcBorders>
              <w:top w:val="single" w:color="000000" w:sz="4" w:space="0"/>
              <w:left w:val="single" w:color="000000" w:sz="4" w:space="0"/>
              <w:bottom w:val="single" w:color="000000" w:sz="4" w:space="0"/>
              <w:right w:val="single" w:color="000000" w:sz="4" w:space="0"/>
            </w:tcBorders>
            <w:noWrap w:val="0"/>
            <w:vAlign w:val="center"/>
          </w:tcPr>
          <w:p w14:paraId="2AE7003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3178" w:type="pct"/>
            <w:vMerge w:val="restart"/>
            <w:tcBorders>
              <w:top w:val="single" w:color="000000" w:sz="4" w:space="0"/>
              <w:left w:val="single" w:color="000000" w:sz="4" w:space="0"/>
              <w:bottom w:val="single" w:color="000000" w:sz="4" w:space="0"/>
              <w:right w:val="single" w:color="000000" w:sz="4" w:space="0"/>
            </w:tcBorders>
            <w:noWrap w:val="0"/>
            <w:vAlign w:val="center"/>
          </w:tcPr>
          <w:p w14:paraId="689D024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台州市椒江博轩眼镜有限公司</w:t>
            </w:r>
          </w:p>
        </w:tc>
        <w:tc>
          <w:tcPr>
            <w:tcW w:w="1364" w:type="pct"/>
            <w:vMerge w:val="restart"/>
            <w:tcBorders>
              <w:top w:val="single" w:color="000000" w:sz="4" w:space="0"/>
              <w:left w:val="single" w:color="000000" w:sz="4" w:space="0"/>
              <w:bottom w:val="single" w:color="000000" w:sz="4" w:space="0"/>
              <w:right w:val="single" w:color="000000" w:sz="4" w:space="0"/>
            </w:tcBorders>
            <w:noWrap w:val="0"/>
            <w:vAlign w:val="center"/>
          </w:tcPr>
          <w:p w14:paraId="661BC0F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2套</w:t>
            </w:r>
          </w:p>
        </w:tc>
      </w:tr>
      <w:tr w14:paraId="56C7D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BB0709">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31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599B00">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13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DB11D3">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r>
      <w:tr w14:paraId="67EFA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4064851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6886D6F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台州市爱雅特体育用品厂</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7D5EB68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2套</w:t>
            </w:r>
          </w:p>
        </w:tc>
      </w:tr>
      <w:tr w14:paraId="61778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1FF03A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5E79E15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台州市椒江博鑫眼镜有限公司</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1B945A4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套</w:t>
            </w:r>
          </w:p>
        </w:tc>
      </w:tr>
      <w:tr w14:paraId="442EE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F722FF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0A87BB8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台州市椒江晨沣光学眼镜厂（现欧凯）</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610E6FE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13BCD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5B62568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7C10861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台州市创丰眼镜有限公司</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1973A77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套</w:t>
            </w:r>
          </w:p>
        </w:tc>
      </w:tr>
      <w:tr w14:paraId="58D01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0C524A7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09C2C5C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台州市椒江春回眼镜厂（现盈科）</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46D0C71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套</w:t>
            </w:r>
          </w:p>
        </w:tc>
      </w:tr>
      <w:tr w14:paraId="443F5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58828A0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787F5D3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台州市大光明光学有限公司</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0BC8D8E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2套</w:t>
            </w:r>
          </w:p>
        </w:tc>
      </w:tr>
      <w:tr w14:paraId="60C0C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2B10667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5DE7F9A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台州市椒江沿海登峰眼镜厂</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5FED366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2套</w:t>
            </w:r>
          </w:p>
        </w:tc>
      </w:tr>
      <w:tr w14:paraId="16221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7C41C54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5F08DB4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台州市椒江国鼎眼镜厂</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08EB1A8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03704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DEF9A7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368CCD3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台州市椒江亨得利眼镜有限公司</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26E1F99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37B7A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7B528B3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598B45A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台州市椒江宏达光学有限公司</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57990CF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01767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7A77A2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4564AA4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台州市椒江宏兴眼镜有限公司</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4E4F9E0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套</w:t>
            </w:r>
          </w:p>
        </w:tc>
      </w:tr>
      <w:tr w14:paraId="638D1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04BBCE6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04DEC1A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台州市椒江凯达眼镜厂</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0FA70CA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4F6F3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7967FCB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2DEC3DA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台州市可晟眼镜有限公司</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1AA8424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套</w:t>
            </w:r>
          </w:p>
        </w:tc>
      </w:tr>
      <w:tr w14:paraId="2B122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716AA11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3456915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台州市亚细亚眼镜厂</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3BE785D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2套</w:t>
            </w:r>
          </w:p>
        </w:tc>
      </w:tr>
      <w:tr w14:paraId="5C8E5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14CABE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050CD1A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台州市椒江沿海发达眼镜厂</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378C2B6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4DCEC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50A281B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0400948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台州市椒江沿海眼镜厂</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2D38E47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2套</w:t>
            </w:r>
          </w:p>
        </w:tc>
      </w:tr>
      <w:tr w14:paraId="3CFC1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3D4E36D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309D17B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台州市中天眼镜有限公司</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3E2F93A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1DB93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5D65329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2963423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台州市富得利眼镜有限公司</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348E9C6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502F0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5B4BCDE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27D3790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台州市椒江华龙眼镜有限公司</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37EB589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2套</w:t>
            </w:r>
          </w:p>
        </w:tc>
      </w:tr>
      <w:tr w14:paraId="5B9FD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0CC313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3178" w:type="pct"/>
            <w:vMerge w:val="restart"/>
            <w:tcBorders>
              <w:top w:val="single" w:color="000000" w:sz="4" w:space="0"/>
              <w:left w:val="single" w:color="000000" w:sz="4" w:space="0"/>
              <w:bottom w:val="single" w:color="000000" w:sz="4" w:space="0"/>
              <w:right w:val="single" w:color="000000" w:sz="4" w:space="0"/>
            </w:tcBorders>
            <w:noWrap w:val="0"/>
            <w:vAlign w:val="center"/>
          </w:tcPr>
          <w:p w14:paraId="2474927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台州市图强眼镜有限公司</w:t>
            </w:r>
          </w:p>
        </w:tc>
        <w:tc>
          <w:tcPr>
            <w:tcW w:w="1364" w:type="pct"/>
            <w:vMerge w:val="restart"/>
            <w:tcBorders>
              <w:top w:val="single" w:color="000000" w:sz="4" w:space="0"/>
              <w:left w:val="single" w:color="000000" w:sz="4" w:space="0"/>
              <w:bottom w:val="single" w:color="000000" w:sz="4" w:space="0"/>
              <w:right w:val="single" w:color="000000" w:sz="4" w:space="0"/>
            </w:tcBorders>
            <w:noWrap w:val="0"/>
            <w:vAlign w:val="center"/>
          </w:tcPr>
          <w:p w14:paraId="71ED253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36A8F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442170">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31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60F27F">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13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427739">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r>
      <w:tr w14:paraId="20F58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restart"/>
            <w:tcBorders>
              <w:top w:val="single" w:color="000000" w:sz="4" w:space="0"/>
              <w:left w:val="single" w:color="000000" w:sz="4" w:space="0"/>
              <w:bottom w:val="single" w:color="000000" w:sz="4" w:space="0"/>
              <w:right w:val="single" w:color="000000" w:sz="4" w:space="0"/>
            </w:tcBorders>
            <w:noWrap w:val="0"/>
            <w:vAlign w:val="center"/>
          </w:tcPr>
          <w:p w14:paraId="2B6AFF4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3178" w:type="pct"/>
            <w:vMerge w:val="restart"/>
            <w:tcBorders>
              <w:top w:val="single" w:color="000000" w:sz="4" w:space="0"/>
              <w:left w:val="single" w:color="000000" w:sz="4" w:space="0"/>
              <w:bottom w:val="single" w:color="000000" w:sz="4" w:space="0"/>
              <w:right w:val="single" w:color="000000" w:sz="4" w:space="0"/>
            </w:tcBorders>
            <w:noWrap w:val="0"/>
            <w:vAlign w:val="center"/>
          </w:tcPr>
          <w:p w14:paraId="382BF37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台州市京航眼镜有限公司</w:t>
            </w:r>
          </w:p>
        </w:tc>
        <w:tc>
          <w:tcPr>
            <w:tcW w:w="1364" w:type="pct"/>
            <w:vMerge w:val="restart"/>
            <w:tcBorders>
              <w:top w:val="single" w:color="000000" w:sz="4" w:space="0"/>
              <w:left w:val="single" w:color="000000" w:sz="4" w:space="0"/>
              <w:bottom w:val="single" w:color="000000" w:sz="4" w:space="0"/>
              <w:right w:val="single" w:color="000000" w:sz="4" w:space="0"/>
            </w:tcBorders>
            <w:noWrap w:val="0"/>
            <w:vAlign w:val="center"/>
          </w:tcPr>
          <w:p w14:paraId="4557717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2套</w:t>
            </w:r>
          </w:p>
        </w:tc>
      </w:tr>
      <w:tr w14:paraId="78DAE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B54955">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31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DF97FE">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13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2666FE">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r>
      <w:tr w14:paraId="1B0F6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restart"/>
            <w:tcBorders>
              <w:top w:val="single" w:color="000000" w:sz="4" w:space="0"/>
              <w:left w:val="single" w:color="000000" w:sz="4" w:space="0"/>
              <w:bottom w:val="single" w:color="000000" w:sz="4" w:space="0"/>
              <w:right w:val="single" w:color="000000" w:sz="4" w:space="0"/>
            </w:tcBorders>
            <w:noWrap w:val="0"/>
            <w:vAlign w:val="center"/>
          </w:tcPr>
          <w:p w14:paraId="254CB1D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3178" w:type="pct"/>
            <w:vMerge w:val="restart"/>
            <w:tcBorders>
              <w:top w:val="single" w:color="000000" w:sz="4" w:space="0"/>
              <w:left w:val="single" w:color="000000" w:sz="4" w:space="0"/>
              <w:bottom w:val="single" w:color="000000" w:sz="4" w:space="0"/>
              <w:right w:val="single" w:color="000000" w:sz="4" w:space="0"/>
            </w:tcBorders>
            <w:noWrap w:val="0"/>
            <w:vAlign w:val="center"/>
          </w:tcPr>
          <w:p w14:paraId="2AAEBDF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台州市椒江振宝眼镜有限公司</w:t>
            </w:r>
          </w:p>
        </w:tc>
        <w:tc>
          <w:tcPr>
            <w:tcW w:w="1364" w:type="pct"/>
            <w:vMerge w:val="restart"/>
            <w:tcBorders>
              <w:top w:val="single" w:color="000000" w:sz="4" w:space="0"/>
              <w:left w:val="single" w:color="000000" w:sz="4" w:space="0"/>
              <w:bottom w:val="single" w:color="000000" w:sz="4" w:space="0"/>
              <w:right w:val="single" w:color="000000" w:sz="4" w:space="0"/>
            </w:tcBorders>
            <w:noWrap w:val="0"/>
            <w:vAlign w:val="center"/>
          </w:tcPr>
          <w:p w14:paraId="29DD9D4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2套</w:t>
            </w:r>
          </w:p>
        </w:tc>
      </w:tr>
      <w:tr w14:paraId="5B340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115668">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31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A95814">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13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BBC0C8">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r>
      <w:tr w14:paraId="4D745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restart"/>
            <w:tcBorders>
              <w:top w:val="single" w:color="000000" w:sz="4" w:space="0"/>
              <w:left w:val="single" w:color="000000" w:sz="4" w:space="0"/>
              <w:bottom w:val="single" w:color="000000" w:sz="4" w:space="0"/>
              <w:right w:val="single" w:color="000000" w:sz="4" w:space="0"/>
            </w:tcBorders>
            <w:noWrap w:val="0"/>
            <w:vAlign w:val="center"/>
          </w:tcPr>
          <w:p w14:paraId="4F4EF61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3178" w:type="pct"/>
            <w:vMerge w:val="restart"/>
            <w:tcBorders>
              <w:top w:val="single" w:color="000000" w:sz="4" w:space="0"/>
              <w:left w:val="single" w:color="000000" w:sz="4" w:space="0"/>
              <w:bottom w:val="single" w:color="000000" w:sz="4" w:space="0"/>
              <w:right w:val="single" w:color="000000" w:sz="4" w:space="0"/>
            </w:tcBorders>
            <w:noWrap w:val="0"/>
            <w:vAlign w:val="center"/>
          </w:tcPr>
          <w:p w14:paraId="21BDB69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台州市椒江盈丰眼镜有限公司</w:t>
            </w:r>
          </w:p>
        </w:tc>
        <w:tc>
          <w:tcPr>
            <w:tcW w:w="1364" w:type="pct"/>
            <w:vMerge w:val="restart"/>
            <w:tcBorders>
              <w:top w:val="single" w:color="000000" w:sz="4" w:space="0"/>
              <w:left w:val="single" w:color="000000" w:sz="4" w:space="0"/>
              <w:bottom w:val="single" w:color="000000" w:sz="4" w:space="0"/>
              <w:right w:val="single" w:color="000000" w:sz="4" w:space="0"/>
            </w:tcBorders>
            <w:noWrap w:val="0"/>
            <w:vAlign w:val="center"/>
          </w:tcPr>
          <w:p w14:paraId="502BF81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6571B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F8B3B7">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31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BF14E0">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13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21175E">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r>
      <w:tr w14:paraId="66784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restart"/>
            <w:tcBorders>
              <w:top w:val="single" w:color="000000" w:sz="4" w:space="0"/>
              <w:left w:val="single" w:color="000000" w:sz="4" w:space="0"/>
              <w:bottom w:val="single" w:color="000000" w:sz="4" w:space="0"/>
              <w:right w:val="single" w:color="000000" w:sz="4" w:space="0"/>
            </w:tcBorders>
            <w:noWrap w:val="0"/>
            <w:vAlign w:val="center"/>
          </w:tcPr>
          <w:p w14:paraId="0B5A4EA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3178" w:type="pct"/>
            <w:vMerge w:val="restart"/>
            <w:tcBorders>
              <w:top w:val="single" w:color="000000" w:sz="4" w:space="0"/>
              <w:left w:val="single" w:color="000000" w:sz="4" w:space="0"/>
              <w:bottom w:val="single" w:color="000000" w:sz="4" w:space="0"/>
              <w:right w:val="single" w:color="000000" w:sz="4" w:space="0"/>
            </w:tcBorders>
            <w:noWrap w:val="0"/>
            <w:vAlign w:val="center"/>
          </w:tcPr>
          <w:p w14:paraId="78CBCE2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台州市椒江振兴眼镜有限公司</w:t>
            </w:r>
          </w:p>
        </w:tc>
        <w:tc>
          <w:tcPr>
            <w:tcW w:w="1364" w:type="pct"/>
            <w:vMerge w:val="restart"/>
            <w:tcBorders>
              <w:top w:val="single" w:color="000000" w:sz="4" w:space="0"/>
              <w:left w:val="single" w:color="000000" w:sz="4" w:space="0"/>
              <w:bottom w:val="single" w:color="000000" w:sz="4" w:space="0"/>
              <w:right w:val="single" w:color="000000" w:sz="4" w:space="0"/>
            </w:tcBorders>
            <w:noWrap w:val="0"/>
            <w:vAlign w:val="center"/>
          </w:tcPr>
          <w:p w14:paraId="2AFEA84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2E36E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7C0A9A">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31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15CB39">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13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24F3DE">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r>
      <w:tr w14:paraId="65BC6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restart"/>
            <w:tcBorders>
              <w:top w:val="single" w:color="000000" w:sz="4" w:space="0"/>
              <w:left w:val="single" w:color="000000" w:sz="4" w:space="0"/>
              <w:bottom w:val="single" w:color="000000" w:sz="4" w:space="0"/>
              <w:right w:val="single" w:color="000000" w:sz="4" w:space="0"/>
            </w:tcBorders>
            <w:noWrap w:val="0"/>
            <w:vAlign w:val="center"/>
          </w:tcPr>
          <w:p w14:paraId="4D67994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3178" w:type="pct"/>
            <w:vMerge w:val="restart"/>
            <w:tcBorders>
              <w:top w:val="single" w:color="000000" w:sz="4" w:space="0"/>
              <w:left w:val="single" w:color="000000" w:sz="4" w:space="0"/>
              <w:bottom w:val="single" w:color="000000" w:sz="4" w:space="0"/>
              <w:right w:val="single" w:color="000000" w:sz="4" w:space="0"/>
            </w:tcBorders>
            <w:noWrap w:val="0"/>
            <w:vAlign w:val="center"/>
          </w:tcPr>
          <w:p w14:paraId="339D2F7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台州市椒江吉豪眼镜有限公司</w:t>
            </w:r>
          </w:p>
        </w:tc>
        <w:tc>
          <w:tcPr>
            <w:tcW w:w="1364" w:type="pct"/>
            <w:vMerge w:val="restart"/>
            <w:tcBorders>
              <w:top w:val="single" w:color="000000" w:sz="4" w:space="0"/>
              <w:left w:val="single" w:color="000000" w:sz="4" w:space="0"/>
              <w:bottom w:val="single" w:color="000000" w:sz="4" w:space="0"/>
              <w:right w:val="single" w:color="000000" w:sz="4" w:space="0"/>
            </w:tcBorders>
            <w:noWrap w:val="0"/>
            <w:vAlign w:val="center"/>
          </w:tcPr>
          <w:p w14:paraId="73E8DFA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18F35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497503">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31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921FAF">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13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60BE4D">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r>
      <w:tr w14:paraId="5AD97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restart"/>
            <w:tcBorders>
              <w:top w:val="single" w:color="000000" w:sz="4" w:space="0"/>
              <w:left w:val="single" w:color="000000" w:sz="4" w:space="0"/>
              <w:bottom w:val="single" w:color="000000" w:sz="4" w:space="0"/>
              <w:right w:val="single" w:color="000000" w:sz="4" w:space="0"/>
            </w:tcBorders>
            <w:noWrap w:val="0"/>
            <w:vAlign w:val="center"/>
          </w:tcPr>
          <w:p w14:paraId="3296225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3178" w:type="pct"/>
            <w:vMerge w:val="restart"/>
            <w:tcBorders>
              <w:top w:val="single" w:color="000000" w:sz="4" w:space="0"/>
              <w:left w:val="single" w:color="000000" w:sz="4" w:space="0"/>
              <w:bottom w:val="single" w:color="000000" w:sz="4" w:space="0"/>
              <w:right w:val="single" w:color="000000" w:sz="4" w:space="0"/>
            </w:tcBorders>
            <w:noWrap w:val="0"/>
            <w:vAlign w:val="center"/>
          </w:tcPr>
          <w:p w14:paraId="1BB1428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台州市椒江新兴眼镜有限公司</w:t>
            </w:r>
          </w:p>
        </w:tc>
        <w:tc>
          <w:tcPr>
            <w:tcW w:w="1364" w:type="pct"/>
            <w:vMerge w:val="restart"/>
            <w:tcBorders>
              <w:top w:val="single" w:color="000000" w:sz="4" w:space="0"/>
              <w:left w:val="single" w:color="000000" w:sz="4" w:space="0"/>
              <w:bottom w:val="single" w:color="000000" w:sz="4" w:space="0"/>
              <w:right w:val="single" w:color="000000" w:sz="4" w:space="0"/>
            </w:tcBorders>
            <w:noWrap w:val="0"/>
            <w:vAlign w:val="center"/>
          </w:tcPr>
          <w:p w14:paraId="29E1020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3套</w:t>
            </w:r>
          </w:p>
        </w:tc>
      </w:tr>
      <w:tr w14:paraId="05D3C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5441DC">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31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7224C0">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13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2AD94F">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r>
      <w:tr w14:paraId="52959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F61736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3178" w:type="pct"/>
            <w:vMerge w:val="restart"/>
            <w:tcBorders>
              <w:top w:val="single" w:color="000000" w:sz="4" w:space="0"/>
              <w:left w:val="single" w:color="000000" w:sz="4" w:space="0"/>
              <w:bottom w:val="single" w:color="000000" w:sz="4" w:space="0"/>
              <w:right w:val="single" w:color="000000" w:sz="4" w:space="0"/>
            </w:tcBorders>
            <w:noWrap w:val="0"/>
            <w:vAlign w:val="center"/>
          </w:tcPr>
          <w:p w14:paraId="2AB3046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台州市椒江亮仔光学眼镜厂</w:t>
            </w:r>
          </w:p>
        </w:tc>
        <w:tc>
          <w:tcPr>
            <w:tcW w:w="1364" w:type="pct"/>
            <w:vMerge w:val="restart"/>
            <w:tcBorders>
              <w:top w:val="single" w:color="000000" w:sz="4" w:space="0"/>
              <w:left w:val="single" w:color="000000" w:sz="4" w:space="0"/>
              <w:bottom w:val="single" w:color="000000" w:sz="4" w:space="0"/>
              <w:right w:val="single" w:color="000000" w:sz="4" w:space="0"/>
            </w:tcBorders>
            <w:noWrap w:val="0"/>
            <w:vAlign w:val="center"/>
          </w:tcPr>
          <w:p w14:paraId="3E3B525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7F69F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6DE3C9">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31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7973F3">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13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DF3BEA">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r>
      <w:tr w14:paraId="77049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22C5E29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430A2DF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台州市康特明眼镜有限公司</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52FBA87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15F3E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0FA0FF3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635B4E8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台州众源眼镜有限公司</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7D865BE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454DC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EB7653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6FDCAE4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台州市椒江志慧眼镜厂</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1CEE097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套</w:t>
            </w:r>
          </w:p>
        </w:tc>
      </w:tr>
      <w:tr w14:paraId="38F5A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3C2F1D1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442AE38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台州市椒江诚盛眼镜厂</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031BC8B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47A3A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4323F8B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4BB7029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台州市雅康眼镜有限公司</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2B7074C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39BBA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ABD893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246092C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台州市启光眼镜有限公司</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560D224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41B82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30AA90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3CCAFDA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台州市椒江雷霆眼镜厂</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4FF7700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套</w:t>
            </w:r>
          </w:p>
        </w:tc>
      </w:tr>
    </w:tbl>
    <w:p w14:paraId="3AF3E50D">
      <w:pPr>
        <w:pStyle w:val="7"/>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2.纺织行业名单</w:t>
      </w:r>
    </w:p>
    <w:tbl>
      <w:tblPr>
        <w:tblStyle w:val="2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9"/>
        <w:gridCol w:w="5417"/>
        <w:gridCol w:w="2323"/>
      </w:tblGrid>
      <w:tr w14:paraId="11C83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23082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33DA066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企业名称</w:t>
            </w:r>
          </w:p>
        </w:tc>
        <w:tc>
          <w:tcPr>
            <w:tcW w:w="1363" w:type="pct"/>
            <w:tcBorders>
              <w:top w:val="single" w:color="000000" w:sz="4" w:space="0"/>
              <w:left w:val="single" w:color="000000" w:sz="4" w:space="0"/>
              <w:bottom w:val="single" w:color="000000" w:sz="4" w:space="0"/>
              <w:right w:val="single" w:color="000000" w:sz="4" w:space="0"/>
            </w:tcBorders>
            <w:noWrap/>
            <w:vAlign w:val="center"/>
          </w:tcPr>
          <w:p w14:paraId="39E7C2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r>
      <w:tr w14:paraId="3D826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27BDA0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051E36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浙江友利纺织有限公司</w:t>
            </w:r>
          </w:p>
        </w:tc>
        <w:tc>
          <w:tcPr>
            <w:tcW w:w="1363" w:type="pct"/>
            <w:tcBorders>
              <w:top w:val="single" w:color="000000" w:sz="4" w:space="0"/>
              <w:left w:val="single" w:color="000000" w:sz="4" w:space="0"/>
              <w:bottom w:val="single" w:color="000000" w:sz="4" w:space="0"/>
              <w:right w:val="single" w:color="000000" w:sz="4" w:space="0"/>
            </w:tcBorders>
            <w:noWrap/>
            <w:vAlign w:val="center"/>
          </w:tcPr>
          <w:p w14:paraId="726EF6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2E0A9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3B757C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423879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台州市金牛纺织有限公司</w:t>
            </w:r>
          </w:p>
        </w:tc>
        <w:tc>
          <w:tcPr>
            <w:tcW w:w="1363" w:type="pct"/>
            <w:tcBorders>
              <w:top w:val="single" w:color="000000" w:sz="4" w:space="0"/>
              <w:left w:val="single" w:color="000000" w:sz="4" w:space="0"/>
              <w:bottom w:val="single" w:color="000000" w:sz="4" w:space="0"/>
              <w:right w:val="single" w:color="000000" w:sz="4" w:space="0"/>
            </w:tcBorders>
            <w:noWrap/>
            <w:vAlign w:val="center"/>
          </w:tcPr>
          <w:p w14:paraId="262E3A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011F4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03A514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19800A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浙江鑫裕纺织股份有限公司</w:t>
            </w:r>
          </w:p>
        </w:tc>
        <w:tc>
          <w:tcPr>
            <w:tcW w:w="1363" w:type="pct"/>
            <w:tcBorders>
              <w:top w:val="single" w:color="000000" w:sz="4" w:space="0"/>
              <w:left w:val="single" w:color="000000" w:sz="4" w:space="0"/>
              <w:bottom w:val="single" w:color="000000" w:sz="4" w:space="0"/>
              <w:right w:val="single" w:color="000000" w:sz="4" w:space="0"/>
            </w:tcBorders>
            <w:noWrap/>
            <w:vAlign w:val="center"/>
          </w:tcPr>
          <w:p w14:paraId="16C169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136C7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762CBF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098C0F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台州市海轩纺织科技有限公司</w:t>
            </w:r>
          </w:p>
        </w:tc>
        <w:tc>
          <w:tcPr>
            <w:tcW w:w="1363" w:type="pct"/>
            <w:tcBorders>
              <w:top w:val="single" w:color="000000" w:sz="4" w:space="0"/>
              <w:left w:val="single" w:color="000000" w:sz="4" w:space="0"/>
              <w:bottom w:val="single" w:color="000000" w:sz="4" w:space="0"/>
              <w:right w:val="single" w:color="000000" w:sz="4" w:space="0"/>
            </w:tcBorders>
            <w:noWrap/>
            <w:vAlign w:val="center"/>
          </w:tcPr>
          <w:p w14:paraId="69A9E8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3FD3C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245D75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261204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台州市椒江永发纺织厂</w:t>
            </w:r>
          </w:p>
        </w:tc>
        <w:tc>
          <w:tcPr>
            <w:tcW w:w="1363" w:type="pct"/>
            <w:tcBorders>
              <w:top w:val="single" w:color="000000" w:sz="4" w:space="0"/>
              <w:left w:val="single" w:color="000000" w:sz="4" w:space="0"/>
              <w:bottom w:val="single" w:color="000000" w:sz="4" w:space="0"/>
              <w:right w:val="single" w:color="000000" w:sz="4" w:space="0"/>
            </w:tcBorders>
            <w:noWrap/>
            <w:vAlign w:val="center"/>
          </w:tcPr>
          <w:p w14:paraId="626357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2C754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9A6D3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56D1D4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台州市光帆纺织科技有限公司</w:t>
            </w:r>
          </w:p>
        </w:tc>
        <w:tc>
          <w:tcPr>
            <w:tcW w:w="1363" w:type="pct"/>
            <w:tcBorders>
              <w:top w:val="single" w:color="000000" w:sz="4" w:space="0"/>
              <w:left w:val="single" w:color="000000" w:sz="4" w:space="0"/>
              <w:bottom w:val="single" w:color="000000" w:sz="4" w:space="0"/>
              <w:right w:val="single" w:color="000000" w:sz="4" w:space="0"/>
            </w:tcBorders>
            <w:noWrap/>
            <w:vAlign w:val="center"/>
          </w:tcPr>
          <w:p w14:paraId="741A23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7712F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7814BD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1C09F0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台州华威纺织有限公司</w:t>
            </w:r>
          </w:p>
        </w:tc>
        <w:tc>
          <w:tcPr>
            <w:tcW w:w="1363" w:type="pct"/>
            <w:tcBorders>
              <w:top w:val="single" w:color="000000" w:sz="4" w:space="0"/>
              <w:left w:val="single" w:color="000000" w:sz="4" w:space="0"/>
              <w:bottom w:val="single" w:color="000000" w:sz="4" w:space="0"/>
              <w:right w:val="single" w:color="000000" w:sz="4" w:space="0"/>
            </w:tcBorders>
            <w:noWrap/>
            <w:vAlign w:val="center"/>
          </w:tcPr>
          <w:p w14:paraId="1C8956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25A99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58CB53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2C9D62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台州市椒江普方纺织有限公司</w:t>
            </w:r>
          </w:p>
        </w:tc>
        <w:tc>
          <w:tcPr>
            <w:tcW w:w="1363" w:type="pct"/>
            <w:tcBorders>
              <w:top w:val="single" w:color="000000" w:sz="4" w:space="0"/>
              <w:left w:val="single" w:color="000000" w:sz="4" w:space="0"/>
              <w:bottom w:val="single" w:color="000000" w:sz="4" w:space="0"/>
              <w:right w:val="single" w:color="000000" w:sz="4" w:space="0"/>
            </w:tcBorders>
            <w:noWrap/>
            <w:vAlign w:val="center"/>
          </w:tcPr>
          <w:p w14:paraId="43626F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47385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324493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14553F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台州市东鹏织造有限公司</w:t>
            </w:r>
          </w:p>
        </w:tc>
        <w:tc>
          <w:tcPr>
            <w:tcW w:w="1363" w:type="pct"/>
            <w:tcBorders>
              <w:top w:val="single" w:color="000000" w:sz="4" w:space="0"/>
              <w:left w:val="single" w:color="000000" w:sz="4" w:space="0"/>
              <w:bottom w:val="single" w:color="000000" w:sz="4" w:space="0"/>
              <w:right w:val="single" w:color="000000" w:sz="4" w:space="0"/>
            </w:tcBorders>
            <w:noWrap/>
            <w:vAlign w:val="center"/>
          </w:tcPr>
          <w:p w14:paraId="540F59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77D91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ACF1B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7CAF34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台州市椒江永兴喷织有限公司</w:t>
            </w:r>
          </w:p>
        </w:tc>
        <w:tc>
          <w:tcPr>
            <w:tcW w:w="1363" w:type="pct"/>
            <w:tcBorders>
              <w:top w:val="single" w:color="000000" w:sz="4" w:space="0"/>
              <w:left w:val="single" w:color="000000" w:sz="4" w:space="0"/>
              <w:bottom w:val="single" w:color="000000" w:sz="4" w:space="0"/>
              <w:right w:val="single" w:color="000000" w:sz="4" w:space="0"/>
            </w:tcBorders>
            <w:noWrap/>
            <w:vAlign w:val="center"/>
          </w:tcPr>
          <w:p w14:paraId="402FD0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59868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ABE79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010A0C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台州恒荣纺织股份有限公司</w:t>
            </w:r>
          </w:p>
        </w:tc>
        <w:tc>
          <w:tcPr>
            <w:tcW w:w="1363" w:type="pct"/>
            <w:tcBorders>
              <w:top w:val="single" w:color="000000" w:sz="4" w:space="0"/>
              <w:left w:val="single" w:color="000000" w:sz="4" w:space="0"/>
              <w:bottom w:val="single" w:color="000000" w:sz="4" w:space="0"/>
              <w:right w:val="single" w:color="000000" w:sz="4" w:space="0"/>
            </w:tcBorders>
            <w:noWrap/>
            <w:vAlign w:val="center"/>
          </w:tcPr>
          <w:p w14:paraId="4E9486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4DD1B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3DDD77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2E1A89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台州市丽达纺织有限公司</w:t>
            </w:r>
          </w:p>
        </w:tc>
        <w:tc>
          <w:tcPr>
            <w:tcW w:w="1363" w:type="pct"/>
            <w:tcBorders>
              <w:top w:val="single" w:color="000000" w:sz="4" w:space="0"/>
              <w:left w:val="single" w:color="000000" w:sz="4" w:space="0"/>
              <w:bottom w:val="single" w:color="000000" w:sz="4" w:space="0"/>
              <w:right w:val="single" w:color="000000" w:sz="4" w:space="0"/>
            </w:tcBorders>
            <w:noWrap/>
            <w:vAlign w:val="center"/>
          </w:tcPr>
          <w:p w14:paraId="35FAB3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4C3F7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703D54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5B1BAE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台州市椒江鑫隆纺织厂</w:t>
            </w:r>
          </w:p>
        </w:tc>
        <w:tc>
          <w:tcPr>
            <w:tcW w:w="1363" w:type="pct"/>
            <w:tcBorders>
              <w:top w:val="single" w:color="000000" w:sz="4" w:space="0"/>
              <w:left w:val="single" w:color="000000" w:sz="4" w:space="0"/>
              <w:bottom w:val="single" w:color="000000" w:sz="4" w:space="0"/>
              <w:right w:val="single" w:color="000000" w:sz="4" w:space="0"/>
            </w:tcBorders>
            <w:noWrap/>
            <w:vAlign w:val="center"/>
          </w:tcPr>
          <w:p w14:paraId="44EF4E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45EF8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5FD75C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730E29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台州市天泉纺织有限公司</w:t>
            </w:r>
          </w:p>
        </w:tc>
        <w:tc>
          <w:tcPr>
            <w:tcW w:w="1363" w:type="pct"/>
            <w:tcBorders>
              <w:top w:val="single" w:color="000000" w:sz="4" w:space="0"/>
              <w:left w:val="single" w:color="000000" w:sz="4" w:space="0"/>
              <w:bottom w:val="single" w:color="000000" w:sz="4" w:space="0"/>
              <w:right w:val="single" w:color="000000" w:sz="4" w:space="0"/>
            </w:tcBorders>
            <w:noWrap/>
            <w:vAlign w:val="center"/>
          </w:tcPr>
          <w:p w14:paraId="346873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74CDD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32705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1AE5B4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台州市顺强纺织股份有限公司</w:t>
            </w:r>
          </w:p>
        </w:tc>
        <w:tc>
          <w:tcPr>
            <w:tcW w:w="1363" w:type="pct"/>
            <w:tcBorders>
              <w:top w:val="single" w:color="000000" w:sz="4" w:space="0"/>
              <w:left w:val="single" w:color="000000" w:sz="4" w:space="0"/>
              <w:bottom w:val="single" w:color="000000" w:sz="4" w:space="0"/>
              <w:right w:val="single" w:color="000000" w:sz="4" w:space="0"/>
            </w:tcBorders>
            <w:noWrap/>
            <w:vAlign w:val="center"/>
          </w:tcPr>
          <w:p w14:paraId="32978E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49B3A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7449D7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6</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684A5F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台州云朵纺织有限公司</w:t>
            </w:r>
          </w:p>
        </w:tc>
        <w:tc>
          <w:tcPr>
            <w:tcW w:w="1363" w:type="pct"/>
            <w:tcBorders>
              <w:top w:val="single" w:color="000000" w:sz="4" w:space="0"/>
              <w:left w:val="single" w:color="000000" w:sz="4" w:space="0"/>
              <w:bottom w:val="single" w:color="000000" w:sz="4" w:space="0"/>
              <w:right w:val="single" w:color="000000" w:sz="4" w:space="0"/>
            </w:tcBorders>
            <w:noWrap/>
            <w:vAlign w:val="center"/>
          </w:tcPr>
          <w:p w14:paraId="20E501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bl>
    <w:p w14:paraId="50B40FC9">
      <w:pPr>
        <w:snapToGrid w:val="0"/>
        <w:spacing w:before="156" w:beforeLines="50"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三、运行维护技术要求</w:t>
      </w:r>
    </w:p>
    <w:p w14:paraId="5BC51A1A">
      <w:pPr>
        <w:pStyle w:val="4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1、监测数据完整性：实现对排污企业24小时实时在线监控，按国家的相关规定，将在线监测数据根据企业的排放情况完整上传至</w:t>
      </w:r>
      <w:r>
        <w:rPr>
          <w:rFonts w:hint="eastAsia" w:ascii="宋体" w:hAnsi="宋体" w:eastAsia="宋体" w:cs="宋体"/>
          <w:color w:val="auto"/>
          <w:sz w:val="24"/>
          <w:szCs w:val="24"/>
          <w:highlight w:val="none"/>
          <w:lang w:val="en-US" w:eastAsia="zh-CN"/>
        </w:rPr>
        <w:t>椒江环保全生命周期一件事</w:t>
      </w:r>
      <w:r>
        <w:rPr>
          <w:rFonts w:hint="eastAsia" w:ascii="宋体" w:hAnsi="宋体" w:eastAsia="宋体" w:cs="宋体"/>
          <w:color w:val="auto"/>
          <w:sz w:val="24"/>
          <w:szCs w:val="24"/>
          <w:highlight w:val="none"/>
        </w:rPr>
        <w:t>监控平台，各在线监控系统的各类设备运转率应分别达到90%。</w:t>
      </w:r>
    </w:p>
    <w:p w14:paraId="571AB1AE">
      <w:pPr>
        <w:pStyle w:val="4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2、监测数据准确性：确保在线监测数据的准确率达到90%，使监测设备的监测数据准确性保持在允许误差范围之内。</w:t>
      </w:r>
    </w:p>
    <w:p w14:paraId="409A6B97">
      <w:pPr>
        <w:pStyle w:val="4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3、视频网络畅通性：保证全天24小时视频图像的流畅、清晰和传输网络的畅通。</w:t>
      </w:r>
    </w:p>
    <w:p w14:paraId="5C20F49C">
      <w:pPr>
        <w:pStyle w:val="4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运维档案完整性：建立完整的运维技术档案，确保各级环保部门可通过调阅运维技术档案，了解该在线监控系统的使用、维修、停运、性能检验等全部历史资料，进而对在线监控系统各台设备的运行情况做出正确评估</w:t>
      </w:r>
      <w:r>
        <w:rPr>
          <w:rFonts w:hint="eastAsia" w:ascii="宋体" w:hAnsi="宋体" w:eastAsia="宋体" w:cs="宋体"/>
          <w:color w:val="auto"/>
          <w:sz w:val="24"/>
          <w:szCs w:val="24"/>
          <w:highlight w:val="none"/>
          <w:lang w:eastAsia="zh-CN"/>
        </w:rPr>
        <w:t>。</w:t>
      </w:r>
    </w:p>
    <w:p w14:paraId="4B54DFC9">
      <w:pPr>
        <w:pStyle w:val="48"/>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四、人员要求</w:t>
      </w:r>
    </w:p>
    <w:p w14:paraId="5B17FF94">
      <w:pPr>
        <w:spacing w:line="360" w:lineRule="auto"/>
        <w:ind w:firstLine="480" w:firstLineChars="200"/>
        <w:rPr>
          <w:rFonts w:ascii="宋体" w:hAnsi="宋体" w:cstheme="minorEastAsia"/>
          <w:sz w:val="24"/>
        </w:rPr>
      </w:pPr>
      <w:r>
        <w:rPr>
          <w:rFonts w:hint="eastAsia" w:ascii="宋体" w:hAnsi="宋体" w:cstheme="minorEastAsia"/>
          <w:sz w:val="24"/>
        </w:rPr>
        <w:t>中标人应在服务期内</w:t>
      </w:r>
      <w:r>
        <w:rPr>
          <w:rFonts w:hint="eastAsia" w:ascii="宋体" w:hAnsi="宋体" w:cstheme="minorEastAsia"/>
          <w:sz w:val="24"/>
          <w:lang w:val="en-US" w:eastAsia="zh-CN"/>
        </w:rPr>
        <w:t>在台州市生态环境</w:t>
      </w:r>
      <w:r>
        <w:rPr>
          <w:rFonts w:hint="eastAsia" w:ascii="宋体" w:hAnsi="宋体" w:cstheme="minorEastAsia"/>
          <w:sz w:val="24"/>
        </w:rPr>
        <w:t>局</w:t>
      </w:r>
      <w:r>
        <w:rPr>
          <w:rFonts w:hint="eastAsia" w:ascii="宋体" w:hAnsi="宋体" w:cstheme="minorEastAsia"/>
          <w:sz w:val="24"/>
          <w:lang w:val="en-US" w:eastAsia="zh-CN"/>
        </w:rPr>
        <w:t>椒江分局</w:t>
      </w:r>
      <w:r>
        <w:rPr>
          <w:rFonts w:hint="eastAsia" w:ascii="宋体" w:hAnsi="宋体" w:cstheme="minorEastAsia"/>
          <w:sz w:val="24"/>
        </w:rPr>
        <w:t>派驻</w:t>
      </w:r>
      <w:r>
        <w:rPr>
          <w:rFonts w:hint="eastAsia" w:ascii="宋体" w:hAnsi="宋体" w:cstheme="minorEastAsia"/>
          <w:sz w:val="24"/>
          <w:lang w:val="en-US" w:eastAsia="zh-CN"/>
        </w:rPr>
        <w:t>1名</w:t>
      </w:r>
      <w:r>
        <w:rPr>
          <w:rFonts w:hint="eastAsia" w:ascii="宋体" w:hAnsi="宋体" w:cstheme="minorEastAsia"/>
          <w:sz w:val="24"/>
        </w:rPr>
        <w:t>具有相关工作经验的人员</w:t>
      </w:r>
      <w:r>
        <w:rPr>
          <w:rFonts w:hint="eastAsia" w:ascii="宋体" w:hAnsi="宋体" w:cstheme="minorEastAsia"/>
          <w:sz w:val="24"/>
          <w:lang w:eastAsia="zh-CN"/>
        </w:rPr>
        <w:t>，</w:t>
      </w:r>
      <w:r>
        <w:rPr>
          <w:rFonts w:hint="eastAsia" w:ascii="宋体" w:hAnsi="宋体" w:cstheme="minorEastAsia"/>
          <w:sz w:val="24"/>
          <w:lang w:val="en-US" w:eastAsia="zh-CN"/>
        </w:rPr>
        <w:t>学历要求本科及以上</w:t>
      </w:r>
      <w:r>
        <w:rPr>
          <w:rFonts w:hint="eastAsia" w:ascii="宋体" w:hAnsi="宋体" w:cstheme="minorEastAsia"/>
          <w:sz w:val="24"/>
          <w:lang w:eastAsia="zh-CN"/>
        </w:rPr>
        <w:t>，</w:t>
      </w:r>
      <w:r>
        <w:rPr>
          <w:rFonts w:hint="eastAsia" w:ascii="宋体" w:hAnsi="宋体" w:cstheme="minorEastAsia"/>
          <w:sz w:val="24"/>
        </w:rPr>
        <w:t>工作时间参考</w:t>
      </w:r>
      <w:r>
        <w:rPr>
          <w:rFonts w:hint="eastAsia" w:ascii="宋体" w:hAnsi="宋体" w:cstheme="minorEastAsia"/>
          <w:sz w:val="24"/>
          <w:lang w:val="en-US" w:eastAsia="zh-CN"/>
        </w:rPr>
        <w:t>局</w:t>
      </w:r>
      <w:r>
        <w:rPr>
          <w:rFonts w:hint="eastAsia" w:ascii="宋体" w:hAnsi="宋体" w:cstheme="minorEastAsia"/>
          <w:sz w:val="24"/>
        </w:rPr>
        <w:t>工作人员</w:t>
      </w:r>
      <w:r>
        <w:rPr>
          <w:rFonts w:hint="eastAsia" w:ascii="宋体" w:hAnsi="宋体" w:cstheme="minorEastAsia"/>
          <w:sz w:val="24"/>
          <w:lang w:val="en-US" w:eastAsia="zh-CN"/>
        </w:rPr>
        <w:t>的</w:t>
      </w:r>
      <w:r>
        <w:rPr>
          <w:rFonts w:hint="eastAsia" w:ascii="宋体" w:hAnsi="宋体" w:cstheme="minorEastAsia"/>
          <w:sz w:val="24"/>
        </w:rPr>
        <w:t>正常上班时间</w:t>
      </w:r>
      <w:r>
        <w:rPr>
          <w:rFonts w:hint="eastAsia" w:ascii="宋体" w:hAnsi="宋体" w:cstheme="minorEastAsia"/>
          <w:sz w:val="24"/>
          <w:lang w:eastAsia="zh-CN"/>
        </w:rPr>
        <w:t>（</w:t>
      </w:r>
      <w:r>
        <w:rPr>
          <w:rFonts w:hint="eastAsia" w:ascii="宋体" w:hAnsi="宋体" w:cstheme="minorEastAsia"/>
          <w:sz w:val="24"/>
        </w:rPr>
        <w:t>派驻人员应当是中标人的单位员工，按规定缴纳社保并签订劳动合同</w:t>
      </w:r>
      <w:r>
        <w:rPr>
          <w:rFonts w:hint="eastAsia" w:ascii="宋体" w:hAnsi="宋体" w:cstheme="minorEastAsia"/>
          <w:sz w:val="24"/>
          <w:lang w:eastAsia="zh-CN"/>
        </w:rPr>
        <w:t>）</w:t>
      </w:r>
      <w:r>
        <w:rPr>
          <w:rFonts w:hint="eastAsia" w:ascii="宋体" w:hAnsi="宋体" w:cstheme="minorEastAsia"/>
          <w:sz w:val="24"/>
        </w:rPr>
        <w:t>。</w:t>
      </w:r>
      <w:r>
        <w:rPr>
          <w:rFonts w:hint="eastAsia" w:ascii="宋体" w:hAnsi="宋体" w:cstheme="minorEastAsia"/>
          <w:sz w:val="24"/>
          <w:lang w:val="en-US" w:eastAsia="zh-CN"/>
        </w:rPr>
        <w:t>派驻人员负责本项目监测数据及设备运维情况的日常</w:t>
      </w:r>
      <w:r>
        <w:rPr>
          <w:rFonts w:hint="eastAsia" w:ascii="宋体" w:hAnsi="宋体" w:cstheme="minorEastAsia"/>
          <w:sz w:val="24"/>
        </w:rPr>
        <w:t>巡检、审核、记录、反馈、统计</w:t>
      </w:r>
      <w:r>
        <w:rPr>
          <w:rFonts w:hint="eastAsia" w:ascii="宋体" w:hAnsi="宋体" w:cstheme="minorEastAsia"/>
          <w:sz w:val="24"/>
          <w:lang w:eastAsia="zh-CN"/>
        </w:rPr>
        <w:t>、</w:t>
      </w:r>
      <w:r>
        <w:rPr>
          <w:rFonts w:hint="eastAsia" w:ascii="宋体" w:hAnsi="宋体" w:cstheme="minorEastAsia"/>
          <w:sz w:val="24"/>
          <w:lang w:val="en-US" w:eastAsia="zh-CN"/>
        </w:rPr>
        <w:t>以及</w:t>
      </w:r>
      <w:r>
        <w:rPr>
          <w:rFonts w:hint="eastAsia" w:ascii="宋体" w:hAnsi="宋体" w:cstheme="minorEastAsia"/>
          <w:sz w:val="24"/>
        </w:rPr>
        <w:t>相关报表编制</w:t>
      </w:r>
      <w:r>
        <w:rPr>
          <w:rFonts w:hint="eastAsia" w:ascii="宋体" w:hAnsi="宋体" w:cstheme="minorEastAsia"/>
          <w:sz w:val="24"/>
          <w:lang w:eastAsia="zh-CN"/>
        </w:rPr>
        <w:t>，</w:t>
      </w:r>
      <w:r>
        <w:rPr>
          <w:rFonts w:hint="eastAsia" w:ascii="宋体" w:hAnsi="宋体" w:cstheme="minorEastAsia"/>
          <w:sz w:val="24"/>
          <w:lang w:val="en-US" w:eastAsia="zh-CN"/>
        </w:rPr>
        <w:t>及时向局里</w:t>
      </w:r>
      <w:r>
        <w:rPr>
          <w:rFonts w:hint="eastAsia" w:ascii="宋体" w:hAnsi="宋体" w:cstheme="minorEastAsia"/>
          <w:sz w:val="24"/>
        </w:rPr>
        <w:t>汇报</w:t>
      </w:r>
      <w:r>
        <w:rPr>
          <w:rFonts w:hint="eastAsia" w:ascii="宋体" w:hAnsi="宋体" w:cstheme="minorEastAsia"/>
          <w:sz w:val="24"/>
          <w:lang w:val="en-US" w:eastAsia="zh-CN"/>
        </w:rPr>
        <w:t>相关工作动态，做好</w:t>
      </w:r>
      <w:r>
        <w:rPr>
          <w:rFonts w:hint="eastAsia" w:ascii="宋体" w:hAnsi="宋体" w:cstheme="minorEastAsia"/>
          <w:sz w:val="24"/>
        </w:rPr>
        <w:t>日常</w:t>
      </w:r>
      <w:r>
        <w:rPr>
          <w:rFonts w:hint="eastAsia" w:ascii="宋体" w:hAnsi="宋体" w:cstheme="minorEastAsia"/>
          <w:sz w:val="24"/>
          <w:lang w:val="en-US" w:eastAsia="zh-CN"/>
        </w:rPr>
        <w:t>交流沟通，协助局里做好相关企业的监管工作，并按照要求完成局里分派的其他工作任务。</w:t>
      </w:r>
    </w:p>
    <w:p w14:paraId="0D564283">
      <w:pPr>
        <w:pStyle w:val="2"/>
        <w:ind w:firstLine="280"/>
        <w:rPr>
          <w:color w:val="auto"/>
        </w:rPr>
      </w:pPr>
    </w:p>
    <w:p w14:paraId="57CC815B">
      <w:pPr>
        <w:pStyle w:val="4"/>
        <w:rPr>
          <w:color w:val="auto"/>
        </w:rPr>
      </w:pPr>
    </w:p>
    <w:p w14:paraId="2DD34A28">
      <w:pPr>
        <w:rPr>
          <w:color w:val="auto"/>
        </w:rPr>
      </w:pPr>
    </w:p>
    <w:p w14:paraId="4B7B0E2D">
      <w:pPr>
        <w:pStyle w:val="13"/>
        <w:rPr>
          <w:color w:val="auto"/>
        </w:rPr>
      </w:pPr>
    </w:p>
    <w:p w14:paraId="42655B98">
      <w:pPr>
        <w:rPr>
          <w:color w:val="auto"/>
        </w:rPr>
      </w:pPr>
    </w:p>
    <w:p w14:paraId="10AF2A8A">
      <w:pPr>
        <w:pStyle w:val="13"/>
        <w:rPr>
          <w:color w:val="auto"/>
        </w:rPr>
      </w:pPr>
    </w:p>
    <w:p w14:paraId="453A2924">
      <w:pPr>
        <w:rPr>
          <w:color w:val="auto"/>
        </w:rPr>
      </w:pPr>
    </w:p>
    <w:p w14:paraId="56A6D6C9">
      <w:pPr>
        <w:pStyle w:val="13"/>
        <w:rPr>
          <w:color w:val="auto"/>
        </w:rPr>
      </w:pPr>
    </w:p>
    <w:p w14:paraId="36802056">
      <w:pPr>
        <w:rPr>
          <w:color w:val="auto"/>
        </w:rPr>
      </w:pPr>
    </w:p>
    <w:p w14:paraId="2E22DF86">
      <w:pPr>
        <w:pStyle w:val="13"/>
        <w:rPr>
          <w:color w:val="auto"/>
        </w:rPr>
      </w:pPr>
    </w:p>
    <w:p w14:paraId="1BC3AB7F">
      <w:pPr>
        <w:rPr>
          <w:color w:val="auto"/>
        </w:rPr>
      </w:pPr>
    </w:p>
    <w:p w14:paraId="02E5D066">
      <w:pPr>
        <w:pStyle w:val="13"/>
        <w:rPr>
          <w:color w:val="auto"/>
        </w:rPr>
      </w:pPr>
    </w:p>
    <w:p w14:paraId="212A4BF8">
      <w:pPr>
        <w:rPr>
          <w:color w:val="auto"/>
        </w:rPr>
      </w:pPr>
    </w:p>
    <w:p w14:paraId="30981ECE">
      <w:pPr>
        <w:pStyle w:val="13"/>
        <w:rPr>
          <w:color w:val="auto"/>
        </w:rPr>
      </w:pPr>
    </w:p>
    <w:p w14:paraId="2A3FD440">
      <w:pPr>
        <w:rPr>
          <w:color w:val="auto"/>
        </w:rPr>
      </w:pPr>
    </w:p>
    <w:p w14:paraId="04B339B4">
      <w:pPr>
        <w:pStyle w:val="13"/>
        <w:rPr>
          <w:color w:val="auto"/>
        </w:rPr>
      </w:pPr>
    </w:p>
    <w:p w14:paraId="6C5D5ABF">
      <w:pPr>
        <w:rPr>
          <w:color w:val="auto"/>
        </w:rPr>
      </w:pPr>
    </w:p>
    <w:p w14:paraId="0AC905E2">
      <w:pPr>
        <w:pStyle w:val="13"/>
        <w:rPr>
          <w:color w:val="auto"/>
        </w:rPr>
      </w:pPr>
    </w:p>
    <w:p w14:paraId="19F8EF7E">
      <w:pPr>
        <w:rPr>
          <w:color w:val="auto"/>
        </w:rPr>
      </w:pPr>
    </w:p>
    <w:p w14:paraId="3906A741">
      <w:pPr>
        <w:pStyle w:val="13"/>
        <w:rPr>
          <w:color w:val="auto"/>
        </w:rPr>
      </w:pPr>
    </w:p>
    <w:p w14:paraId="34BC4CC7">
      <w:pPr>
        <w:rPr>
          <w:color w:val="auto"/>
        </w:rPr>
      </w:pPr>
    </w:p>
    <w:p w14:paraId="7A217933">
      <w:pPr>
        <w:pStyle w:val="13"/>
        <w:rPr>
          <w:color w:val="auto"/>
        </w:rPr>
      </w:pPr>
    </w:p>
    <w:p w14:paraId="06D720D8">
      <w:pPr>
        <w:rPr>
          <w:color w:val="auto"/>
        </w:rPr>
      </w:pPr>
    </w:p>
    <w:p w14:paraId="56F963F2">
      <w:pPr>
        <w:pStyle w:val="13"/>
        <w:rPr>
          <w:color w:val="auto"/>
        </w:rPr>
      </w:pPr>
    </w:p>
    <w:p w14:paraId="4EA47F5D">
      <w:pPr>
        <w:rPr>
          <w:color w:val="auto"/>
        </w:rPr>
      </w:pPr>
    </w:p>
    <w:p w14:paraId="2FFA0E22">
      <w:pPr>
        <w:pStyle w:val="13"/>
        <w:rPr>
          <w:color w:val="auto"/>
        </w:rPr>
      </w:pPr>
    </w:p>
    <w:p w14:paraId="150CC151">
      <w:pPr>
        <w:rPr>
          <w:color w:val="auto"/>
        </w:rPr>
      </w:pPr>
    </w:p>
    <w:p w14:paraId="37F1B029">
      <w:pPr>
        <w:pStyle w:val="13"/>
        <w:rPr>
          <w:color w:val="auto"/>
        </w:rPr>
      </w:pPr>
    </w:p>
    <w:p w14:paraId="16D51F61">
      <w:pPr>
        <w:rPr>
          <w:color w:val="auto"/>
        </w:rPr>
      </w:pPr>
    </w:p>
    <w:p w14:paraId="4E2558E3">
      <w:pPr>
        <w:pStyle w:val="13"/>
        <w:rPr>
          <w:color w:val="auto"/>
        </w:rPr>
      </w:pPr>
    </w:p>
    <w:p w14:paraId="7915A8B3">
      <w:pPr>
        <w:rPr>
          <w:color w:val="auto"/>
        </w:rPr>
      </w:pPr>
    </w:p>
    <w:p w14:paraId="7E9E1341">
      <w:pPr>
        <w:pStyle w:val="13"/>
      </w:pPr>
    </w:p>
    <w:p w14:paraId="771B3EC8">
      <w:pPr>
        <w:pStyle w:val="24"/>
        <w:rPr>
          <w:color w:val="auto"/>
        </w:rPr>
      </w:pPr>
    </w:p>
    <w:p w14:paraId="3FD11195">
      <w:pPr>
        <w:snapToGrid w:val="0"/>
        <w:jc w:val="center"/>
        <w:outlineLvl w:val="0"/>
        <w:rPr>
          <w:rFonts w:ascii="黑体" w:hAnsi="宋体" w:eastAsia="黑体"/>
          <w:color w:val="auto"/>
          <w:sz w:val="30"/>
          <w:szCs w:val="30"/>
        </w:rPr>
      </w:pPr>
      <w:r>
        <w:rPr>
          <w:rFonts w:hint="eastAsia" w:ascii="黑体" w:hAnsi="宋体" w:eastAsia="黑体"/>
          <w:color w:val="auto"/>
          <w:sz w:val="30"/>
          <w:szCs w:val="30"/>
        </w:rPr>
        <w:t xml:space="preserve">第三部分  </w:t>
      </w:r>
      <w:bookmarkEnd w:id="11"/>
      <w:bookmarkEnd w:id="12"/>
      <w:r>
        <w:rPr>
          <w:rFonts w:hint="eastAsia" w:ascii="黑体" w:hAnsi="宋体" w:eastAsia="黑体"/>
          <w:color w:val="auto"/>
          <w:sz w:val="30"/>
          <w:szCs w:val="30"/>
        </w:rPr>
        <w:t>投标人须知</w:t>
      </w:r>
    </w:p>
    <w:p w14:paraId="3C44B5ED">
      <w:pPr>
        <w:snapToGrid w:val="0"/>
        <w:ind w:left="476"/>
        <w:jc w:val="center"/>
        <w:rPr>
          <w:rFonts w:ascii="宋体" w:hAnsi="宋体"/>
          <w:b/>
          <w:color w:val="auto"/>
          <w:szCs w:val="28"/>
        </w:rPr>
      </w:pPr>
      <w:r>
        <w:rPr>
          <w:rFonts w:hint="eastAsia" w:ascii="宋体" w:hAnsi="宋体"/>
          <w:b/>
          <w:color w:val="auto"/>
          <w:szCs w:val="28"/>
        </w:rPr>
        <w:t>前附表</w:t>
      </w:r>
    </w:p>
    <w:tbl>
      <w:tblPr>
        <w:tblStyle w:val="26"/>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981"/>
        <w:gridCol w:w="6280"/>
      </w:tblGrid>
      <w:tr w14:paraId="3A1B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14972BB7">
            <w:pPr>
              <w:jc w:val="center"/>
              <w:rPr>
                <w:rFonts w:ascii="宋体" w:hAnsi="宋体" w:cs="宋体"/>
                <w:b/>
                <w:bCs/>
                <w:color w:val="auto"/>
                <w:sz w:val="24"/>
              </w:rPr>
            </w:pPr>
            <w:r>
              <w:rPr>
                <w:rFonts w:hint="eastAsia" w:ascii="宋体" w:hAnsi="宋体" w:cs="宋体"/>
                <w:b/>
                <w:bCs/>
                <w:color w:val="auto"/>
                <w:sz w:val="24"/>
              </w:rPr>
              <w:t>序号</w:t>
            </w:r>
          </w:p>
        </w:tc>
        <w:tc>
          <w:tcPr>
            <w:tcW w:w="1981" w:type="dxa"/>
            <w:tcBorders>
              <w:top w:val="single" w:color="auto" w:sz="4" w:space="0"/>
              <w:left w:val="single" w:color="auto" w:sz="4" w:space="0"/>
              <w:bottom w:val="single" w:color="auto" w:sz="4" w:space="0"/>
              <w:right w:val="single" w:color="auto" w:sz="4" w:space="0"/>
            </w:tcBorders>
            <w:vAlign w:val="center"/>
          </w:tcPr>
          <w:p w14:paraId="1C10CAA3">
            <w:pPr>
              <w:jc w:val="center"/>
              <w:rPr>
                <w:rFonts w:ascii="宋体" w:hAnsi="宋体" w:cs="宋体"/>
                <w:b/>
                <w:bCs/>
                <w:color w:val="auto"/>
                <w:sz w:val="24"/>
              </w:rPr>
            </w:pPr>
            <w:r>
              <w:rPr>
                <w:rFonts w:hint="eastAsia" w:ascii="宋体" w:hAnsi="宋体" w:cs="宋体"/>
                <w:b/>
                <w:bCs/>
                <w:color w:val="auto"/>
                <w:sz w:val="24"/>
              </w:rPr>
              <w:t>项    目</w:t>
            </w:r>
          </w:p>
        </w:tc>
        <w:tc>
          <w:tcPr>
            <w:tcW w:w="6280" w:type="dxa"/>
            <w:tcBorders>
              <w:top w:val="single" w:color="auto" w:sz="4" w:space="0"/>
              <w:left w:val="single" w:color="auto" w:sz="4" w:space="0"/>
              <w:bottom w:val="single" w:color="auto" w:sz="4" w:space="0"/>
              <w:right w:val="single" w:color="auto" w:sz="4" w:space="0"/>
            </w:tcBorders>
            <w:vAlign w:val="center"/>
          </w:tcPr>
          <w:p w14:paraId="3EFC8A06">
            <w:pPr>
              <w:jc w:val="center"/>
              <w:rPr>
                <w:rFonts w:ascii="宋体" w:hAnsi="宋体" w:cs="宋体"/>
                <w:b/>
                <w:bCs/>
                <w:color w:val="auto"/>
                <w:sz w:val="24"/>
              </w:rPr>
            </w:pPr>
            <w:r>
              <w:rPr>
                <w:rFonts w:hint="eastAsia" w:ascii="宋体" w:hAnsi="宋体" w:cs="宋体"/>
                <w:b/>
                <w:bCs/>
                <w:color w:val="auto"/>
                <w:sz w:val="24"/>
              </w:rPr>
              <w:t>内                 容</w:t>
            </w:r>
          </w:p>
        </w:tc>
      </w:tr>
      <w:tr w14:paraId="2AC0F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A27871F">
            <w:pPr>
              <w:jc w:val="center"/>
              <w:rPr>
                <w:rFonts w:ascii="宋体" w:hAnsi="宋体" w:cs="宋体"/>
                <w:color w:val="auto"/>
                <w:sz w:val="24"/>
              </w:rPr>
            </w:pPr>
            <w:r>
              <w:rPr>
                <w:rFonts w:hint="eastAsia" w:ascii="宋体" w:hAnsi="宋体" w:cs="宋体"/>
                <w:color w:val="auto"/>
                <w:sz w:val="24"/>
              </w:rPr>
              <w:t>1</w:t>
            </w:r>
          </w:p>
        </w:tc>
        <w:tc>
          <w:tcPr>
            <w:tcW w:w="1981" w:type="dxa"/>
            <w:tcBorders>
              <w:top w:val="single" w:color="auto" w:sz="4" w:space="0"/>
              <w:left w:val="single" w:color="auto" w:sz="4" w:space="0"/>
              <w:bottom w:val="single" w:color="auto" w:sz="4" w:space="0"/>
              <w:right w:val="single" w:color="auto" w:sz="4" w:space="0"/>
            </w:tcBorders>
            <w:vAlign w:val="center"/>
          </w:tcPr>
          <w:p w14:paraId="2B919571">
            <w:pPr>
              <w:jc w:val="center"/>
              <w:rPr>
                <w:rFonts w:ascii="宋体" w:hAnsi="宋体" w:cs="宋体"/>
                <w:color w:val="auto"/>
                <w:sz w:val="24"/>
              </w:rPr>
            </w:pPr>
            <w:r>
              <w:rPr>
                <w:rFonts w:hint="eastAsia" w:ascii="宋体" w:hAnsi="宋体" w:cs="宋体"/>
                <w:color w:val="auto"/>
                <w:sz w:val="24"/>
              </w:rPr>
              <w:t>供应商特定资格要求</w:t>
            </w:r>
          </w:p>
        </w:tc>
        <w:tc>
          <w:tcPr>
            <w:tcW w:w="6280" w:type="dxa"/>
            <w:tcBorders>
              <w:top w:val="single" w:color="auto" w:sz="4" w:space="0"/>
              <w:left w:val="single" w:color="auto" w:sz="4" w:space="0"/>
              <w:bottom w:val="single" w:color="auto" w:sz="4" w:space="0"/>
              <w:right w:val="single" w:color="auto" w:sz="4" w:space="0"/>
            </w:tcBorders>
            <w:vAlign w:val="center"/>
          </w:tcPr>
          <w:p w14:paraId="30E496D4">
            <w:pPr>
              <w:rPr>
                <w:rFonts w:ascii="宋体" w:hAnsi="宋体" w:cs="宋体"/>
                <w:color w:val="auto"/>
                <w:sz w:val="24"/>
              </w:rPr>
            </w:pPr>
            <w:r>
              <w:rPr>
                <w:rFonts w:hint="eastAsia" w:ascii="宋体" w:hAnsi="宋体" w:cs="宋体"/>
                <w:color w:val="auto"/>
                <w:sz w:val="24"/>
              </w:rPr>
              <w:t>符合公开招标采购公告资格要求的供应商</w:t>
            </w:r>
          </w:p>
        </w:tc>
      </w:tr>
      <w:tr w14:paraId="1677F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4B40EB01">
            <w:pPr>
              <w:jc w:val="center"/>
              <w:rPr>
                <w:rFonts w:ascii="宋体" w:hAnsi="宋体" w:cs="宋体"/>
                <w:color w:val="auto"/>
                <w:sz w:val="24"/>
              </w:rPr>
            </w:pPr>
            <w:r>
              <w:rPr>
                <w:rFonts w:hint="eastAsia" w:ascii="宋体" w:hAnsi="宋体" w:cs="宋体"/>
                <w:color w:val="auto"/>
                <w:sz w:val="24"/>
              </w:rPr>
              <w:t>2</w:t>
            </w:r>
          </w:p>
        </w:tc>
        <w:tc>
          <w:tcPr>
            <w:tcW w:w="1981" w:type="dxa"/>
            <w:tcBorders>
              <w:top w:val="single" w:color="auto" w:sz="4" w:space="0"/>
              <w:left w:val="single" w:color="auto" w:sz="4" w:space="0"/>
              <w:bottom w:val="single" w:color="auto" w:sz="4" w:space="0"/>
              <w:right w:val="single" w:color="auto" w:sz="4" w:space="0"/>
            </w:tcBorders>
            <w:vAlign w:val="center"/>
          </w:tcPr>
          <w:p w14:paraId="2A7266A5">
            <w:pPr>
              <w:jc w:val="center"/>
              <w:rPr>
                <w:rFonts w:ascii="宋体" w:hAnsi="宋体" w:cs="宋体"/>
                <w:color w:val="auto"/>
                <w:sz w:val="24"/>
              </w:rPr>
            </w:pPr>
            <w:r>
              <w:rPr>
                <w:rFonts w:hint="eastAsia" w:ascii="宋体" w:hAnsi="宋体" w:cs="宋体"/>
                <w:color w:val="auto"/>
                <w:sz w:val="24"/>
              </w:rPr>
              <w:t>现场踏勘</w:t>
            </w:r>
          </w:p>
        </w:tc>
        <w:tc>
          <w:tcPr>
            <w:tcW w:w="6280" w:type="dxa"/>
            <w:tcBorders>
              <w:top w:val="single" w:color="auto" w:sz="4" w:space="0"/>
              <w:left w:val="single" w:color="auto" w:sz="4" w:space="0"/>
              <w:bottom w:val="single" w:color="auto" w:sz="4" w:space="0"/>
              <w:right w:val="single" w:color="auto" w:sz="4" w:space="0"/>
            </w:tcBorders>
            <w:vAlign w:val="center"/>
          </w:tcPr>
          <w:p w14:paraId="05878BCA">
            <w:pPr>
              <w:rPr>
                <w:rFonts w:ascii="宋体" w:hAnsi="宋体" w:cs="宋体"/>
                <w:color w:val="auto"/>
                <w:sz w:val="24"/>
              </w:rPr>
            </w:pPr>
            <w:r>
              <w:rPr>
                <w:rFonts w:hint="eastAsia" w:ascii="宋体" w:hAnsi="宋体" w:cs="宋体"/>
                <w:color w:val="auto"/>
                <w:sz w:val="24"/>
              </w:rPr>
              <w:t>采购人不组织现场踏勘，如投标人有需求可以自行踏勘。</w:t>
            </w:r>
          </w:p>
        </w:tc>
      </w:tr>
      <w:tr w14:paraId="1B49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1BB7C9FC">
            <w:pPr>
              <w:jc w:val="center"/>
              <w:rPr>
                <w:rFonts w:ascii="宋体" w:hAnsi="宋体" w:cs="宋体"/>
                <w:color w:val="auto"/>
                <w:sz w:val="24"/>
              </w:rPr>
            </w:pPr>
            <w:r>
              <w:rPr>
                <w:rFonts w:hint="eastAsia" w:ascii="宋体" w:hAnsi="宋体" w:cs="宋体"/>
                <w:color w:val="auto"/>
                <w:sz w:val="24"/>
              </w:rPr>
              <w:t>3</w:t>
            </w:r>
          </w:p>
        </w:tc>
        <w:tc>
          <w:tcPr>
            <w:tcW w:w="1981" w:type="dxa"/>
            <w:tcBorders>
              <w:top w:val="single" w:color="auto" w:sz="4" w:space="0"/>
              <w:left w:val="single" w:color="auto" w:sz="4" w:space="0"/>
              <w:bottom w:val="single" w:color="auto" w:sz="4" w:space="0"/>
              <w:right w:val="single" w:color="auto" w:sz="4" w:space="0"/>
            </w:tcBorders>
            <w:vAlign w:val="center"/>
          </w:tcPr>
          <w:p w14:paraId="40F1AF0D">
            <w:pPr>
              <w:jc w:val="center"/>
              <w:rPr>
                <w:rFonts w:ascii="宋体" w:hAnsi="宋体" w:cs="宋体"/>
                <w:color w:val="auto"/>
                <w:sz w:val="24"/>
              </w:rPr>
            </w:pPr>
            <w:r>
              <w:rPr>
                <w:rFonts w:hint="eastAsia" w:ascii="宋体" w:hAnsi="宋体" w:cs="宋体"/>
                <w:color w:val="auto"/>
                <w:sz w:val="24"/>
              </w:rPr>
              <w:t>投标文件有效期</w:t>
            </w:r>
          </w:p>
        </w:tc>
        <w:tc>
          <w:tcPr>
            <w:tcW w:w="6280" w:type="dxa"/>
            <w:tcBorders>
              <w:top w:val="single" w:color="auto" w:sz="4" w:space="0"/>
              <w:left w:val="single" w:color="auto" w:sz="4" w:space="0"/>
              <w:bottom w:val="single" w:color="auto" w:sz="4" w:space="0"/>
              <w:right w:val="single" w:color="auto" w:sz="4" w:space="0"/>
            </w:tcBorders>
            <w:vAlign w:val="center"/>
          </w:tcPr>
          <w:p w14:paraId="4ACD4C5E">
            <w:pPr>
              <w:rPr>
                <w:rFonts w:ascii="宋体" w:hAnsi="宋体" w:cs="宋体"/>
                <w:color w:val="auto"/>
                <w:sz w:val="24"/>
              </w:rPr>
            </w:pPr>
            <w:r>
              <w:rPr>
                <w:rFonts w:hint="eastAsia" w:ascii="宋体" w:hAnsi="宋体" w:cs="宋体"/>
                <w:bCs/>
                <w:color w:val="auto"/>
                <w:sz w:val="24"/>
                <w:highlight w:val="none"/>
              </w:rPr>
              <w:t>▲</w:t>
            </w:r>
            <w:r>
              <w:rPr>
                <w:rFonts w:hint="eastAsia" w:ascii="宋体" w:hAnsi="宋体" w:cs="宋体"/>
                <w:color w:val="auto"/>
                <w:sz w:val="24"/>
              </w:rPr>
              <w:t>投标文件有效期为90天，投标文件有效期从提交投标文件的截止之日起算。</w:t>
            </w:r>
          </w:p>
        </w:tc>
      </w:tr>
      <w:tr w14:paraId="78ED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159937AF">
            <w:pPr>
              <w:jc w:val="center"/>
              <w:rPr>
                <w:rFonts w:ascii="宋体" w:hAnsi="宋体" w:cs="宋体"/>
                <w:color w:val="auto"/>
                <w:sz w:val="24"/>
              </w:rPr>
            </w:pPr>
            <w:r>
              <w:rPr>
                <w:rFonts w:hint="eastAsia" w:ascii="宋体" w:hAnsi="宋体" w:cs="宋体"/>
                <w:color w:val="auto"/>
                <w:sz w:val="24"/>
              </w:rPr>
              <w:t>4</w:t>
            </w:r>
          </w:p>
        </w:tc>
        <w:tc>
          <w:tcPr>
            <w:tcW w:w="1981" w:type="dxa"/>
            <w:tcBorders>
              <w:top w:val="single" w:color="auto" w:sz="4" w:space="0"/>
              <w:left w:val="single" w:color="auto" w:sz="4" w:space="0"/>
              <w:bottom w:val="single" w:color="auto" w:sz="4" w:space="0"/>
              <w:right w:val="single" w:color="auto" w:sz="4" w:space="0"/>
            </w:tcBorders>
            <w:vAlign w:val="center"/>
          </w:tcPr>
          <w:p w14:paraId="3C47A0CF">
            <w:pPr>
              <w:jc w:val="center"/>
              <w:rPr>
                <w:rFonts w:ascii="宋体" w:hAnsi="宋体" w:cs="宋体"/>
                <w:color w:val="auto"/>
                <w:sz w:val="24"/>
              </w:rPr>
            </w:pPr>
            <w:r>
              <w:rPr>
                <w:rFonts w:hint="eastAsia" w:ascii="宋体" w:hAnsi="宋体" w:cs="宋体"/>
                <w:color w:val="auto"/>
                <w:sz w:val="24"/>
              </w:rPr>
              <w:t>投标文件递交</w:t>
            </w:r>
          </w:p>
        </w:tc>
        <w:tc>
          <w:tcPr>
            <w:tcW w:w="6280" w:type="dxa"/>
            <w:tcBorders>
              <w:top w:val="single" w:color="auto" w:sz="4" w:space="0"/>
              <w:left w:val="single" w:color="auto" w:sz="4" w:space="0"/>
              <w:bottom w:val="single" w:color="auto" w:sz="4" w:space="0"/>
              <w:right w:val="single" w:color="auto" w:sz="4" w:space="0"/>
            </w:tcBorders>
            <w:vAlign w:val="center"/>
          </w:tcPr>
          <w:p w14:paraId="72978300">
            <w:pPr>
              <w:spacing w:line="360" w:lineRule="auto"/>
              <w:rPr>
                <w:rFonts w:ascii="宋体" w:hAnsi="宋体" w:cs="宋体"/>
                <w:color w:val="auto"/>
                <w:sz w:val="24"/>
                <w:highlight w:val="none"/>
              </w:rPr>
            </w:pPr>
            <w:r>
              <w:rPr>
                <w:rFonts w:hint="eastAsia" w:ascii="宋体" w:hAnsi="宋体" w:cs="宋体"/>
                <w:color w:val="auto"/>
                <w:sz w:val="24"/>
                <w:highlight w:val="none"/>
              </w:rPr>
              <w:t>（1）“电子加密投标文件”的上传、递交：</w:t>
            </w:r>
          </w:p>
          <w:p w14:paraId="4312ADF1">
            <w:pPr>
              <w:spacing w:line="360" w:lineRule="auto"/>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a.投标供应商应在投标截止时间前将“电子加密投标文件”成功上传递交至“政府采购云平台”，否则投标无效。</w:t>
            </w:r>
          </w:p>
          <w:p w14:paraId="123BB6F9">
            <w:pPr>
              <w:spacing w:line="360" w:lineRule="auto"/>
              <w:rPr>
                <w:rFonts w:ascii="宋体" w:hAnsi="宋体" w:cs="宋体"/>
                <w:color w:val="auto"/>
                <w:sz w:val="24"/>
                <w:highlight w:val="none"/>
              </w:rPr>
            </w:pPr>
            <w:r>
              <w:rPr>
                <w:rFonts w:hint="eastAsia" w:ascii="宋体" w:hAnsi="宋体" w:cs="宋体"/>
                <w:color w:val="auto"/>
                <w:sz w:val="24"/>
                <w:highlight w:val="none"/>
              </w:rPr>
              <w:t>b.“电子加密投标文件”成功上传递交后，供应商可自行打印投标文件接收回执。</w:t>
            </w:r>
          </w:p>
          <w:p w14:paraId="455866D9">
            <w:pPr>
              <w:spacing w:line="360" w:lineRule="auto"/>
              <w:rPr>
                <w:rFonts w:ascii="宋体" w:hAnsi="宋体" w:cs="宋体"/>
                <w:color w:val="auto"/>
                <w:sz w:val="24"/>
                <w:highlight w:val="none"/>
              </w:rPr>
            </w:pPr>
            <w:r>
              <w:rPr>
                <w:rFonts w:hint="eastAsia" w:ascii="宋体" w:hAnsi="宋体" w:cs="宋体"/>
                <w:color w:val="auto"/>
                <w:sz w:val="24"/>
                <w:highlight w:val="none"/>
              </w:rPr>
              <w:t>（2）“备份投标文件”的递交：</w:t>
            </w:r>
          </w:p>
          <w:p w14:paraId="3FD23B0E">
            <w:pPr>
              <w:spacing w:line="360" w:lineRule="auto"/>
              <w:rPr>
                <w:rFonts w:ascii="宋体" w:hAnsi="宋体" w:cs="宋体"/>
                <w:color w:val="auto"/>
                <w:sz w:val="24"/>
                <w:highlight w:val="none"/>
              </w:rPr>
            </w:pPr>
            <w:r>
              <w:rPr>
                <w:rFonts w:hint="eastAsia" w:ascii="宋体" w:hAnsi="宋体" w:cs="宋体"/>
                <w:color w:val="auto"/>
                <w:sz w:val="24"/>
                <w:highlight w:val="none"/>
              </w:rPr>
              <w:t>a.投标供应商在“政府采购云平台”完成“电子加密投标文件”的上传递交后，还可以在投标截止时间前</w:t>
            </w:r>
            <w:r>
              <w:rPr>
                <w:rFonts w:hint="eastAsia" w:ascii="宋体" w:hAnsi="宋体" w:cs="宋体"/>
                <w:color w:val="auto"/>
                <w:sz w:val="24"/>
                <w:highlight w:val="none"/>
                <w:lang w:eastAsia="zh-CN"/>
              </w:rPr>
              <w:t>以邮件方式</w:t>
            </w:r>
            <w:r>
              <w:rPr>
                <w:rFonts w:hint="eastAsia" w:ascii="宋体" w:hAnsi="宋体" w:cs="宋体"/>
                <w:color w:val="auto"/>
                <w:sz w:val="24"/>
                <w:highlight w:val="none"/>
              </w:rPr>
              <w:t>递交 “备份投标文件”（一份）</w:t>
            </w:r>
            <w:r>
              <w:rPr>
                <w:rFonts w:hint="eastAsia" w:ascii="宋体" w:hAnsi="宋体" w:cs="宋体"/>
                <w:color w:val="auto"/>
                <w:sz w:val="24"/>
                <w:highlight w:val="none"/>
                <w:lang w:eastAsia="zh-CN"/>
              </w:rPr>
              <w:t>（投递邮箱：</w:t>
            </w:r>
            <w:r>
              <w:rPr>
                <w:rFonts w:hint="eastAsia" w:ascii="宋体" w:hAnsi="宋体" w:cs="宋体"/>
                <w:color w:val="auto"/>
                <w:sz w:val="24"/>
                <w:highlight w:val="none"/>
                <w:lang w:val="en-US" w:eastAsia="zh-CN"/>
              </w:rPr>
              <w:t>75326417@qq.com</w:t>
            </w:r>
            <w:r>
              <w:rPr>
                <w:rFonts w:hint="default" w:ascii="宋体" w:hAnsi="宋体" w:cs="宋体"/>
                <w:color w:val="auto"/>
                <w:sz w:val="24"/>
                <w:highlight w:val="none"/>
                <w:lang w:eastAsia="zh-CN"/>
              </w:rPr>
              <w:t>，</w:t>
            </w:r>
            <w:r>
              <w:rPr>
                <w:rFonts w:hint="eastAsia" w:ascii="宋体" w:hAnsi="宋体" w:cs="宋体"/>
                <w:color w:val="auto"/>
                <w:sz w:val="24"/>
                <w:highlight w:val="none"/>
                <w:lang w:val="en-US" w:eastAsia="zh-Hans"/>
              </w:rPr>
              <w:t>邮件标题</w:t>
            </w:r>
            <w:r>
              <w:rPr>
                <w:rFonts w:hint="eastAsia" w:ascii="宋体" w:hAnsi="宋体" w:cs="宋体"/>
                <w:color w:val="auto"/>
                <w:sz w:val="24"/>
                <w:highlight w:val="none"/>
                <w:lang w:val="en-US" w:eastAsia="zh-CN"/>
              </w:rPr>
              <w:t>建议</w:t>
            </w:r>
            <w:r>
              <w:rPr>
                <w:rFonts w:hint="eastAsia" w:ascii="宋体" w:hAnsi="宋体" w:cs="宋体"/>
                <w:color w:val="auto"/>
                <w:sz w:val="24"/>
                <w:highlight w:val="none"/>
                <w:lang w:val="en-US" w:eastAsia="zh-Hans"/>
              </w:rPr>
              <w:t>注明投标项目名称、投标单位名称</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w:t>
            </w:r>
          </w:p>
          <w:p w14:paraId="02167840">
            <w:pPr>
              <w:spacing w:line="360" w:lineRule="auto"/>
              <w:rPr>
                <w:rFonts w:ascii="宋体" w:hAnsi="宋体" w:cs="宋体"/>
                <w:color w:val="auto"/>
                <w:highlight w:val="none"/>
              </w:rPr>
            </w:pPr>
            <w:r>
              <w:rPr>
                <w:rFonts w:hint="eastAsia" w:ascii="宋体" w:hAnsi="宋体" w:cs="宋体"/>
                <w:color w:val="auto"/>
                <w:sz w:val="24"/>
                <w:highlight w:val="none"/>
              </w:rPr>
              <w:t>b.“备份投标文件”逾期</w:t>
            </w:r>
            <w:r>
              <w:rPr>
                <w:rFonts w:hint="eastAsia" w:ascii="宋体" w:hAnsi="宋体" w:cs="宋体"/>
                <w:color w:val="auto"/>
                <w:sz w:val="24"/>
                <w:highlight w:val="none"/>
                <w:lang w:eastAsia="zh-CN"/>
              </w:rPr>
              <w:t>递交</w:t>
            </w:r>
            <w:r>
              <w:rPr>
                <w:rFonts w:hint="eastAsia" w:ascii="宋体" w:hAnsi="宋体" w:cs="宋体"/>
                <w:color w:val="auto"/>
                <w:sz w:val="24"/>
                <w:highlight w:val="none"/>
              </w:rPr>
              <w:t>将被</w:t>
            </w:r>
            <w:r>
              <w:rPr>
                <w:rFonts w:hint="eastAsia" w:ascii="宋体" w:hAnsi="宋体" w:cs="宋体"/>
                <w:color w:val="auto"/>
                <w:sz w:val="24"/>
                <w:highlight w:val="none"/>
                <w:lang w:eastAsia="zh-CN"/>
              </w:rPr>
              <w:t>视为未递交</w:t>
            </w:r>
            <w:r>
              <w:rPr>
                <w:rFonts w:hint="eastAsia" w:ascii="宋体" w:hAnsi="宋体" w:cs="宋体"/>
                <w:color w:val="auto"/>
                <w:sz w:val="24"/>
                <w:highlight w:val="none"/>
              </w:rPr>
              <w:t>；</w:t>
            </w:r>
          </w:p>
          <w:p w14:paraId="0EEA8C11">
            <w:pPr>
              <w:rPr>
                <w:rFonts w:ascii="宋体" w:hAnsi="宋体" w:cs="宋体"/>
                <w:color w:val="auto"/>
                <w:sz w:val="24"/>
              </w:rPr>
            </w:pPr>
            <w:r>
              <w:rPr>
                <w:rFonts w:hint="eastAsia" w:ascii="宋体" w:hAnsi="宋体" w:cs="宋体"/>
                <w:b/>
                <w:color w:val="auto"/>
                <w:sz w:val="24"/>
                <w:highlight w:val="none"/>
              </w:rPr>
              <w:t>▲</w:t>
            </w:r>
            <w:r>
              <w:rPr>
                <w:rFonts w:hint="eastAsia" w:ascii="宋体" w:hAnsi="宋体" w:cs="宋体"/>
                <w:color w:val="auto"/>
                <w:sz w:val="24"/>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134A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BA98F20">
            <w:pPr>
              <w:jc w:val="center"/>
              <w:rPr>
                <w:rFonts w:ascii="宋体" w:hAnsi="宋体" w:cs="宋体"/>
                <w:color w:val="auto"/>
                <w:sz w:val="24"/>
              </w:rPr>
            </w:pPr>
            <w:r>
              <w:rPr>
                <w:rFonts w:hint="eastAsia" w:ascii="宋体" w:hAnsi="宋体" w:cs="宋体"/>
                <w:color w:val="auto"/>
                <w:sz w:val="24"/>
              </w:rPr>
              <w:t>5</w:t>
            </w:r>
          </w:p>
        </w:tc>
        <w:tc>
          <w:tcPr>
            <w:tcW w:w="1981" w:type="dxa"/>
            <w:tcBorders>
              <w:top w:val="single" w:color="auto" w:sz="4" w:space="0"/>
              <w:left w:val="single" w:color="auto" w:sz="4" w:space="0"/>
              <w:bottom w:val="single" w:color="auto" w:sz="4" w:space="0"/>
              <w:right w:val="single" w:color="auto" w:sz="4" w:space="0"/>
            </w:tcBorders>
            <w:vAlign w:val="center"/>
          </w:tcPr>
          <w:p w14:paraId="237554A8">
            <w:pPr>
              <w:jc w:val="center"/>
              <w:rPr>
                <w:rFonts w:ascii="宋体" w:hAnsi="宋体" w:cs="宋体"/>
                <w:color w:val="auto"/>
                <w:sz w:val="24"/>
              </w:rPr>
            </w:pPr>
            <w:r>
              <w:rPr>
                <w:rFonts w:hint="eastAsia" w:ascii="宋体" w:hAnsi="宋体" w:cs="宋体"/>
                <w:color w:val="auto"/>
                <w:sz w:val="24"/>
              </w:rPr>
              <w:t>开标时间及地点</w:t>
            </w:r>
          </w:p>
        </w:tc>
        <w:tc>
          <w:tcPr>
            <w:tcW w:w="6280" w:type="dxa"/>
            <w:tcBorders>
              <w:top w:val="single" w:color="auto" w:sz="4" w:space="0"/>
              <w:left w:val="single" w:color="auto" w:sz="4" w:space="0"/>
              <w:bottom w:val="single" w:color="auto" w:sz="4" w:space="0"/>
              <w:right w:val="single" w:color="auto" w:sz="4" w:space="0"/>
            </w:tcBorders>
            <w:vAlign w:val="center"/>
          </w:tcPr>
          <w:p w14:paraId="13747441">
            <w:pPr>
              <w:rPr>
                <w:rFonts w:ascii="宋体" w:hAnsi="宋体" w:cs="宋体"/>
                <w:color w:val="auto"/>
                <w:sz w:val="24"/>
              </w:rPr>
            </w:pPr>
            <w:r>
              <w:rPr>
                <w:rFonts w:hint="eastAsia" w:ascii="宋体" w:hAnsi="宋体" w:cs="宋体"/>
                <w:color w:val="auto"/>
                <w:sz w:val="24"/>
              </w:rPr>
              <w:t>详见公开招标采购公告</w:t>
            </w:r>
          </w:p>
        </w:tc>
      </w:tr>
      <w:tr w14:paraId="6E588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47404326">
            <w:pPr>
              <w:jc w:val="center"/>
              <w:rPr>
                <w:rFonts w:ascii="宋体" w:hAnsi="宋体" w:cs="宋体"/>
                <w:color w:val="auto"/>
                <w:sz w:val="24"/>
              </w:rPr>
            </w:pPr>
            <w:r>
              <w:rPr>
                <w:rFonts w:hint="eastAsia" w:ascii="宋体" w:hAnsi="宋体" w:cs="宋体"/>
                <w:color w:val="auto"/>
                <w:sz w:val="24"/>
              </w:rPr>
              <w:t>6</w:t>
            </w:r>
          </w:p>
        </w:tc>
        <w:tc>
          <w:tcPr>
            <w:tcW w:w="1981" w:type="dxa"/>
            <w:tcBorders>
              <w:top w:val="single" w:color="auto" w:sz="4" w:space="0"/>
              <w:left w:val="single" w:color="auto" w:sz="4" w:space="0"/>
              <w:bottom w:val="single" w:color="auto" w:sz="4" w:space="0"/>
              <w:right w:val="single" w:color="auto" w:sz="4" w:space="0"/>
            </w:tcBorders>
            <w:vAlign w:val="center"/>
          </w:tcPr>
          <w:p w14:paraId="7701D6B4">
            <w:pPr>
              <w:jc w:val="center"/>
              <w:rPr>
                <w:rFonts w:ascii="宋体" w:hAnsi="宋体" w:cs="宋体"/>
                <w:color w:val="auto"/>
                <w:sz w:val="24"/>
              </w:rPr>
            </w:pPr>
            <w:r>
              <w:rPr>
                <w:rFonts w:hint="eastAsia" w:ascii="宋体" w:hAnsi="宋体" w:cs="宋体"/>
                <w:color w:val="auto"/>
                <w:sz w:val="24"/>
              </w:rPr>
              <w:t>投标保证金</w:t>
            </w:r>
          </w:p>
        </w:tc>
        <w:tc>
          <w:tcPr>
            <w:tcW w:w="6280" w:type="dxa"/>
            <w:tcBorders>
              <w:top w:val="single" w:color="auto" w:sz="4" w:space="0"/>
              <w:left w:val="single" w:color="auto" w:sz="4" w:space="0"/>
              <w:bottom w:val="single" w:color="auto" w:sz="4" w:space="0"/>
              <w:right w:val="single" w:color="auto" w:sz="4" w:space="0"/>
            </w:tcBorders>
            <w:vAlign w:val="center"/>
          </w:tcPr>
          <w:p w14:paraId="0C84CB18">
            <w:pPr>
              <w:rPr>
                <w:rFonts w:ascii="宋体" w:hAnsi="宋体" w:cs="宋体"/>
                <w:color w:val="auto"/>
                <w:sz w:val="24"/>
              </w:rPr>
            </w:pPr>
            <w:r>
              <w:rPr>
                <w:rFonts w:hint="eastAsia" w:ascii="宋体" w:hAnsi="宋体" w:cs="宋体"/>
                <w:color w:val="auto"/>
                <w:sz w:val="24"/>
              </w:rPr>
              <w:t>无</w:t>
            </w:r>
          </w:p>
        </w:tc>
      </w:tr>
      <w:tr w14:paraId="63FC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0819960D">
            <w:pPr>
              <w:jc w:val="center"/>
              <w:rPr>
                <w:rFonts w:ascii="宋体" w:hAnsi="宋体" w:cs="宋体"/>
                <w:color w:val="auto"/>
                <w:sz w:val="24"/>
              </w:rPr>
            </w:pPr>
            <w:r>
              <w:rPr>
                <w:rFonts w:hint="eastAsia" w:ascii="宋体" w:hAnsi="宋体" w:cs="宋体"/>
                <w:color w:val="auto"/>
                <w:sz w:val="24"/>
              </w:rPr>
              <w:t>7</w:t>
            </w:r>
          </w:p>
        </w:tc>
        <w:tc>
          <w:tcPr>
            <w:tcW w:w="1981" w:type="dxa"/>
            <w:tcBorders>
              <w:top w:val="single" w:color="auto" w:sz="4" w:space="0"/>
              <w:left w:val="single" w:color="auto" w:sz="4" w:space="0"/>
              <w:bottom w:val="single" w:color="auto" w:sz="4" w:space="0"/>
              <w:right w:val="single" w:color="auto" w:sz="4" w:space="0"/>
            </w:tcBorders>
            <w:vAlign w:val="center"/>
          </w:tcPr>
          <w:p w14:paraId="7B1C87B1">
            <w:pPr>
              <w:jc w:val="center"/>
              <w:rPr>
                <w:rFonts w:ascii="宋体" w:hAnsi="宋体" w:cs="宋体"/>
                <w:color w:val="auto"/>
                <w:sz w:val="24"/>
              </w:rPr>
            </w:pPr>
            <w:r>
              <w:rPr>
                <w:rFonts w:hint="eastAsia" w:ascii="宋体" w:hAnsi="宋体" w:cs="宋体"/>
                <w:color w:val="auto"/>
                <w:sz w:val="24"/>
                <w:lang w:val="zh-CN"/>
              </w:rPr>
              <w:t>实质性条款</w:t>
            </w:r>
          </w:p>
        </w:tc>
        <w:tc>
          <w:tcPr>
            <w:tcW w:w="6280" w:type="dxa"/>
            <w:tcBorders>
              <w:top w:val="single" w:color="auto" w:sz="4" w:space="0"/>
              <w:left w:val="single" w:color="auto" w:sz="4" w:space="0"/>
              <w:bottom w:val="single" w:color="auto" w:sz="4" w:space="0"/>
              <w:right w:val="single" w:color="auto" w:sz="4" w:space="0"/>
            </w:tcBorders>
            <w:vAlign w:val="center"/>
          </w:tcPr>
          <w:p w14:paraId="1072835F">
            <w:pPr>
              <w:rPr>
                <w:rFonts w:ascii="宋体" w:hAnsi="宋体" w:cs="宋体"/>
                <w:color w:val="auto"/>
                <w:sz w:val="24"/>
              </w:rPr>
            </w:pPr>
            <w:r>
              <w:rPr>
                <w:rFonts w:hint="eastAsia" w:ascii="宋体" w:hAnsi="宋体" w:cs="宋体"/>
                <w:color w:val="auto"/>
                <w:sz w:val="24"/>
                <w:lang w:val="zh-CN"/>
              </w:rPr>
              <w:t>带“</w:t>
            </w:r>
            <w:r>
              <w:rPr>
                <w:rFonts w:hint="eastAsia" w:ascii="宋体" w:hAnsi="宋体" w:cs="宋体"/>
                <w:color w:val="auto"/>
                <w:sz w:val="24"/>
              </w:rPr>
              <w:t>▲”的条款是实质性条款，投标文件须做出实质性响应，否则作无效投标处理。</w:t>
            </w:r>
          </w:p>
        </w:tc>
      </w:tr>
      <w:tr w14:paraId="1C07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4FBD5CDD">
            <w:pPr>
              <w:jc w:val="center"/>
              <w:rPr>
                <w:rFonts w:ascii="宋体" w:hAnsi="宋体" w:cs="宋体"/>
                <w:color w:val="auto"/>
                <w:sz w:val="24"/>
              </w:rPr>
            </w:pPr>
            <w:r>
              <w:rPr>
                <w:rFonts w:hint="eastAsia" w:ascii="宋体" w:hAnsi="宋体" w:cs="宋体"/>
                <w:color w:val="auto"/>
                <w:sz w:val="24"/>
              </w:rPr>
              <w:t>8</w:t>
            </w:r>
          </w:p>
        </w:tc>
        <w:tc>
          <w:tcPr>
            <w:tcW w:w="1981" w:type="dxa"/>
            <w:tcBorders>
              <w:top w:val="single" w:color="auto" w:sz="4" w:space="0"/>
              <w:left w:val="single" w:color="auto" w:sz="4" w:space="0"/>
              <w:bottom w:val="single" w:color="auto" w:sz="4" w:space="0"/>
              <w:right w:val="single" w:color="auto" w:sz="4" w:space="0"/>
            </w:tcBorders>
            <w:vAlign w:val="center"/>
          </w:tcPr>
          <w:p w14:paraId="577FFA2C">
            <w:pPr>
              <w:autoSpaceDE w:val="0"/>
              <w:autoSpaceDN w:val="0"/>
              <w:adjustRightInd w:val="0"/>
              <w:jc w:val="center"/>
              <w:rPr>
                <w:rFonts w:ascii="宋体" w:hAnsi="宋体" w:cs="宋体"/>
                <w:color w:val="auto"/>
                <w:sz w:val="24"/>
                <w:lang w:val="zh-CN"/>
              </w:rPr>
            </w:pPr>
            <w:r>
              <w:rPr>
                <w:rFonts w:hint="eastAsia" w:ascii="宋体" w:hAnsi="宋体" w:cs="宋体"/>
                <w:color w:val="auto"/>
                <w:sz w:val="24"/>
              </w:rPr>
              <w:t>履约保证金</w:t>
            </w:r>
          </w:p>
        </w:tc>
        <w:tc>
          <w:tcPr>
            <w:tcW w:w="6280" w:type="dxa"/>
            <w:tcBorders>
              <w:top w:val="single" w:color="auto" w:sz="4" w:space="0"/>
              <w:left w:val="single" w:color="auto" w:sz="4" w:space="0"/>
              <w:bottom w:val="single" w:color="auto" w:sz="4" w:space="0"/>
              <w:right w:val="single" w:color="auto" w:sz="4" w:space="0"/>
            </w:tcBorders>
            <w:vAlign w:val="center"/>
          </w:tcPr>
          <w:p w14:paraId="50F0480C">
            <w:pPr>
              <w:spacing w:line="400" w:lineRule="exact"/>
              <w:ind w:firstLine="0" w:firstLineChars="0"/>
              <w:rPr>
                <w:rFonts w:hint="default" w:ascii="宋体" w:hAnsi="宋体" w:eastAsia="宋体" w:cs="宋体"/>
                <w:color w:val="auto"/>
                <w:sz w:val="24"/>
                <w:lang w:val="en-US" w:eastAsia="zh-CN"/>
              </w:rPr>
            </w:pPr>
            <w:r>
              <w:rPr>
                <w:rFonts w:hint="eastAsia" w:ascii="宋体" w:hAnsi="宋体" w:cs="宋体"/>
                <w:color w:val="auto"/>
                <w:sz w:val="24"/>
                <w:lang w:val="en-US" w:eastAsia="zh-CN"/>
              </w:rPr>
              <w:t>/</w:t>
            </w:r>
          </w:p>
        </w:tc>
      </w:tr>
      <w:tr w14:paraId="5C0D8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24359AB">
            <w:pPr>
              <w:jc w:val="center"/>
              <w:rPr>
                <w:rFonts w:ascii="宋体" w:hAnsi="宋体" w:cs="宋体"/>
                <w:color w:val="auto"/>
                <w:sz w:val="24"/>
              </w:rPr>
            </w:pPr>
            <w:r>
              <w:rPr>
                <w:rFonts w:hint="eastAsia" w:ascii="宋体" w:hAnsi="宋体" w:cs="宋体"/>
                <w:color w:val="auto"/>
                <w:sz w:val="24"/>
              </w:rPr>
              <w:t>9</w:t>
            </w:r>
          </w:p>
        </w:tc>
        <w:tc>
          <w:tcPr>
            <w:tcW w:w="1981" w:type="dxa"/>
            <w:tcBorders>
              <w:top w:val="single" w:color="auto" w:sz="4" w:space="0"/>
              <w:left w:val="single" w:color="auto" w:sz="4" w:space="0"/>
              <w:bottom w:val="single" w:color="auto" w:sz="4" w:space="0"/>
              <w:right w:val="single" w:color="auto" w:sz="4" w:space="0"/>
            </w:tcBorders>
            <w:vAlign w:val="center"/>
          </w:tcPr>
          <w:p w14:paraId="6FB30B1B">
            <w:pPr>
              <w:autoSpaceDE w:val="0"/>
              <w:autoSpaceDN w:val="0"/>
              <w:adjustRightInd w:val="0"/>
              <w:jc w:val="center"/>
              <w:rPr>
                <w:rFonts w:ascii="宋体" w:hAnsi="宋体" w:cs="宋体"/>
                <w:color w:val="auto"/>
                <w:sz w:val="24"/>
              </w:rPr>
            </w:pPr>
            <w:r>
              <w:rPr>
                <w:rFonts w:hint="eastAsia" w:ascii="宋体" w:hAnsi="宋体" w:cs="宋体"/>
                <w:color w:val="auto"/>
                <w:sz w:val="24"/>
              </w:rPr>
              <w:t>代理服务费</w:t>
            </w:r>
          </w:p>
        </w:tc>
        <w:tc>
          <w:tcPr>
            <w:tcW w:w="6280" w:type="dxa"/>
            <w:tcBorders>
              <w:top w:val="single" w:color="auto" w:sz="4" w:space="0"/>
              <w:left w:val="single" w:color="auto" w:sz="4" w:space="0"/>
              <w:bottom w:val="single" w:color="auto" w:sz="4" w:space="0"/>
              <w:right w:val="single" w:color="auto" w:sz="4" w:space="0"/>
            </w:tcBorders>
            <w:vAlign w:val="center"/>
          </w:tcPr>
          <w:p w14:paraId="66632F10">
            <w:pPr>
              <w:autoSpaceDE w:val="0"/>
              <w:autoSpaceDN w:val="0"/>
              <w:adjustRightInd w:val="0"/>
              <w:rPr>
                <w:rFonts w:ascii="宋体" w:hAnsi="宋体" w:cs="宋体"/>
                <w:color w:val="auto"/>
                <w:sz w:val="24"/>
              </w:rPr>
            </w:pPr>
            <w:r>
              <w:rPr>
                <w:rFonts w:hint="eastAsia" w:ascii="宋体" w:hAnsi="宋体" w:eastAsia="宋体" w:cs="Calibri Light"/>
                <w:color w:val="auto"/>
                <w:kern w:val="0"/>
                <w:sz w:val="24"/>
                <w:szCs w:val="22"/>
                <w:lang w:val="zh-CN" w:bidi="ar"/>
              </w:rPr>
              <w:t>本项目招标代理服务费由中标人支付。本项目招标代理服务费参照计价格【2002】1980号文件，按照中标通知书确定的中标金额，对照收费标准</w:t>
            </w:r>
            <w:r>
              <w:rPr>
                <w:rFonts w:hint="eastAsia" w:ascii="宋体" w:hAnsi="宋体" w:eastAsia="宋体" w:cs="Calibri Light"/>
                <w:color w:val="auto"/>
                <w:kern w:val="0"/>
                <w:sz w:val="24"/>
                <w:szCs w:val="22"/>
                <w:lang w:val="zh-CN" w:eastAsia="zh-CN" w:bidi="ar"/>
              </w:rPr>
              <w:t>计取</w:t>
            </w:r>
            <w:r>
              <w:rPr>
                <w:rFonts w:hint="eastAsia" w:ascii="宋体" w:hAnsi="宋体" w:eastAsia="宋体" w:cs="Calibri Light"/>
                <w:color w:val="auto"/>
                <w:kern w:val="0"/>
                <w:sz w:val="24"/>
                <w:szCs w:val="22"/>
                <w:lang w:val="zh-CN" w:bidi="ar"/>
              </w:rPr>
              <w:t>，中标人在领取中标通知书时一次性支付给本项目的招标代理机构。本项费用由投标人在投标报价时综合考虑。</w:t>
            </w:r>
          </w:p>
        </w:tc>
      </w:tr>
      <w:tr w14:paraId="46D8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A961928">
            <w:pPr>
              <w:jc w:val="center"/>
              <w:rPr>
                <w:rFonts w:ascii="宋体" w:hAnsi="宋体" w:cs="宋体"/>
                <w:color w:val="auto"/>
                <w:sz w:val="24"/>
              </w:rPr>
            </w:pPr>
            <w:r>
              <w:rPr>
                <w:rFonts w:hint="eastAsia" w:ascii="宋体" w:hAnsi="宋体" w:cs="宋体"/>
                <w:color w:val="auto"/>
                <w:sz w:val="24"/>
              </w:rPr>
              <w:t>10</w:t>
            </w:r>
          </w:p>
        </w:tc>
        <w:tc>
          <w:tcPr>
            <w:tcW w:w="1981" w:type="dxa"/>
            <w:tcBorders>
              <w:top w:val="single" w:color="auto" w:sz="4" w:space="0"/>
              <w:left w:val="single" w:color="auto" w:sz="4" w:space="0"/>
              <w:bottom w:val="single" w:color="auto" w:sz="4" w:space="0"/>
              <w:right w:val="single" w:color="auto" w:sz="4" w:space="0"/>
            </w:tcBorders>
            <w:vAlign w:val="center"/>
          </w:tcPr>
          <w:p w14:paraId="13D403E5">
            <w:pPr>
              <w:autoSpaceDE w:val="0"/>
              <w:autoSpaceDN w:val="0"/>
              <w:adjustRightInd w:val="0"/>
              <w:jc w:val="center"/>
              <w:rPr>
                <w:rFonts w:ascii="宋体" w:hAnsi="宋体" w:cs="宋体"/>
                <w:color w:val="auto"/>
                <w:sz w:val="24"/>
                <w:lang w:val="zh-CN"/>
              </w:rPr>
            </w:pPr>
            <w:r>
              <w:rPr>
                <w:rFonts w:hint="eastAsia" w:ascii="宋体" w:hAnsi="宋体" w:cs="宋体"/>
                <w:color w:val="auto"/>
                <w:sz w:val="24"/>
              </w:rPr>
              <w:t>解释权</w:t>
            </w:r>
          </w:p>
        </w:tc>
        <w:tc>
          <w:tcPr>
            <w:tcW w:w="6280" w:type="dxa"/>
            <w:tcBorders>
              <w:top w:val="single" w:color="auto" w:sz="4" w:space="0"/>
              <w:left w:val="single" w:color="auto" w:sz="4" w:space="0"/>
              <w:bottom w:val="single" w:color="auto" w:sz="4" w:space="0"/>
              <w:right w:val="single" w:color="auto" w:sz="4" w:space="0"/>
            </w:tcBorders>
            <w:vAlign w:val="center"/>
          </w:tcPr>
          <w:p w14:paraId="14D5568E">
            <w:pPr>
              <w:autoSpaceDE w:val="0"/>
              <w:autoSpaceDN w:val="0"/>
              <w:adjustRightInd w:val="0"/>
              <w:rPr>
                <w:rFonts w:hint="eastAsia" w:ascii="宋体" w:hAnsi="宋体" w:eastAsia="宋体" w:cs="宋体"/>
                <w:color w:val="auto"/>
                <w:sz w:val="24"/>
                <w:lang w:val="zh-CN" w:eastAsia="zh-CN"/>
              </w:rPr>
            </w:pPr>
            <w:r>
              <w:rPr>
                <w:rFonts w:hint="eastAsia" w:ascii="宋体" w:hAnsi="宋体" w:cs="宋体"/>
                <w:color w:val="auto"/>
                <w:sz w:val="24"/>
              </w:rPr>
              <w:t>本招标文件解释权属于采购人和</w:t>
            </w:r>
            <w:r>
              <w:rPr>
                <w:rFonts w:hint="eastAsia" w:ascii="宋体" w:hAnsi="宋体" w:cs="Arial"/>
                <w:color w:val="auto"/>
                <w:sz w:val="24"/>
                <w:lang w:eastAsia="zh-CN"/>
              </w:rPr>
              <w:t>浙江首信工程项目管理有限公司</w:t>
            </w:r>
          </w:p>
        </w:tc>
      </w:tr>
    </w:tbl>
    <w:p w14:paraId="7571F041">
      <w:pPr>
        <w:shd w:val="clear" w:color="auto" w:fill="FFFFFF"/>
        <w:ind w:firstLine="480" w:firstLineChars="200"/>
        <w:jc w:val="left"/>
        <w:textAlignment w:val="bottom"/>
        <w:rPr>
          <w:b/>
          <w:color w:val="auto"/>
          <w:sz w:val="28"/>
        </w:rPr>
      </w:pPr>
      <w:r>
        <w:rPr>
          <w:rFonts w:hint="eastAsia" w:ascii="宋体"/>
          <w:bCs/>
          <w:color w:val="auto"/>
          <w:kern w:val="0"/>
          <w:sz w:val="24"/>
        </w:rPr>
        <w:t>注：以上内容如有变化将另行书面通知。如通知其中某一内容发生变化，其余未提及的将不作变动</w:t>
      </w:r>
    </w:p>
    <w:p w14:paraId="4DFCAEE7">
      <w:pPr>
        <w:pStyle w:val="12"/>
        <w:ind w:left="567" w:right="-315" w:firstLine="562"/>
        <w:rPr>
          <w:b/>
          <w:color w:val="auto"/>
          <w:sz w:val="28"/>
        </w:rPr>
      </w:pPr>
    </w:p>
    <w:p w14:paraId="562048A5">
      <w:pPr>
        <w:rPr>
          <w:rFonts w:hAnsi="宋体"/>
          <w:b/>
          <w:color w:val="auto"/>
          <w:sz w:val="28"/>
          <w:szCs w:val="28"/>
        </w:rPr>
      </w:pPr>
      <w:r>
        <w:rPr>
          <w:rFonts w:hint="eastAsia" w:hAnsi="宋体"/>
          <w:b/>
          <w:color w:val="auto"/>
          <w:sz w:val="28"/>
          <w:szCs w:val="28"/>
        </w:rPr>
        <w:br w:type="page"/>
      </w:r>
    </w:p>
    <w:p w14:paraId="4A4B1C01">
      <w:pPr>
        <w:pStyle w:val="12"/>
        <w:ind w:left="567" w:right="-315" w:firstLine="480"/>
        <w:rPr>
          <w:color w:val="auto"/>
        </w:rPr>
      </w:pPr>
    </w:p>
    <w:p w14:paraId="74F2061C">
      <w:pPr>
        <w:pStyle w:val="14"/>
        <w:snapToGrid w:val="0"/>
        <w:spacing w:beforeLines="0" w:afterLines="0" w:line="240" w:lineRule="auto"/>
        <w:jc w:val="left"/>
        <w:rPr>
          <w:rFonts w:hint="default" w:hAnsi="宋体"/>
          <w:color w:val="auto"/>
        </w:rPr>
      </w:pPr>
      <w:r>
        <w:rPr>
          <w:rFonts w:hAnsi="宋体"/>
          <w:color w:val="auto"/>
        </w:rPr>
        <w:t>一 、总  则</w:t>
      </w:r>
    </w:p>
    <w:p w14:paraId="471CB03E">
      <w:pPr>
        <w:pStyle w:val="14"/>
        <w:snapToGrid w:val="0"/>
        <w:spacing w:beforeLines="0" w:afterLines="0" w:line="240" w:lineRule="auto"/>
        <w:ind w:firstLine="361" w:firstLineChars="150"/>
        <w:jc w:val="left"/>
        <w:rPr>
          <w:rFonts w:hint="default" w:hAnsi="宋体"/>
          <w:color w:val="auto"/>
        </w:rPr>
      </w:pPr>
      <w:r>
        <w:rPr>
          <w:rFonts w:hAnsi="宋体"/>
          <w:color w:val="auto"/>
        </w:rPr>
        <w:t>（一） 适用范围</w:t>
      </w:r>
    </w:p>
    <w:p w14:paraId="74741B6C">
      <w:pPr>
        <w:snapToGrid w:val="0"/>
        <w:ind w:firstLine="480" w:firstLineChars="200"/>
        <w:rPr>
          <w:rFonts w:ascii="宋体" w:hAnsi="宋体"/>
          <w:color w:val="auto"/>
          <w:sz w:val="24"/>
        </w:rPr>
      </w:pPr>
      <w:r>
        <w:rPr>
          <w:rFonts w:hint="eastAsia" w:ascii="宋体" w:hAnsi="宋体"/>
          <w:color w:val="auto"/>
          <w:sz w:val="24"/>
        </w:rPr>
        <w:t>本</w:t>
      </w:r>
      <w:r>
        <w:rPr>
          <w:rFonts w:hint="eastAsia" w:ascii="宋体" w:hAnsi="宋体"/>
          <w:bCs/>
          <w:color w:val="auto"/>
          <w:sz w:val="24"/>
          <w:lang w:val="en-US" w:eastAsia="zh-CN"/>
        </w:rPr>
        <w:t>磋商</w:t>
      </w:r>
      <w:r>
        <w:rPr>
          <w:rFonts w:hint="eastAsia" w:ascii="宋体" w:hAnsi="宋体"/>
          <w:bCs/>
          <w:color w:val="auto"/>
          <w:sz w:val="24"/>
        </w:rPr>
        <w:t>文件</w:t>
      </w:r>
      <w:r>
        <w:rPr>
          <w:rFonts w:hint="eastAsia" w:ascii="宋体" w:hAnsi="宋体"/>
          <w:color w:val="auto"/>
          <w:sz w:val="24"/>
        </w:rPr>
        <w:t>适用于</w:t>
      </w:r>
      <w:r>
        <w:rPr>
          <w:rFonts w:hint="eastAsia" w:ascii="宋体" w:hAnsi="宋体"/>
          <w:bCs/>
          <w:color w:val="auto"/>
          <w:sz w:val="24"/>
        </w:rPr>
        <w:t>本次</w:t>
      </w:r>
      <w:r>
        <w:rPr>
          <w:rFonts w:hint="eastAsia" w:ascii="宋体" w:hAnsi="宋体"/>
          <w:color w:val="auto"/>
          <w:sz w:val="24"/>
        </w:rPr>
        <w:t>项目的</w:t>
      </w:r>
      <w:r>
        <w:rPr>
          <w:rFonts w:hint="eastAsia" w:asciiTheme="minorEastAsia" w:hAnsiTheme="minorEastAsia" w:eastAsiaTheme="minorEastAsia"/>
          <w:color w:val="auto"/>
          <w:sz w:val="24"/>
          <w:lang w:val="en-US" w:eastAsia="zh-CN"/>
        </w:rPr>
        <w:t>磋商</w:t>
      </w:r>
      <w:r>
        <w:rPr>
          <w:rFonts w:hint="eastAsia" w:asciiTheme="minorEastAsia" w:hAnsiTheme="minorEastAsia" w:eastAsiaTheme="minorEastAsia"/>
          <w:color w:val="auto"/>
          <w:sz w:val="24"/>
        </w:rPr>
        <w:t>、</w:t>
      </w:r>
      <w:r>
        <w:rPr>
          <w:rFonts w:hint="eastAsia" w:ascii="宋体" w:hAnsi="宋体"/>
          <w:bCs/>
          <w:color w:val="auto"/>
          <w:sz w:val="24"/>
        </w:rPr>
        <w:t>评审、确定成交供应商</w:t>
      </w:r>
      <w:r>
        <w:rPr>
          <w:rFonts w:hint="eastAsia" w:ascii="宋体" w:hAnsi="宋体"/>
          <w:color w:val="auto"/>
          <w:sz w:val="24"/>
        </w:rPr>
        <w:t>、验收、合同履约、付款等行为（法律、法规另有规定的，从其规定）。</w:t>
      </w:r>
    </w:p>
    <w:p w14:paraId="4FECDF14">
      <w:pPr>
        <w:snapToGrid w:val="0"/>
        <w:ind w:firstLine="482" w:firstLineChars="200"/>
        <w:rPr>
          <w:rFonts w:ascii="宋体" w:hAnsi="宋体"/>
          <w:color w:val="auto"/>
          <w:sz w:val="24"/>
        </w:rPr>
      </w:pPr>
      <w:r>
        <w:rPr>
          <w:rFonts w:hint="eastAsia" w:ascii="宋体" w:hAnsi="宋体"/>
          <w:b/>
          <w:color w:val="auto"/>
          <w:sz w:val="24"/>
        </w:rPr>
        <w:t>（二）定义</w:t>
      </w:r>
    </w:p>
    <w:p w14:paraId="28829AD3">
      <w:pPr>
        <w:snapToGrid w:val="0"/>
        <w:ind w:firstLine="566" w:firstLineChars="236"/>
        <w:rPr>
          <w:rFonts w:ascii="宋体" w:hAnsi="宋体"/>
          <w:color w:val="auto"/>
          <w:sz w:val="24"/>
          <w:lang w:val="zh-CN"/>
        </w:rPr>
      </w:pPr>
      <w:r>
        <w:rPr>
          <w:rFonts w:hint="eastAsia" w:ascii="宋体" w:hAnsi="宋体"/>
          <w:color w:val="auto"/>
          <w:sz w:val="24"/>
          <w:lang w:val="zh-CN"/>
        </w:rPr>
        <w:t>1、“采购组织机构”指采购人委托组织</w:t>
      </w:r>
      <w:r>
        <w:rPr>
          <w:rFonts w:hint="eastAsia" w:ascii="宋体" w:hAnsi="宋体"/>
          <w:color w:val="auto"/>
          <w:sz w:val="24"/>
          <w:lang w:val="en-US" w:eastAsia="zh-CN"/>
        </w:rPr>
        <w:t>磋商</w:t>
      </w:r>
      <w:r>
        <w:rPr>
          <w:rFonts w:hint="eastAsia" w:ascii="宋体" w:hAnsi="宋体"/>
          <w:color w:val="auto"/>
          <w:sz w:val="24"/>
          <w:lang w:val="zh-CN"/>
        </w:rPr>
        <w:t>的采购机构或采购代理机构。</w:t>
      </w:r>
    </w:p>
    <w:p w14:paraId="73FF78EA">
      <w:pPr>
        <w:snapToGrid w:val="0"/>
        <w:ind w:firstLine="566" w:firstLineChars="236"/>
        <w:rPr>
          <w:rFonts w:ascii="宋体" w:hAnsi="宋体"/>
          <w:color w:val="auto"/>
          <w:sz w:val="24"/>
        </w:rPr>
      </w:pPr>
      <w:r>
        <w:rPr>
          <w:rFonts w:hint="eastAsia" w:ascii="宋体" w:hAnsi="宋体"/>
          <w:color w:val="auto"/>
          <w:sz w:val="24"/>
        </w:rPr>
        <w:t>2、采购人：是指委托</w:t>
      </w:r>
      <w:r>
        <w:rPr>
          <w:rFonts w:hint="eastAsia" w:ascii="宋体" w:hAnsi="宋体"/>
          <w:color w:val="auto"/>
          <w:sz w:val="24"/>
          <w:lang w:val="zh-CN"/>
        </w:rPr>
        <w:t>采购机构或</w:t>
      </w:r>
      <w:r>
        <w:rPr>
          <w:rFonts w:hint="eastAsia" w:ascii="宋体" w:hAnsi="宋体"/>
          <w:color w:val="auto"/>
          <w:sz w:val="24"/>
        </w:rPr>
        <w:t>采购代理机构采购本次项目的国家机关、事业单位和团体组织。</w:t>
      </w:r>
    </w:p>
    <w:p w14:paraId="3A4A6EAB">
      <w:pPr>
        <w:snapToGrid w:val="0"/>
        <w:ind w:left="424" w:leftChars="202" w:firstLine="141" w:firstLineChars="59"/>
        <w:rPr>
          <w:rFonts w:ascii="宋体" w:hAnsi="宋体"/>
          <w:color w:val="auto"/>
          <w:sz w:val="24"/>
        </w:rPr>
      </w:pPr>
      <w:r>
        <w:rPr>
          <w:rFonts w:hint="eastAsia" w:ascii="宋体" w:hAnsi="宋体"/>
          <w:color w:val="auto"/>
          <w:sz w:val="24"/>
        </w:rPr>
        <w:t>3、</w:t>
      </w:r>
      <w:r>
        <w:rPr>
          <w:rFonts w:hint="eastAsia" w:ascii="宋体" w:hAnsi="宋体"/>
          <w:color w:val="auto"/>
          <w:sz w:val="24"/>
          <w:lang w:val="en-US" w:eastAsia="zh-CN"/>
        </w:rPr>
        <w:t>磋商</w:t>
      </w:r>
      <w:r>
        <w:rPr>
          <w:rFonts w:hint="eastAsia" w:ascii="宋体" w:hAnsi="宋体"/>
          <w:color w:val="auto"/>
          <w:sz w:val="24"/>
        </w:rPr>
        <w:t>供应商：是指向</w:t>
      </w:r>
      <w:r>
        <w:rPr>
          <w:rFonts w:hint="eastAsia" w:ascii="宋体" w:hAnsi="宋体"/>
          <w:color w:val="auto"/>
          <w:sz w:val="24"/>
          <w:lang w:val="zh-CN"/>
        </w:rPr>
        <w:t>采购组织机构</w:t>
      </w:r>
      <w:r>
        <w:rPr>
          <w:rFonts w:hint="eastAsia" w:ascii="宋体" w:hAnsi="宋体"/>
          <w:color w:val="auto"/>
          <w:sz w:val="24"/>
        </w:rPr>
        <w:t>提交投标文件的单位或个人。</w:t>
      </w:r>
    </w:p>
    <w:p w14:paraId="44DD19ED">
      <w:pPr>
        <w:snapToGrid w:val="0"/>
        <w:ind w:firstLine="566" w:firstLineChars="236"/>
        <w:rPr>
          <w:rFonts w:ascii="宋体" w:hAnsi="宋体"/>
          <w:color w:val="auto"/>
          <w:sz w:val="24"/>
        </w:rPr>
      </w:pPr>
      <w:r>
        <w:rPr>
          <w:rFonts w:hint="eastAsia" w:ascii="宋体" w:hAnsi="宋体"/>
          <w:color w:val="auto"/>
          <w:sz w:val="24"/>
        </w:rPr>
        <w:t>4、服务：是指除货物和工程以外的政府采购</w:t>
      </w:r>
      <w:r>
        <w:rPr>
          <w:rFonts w:ascii="宋体" w:hAnsi="宋体"/>
          <w:color w:val="auto"/>
          <w:sz w:val="24"/>
        </w:rPr>
        <w:t>对象，包括各类专业服务、信息网络开发服务、金融保险服务、运输服务，以及维修与维护服务等。</w:t>
      </w:r>
    </w:p>
    <w:p w14:paraId="211FCB30">
      <w:pPr>
        <w:snapToGrid w:val="0"/>
        <w:ind w:firstLine="566" w:firstLineChars="236"/>
        <w:rPr>
          <w:rFonts w:ascii="宋体" w:hAnsi="宋体"/>
          <w:color w:val="auto"/>
          <w:sz w:val="24"/>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工程：是指建设工程，包括建筑物和构筑物的新建、改建、扩建、 装修、拆除、修缮等。</w:t>
      </w:r>
    </w:p>
    <w:p w14:paraId="1E26616F">
      <w:pPr>
        <w:snapToGrid w:val="0"/>
        <w:ind w:firstLine="566" w:firstLineChars="236"/>
        <w:rPr>
          <w:rFonts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w:t>
      </w:r>
      <w:r>
        <w:rPr>
          <w:rFonts w:ascii="宋体" w:hAnsi="宋体"/>
          <w:color w:val="auto"/>
          <w:sz w:val="24"/>
        </w:rPr>
        <w:t>“书面形式”包括信函、传真等。</w:t>
      </w:r>
    </w:p>
    <w:p w14:paraId="14537DC5">
      <w:pPr>
        <w:snapToGrid w:val="0"/>
        <w:ind w:firstLine="566" w:firstLineChars="236"/>
        <w:rPr>
          <w:rFonts w:ascii="宋体" w:hAnsi="宋体"/>
          <w:color w:val="auto"/>
          <w:sz w:val="24"/>
        </w:rPr>
      </w:pPr>
      <w:r>
        <w:rPr>
          <w:rFonts w:hint="eastAsia" w:ascii="宋体" w:hAnsi="宋体"/>
          <w:color w:val="auto"/>
          <w:sz w:val="24"/>
          <w:lang w:val="en-US" w:eastAsia="zh-CN"/>
        </w:rPr>
        <w:t>7</w:t>
      </w:r>
      <w:r>
        <w:rPr>
          <w:rFonts w:hint="eastAsia" w:ascii="宋体" w:hAnsi="宋体"/>
          <w:color w:val="auto"/>
          <w:sz w:val="24"/>
        </w:rPr>
        <w:t>、</w:t>
      </w:r>
      <w:r>
        <w:rPr>
          <w:rFonts w:ascii="宋体" w:hAnsi="宋体"/>
          <w:color w:val="auto"/>
          <w:sz w:val="24"/>
        </w:rPr>
        <w:t>“▲”系指实质性要求条款。</w:t>
      </w:r>
    </w:p>
    <w:p w14:paraId="4C8981A2">
      <w:pPr>
        <w:snapToGrid w:val="0"/>
        <w:ind w:firstLine="472" w:firstLineChars="196"/>
        <w:outlineLvl w:val="1"/>
        <w:rPr>
          <w:rFonts w:ascii="宋体" w:hAnsi="宋体"/>
          <w:b/>
          <w:color w:val="auto"/>
          <w:sz w:val="24"/>
        </w:rPr>
      </w:pPr>
      <w:r>
        <w:rPr>
          <w:rFonts w:hint="eastAsia" w:ascii="宋体" w:hAnsi="宋体"/>
          <w:b/>
          <w:color w:val="auto"/>
          <w:sz w:val="24"/>
        </w:rPr>
        <w:t>（三）</w:t>
      </w:r>
      <w:r>
        <w:rPr>
          <w:rFonts w:hint="eastAsia" w:ascii="宋体" w:hAnsi="宋体"/>
          <w:b/>
          <w:color w:val="auto"/>
          <w:sz w:val="24"/>
          <w:lang w:val="en-US" w:eastAsia="zh-CN"/>
        </w:rPr>
        <w:t>磋商</w:t>
      </w:r>
      <w:r>
        <w:rPr>
          <w:rFonts w:hint="eastAsia" w:ascii="宋体" w:hAnsi="宋体"/>
          <w:b/>
          <w:color w:val="auto"/>
          <w:sz w:val="24"/>
        </w:rPr>
        <w:t>费用</w:t>
      </w:r>
    </w:p>
    <w:p w14:paraId="063A89B7">
      <w:pPr>
        <w:snapToGrid w:val="0"/>
        <w:ind w:firstLine="480" w:firstLineChars="200"/>
        <w:rPr>
          <w:rFonts w:ascii="宋体" w:hAnsi="宋体"/>
          <w:color w:val="auto"/>
          <w:sz w:val="24"/>
        </w:rPr>
      </w:pPr>
      <w:r>
        <w:rPr>
          <w:rFonts w:hint="eastAsia" w:ascii="宋体" w:hAnsi="宋体"/>
          <w:color w:val="auto"/>
          <w:sz w:val="24"/>
        </w:rPr>
        <w:t>不论</w:t>
      </w:r>
      <w:r>
        <w:rPr>
          <w:rFonts w:hint="eastAsia" w:ascii="宋体" w:hAnsi="宋体"/>
          <w:color w:val="auto"/>
          <w:sz w:val="24"/>
          <w:lang w:val="en-US" w:eastAsia="zh-CN"/>
        </w:rPr>
        <w:t>磋商</w:t>
      </w:r>
      <w:r>
        <w:rPr>
          <w:rFonts w:hint="eastAsia" w:ascii="宋体" w:hAnsi="宋体"/>
          <w:color w:val="auto"/>
          <w:sz w:val="24"/>
        </w:rPr>
        <w:t>结果如何，供应商均应自行承担所有与</w:t>
      </w:r>
      <w:r>
        <w:rPr>
          <w:rFonts w:hint="eastAsia" w:ascii="宋体" w:hAnsi="宋体"/>
          <w:color w:val="auto"/>
          <w:sz w:val="24"/>
          <w:lang w:val="en-US" w:eastAsia="zh-CN"/>
        </w:rPr>
        <w:t>磋商</w:t>
      </w:r>
      <w:r>
        <w:rPr>
          <w:rFonts w:hint="eastAsia" w:ascii="宋体" w:hAnsi="宋体"/>
          <w:color w:val="auto"/>
          <w:sz w:val="24"/>
        </w:rPr>
        <w:t>有关的全部费用（</w:t>
      </w:r>
      <w:r>
        <w:rPr>
          <w:rFonts w:hint="eastAsia" w:ascii="宋体" w:hAnsi="宋体"/>
          <w:bCs/>
          <w:color w:val="auto"/>
          <w:sz w:val="24"/>
          <w:lang w:val="en-US" w:eastAsia="zh-CN"/>
        </w:rPr>
        <w:t>磋商</w:t>
      </w:r>
      <w:r>
        <w:rPr>
          <w:rFonts w:hint="eastAsia" w:ascii="宋体" w:hAnsi="宋体"/>
          <w:bCs/>
          <w:color w:val="auto"/>
          <w:sz w:val="24"/>
        </w:rPr>
        <w:t>文件</w:t>
      </w:r>
      <w:r>
        <w:rPr>
          <w:rFonts w:hint="eastAsia" w:ascii="宋体" w:hAnsi="宋体"/>
          <w:color w:val="auto"/>
          <w:sz w:val="24"/>
        </w:rPr>
        <w:t>有相关规定除外）。</w:t>
      </w:r>
    </w:p>
    <w:p w14:paraId="70B1F525">
      <w:pPr>
        <w:shd w:val="clear" w:color="auto" w:fill="FFFFFF"/>
        <w:ind w:firstLine="482" w:firstLineChars="200"/>
        <w:jc w:val="left"/>
        <w:textAlignment w:val="bottom"/>
        <w:rPr>
          <w:rFonts w:ascii="宋体"/>
          <w:b/>
          <w:color w:val="auto"/>
          <w:kern w:val="0"/>
          <w:sz w:val="24"/>
        </w:rPr>
      </w:pPr>
      <w:r>
        <w:rPr>
          <w:rFonts w:hint="eastAsia" w:ascii="宋体"/>
          <w:b/>
          <w:color w:val="auto"/>
          <w:kern w:val="0"/>
          <w:sz w:val="24"/>
        </w:rPr>
        <w:t>（四）特别说明</w:t>
      </w:r>
    </w:p>
    <w:p w14:paraId="3E04A463">
      <w:pPr>
        <w:pStyle w:val="11"/>
        <w:ind w:firstLine="210" w:firstLineChars="100"/>
        <w:rPr>
          <w:rFonts w:hint="default" w:cs="宋体"/>
          <w:b/>
          <w:bCs/>
          <w:color w:val="auto"/>
          <w:sz w:val="21"/>
          <w:szCs w:val="21"/>
          <w:u w:val="single"/>
        </w:rPr>
      </w:pPr>
      <w:r>
        <w:rPr>
          <w:rFonts w:cs="宋体"/>
          <w:color w:val="auto"/>
        </w:rPr>
        <w:t>▲</w:t>
      </w:r>
      <w:r>
        <w:rPr>
          <w:rFonts w:cs="宋体"/>
          <w:color w:val="auto"/>
          <w:kern w:val="2"/>
        </w:rPr>
        <w:t>1、</w:t>
      </w:r>
      <w:r>
        <w:rPr>
          <w:rFonts w:hint="eastAsia" w:ascii="宋体" w:hAnsi="宋体" w:eastAsia="宋体" w:cs="Times New Roman"/>
          <w:color w:val="auto"/>
          <w:kern w:val="2"/>
          <w:sz w:val="24"/>
          <w:szCs w:val="24"/>
          <w:lang w:val="en-US" w:eastAsia="zh-CN" w:bidi="ar-SA"/>
        </w:rPr>
        <w:t>多家供应商参加投标，根据《政府采购法实施条例》第十八条规定，单位负责人为同一人或者存在直接控股、管理关系的不同供应商，不得参加同一合同项下的政府采购活动。</w:t>
      </w:r>
      <w:r>
        <w:rPr>
          <w:rFonts w:cs="宋体"/>
          <w:b/>
          <w:bCs/>
          <w:color w:val="auto"/>
          <w:sz w:val="21"/>
          <w:szCs w:val="21"/>
          <w:u w:val="single"/>
          <w:shd w:val="clear" w:color="auto" w:fill="FFFFFF"/>
        </w:rPr>
        <w:t>违反本条规定的，相关投标均无效。</w:t>
      </w:r>
    </w:p>
    <w:p w14:paraId="44560790">
      <w:pPr>
        <w:pStyle w:val="23"/>
        <w:widowControl w:val="0"/>
        <w:tabs>
          <w:tab w:val="left" w:pos="0"/>
        </w:tabs>
        <w:snapToGrid w:val="0"/>
        <w:spacing w:before="0" w:beforeAutospacing="0" w:after="0" w:afterAutospacing="0" w:line="360" w:lineRule="auto"/>
        <w:ind w:firstLine="480" w:firstLineChars="200"/>
        <w:jc w:val="both"/>
        <w:rPr>
          <w:rFonts w:hint="default" w:cs="宋体"/>
          <w:color w:val="auto"/>
        </w:rPr>
      </w:pPr>
      <w:r>
        <w:rPr>
          <w:rFonts w:cs="宋体"/>
          <w:color w:val="auto"/>
          <w:kern w:val="2"/>
        </w:rPr>
        <w:t>2、</w:t>
      </w:r>
      <w:r>
        <w:rPr>
          <w:rFonts w:hint="eastAsia" w:ascii="宋体" w:hAnsi="宋体" w:eastAsia="宋体" w:cs="宋体"/>
          <w:color w:val="auto"/>
          <w:sz w:val="24"/>
          <w:highlight w:val="none"/>
        </w:rPr>
        <w:t>供应商磋商</w:t>
      </w:r>
      <w:r>
        <w:rPr>
          <w:rFonts w:cs="宋体"/>
          <w:color w:val="auto"/>
          <w:kern w:val="2"/>
        </w:rPr>
        <w:t>所使用的资格、信誉、荣誉、业绩与企业认证必须为本法人所拥有。</w:t>
      </w:r>
      <w:r>
        <w:rPr>
          <w:rFonts w:hint="eastAsia" w:ascii="宋体" w:hAnsi="宋体" w:eastAsia="宋体" w:cs="宋体"/>
          <w:color w:val="auto"/>
          <w:sz w:val="24"/>
          <w:highlight w:val="none"/>
        </w:rPr>
        <w:t>供应商磋商</w:t>
      </w:r>
      <w:r>
        <w:rPr>
          <w:rFonts w:cs="宋体"/>
          <w:color w:val="auto"/>
          <w:kern w:val="2"/>
        </w:rPr>
        <w:t>所使用的采购项目实施人员必须为本法人员工。</w:t>
      </w:r>
      <w:r>
        <w:rPr>
          <w:rFonts w:hint="eastAsia" w:cs="宋体"/>
          <w:color w:val="auto"/>
          <w:kern w:val="2"/>
        </w:rPr>
        <w:t>▲其中涉及资格条件的如非本法人所拥有，则投标无效。</w:t>
      </w:r>
    </w:p>
    <w:p w14:paraId="7CE61817">
      <w:pPr>
        <w:pStyle w:val="23"/>
        <w:widowControl w:val="0"/>
        <w:snapToGrid w:val="0"/>
        <w:spacing w:before="0" w:beforeAutospacing="0" w:after="0" w:afterAutospacing="0" w:line="360" w:lineRule="auto"/>
        <w:ind w:firstLine="480" w:firstLineChars="200"/>
        <w:jc w:val="both"/>
        <w:rPr>
          <w:rFonts w:hint="default" w:cs="宋体"/>
          <w:color w:val="auto"/>
        </w:rPr>
      </w:pPr>
      <w:r>
        <w:rPr>
          <w:rFonts w:cs="宋体"/>
          <w:color w:val="auto"/>
          <w:kern w:val="2"/>
        </w:rPr>
        <w:t>4、</w:t>
      </w:r>
      <w:r>
        <w:rPr>
          <w:rFonts w:hint="eastAsia" w:cs="宋体"/>
          <w:color w:val="auto"/>
          <w:kern w:val="2"/>
          <w:lang w:val="en-US" w:eastAsia="zh-CN"/>
        </w:rPr>
        <w:t>供应商</w:t>
      </w:r>
      <w:r>
        <w:rPr>
          <w:rFonts w:cs="宋体"/>
          <w:color w:val="auto"/>
          <w:kern w:val="2"/>
        </w:rPr>
        <w:t>应仔细阅读招标文件的所有内容，按照</w:t>
      </w:r>
      <w:r>
        <w:rPr>
          <w:rFonts w:hint="eastAsia" w:cs="宋体"/>
          <w:color w:val="auto"/>
          <w:kern w:val="2"/>
          <w:lang w:val="en-US" w:eastAsia="zh-CN"/>
        </w:rPr>
        <w:t>磋商</w:t>
      </w:r>
      <w:r>
        <w:rPr>
          <w:rFonts w:cs="宋体"/>
          <w:color w:val="auto"/>
          <w:kern w:val="2"/>
        </w:rPr>
        <w:t>文件的要求提交</w:t>
      </w:r>
      <w:r>
        <w:rPr>
          <w:rFonts w:hint="eastAsia" w:cs="宋体"/>
          <w:color w:val="auto"/>
          <w:kern w:val="2"/>
          <w:lang w:val="en-US" w:eastAsia="zh-CN"/>
        </w:rPr>
        <w:t>磋商</w:t>
      </w:r>
      <w:r>
        <w:rPr>
          <w:rFonts w:cs="宋体"/>
          <w:color w:val="auto"/>
          <w:kern w:val="2"/>
        </w:rPr>
        <w:t>文件，并对所提供的全部资料的真实性承担法律责任。</w:t>
      </w:r>
    </w:p>
    <w:p w14:paraId="2D8CEA2E">
      <w:pPr>
        <w:pStyle w:val="36"/>
        <w:widowControl/>
        <w:snapToGrid w:val="0"/>
        <w:spacing w:line="360" w:lineRule="auto"/>
        <w:ind w:firstLineChars="0"/>
        <w:rPr>
          <w:rFonts w:ascii="宋体" w:hAnsi="宋体" w:cs="宋体"/>
          <w:color w:val="auto"/>
          <w:sz w:val="24"/>
          <w:szCs w:val="24"/>
        </w:rPr>
      </w:pPr>
      <w:r>
        <w:rPr>
          <w:rFonts w:cs="宋体"/>
          <w:color w:val="auto"/>
        </w:rPr>
        <w:t>▲</w:t>
      </w:r>
      <w:r>
        <w:rPr>
          <w:rFonts w:hint="eastAsia" w:ascii="宋体" w:hAnsi="宋体" w:cs="宋体"/>
          <w:color w:val="auto"/>
          <w:sz w:val="24"/>
          <w:szCs w:val="24"/>
        </w:rPr>
        <w:t>5、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5C24508">
      <w:pPr>
        <w:pStyle w:val="23"/>
        <w:widowControl w:val="0"/>
        <w:snapToGrid w:val="0"/>
        <w:spacing w:before="0" w:beforeAutospacing="0" w:after="0" w:afterAutospacing="0" w:line="360" w:lineRule="auto"/>
        <w:ind w:firstLine="480" w:firstLineChars="200"/>
        <w:jc w:val="both"/>
        <w:rPr>
          <w:rFonts w:hint="default" w:cs="宋体"/>
          <w:color w:val="auto"/>
        </w:rPr>
      </w:pPr>
      <w:r>
        <w:rPr>
          <w:rFonts w:cs="宋体"/>
          <w:color w:val="auto"/>
        </w:rPr>
        <w:t>▲</w:t>
      </w:r>
      <w:r>
        <w:rPr>
          <w:rFonts w:cs="宋体"/>
          <w:color w:val="auto"/>
          <w:kern w:val="2"/>
        </w:rPr>
        <w:t>6、</w:t>
      </w:r>
      <w:r>
        <w:rPr>
          <w:rFonts w:hint="eastAsia" w:cs="宋体"/>
          <w:color w:val="auto"/>
          <w:kern w:val="2"/>
          <w:lang w:val="en-US" w:eastAsia="zh-CN"/>
        </w:rPr>
        <w:t>供应商</w:t>
      </w:r>
      <w:r>
        <w:rPr>
          <w:rFonts w:cs="宋体"/>
          <w:color w:val="auto"/>
          <w:kern w:val="2"/>
        </w:rPr>
        <w:t>被列入“黑名单”的，采购组织单位将根据《浙江省政府采购供应商注册及诚信管理暂行办法》第四十六条之规定，在处罚有效期内，资格审查时不予通过。</w:t>
      </w:r>
    </w:p>
    <w:p w14:paraId="26A7277F">
      <w:pPr>
        <w:pStyle w:val="23"/>
        <w:widowControl w:val="0"/>
        <w:snapToGrid w:val="0"/>
        <w:spacing w:before="0" w:beforeAutospacing="0" w:after="0" w:afterAutospacing="0" w:line="360" w:lineRule="auto"/>
        <w:ind w:firstLine="480" w:firstLineChars="200"/>
        <w:jc w:val="both"/>
        <w:rPr>
          <w:rFonts w:hint="default" w:cs="宋体"/>
          <w:color w:val="auto"/>
          <w:kern w:val="2"/>
        </w:rPr>
      </w:pPr>
      <w:r>
        <w:rPr>
          <w:rFonts w:cs="宋体"/>
          <w:color w:val="auto"/>
        </w:rPr>
        <w:t>▲</w:t>
      </w:r>
      <w:r>
        <w:rPr>
          <w:rFonts w:cs="宋体"/>
          <w:color w:val="auto"/>
          <w:kern w:val="2"/>
        </w:rPr>
        <w:t>7、对列入失信被执行人、重大税收违法案件当事人名单、政府采购严重违法失信行为记录名单及其他不符合《中华人民共和国政府采购法》第二十二条规定条件的供应商，将被拒绝其参与政府采购活动，其投标文件作无效标处理。</w:t>
      </w:r>
    </w:p>
    <w:p w14:paraId="311525E1">
      <w:pPr>
        <w:pStyle w:val="23"/>
        <w:widowControl w:val="0"/>
        <w:snapToGrid w:val="0"/>
        <w:spacing w:before="0" w:beforeAutospacing="0" w:after="0" w:afterAutospacing="0" w:line="360" w:lineRule="auto"/>
        <w:ind w:firstLine="480" w:firstLineChars="200"/>
        <w:jc w:val="both"/>
        <w:rPr>
          <w:rFonts w:hint="eastAsia" w:eastAsia="宋体" w:cs="宋体"/>
          <w:color w:val="auto"/>
          <w:lang w:eastAsia="zh-CN"/>
        </w:rPr>
      </w:pPr>
      <w:r>
        <w:rPr>
          <w:rFonts w:cs="宋体"/>
          <w:color w:val="auto"/>
        </w:rPr>
        <w:t>▲</w:t>
      </w:r>
      <w:r>
        <w:rPr>
          <w:rFonts w:cs="宋体"/>
          <w:color w:val="auto"/>
          <w:kern w:val="2"/>
        </w:rPr>
        <w:t>8、</w:t>
      </w:r>
      <w:r>
        <w:rPr>
          <w:rFonts w:cs="宋体"/>
          <w:color w:val="auto"/>
        </w:rPr>
        <w:t>电子交易平台运营机构，以及与该机构有直接控股或者管理关系可能影响采购公正性的任何单位和个人，不得在该平台进行的政府采购项目电子交易中投标、响应和代理政府采购项目</w:t>
      </w:r>
      <w:r>
        <w:rPr>
          <w:rFonts w:hint="eastAsia" w:cs="宋体"/>
          <w:color w:val="auto"/>
          <w:lang w:eastAsia="zh-CN"/>
        </w:rPr>
        <w:t>。</w:t>
      </w:r>
    </w:p>
    <w:p w14:paraId="6B3D36D6">
      <w:pPr>
        <w:pStyle w:val="23"/>
        <w:widowControl w:val="0"/>
        <w:snapToGrid w:val="0"/>
        <w:spacing w:before="0" w:beforeAutospacing="0" w:after="0" w:afterAutospacing="0" w:line="360" w:lineRule="auto"/>
        <w:ind w:firstLine="480" w:firstLineChars="200"/>
        <w:jc w:val="both"/>
        <w:rPr>
          <w:rFonts w:hint="default" w:cs="宋体"/>
          <w:color w:val="auto"/>
        </w:rPr>
      </w:pPr>
      <w:r>
        <w:rPr>
          <w:rFonts w:cs="宋体"/>
          <w:color w:val="auto"/>
        </w:rPr>
        <w:t>9、</w:t>
      </w:r>
      <w:r>
        <w:rPr>
          <w:rFonts w:hint="eastAsia" w:cs="宋体"/>
          <w:color w:val="auto"/>
          <w:lang w:val="en-US" w:eastAsia="zh-CN"/>
        </w:rPr>
        <w:t>磋商</w:t>
      </w:r>
      <w:r>
        <w:rPr>
          <w:rFonts w:cs="宋体"/>
          <w:color w:val="auto"/>
        </w:rPr>
        <w:t>文件中指出的工艺、材料、设备、服务等标准以及推荐、参照的品牌或型号仅起说明作用（除实质性必须响应的除外），并没有任何限制性。</w:t>
      </w:r>
      <w:r>
        <w:rPr>
          <w:rFonts w:hint="eastAsia" w:cs="宋体"/>
          <w:color w:val="auto"/>
          <w:lang w:val="en-US" w:eastAsia="zh-CN"/>
        </w:rPr>
        <w:t>供应商</w:t>
      </w:r>
      <w:r>
        <w:rPr>
          <w:rFonts w:cs="宋体"/>
          <w:color w:val="auto"/>
        </w:rPr>
        <w:t>在</w:t>
      </w:r>
      <w:r>
        <w:rPr>
          <w:rFonts w:hint="eastAsia" w:cs="宋体"/>
          <w:color w:val="auto"/>
          <w:lang w:val="en-US" w:eastAsia="zh-CN"/>
        </w:rPr>
        <w:t>磋商</w:t>
      </w:r>
      <w:r>
        <w:rPr>
          <w:rFonts w:cs="宋体"/>
          <w:color w:val="auto"/>
        </w:rPr>
        <w:t>中可以选用替代标准、品牌或型号，但这些替代要实质上满足或超过招标文件的要求。</w:t>
      </w:r>
    </w:p>
    <w:p w14:paraId="756A63EA">
      <w:pPr>
        <w:pStyle w:val="23"/>
        <w:widowControl w:val="0"/>
        <w:snapToGrid w:val="0"/>
        <w:spacing w:before="0" w:beforeAutospacing="0" w:after="0" w:afterAutospacing="0" w:line="360" w:lineRule="auto"/>
        <w:ind w:firstLine="480" w:firstLineChars="200"/>
        <w:jc w:val="both"/>
        <w:rPr>
          <w:rFonts w:hint="default" w:cs="宋体"/>
          <w:color w:val="auto"/>
        </w:rPr>
      </w:pPr>
      <w:r>
        <w:rPr>
          <w:rFonts w:hint="default" w:cs="宋体"/>
          <w:color w:val="auto"/>
        </w:rPr>
        <w:t>10</w:t>
      </w:r>
      <w:r>
        <w:rPr>
          <w:rFonts w:cs="宋体"/>
          <w:color w:val="auto"/>
        </w:rPr>
        <w:t>、供应商在参与政府采购活动中所签署的一切文件，包括但不限于签到表、《政府采购活动现场确认声明书》等文件，特别是有关利害关系应如实填写、如实披露，供应商授权参与政府采购的人员视为应当知道与采购人、代理机构、其他供应商之间的利害关系。如未如实披露，则视为提供虚假材料，由供应商承担不利后果。</w:t>
      </w:r>
    </w:p>
    <w:p w14:paraId="4CA79C06">
      <w:pPr>
        <w:pStyle w:val="23"/>
        <w:widowControl w:val="0"/>
        <w:snapToGrid w:val="0"/>
        <w:spacing w:before="0" w:beforeAutospacing="0" w:after="0" w:afterAutospacing="0" w:line="360" w:lineRule="auto"/>
        <w:ind w:firstLine="480" w:firstLineChars="200"/>
        <w:jc w:val="both"/>
        <w:rPr>
          <w:rFonts w:hint="default" w:cs="宋体"/>
          <w:b/>
          <w:color w:val="auto"/>
        </w:rPr>
      </w:pPr>
      <w:r>
        <w:rPr>
          <w:rFonts w:cs="宋体"/>
          <w:color w:val="auto"/>
        </w:rPr>
        <w:t>▲1</w:t>
      </w:r>
      <w:r>
        <w:rPr>
          <w:rFonts w:hint="default" w:cs="宋体"/>
          <w:color w:val="auto"/>
        </w:rPr>
        <w:t>1</w:t>
      </w:r>
      <w:r>
        <w:rPr>
          <w:rFonts w:cs="宋体"/>
          <w:color w:val="auto"/>
        </w:rPr>
        <w:t>、本项目【</w:t>
      </w:r>
      <w:r>
        <w:rPr>
          <w:rFonts w:hint="eastAsia" w:cs="宋体"/>
          <w:color w:val="auto"/>
          <w:lang w:val="en-US" w:eastAsia="zh-CN"/>
        </w:rPr>
        <w:t>否</w:t>
      </w:r>
      <w:r>
        <w:rPr>
          <w:rFonts w:cs="宋体"/>
          <w:color w:val="auto"/>
        </w:rPr>
        <w:t>】允许</w:t>
      </w:r>
      <w:r>
        <w:rPr>
          <w:rFonts w:hint="eastAsia" w:cs="宋体"/>
          <w:color w:val="auto"/>
          <w:lang w:val="en-US" w:eastAsia="zh-CN"/>
        </w:rPr>
        <w:t>转包、</w:t>
      </w:r>
      <w:r>
        <w:rPr>
          <w:rFonts w:cs="宋体"/>
          <w:color w:val="auto"/>
        </w:rPr>
        <w:t>分包。</w:t>
      </w:r>
    </w:p>
    <w:p w14:paraId="262B939D">
      <w:pPr>
        <w:shd w:val="clear" w:color="auto" w:fill="FFFFFF"/>
        <w:jc w:val="left"/>
        <w:textAlignment w:val="bottom"/>
        <w:rPr>
          <w:rFonts w:ascii="宋体"/>
          <w:b/>
          <w:color w:val="auto"/>
          <w:kern w:val="0"/>
          <w:sz w:val="24"/>
        </w:rPr>
      </w:pPr>
      <w:r>
        <w:rPr>
          <w:rFonts w:hint="eastAsia" w:ascii="宋体"/>
          <w:b/>
          <w:color w:val="auto"/>
          <w:kern w:val="0"/>
          <w:sz w:val="24"/>
        </w:rPr>
        <w:t>二、</w:t>
      </w:r>
      <w:r>
        <w:rPr>
          <w:rFonts w:hint="eastAsia" w:ascii="宋体"/>
          <w:b/>
          <w:color w:val="auto"/>
          <w:kern w:val="0"/>
          <w:sz w:val="24"/>
          <w:lang w:val="en-US" w:eastAsia="zh-CN"/>
        </w:rPr>
        <w:t>磋商响应</w:t>
      </w:r>
      <w:r>
        <w:rPr>
          <w:rFonts w:hint="eastAsia" w:ascii="宋体"/>
          <w:b/>
          <w:color w:val="auto"/>
          <w:kern w:val="0"/>
          <w:sz w:val="24"/>
        </w:rPr>
        <w:t>文件</w:t>
      </w:r>
    </w:p>
    <w:p w14:paraId="14AE2030">
      <w:pPr>
        <w:shd w:val="clear" w:color="auto" w:fill="FFFFFF"/>
        <w:ind w:firstLine="482" w:firstLineChars="200"/>
        <w:jc w:val="left"/>
        <w:textAlignment w:val="bottom"/>
        <w:rPr>
          <w:rFonts w:ascii="宋体"/>
          <w:b/>
          <w:color w:val="auto"/>
          <w:kern w:val="0"/>
          <w:sz w:val="24"/>
        </w:rPr>
      </w:pPr>
      <w:r>
        <w:rPr>
          <w:rFonts w:hint="eastAsia" w:ascii="宋体"/>
          <w:b/>
          <w:color w:val="auto"/>
          <w:kern w:val="0"/>
          <w:sz w:val="24"/>
        </w:rPr>
        <w:t>（一）</w:t>
      </w:r>
      <w:r>
        <w:rPr>
          <w:rFonts w:hint="eastAsia" w:ascii="宋体"/>
          <w:b/>
          <w:color w:val="auto"/>
          <w:kern w:val="0"/>
          <w:sz w:val="24"/>
          <w:lang w:val="en-US" w:eastAsia="zh-CN"/>
        </w:rPr>
        <w:t>磋商</w:t>
      </w:r>
      <w:r>
        <w:rPr>
          <w:rFonts w:hint="eastAsia" w:ascii="宋体"/>
          <w:b/>
          <w:color w:val="auto"/>
          <w:kern w:val="0"/>
          <w:sz w:val="24"/>
        </w:rPr>
        <w:t>文件的组成</w:t>
      </w:r>
    </w:p>
    <w:p w14:paraId="4B4ED464">
      <w:pPr>
        <w:pStyle w:val="23"/>
        <w:widowControl w:val="0"/>
        <w:snapToGrid w:val="0"/>
        <w:spacing w:before="0" w:beforeAutospacing="0" w:after="0" w:afterAutospacing="0" w:line="360" w:lineRule="auto"/>
        <w:ind w:firstLine="480" w:firstLineChars="200"/>
        <w:jc w:val="both"/>
        <w:rPr>
          <w:rFonts w:hint="default" w:cs="宋体"/>
          <w:color w:val="auto"/>
          <w:kern w:val="2"/>
          <w:lang w:val="zh-CN"/>
        </w:rPr>
      </w:pPr>
      <w:r>
        <w:rPr>
          <w:rFonts w:cs="宋体"/>
          <w:color w:val="auto"/>
          <w:kern w:val="2"/>
        </w:rPr>
        <w:t>供应商应仔细阅读采购文件的所有内容，按采购文件的要求，详细编制投标文件。</w:t>
      </w:r>
    </w:p>
    <w:p w14:paraId="23261767">
      <w:pPr>
        <w:shd w:val="clear" w:color="auto" w:fill="FFFFFF"/>
        <w:ind w:firstLine="420" w:firstLineChars="200"/>
        <w:jc w:val="left"/>
        <w:textAlignment w:val="bottom"/>
        <w:rPr>
          <w:rFonts w:ascii="宋体"/>
          <w:b/>
          <w:color w:val="auto"/>
          <w:kern w:val="0"/>
          <w:sz w:val="24"/>
        </w:rPr>
      </w:pPr>
      <w:r>
        <w:rPr>
          <w:rFonts w:cs="宋体"/>
          <w:color w:val="auto"/>
        </w:rPr>
        <w:t>▲</w:t>
      </w:r>
      <w:r>
        <w:rPr>
          <w:rFonts w:hint="eastAsia" w:ascii="宋体"/>
          <w:b/>
          <w:color w:val="auto"/>
          <w:kern w:val="0"/>
          <w:sz w:val="24"/>
        </w:rPr>
        <w:t>1、资格证明内容的组成：</w:t>
      </w:r>
    </w:p>
    <w:p w14:paraId="2137D10A">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（1）</w:t>
      </w:r>
      <w:r>
        <w:rPr>
          <w:rFonts w:hint="eastAsia" w:ascii="宋体" w:hAnsi="宋体"/>
          <w:color w:val="auto"/>
          <w:sz w:val="24"/>
        </w:rPr>
        <w:t>投标</w:t>
      </w:r>
      <w:r>
        <w:rPr>
          <w:rFonts w:hint="eastAsia" w:ascii="宋体" w:hAnsi="宋体"/>
          <w:color w:val="auto"/>
          <w:sz w:val="24"/>
          <w:lang w:val="zh-CN"/>
        </w:rPr>
        <w:t>声明书（格式见附件）；</w:t>
      </w:r>
    </w:p>
    <w:p w14:paraId="2086168B">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w:t>
      </w:r>
      <w:r>
        <w:rPr>
          <w:rFonts w:hint="eastAsia" w:ascii="宋体" w:hAnsi="宋体"/>
          <w:color w:val="auto"/>
          <w:sz w:val="24"/>
        </w:rPr>
        <w:t>2</w:t>
      </w:r>
      <w:r>
        <w:rPr>
          <w:rFonts w:hint="eastAsia" w:ascii="宋体" w:hAnsi="宋体"/>
          <w:color w:val="auto"/>
          <w:sz w:val="24"/>
          <w:lang w:val="zh-CN"/>
        </w:rPr>
        <w:t>）法定代表人授权书（格式见附件）（如法定代表人亲自参加的，无需提供）；</w:t>
      </w:r>
    </w:p>
    <w:p w14:paraId="70DA4DB0">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w:t>
      </w:r>
      <w:r>
        <w:rPr>
          <w:rFonts w:hint="eastAsia" w:ascii="宋体" w:hAnsi="宋体"/>
          <w:color w:val="auto"/>
          <w:sz w:val="24"/>
        </w:rPr>
        <w:t>3</w:t>
      </w:r>
      <w:r>
        <w:rPr>
          <w:rFonts w:hint="eastAsia" w:ascii="宋体" w:hAnsi="宋体"/>
          <w:color w:val="auto"/>
          <w:sz w:val="24"/>
          <w:lang w:val="zh-CN"/>
        </w:rPr>
        <w:t>）</w:t>
      </w:r>
      <w:r>
        <w:rPr>
          <w:rFonts w:hint="eastAsia" w:ascii="宋体" w:hAnsi="宋体" w:eastAsia="宋体" w:cs="Times New Roman"/>
          <w:color w:val="auto"/>
          <w:sz w:val="24"/>
          <w:lang w:val="zh-CN"/>
        </w:rPr>
        <w:t>法人或者其他组织的营业执照等证明文件，自然人的身份证明</w:t>
      </w:r>
      <w:r>
        <w:rPr>
          <w:rFonts w:hint="eastAsia" w:ascii="宋体" w:hAnsi="宋体"/>
          <w:color w:val="auto"/>
          <w:sz w:val="24"/>
          <w:lang w:val="zh-CN"/>
        </w:rPr>
        <w:t>，复印件加盖公章；</w:t>
      </w:r>
    </w:p>
    <w:p w14:paraId="7A9935F8">
      <w:p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sz w:val="24"/>
        </w:rPr>
        <w:t>（4）</w:t>
      </w:r>
      <w:r>
        <w:rPr>
          <w:rFonts w:hint="eastAsia" w:ascii="宋体" w:hAnsi="宋体"/>
          <w:color w:val="auto"/>
          <w:kern w:val="0"/>
          <w:sz w:val="24"/>
        </w:rPr>
        <w:t>中小企业等声明函等政府采购优惠政策适用材料</w:t>
      </w:r>
      <w:r>
        <w:rPr>
          <w:rFonts w:hint="eastAsia" w:ascii="宋体" w:hAnsi="宋体"/>
          <w:color w:val="auto"/>
          <w:sz w:val="24"/>
        </w:rPr>
        <w:t>（详见格式附件）；</w:t>
      </w:r>
    </w:p>
    <w:p w14:paraId="0801C047">
      <w:pPr>
        <w:snapToGrid w:val="0"/>
        <w:spacing w:line="360" w:lineRule="auto"/>
        <w:ind w:firstLine="480" w:firstLineChars="200"/>
        <w:jc w:val="left"/>
        <w:rPr>
          <w:rFonts w:hint="eastAsia" w:ascii="宋体" w:hAnsi="宋体" w:cs="宋体"/>
          <w:color w:val="auto"/>
          <w:sz w:val="24"/>
          <w:lang w:bidi="ar"/>
        </w:rPr>
      </w:pPr>
      <w:r>
        <w:rPr>
          <w:rFonts w:hint="eastAsia" w:ascii="宋体" w:hAnsi="宋体"/>
          <w:color w:val="auto"/>
          <w:sz w:val="24"/>
        </w:rPr>
        <w:t>（5）</w:t>
      </w:r>
      <w:r>
        <w:rPr>
          <w:rFonts w:hint="eastAsia" w:ascii="宋体" w:hAnsi="宋体" w:cs="Arial"/>
          <w:color w:val="auto"/>
          <w:sz w:val="24"/>
        </w:rPr>
        <w:t>符合参与政府采购活动的资格条件、具备良好的商业信誉和健全的财务会计制度并且没有税收缴纳、社会保障等方面的失信记录的承诺函</w:t>
      </w:r>
      <w:r>
        <w:rPr>
          <w:rFonts w:hint="eastAsia" w:ascii="宋体" w:hAnsi="宋体" w:cs="宋体"/>
          <w:color w:val="auto"/>
          <w:sz w:val="24"/>
          <w:lang w:bidi="ar"/>
        </w:rPr>
        <w:t>；</w:t>
      </w:r>
    </w:p>
    <w:p w14:paraId="1A46FEF7">
      <w:pPr>
        <w:snapToGrid w:val="0"/>
        <w:spacing w:line="360" w:lineRule="auto"/>
        <w:ind w:firstLine="480" w:firstLineChars="200"/>
        <w:jc w:val="left"/>
        <w:rPr>
          <w:rFonts w:ascii="宋体" w:hAnsi="宋体"/>
          <w:color w:val="auto"/>
          <w:sz w:val="24"/>
        </w:rPr>
      </w:pPr>
      <w:r>
        <w:rPr>
          <w:rFonts w:hint="eastAsia" w:ascii="宋体" w:hAnsi="宋体"/>
          <w:color w:val="auto"/>
          <w:sz w:val="24"/>
        </w:rPr>
        <w:t>（</w:t>
      </w:r>
      <w:r>
        <w:rPr>
          <w:rFonts w:hint="eastAsia" w:ascii="宋体" w:hAnsi="宋体"/>
          <w:color w:val="auto"/>
          <w:sz w:val="24"/>
          <w:lang w:val="en-US" w:eastAsia="zh-CN"/>
        </w:rPr>
        <w:t>6</w:t>
      </w:r>
      <w:r>
        <w:rPr>
          <w:rFonts w:hint="eastAsia" w:ascii="宋体" w:hAnsi="宋体"/>
          <w:color w:val="auto"/>
          <w:sz w:val="24"/>
        </w:rPr>
        <w:t>）需要说明的其他资料。</w:t>
      </w:r>
    </w:p>
    <w:p w14:paraId="685ABC4E">
      <w:pPr>
        <w:snapToGrid w:val="0"/>
        <w:spacing w:line="360" w:lineRule="auto"/>
        <w:ind w:firstLine="482" w:firstLineChars="200"/>
        <w:rPr>
          <w:rFonts w:ascii="宋体" w:hAnsi="宋体"/>
          <w:b/>
          <w:color w:val="auto"/>
          <w:sz w:val="24"/>
        </w:rPr>
      </w:pPr>
      <w:r>
        <w:rPr>
          <w:rFonts w:hint="eastAsia" w:ascii="宋体" w:hAnsi="宋体"/>
          <w:b/>
          <w:color w:val="auto"/>
          <w:sz w:val="24"/>
        </w:rPr>
        <w:t>2、商务与技术内容的组成：</w:t>
      </w:r>
    </w:p>
    <w:p w14:paraId="494D3A41">
      <w:pPr>
        <w:numPr>
          <w:ilvl w:val="0"/>
          <w:numId w:val="3"/>
        </w:numPr>
        <w:snapToGrid w:val="0"/>
        <w:spacing w:line="360" w:lineRule="auto"/>
        <w:ind w:firstLine="480" w:firstLineChars="200"/>
        <w:jc w:val="left"/>
        <w:rPr>
          <w:color w:val="auto"/>
          <w:lang w:val="zh-CN"/>
        </w:rPr>
      </w:pPr>
      <w:r>
        <w:rPr>
          <w:rFonts w:hint="eastAsia" w:ascii="宋体" w:hAnsi="宋体"/>
          <w:color w:val="auto"/>
          <w:sz w:val="24"/>
          <w:lang w:val="zh-CN"/>
        </w:rPr>
        <w:t>各投标人根据自身对本项目的解读，按照本招标文件第四章“评标办法及评分标准”中商务技术标的打分内容，并结合第二章“招标需求”，由各投标人自行编制商务技术标；</w:t>
      </w:r>
    </w:p>
    <w:p w14:paraId="0644492A">
      <w:pPr>
        <w:numPr>
          <w:ilvl w:val="0"/>
          <w:numId w:val="3"/>
        </w:num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供应商基本情况表；</w:t>
      </w:r>
    </w:p>
    <w:p w14:paraId="33CC7134">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w:t>
      </w:r>
      <w:r>
        <w:rPr>
          <w:rFonts w:hint="eastAsia" w:ascii="宋体" w:hAnsi="宋体"/>
          <w:color w:val="auto"/>
          <w:sz w:val="24"/>
        </w:rPr>
        <w:t>3</w:t>
      </w:r>
      <w:r>
        <w:rPr>
          <w:rFonts w:hint="eastAsia" w:ascii="宋体" w:hAnsi="宋体"/>
          <w:color w:val="auto"/>
          <w:sz w:val="24"/>
          <w:lang w:val="zh-CN"/>
        </w:rPr>
        <w:t>）需求响应表（格式见附件）</w:t>
      </w:r>
      <w:r>
        <w:rPr>
          <w:rFonts w:hint="eastAsia" w:ascii="宋体" w:hAnsi="宋体"/>
          <w:color w:val="auto"/>
          <w:sz w:val="24"/>
        </w:rPr>
        <w:t>；</w:t>
      </w:r>
    </w:p>
    <w:p w14:paraId="3B68807D">
      <w:pPr>
        <w:numPr>
          <w:ilvl w:val="0"/>
          <w:numId w:val="0"/>
        </w:numPr>
        <w:snapToGrid w:val="0"/>
        <w:spacing w:line="360" w:lineRule="auto"/>
        <w:ind w:firstLine="480" w:firstLineChars="200"/>
        <w:jc w:val="left"/>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（4）</w:t>
      </w:r>
      <w:r>
        <w:rPr>
          <w:rFonts w:hint="eastAsia" w:ascii="宋体" w:hAnsi="宋体" w:eastAsia="宋体" w:cs="Times New Roman"/>
          <w:color w:val="auto"/>
          <w:sz w:val="24"/>
          <w:lang w:val="en-US" w:eastAsia="zh-CN"/>
        </w:rPr>
        <w:t>投标人</w:t>
      </w:r>
      <w:r>
        <w:rPr>
          <w:rFonts w:hint="eastAsia" w:ascii="宋体" w:hAnsi="宋体" w:eastAsia="宋体" w:cs="Times New Roman"/>
          <w:color w:val="auto"/>
          <w:sz w:val="24"/>
          <w:lang w:val="zh-CN"/>
        </w:rPr>
        <w:t>通过的质量管理和质量保证体系、环保体系、自主创新相关证书、软件著作权证等与本项目相关的认证证书或文件；</w:t>
      </w:r>
    </w:p>
    <w:p w14:paraId="2068C022">
      <w:pPr>
        <w:numPr>
          <w:ilvl w:val="0"/>
          <w:numId w:val="0"/>
        </w:numPr>
        <w:snapToGrid w:val="0"/>
        <w:spacing w:line="360" w:lineRule="auto"/>
        <w:ind w:firstLine="480" w:firstLineChars="200"/>
        <w:jc w:val="left"/>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（5）类似项目的成功案例（投标人类似项目实施情况一览表、合同复印件及其相应的发票等</w:t>
      </w:r>
      <w:r>
        <w:rPr>
          <w:rFonts w:hint="eastAsia" w:ascii="宋体" w:hAnsi="宋体" w:eastAsia="宋体" w:cs="Times New Roman"/>
          <w:color w:val="auto"/>
          <w:sz w:val="24"/>
          <w:lang w:val="zh-CN" w:eastAsia="zh-CN"/>
        </w:rPr>
        <w:t>）</w:t>
      </w:r>
      <w:r>
        <w:rPr>
          <w:rFonts w:hint="eastAsia" w:ascii="宋体" w:hAnsi="宋体" w:eastAsia="宋体" w:cs="Times New Roman"/>
          <w:color w:val="auto"/>
          <w:sz w:val="24"/>
          <w:lang w:val="zh-CN"/>
        </w:rPr>
        <w:t>；</w:t>
      </w:r>
    </w:p>
    <w:p w14:paraId="3D160C8A">
      <w:pPr>
        <w:numPr>
          <w:ilvl w:val="0"/>
          <w:numId w:val="0"/>
        </w:numPr>
        <w:snapToGrid w:val="0"/>
        <w:spacing w:line="360" w:lineRule="auto"/>
        <w:ind w:firstLine="480" w:firstLineChars="200"/>
        <w:jc w:val="left"/>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（6）投标人认为需要提供的其他资料（包括可能影响投标人商务与技术文件评分的各类证明材料）。</w:t>
      </w:r>
    </w:p>
    <w:p w14:paraId="36DD9316">
      <w:pPr>
        <w:numPr>
          <w:ilvl w:val="0"/>
          <w:numId w:val="0"/>
        </w:numPr>
        <w:snapToGrid w:val="0"/>
        <w:spacing w:line="360" w:lineRule="auto"/>
        <w:ind w:firstLine="480" w:firstLineChars="200"/>
        <w:jc w:val="left"/>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（7）售后服务描述及承诺：</w:t>
      </w:r>
    </w:p>
    <w:p w14:paraId="5F24B8AA">
      <w:pPr>
        <w:numPr>
          <w:ilvl w:val="0"/>
          <w:numId w:val="0"/>
        </w:numPr>
        <w:snapToGrid w:val="0"/>
        <w:spacing w:line="360" w:lineRule="auto"/>
        <w:jc w:val="left"/>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A.距采购人最近的服务网点详细介绍（包括地理位置、资质资格、技术力量、工作业绩、服务内容及联系电话等）。</w:t>
      </w:r>
    </w:p>
    <w:p w14:paraId="1E4BC13B">
      <w:pPr>
        <w:numPr>
          <w:ilvl w:val="0"/>
          <w:numId w:val="0"/>
        </w:numPr>
        <w:snapToGrid w:val="0"/>
        <w:spacing w:line="360" w:lineRule="auto"/>
        <w:jc w:val="left"/>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B.针对本项目的售后服务措施及承诺（售后技术服务方案、人员配备、</w:t>
      </w:r>
      <w:r>
        <w:rPr>
          <w:rFonts w:hint="eastAsia" w:ascii="宋体" w:hAnsi="宋体" w:eastAsia="宋体" w:cs="Times New Roman"/>
          <w:color w:val="auto"/>
          <w:sz w:val="24"/>
          <w:lang w:val="en-US" w:eastAsia="zh-CN"/>
        </w:rPr>
        <w:t>服务</w:t>
      </w:r>
      <w:r>
        <w:rPr>
          <w:rFonts w:hint="eastAsia" w:ascii="宋体" w:hAnsi="宋体" w:eastAsia="宋体" w:cs="Times New Roman"/>
          <w:color w:val="auto"/>
          <w:sz w:val="24"/>
          <w:lang w:val="zh-CN"/>
        </w:rPr>
        <w:t>响应时间、技术培训方案等）。以上所有要求提供的相关证明材料均需按评标办法要求提供。</w:t>
      </w:r>
    </w:p>
    <w:p w14:paraId="08FA4E11">
      <w:pPr>
        <w:numPr>
          <w:ilvl w:val="0"/>
          <w:numId w:val="0"/>
        </w:numPr>
        <w:snapToGrid w:val="0"/>
        <w:spacing w:line="360" w:lineRule="auto"/>
        <w:jc w:val="left"/>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w:t>
      </w:r>
      <w:r>
        <w:rPr>
          <w:rFonts w:hint="eastAsia" w:ascii="宋体" w:hAnsi="宋体" w:eastAsia="宋体" w:cs="Times New Roman"/>
          <w:color w:val="auto"/>
          <w:sz w:val="24"/>
          <w:lang w:val="en-US" w:eastAsia="zh-CN"/>
        </w:rPr>
        <w:t>8</w:t>
      </w:r>
      <w:r>
        <w:rPr>
          <w:rFonts w:hint="eastAsia" w:ascii="宋体" w:hAnsi="宋体" w:eastAsia="宋体" w:cs="Times New Roman"/>
          <w:color w:val="auto"/>
          <w:sz w:val="24"/>
          <w:lang w:val="zh-CN"/>
        </w:rPr>
        <w:t>）商务技术响应文件内容缺项的，根据评标办法规定，该项得0分。</w:t>
      </w:r>
    </w:p>
    <w:p w14:paraId="6BDC2B6F">
      <w:pPr>
        <w:snapToGrid w:val="0"/>
        <w:spacing w:line="360" w:lineRule="auto"/>
        <w:ind w:firstLine="482" w:firstLineChars="200"/>
        <w:rPr>
          <w:rFonts w:ascii="宋体" w:hAnsi="宋体"/>
          <w:b/>
          <w:color w:val="auto"/>
          <w:sz w:val="24"/>
        </w:rPr>
      </w:pPr>
      <w:r>
        <w:rPr>
          <w:rFonts w:hint="eastAsia" w:ascii="宋体" w:hAnsi="宋体"/>
          <w:b/>
          <w:color w:val="auto"/>
          <w:sz w:val="24"/>
        </w:rPr>
        <w:t>3、报价内容的组成</w:t>
      </w:r>
    </w:p>
    <w:p w14:paraId="251A2C5B">
      <w:pPr>
        <w:snapToGrid w:val="0"/>
        <w:spacing w:line="360" w:lineRule="auto"/>
        <w:ind w:firstLine="480" w:firstLineChars="200"/>
        <w:jc w:val="left"/>
        <w:rPr>
          <w:rFonts w:hint="eastAsia" w:ascii="宋体" w:hAnsi="宋体"/>
          <w:color w:val="auto"/>
          <w:sz w:val="24"/>
          <w:lang w:val="zh-CN"/>
        </w:rPr>
      </w:pPr>
      <w:r>
        <w:rPr>
          <w:rFonts w:hint="eastAsia" w:ascii="宋体" w:hAnsi="宋体"/>
          <w:color w:val="auto"/>
          <w:sz w:val="24"/>
          <w:lang w:val="zh-CN"/>
        </w:rPr>
        <w:t>（1）</w:t>
      </w:r>
      <w:r>
        <w:rPr>
          <w:rFonts w:hint="eastAsia" w:asciiTheme="minorEastAsia" w:hAnsiTheme="minorEastAsia" w:eastAsiaTheme="minorEastAsia"/>
          <w:color w:val="auto"/>
          <w:kern w:val="0"/>
          <w:sz w:val="24"/>
          <w:lang w:val="en-US" w:eastAsia="zh-CN"/>
        </w:rPr>
        <w:t>首次</w:t>
      </w:r>
      <w:r>
        <w:rPr>
          <w:rFonts w:hint="eastAsia" w:asciiTheme="minorEastAsia" w:hAnsiTheme="minorEastAsia" w:eastAsiaTheme="minorEastAsia"/>
          <w:color w:val="auto"/>
          <w:kern w:val="0"/>
          <w:sz w:val="24"/>
        </w:rPr>
        <w:t>一览表</w:t>
      </w:r>
      <w:r>
        <w:rPr>
          <w:rFonts w:hint="eastAsia" w:ascii="宋体" w:hAnsi="宋体"/>
          <w:color w:val="auto"/>
          <w:sz w:val="24"/>
          <w:lang w:val="zh-CN"/>
        </w:rPr>
        <w:t>（格式见附件），以及供应商认为其他需要说明的内容组成。</w:t>
      </w:r>
    </w:p>
    <w:p w14:paraId="461E15E9">
      <w:pPr>
        <w:snapToGrid w:val="0"/>
        <w:spacing w:line="360" w:lineRule="auto"/>
        <w:ind w:firstLine="480" w:firstLineChars="200"/>
        <w:jc w:val="left"/>
        <w:rPr>
          <w:rFonts w:hint="eastAsia" w:cs="Times New Roman" w:asciiTheme="minorEastAsia" w:hAnsiTheme="minorEastAsia" w:eastAsiaTheme="minorEastAsia"/>
          <w:color w:val="auto"/>
          <w:kern w:val="0"/>
          <w:sz w:val="24"/>
          <w:lang w:val="en-US" w:eastAsia="zh-CN"/>
        </w:rPr>
      </w:pPr>
      <w:r>
        <w:rPr>
          <w:rFonts w:hint="eastAsia" w:cs="Times New Roman" w:asciiTheme="minorEastAsia" w:hAnsiTheme="minorEastAsia" w:eastAsiaTheme="minorEastAsia"/>
          <w:color w:val="auto"/>
          <w:kern w:val="0"/>
          <w:sz w:val="24"/>
          <w:lang w:val="en-US" w:eastAsia="zh-CN"/>
        </w:rPr>
        <w:t>（2）</w:t>
      </w:r>
      <w:r>
        <w:rPr>
          <w:rFonts w:cs="宋体"/>
          <w:color w:val="auto"/>
        </w:rPr>
        <w:t>▲</w:t>
      </w:r>
      <w:r>
        <w:rPr>
          <w:rFonts w:hint="eastAsia" w:cs="Times New Roman" w:asciiTheme="minorEastAsia" w:hAnsiTheme="minorEastAsia" w:eastAsiaTheme="minorEastAsia"/>
          <w:color w:val="auto"/>
          <w:kern w:val="0"/>
          <w:sz w:val="24"/>
          <w:lang w:val="en-US" w:eastAsia="zh-CN"/>
        </w:rPr>
        <w:t>此报价为投标人一次性报出唯一的最终价格，包含其它一切所要涉及到的费用，有条件、有选择的报价将被拒绝。</w:t>
      </w:r>
    </w:p>
    <w:p w14:paraId="2C779446">
      <w:pPr>
        <w:snapToGrid w:val="0"/>
        <w:spacing w:line="360" w:lineRule="auto"/>
        <w:ind w:firstLine="480" w:firstLineChars="200"/>
        <w:jc w:val="left"/>
        <w:rPr>
          <w:rFonts w:hint="eastAsia" w:cs="Times New Roman" w:asciiTheme="minorEastAsia" w:hAnsiTheme="minorEastAsia" w:eastAsiaTheme="minorEastAsia"/>
          <w:color w:val="auto"/>
          <w:kern w:val="0"/>
          <w:sz w:val="24"/>
          <w:lang w:val="en-US" w:eastAsia="zh-CN"/>
        </w:rPr>
      </w:pPr>
      <w:r>
        <w:rPr>
          <w:rFonts w:hint="eastAsia" w:cs="Times New Roman" w:asciiTheme="minorEastAsia" w:hAnsiTheme="minorEastAsia" w:eastAsiaTheme="minorEastAsia"/>
          <w:color w:val="auto"/>
          <w:kern w:val="0"/>
          <w:sz w:val="24"/>
          <w:lang w:val="en-US" w:eastAsia="zh-CN"/>
        </w:rPr>
        <w:t>（3）投标总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313AFE8C">
      <w:pPr>
        <w:snapToGrid w:val="0"/>
        <w:spacing w:line="360" w:lineRule="auto"/>
        <w:ind w:firstLine="480" w:firstLineChars="200"/>
        <w:jc w:val="left"/>
        <w:rPr>
          <w:rFonts w:hint="eastAsia" w:cs="Times New Roman" w:asciiTheme="minorEastAsia" w:hAnsiTheme="minorEastAsia" w:eastAsiaTheme="minorEastAsia"/>
          <w:color w:val="auto"/>
          <w:kern w:val="0"/>
          <w:sz w:val="24"/>
          <w:lang w:val="en-US" w:eastAsia="zh-CN"/>
        </w:rPr>
      </w:pPr>
      <w:r>
        <w:rPr>
          <w:rFonts w:hint="eastAsia" w:cs="Times New Roman" w:asciiTheme="minorEastAsia" w:hAnsiTheme="minorEastAsia" w:eastAsiaTheme="minorEastAsia"/>
          <w:color w:val="auto"/>
          <w:kern w:val="0"/>
          <w:sz w:val="24"/>
          <w:lang w:val="en-US" w:eastAsia="zh-CN"/>
        </w:rPr>
        <w:t>（4）政府采购优惠政策相关资料、产品适用政府采购政策情况表（如有）。</w:t>
      </w:r>
    </w:p>
    <w:p w14:paraId="1E582C4C">
      <w:pPr>
        <w:snapToGrid w:val="0"/>
        <w:spacing w:line="360" w:lineRule="auto"/>
        <w:ind w:firstLine="480" w:firstLineChars="200"/>
        <w:jc w:val="left"/>
        <w:rPr>
          <w:rFonts w:hint="eastAsia" w:cs="Times New Roman" w:asciiTheme="minorEastAsia" w:hAnsiTheme="minorEastAsia" w:eastAsiaTheme="minorEastAsia"/>
          <w:color w:val="auto"/>
          <w:kern w:val="0"/>
          <w:sz w:val="24"/>
          <w:lang w:val="en-US" w:eastAsia="zh-CN"/>
        </w:rPr>
      </w:pPr>
      <w:r>
        <w:rPr>
          <w:rFonts w:hint="eastAsia" w:cs="Times New Roman" w:asciiTheme="minorEastAsia" w:hAnsiTheme="minorEastAsia" w:eastAsiaTheme="minorEastAsia"/>
          <w:color w:val="auto"/>
          <w:kern w:val="0"/>
          <w:sz w:val="24"/>
          <w:lang w:val="en-US" w:eastAsia="zh-CN"/>
        </w:rPr>
        <w:t>（5）相关报价单需打印或用不退色的墨水填写， 投标报价单不得涂改和增删，如有错漏必须修改，修改处须由同一签署人签字或盖章。由于字迹模糊或表达不清引起的整体投标无效由投标人负责。</w:t>
      </w:r>
    </w:p>
    <w:p w14:paraId="7D4692E1">
      <w:pPr>
        <w:snapToGrid w:val="0"/>
        <w:spacing w:line="360" w:lineRule="auto"/>
        <w:ind w:firstLine="480" w:firstLineChars="200"/>
        <w:jc w:val="left"/>
        <w:rPr>
          <w:rFonts w:hint="eastAsia" w:cs="Times New Roman" w:asciiTheme="minorEastAsia" w:hAnsiTheme="minorEastAsia" w:eastAsiaTheme="minorEastAsia"/>
          <w:color w:val="auto"/>
          <w:kern w:val="0"/>
          <w:sz w:val="24"/>
          <w:lang w:val="zh-CN" w:eastAsia="zh-CN"/>
        </w:rPr>
      </w:pPr>
      <w:r>
        <w:rPr>
          <w:rFonts w:hint="eastAsia" w:cs="Times New Roman" w:asciiTheme="minorEastAsia" w:hAnsiTheme="minorEastAsia" w:eastAsiaTheme="minorEastAsia"/>
          <w:color w:val="auto"/>
          <w:kern w:val="0"/>
          <w:sz w:val="24"/>
          <w:lang w:val="en-US" w:eastAsia="zh-CN"/>
        </w:rPr>
        <w:t>（6）投标报价应按招标文件中相关附表格式填写。</w:t>
      </w:r>
    </w:p>
    <w:p w14:paraId="147E7330">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宋体" w:hAnsi="宋体" w:cs="宋体"/>
          <w:color w:val="auto"/>
          <w:kern w:val="0"/>
          <w:sz w:val="24"/>
          <w:highlight w:val="none"/>
        </w:rPr>
      </w:pPr>
      <w:r>
        <w:rPr>
          <w:rFonts w:hint="eastAsia" w:ascii="宋体" w:hAnsi="宋体"/>
          <w:b/>
          <w:color w:val="auto"/>
          <w:sz w:val="24"/>
        </w:rPr>
        <w:t>▲注：</w:t>
      </w:r>
      <w:r>
        <w:rPr>
          <w:rFonts w:hint="eastAsia" w:ascii="宋体" w:hAnsi="宋体" w:cs="宋体"/>
          <w:color w:val="auto"/>
          <w:kern w:val="0"/>
          <w:sz w:val="24"/>
          <w:highlight w:val="none"/>
        </w:rPr>
        <w:t>①此报价为供应商针对本项目报出的唯一的首次报价，包含其它一切所要涉及到的费用，</w:t>
      </w:r>
      <w:r>
        <w:rPr>
          <w:rFonts w:hint="eastAsia" w:ascii="宋体" w:hAnsi="宋体" w:cs="宋体"/>
          <w:color w:val="auto"/>
          <w:kern w:val="0"/>
          <w:sz w:val="24"/>
          <w:highlight w:val="none"/>
          <w:lang w:val="en-US" w:eastAsia="zh-CN"/>
        </w:rPr>
        <w:t>有条件、</w:t>
      </w:r>
      <w:r>
        <w:rPr>
          <w:rFonts w:hint="eastAsia" w:ascii="宋体" w:hAnsi="宋体" w:cs="宋体"/>
          <w:color w:val="auto"/>
          <w:kern w:val="0"/>
          <w:sz w:val="24"/>
          <w:highlight w:val="none"/>
        </w:rPr>
        <w:t>有选择的报价将被拒绝。</w:t>
      </w:r>
    </w:p>
    <w:p w14:paraId="4BB124EF">
      <w:pPr>
        <w:spacing w:line="360" w:lineRule="auto"/>
        <w:ind w:firstLine="480" w:firstLineChars="200"/>
        <w:rPr>
          <w:rFonts w:ascii="宋体" w:hAnsi="宋体"/>
          <w:color w:val="auto"/>
          <w:kern w:val="0"/>
          <w:sz w:val="24"/>
          <w:lang w:val="zh-CN"/>
        </w:rPr>
      </w:pPr>
      <w:r>
        <w:rPr>
          <w:rFonts w:hint="eastAsia" w:ascii="宋体" w:hAnsi="宋体"/>
          <w:color w:val="auto"/>
          <w:kern w:val="0"/>
          <w:sz w:val="24"/>
        </w:rPr>
        <w:t>②</w:t>
      </w:r>
      <w:r>
        <w:rPr>
          <w:rFonts w:hint="eastAsia" w:cs="Times New Roman" w:asciiTheme="minorEastAsia" w:hAnsiTheme="minorEastAsia" w:eastAsiaTheme="minorEastAsia"/>
          <w:color w:val="auto"/>
          <w:kern w:val="0"/>
          <w:sz w:val="24"/>
          <w:lang w:val="en-US" w:eastAsia="zh-CN"/>
        </w:rPr>
        <w:t>投标总报价为完成本项目的所有费用，包括所有人员的人工费、交通费、住宿费、伙食费、办公设施费、管理费、利润、税金、合同包含的所有风险责任等各项费用及不可预见费等所需的全部费用，全部费用已包含在投标报价中。</w:t>
      </w:r>
      <w:r>
        <w:rPr>
          <w:rFonts w:hint="eastAsia" w:ascii="宋体" w:hAnsi="宋体"/>
          <w:color w:val="auto"/>
          <w:kern w:val="0"/>
          <w:sz w:val="24"/>
          <w:lang w:val="zh-CN"/>
        </w:rPr>
        <w:t>如发生不可抗拒力及突发性事件，中标方要无条件服从采购方指挥，配合采购方一切行动，相关费用包括在投标价内，采购方不再另行支付其它费用。</w:t>
      </w:r>
    </w:p>
    <w:p w14:paraId="1D7300E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③磋商响应报价表不得涂改和增删，</w:t>
      </w:r>
      <w:r>
        <w:rPr>
          <w:rFonts w:hint="eastAsia" w:ascii="宋体" w:hAnsi="宋体" w:cs="宋体"/>
          <w:b/>
          <w:color w:val="auto"/>
          <w:sz w:val="24"/>
          <w:highlight w:val="none"/>
        </w:rPr>
        <w:t>▲</w:t>
      </w:r>
      <w:r>
        <w:rPr>
          <w:rFonts w:hint="eastAsia" w:ascii="宋体" w:hAnsi="宋体" w:cs="宋体"/>
          <w:color w:val="auto"/>
          <w:kern w:val="0"/>
          <w:sz w:val="24"/>
          <w:highlight w:val="none"/>
        </w:rPr>
        <w:t>如有错漏必须修改，修改处须由同一签署人签字或盖章。</w:t>
      </w:r>
      <w:r>
        <w:rPr>
          <w:rFonts w:hint="eastAsia" w:ascii="宋体" w:hAnsi="宋体" w:cs="宋体"/>
          <w:color w:val="auto"/>
          <w:kern w:val="0"/>
          <w:sz w:val="24"/>
          <w:highlight w:val="none"/>
          <w:lang w:val="en-US" w:eastAsia="zh-CN"/>
        </w:rPr>
        <w:t>修改处未签字的按无效标处理，</w:t>
      </w:r>
      <w:r>
        <w:rPr>
          <w:rFonts w:hint="eastAsia" w:ascii="宋体" w:hAnsi="宋体" w:cs="宋体"/>
          <w:color w:val="auto"/>
          <w:kern w:val="0"/>
          <w:sz w:val="24"/>
          <w:highlight w:val="none"/>
        </w:rPr>
        <w:t>由于字迹模糊或表达不清引起的</w:t>
      </w:r>
      <w:r>
        <w:rPr>
          <w:rFonts w:hint="eastAsia" w:ascii="宋体" w:hAnsi="宋体" w:cs="宋体"/>
          <w:color w:val="auto"/>
          <w:kern w:val="0"/>
          <w:sz w:val="24"/>
          <w:highlight w:val="none"/>
          <w:lang w:eastAsia="zh-CN"/>
        </w:rPr>
        <w:t>不利于供应商的</w:t>
      </w:r>
      <w:r>
        <w:rPr>
          <w:rFonts w:hint="eastAsia" w:ascii="宋体" w:hAnsi="宋体" w:cs="宋体"/>
          <w:color w:val="auto"/>
          <w:kern w:val="0"/>
          <w:sz w:val="24"/>
          <w:highlight w:val="none"/>
        </w:rPr>
        <w:t>后果由供应商负责。</w:t>
      </w:r>
    </w:p>
    <w:p w14:paraId="492D5D88">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④报价有关表格应按磋商采购文件中相关附表格式填写。</w:t>
      </w:r>
    </w:p>
    <w:p w14:paraId="0EE53701">
      <w:pPr>
        <w:snapToGrid w:val="0"/>
        <w:spacing w:line="360" w:lineRule="auto"/>
        <w:ind w:firstLine="482" w:firstLineChars="200"/>
        <w:rPr>
          <w:rFonts w:ascii="宋体" w:hAnsi="宋体"/>
          <w:b/>
          <w:color w:val="auto"/>
          <w:sz w:val="24"/>
          <w:lang w:val="zh-CN"/>
        </w:rPr>
      </w:pPr>
      <w:r>
        <w:rPr>
          <w:rFonts w:hint="eastAsia" w:ascii="宋体" w:hAnsi="宋体"/>
          <w:b/>
          <w:color w:val="auto"/>
          <w:sz w:val="24"/>
        </w:rPr>
        <w:t>（二）</w:t>
      </w:r>
      <w:r>
        <w:rPr>
          <w:rFonts w:hint="eastAsia" w:ascii="宋体" w:hAnsi="宋体"/>
          <w:b/>
          <w:color w:val="auto"/>
          <w:sz w:val="24"/>
          <w:lang w:val="en-US" w:eastAsia="zh-CN"/>
        </w:rPr>
        <w:t>磋商响应</w:t>
      </w:r>
      <w:r>
        <w:rPr>
          <w:rFonts w:hint="eastAsia" w:ascii="宋体" w:hAnsi="宋体"/>
          <w:b/>
          <w:color w:val="auto"/>
          <w:sz w:val="24"/>
        </w:rPr>
        <w:t>文件的制作、封装及递交要求</w:t>
      </w:r>
    </w:p>
    <w:p w14:paraId="2BBB1444">
      <w:pPr>
        <w:autoSpaceDE w:val="0"/>
        <w:autoSpaceDN w:val="0"/>
        <w:adjustRightInd w:val="0"/>
        <w:spacing w:line="360" w:lineRule="auto"/>
        <w:ind w:firstLine="480"/>
        <w:rPr>
          <w:rFonts w:ascii="宋体" w:hAnsi="宋体" w:cs="宋体"/>
          <w:b/>
          <w:color w:val="auto"/>
          <w:sz w:val="24"/>
          <w:highlight w:val="none"/>
        </w:rPr>
      </w:pPr>
      <w:r>
        <w:rPr>
          <w:rFonts w:hint="eastAsia" w:ascii="宋体" w:hAnsi="宋体" w:cs="宋体"/>
          <w:b/>
          <w:color w:val="auto"/>
          <w:sz w:val="24"/>
          <w:highlight w:val="none"/>
        </w:rPr>
        <w:t>1、磋商响应文件的制作要求</w:t>
      </w:r>
    </w:p>
    <w:p w14:paraId="4CF779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（1）本项目通过“政府采购云平台（www.zcygov.cn）”实行在线投标响应（电子投标）。供应商应通过“政采云电子交易客户端”，并按照本招标文件和“政府采购云平台”的要求编制并加密投标文件。</w:t>
      </w:r>
    </w:p>
    <w:p w14:paraId="765413E0">
      <w:pPr>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（2）投标供应商应当按照本章节 “投标文件组成”规定的内容及顺序在“政采云电子交易客户端”编制投标文件。</w:t>
      </w:r>
    </w:p>
    <w:p w14:paraId="3878241C">
      <w:pPr>
        <w:autoSpaceDE w:val="0"/>
        <w:autoSpaceDN w:val="0"/>
        <w:adjustRightInd w:val="0"/>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（3）本文件《第六部分  应提交的有关格式范例》中有提供格式的，投标供应商须参照格式进行编制（格式中要求提供相关证明材料的还需后附相关证明材料），并按格式要求在指定位置根据要求进行签章，否则视为未提供</w:t>
      </w:r>
      <w:r>
        <w:rPr>
          <w:rFonts w:hint="eastAsia" w:ascii="宋体" w:hAnsi="宋体" w:cs="宋体"/>
          <w:bCs/>
          <w:color w:val="auto"/>
          <w:sz w:val="24"/>
          <w:highlight w:val="none"/>
          <w:lang w:eastAsia="zh-CN"/>
        </w:rPr>
        <w:t>，</w:t>
      </w:r>
      <w:r>
        <w:rPr>
          <w:rFonts w:hint="eastAsia" w:ascii="宋体" w:cs="宋体"/>
          <w:b/>
          <w:bCs w:val="0"/>
          <w:color w:val="auto"/>
          <w:sz w:val="24"/>
        </w:rPr>
        <w:t>▲</w:t>
      </w:r>
      <w:r>
        <w:rPr>
          <w:rFonts w:ascii="宋体"/>
          <w:b/>
          <w:bCs w:val="0"/>
          <w:color w:val="auto"/>
          <w:sz w:val="24"/>
        </w:rPr>
        <w:t>如该文件未提供将影响投标有效性的，则视为投标无效</w:t>
      </w:r>
      <w:r>
        <w:rPr>
          <w:rFonts w:hint="eastAsia" w:ascii="宋体" w:hAnsi="宋体" w:cs="宋体"/>
          <w:bCs/>
          <w:color w:val="auto"/>
          <w:sz w:val="24"/>
          <w:highlight w:val="none"/>
        </w:rPr>
        <w:t>；本文件《第六部分  应提交的有关格式范例》未提供格式的，请各投标单位自行拟定格式</w:t>
      </w:r>
      <w:r>
        <w:rPr>
          <w:rFonts w:hint="eastAsia" w:ascii="宋体" w:hAnsi="宋体" w:cs="宋体"/>
          <w:color w:val="auto"/>
          <w:sz w:val="24"/>
          <w:highlight w:val="none"/>
        </w:rPr>
        <w:t>。</w:t>
      </w:r>
    </w:p>
    <w:p w14:paraId="393FDFB8">
      <w:pPr>
        <w:autoSpaceDE w:val="0"/>
        <w:autoSpaceDN w:val="0"/>
        <w:adjustRightIn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sz w:val="24"/>
          <w:highlight w:val="none"/>
        </w:rPr>
        <w:t>（4）供应商应对所提供的全部资料的真实性承担法律责任。</w:t>
      </w:r>
    </w:p>
    <w:p w14:paraId="79007FC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5</w:t>
      </w:r>
      <w:r>
        <w:rPr>
          <w:rFonts w:hint="eastAsia" w:ascii="宋体" w:hAnsi="宋体" w:cs="宋体"/>
          <w:color w:val="auto"/>
          <w:kern w:val="0"/>
          <w:sz w:val="24"/>
          <w:highlight w:val="none"/>
          <w:lang w:val="zh-CN"/>
        </w:rPr>
        <w:t>）</w:t>
      </w:r>
      <w:r>
        <w:rPr>
          <w:rFonts w:hint="eastAsia" w:ascii="宋体" w:hAnsi="宋体" w:cs="宋体"/>
          <w:color w:val="auto"/>
          <w:sz w:val="24"/>
          <w:highlight w:val="none"/>
        </w:rPr>
        <w:t>磋商响应文件以及磋商供应商与采购组织机构就有关磋商事宜的所有来往函电，均应以中文汉语书写。</w:t>
      </w:r>
      <w:r>
        <w:rPr>
          <w:rFonts w:hint="eastAsia" w:ascii="宋体" w:hAnsi="宋体" w:cs="宋体"/>
          <w:color w:val="auto"/>
          <w:sz w:val="24"/>
          <w:highlight w:val="none"/>
          <w:lang w:eastAsia="zh-CN"/>
        </w:rPr>
        <w:t>▲</w:t>
      </w:r>
      <w:r>
        <w:rPr>
          <w:rFonts w:hint="eastAsia" w:ascii="宋体" w:hAnsi="宋体" w:cs="宋体"/>
          <w:color w:val="auto"/>
          <w:sz w:val="24"/>
          <w:highlight w:val="none"/>
        </w:rPr>
        <w:t>除签字、盖章、专用名称等特殊情形外，以中文汉语以外的文字表述的磋商响应文件视同未提供</w:t>
      </w:r>
      <w:r>
        <w:rPr>
          <w:rFonts w:hint="eastAsia" w:ascii="宋体" w:hAnsi="宋体" w:cs="宋体"/>
          <w:color w:val="auto"/>
          <w:sz w:val="24"/>
          <w:highlight w:val="none"/>
          <w:lang w:eastAsia="zh-CN"/>
        </w:rPr>
        <w:t>，</w:t>
      </w:r>
      <w:r>
        <w:rPr>
          <w:rFonts w:hint="eastAsia" w:ascii="宋体" w:cs="宋体"/>
          <w:b/>
          <w:bCs w:val="0"/>
          <w:color w:val="auto"/>
          <w:sz w:val="24"/>
        </w:rPr>
        <w:t>▲</w:t>
      </w:r>
      <w:r>
        <w:rPr>
          <w:rFonts w:ascii="宋体"/>
          <w:b/>
          <w:bCs w:val="0"/>
          <w:color w:val="auto"/>
          <w:sz w:val="24"/>
        </w:rPr>
        <w:t>如该文件未提供将影响投标有效性的，则视为投标无效</w:t>
      </w:r>
      <w:r>
        <w:rPr>
          <w:rFonts w:hint="eastAsia" w:ascii="宋体"/>
          <w:b/>
          <w:bCs w:val="0"/>
          <w:color w:val="auto"/>
          <w:sz w:val="24"/>
          <w:highlight w:val="none"/>
        </w:rPr>
        <w:t>；</w:t>
      </w:r>
      <w:r>
        <w:rPr>
          <w:rFonts w:hint="eastAsia" w:ascii="宋体" w:hAnsi="宋体" w:cs="宋体"/>
          <w:color w:val="auto"/>
          <w:sz w:val="24"/>
          <w:highlight w:val="none"/>
        </w:rPr>
        <w:t>。</w:t>
      </w:r>
    </w:p>
    <w:p w14:paraId="1DD8092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b/>
          <w:color w:val="auto"/>
          <w:sz w:val="24"/>
          <w:highlight w:val="none"/>
        </w:rPr>
        <w:t>▲</w:t>
      </w:r>
      <w:r>
        <w:rPr>
          <w:rFonts w:hint="eastAsia" w:ascii="宋体" w:hAnsi="宋体" w:cs="宋体"/>
          <w:color w:val="auto"/>
          <w:sz w:val="24"/>
          <w:highlight w:val="none"/>
        </w:rPr>
        <w:t>磋商计量单位，</w:t>
      </w:r>
      <w:r>
        <w:rPr>
          <w:rFonts w:hint="eastAsia" w:ascii="宋体" w:hAnsi="宋体" w:cs="宋体"/>
          <w:bCs/>
          <w:color w:val="auto"/>
          <w:sz w:val="24"/>
          <w:highlight w:val="none"/>
        </w:rPr>
        <w:t>磋商采购文件</w:t>
      </w:r>
      <w:r>
        <w:rPr>
          <w:rFonts w:hint="eastAsia" w:ascii="宋体" w:hAnsi="宋体" w:cs="宋体"/>
          <w:color w:val="auto"/>
          <w:sz w:val="24"/>
          <w:highlight w:val="none"/>
        </w:rPr>
        <w:t>已有明确规定的，使用</w:t>
      </w:r>
      <w:r>
        <w:rPr>
          <w:rFonts w:hint="eastAsia" w:ascii="宋体" w:hAnsi="宋体" w:cs="宋体"/>
          <w:bCs/>
          <w:color w:val="auto"/>
          <w:sz w:val="24"/>
          <w:highlight w:val="none"/>
        </w:rPr>
        <w:t>磋商采购文件</w:t>
      </w:r>
      <w:r>
        <w:rPr>
          <w:rFonts w:hint="eastAsia" w:ascii="宋体" w:hAnsi="宋体" w:cs="宋体"/>
          <w:color w:val="auto"/>
          <w:sz w:val="24"/>
          <w:highlight w:val="none"/>
        </w:rPr>
        <w:t>规定的计量单位；</w:t>
      </w:r>
      <w:r>
        <w:rPr>
          <w:rFonts w:hint="eastAsia" w:ascii="宋体" w:hAnsi="宋体" w:cs="宋体"/>
          <w:bCs/>
          <w:color w:val="auto"/>
          <w:sz w:val="24"/>
          <w:highlight w:val="none"/>
        </w:rPr>
        <w:t>磋商采购文件</w:t>
      </w:r>
      <w:r>
        <w:rPr>
          <w:rFonts w:hint="eastAsia" w:ascii="宋体" w:hAnsi="宋体" w:cs="宋体"/>
          <w:color w:val="auto"/>
          <w:sz w:val="24"/>
          <w:highlight w:val="none"/>
        </w:rPr>
        <w:t>没有规定的，应采用中华人民共和国法定计量单位（货币单位：人民币元），否则视同未响应。</w:t>
      </w:r>
    </w:p>
    <w:p w14:paraId="3C986ABD">
      <w:pPr>
        <w:autoSpaceDE w:val="0"/>
        <w:autoSpaceDN w:val="0"/>
        <w:adjustRightIn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（7）若磋商供应商不按采购文件的要求提供资格审查材料，其风险由磋商供应商自行承担。</w:t>
      </w:r>
    </w:p>
    <w:p w14:paraId="48DD15C2">
      <w:pPr>
        <w:autoSpaceDE w:val="0"/>
        <w:autoSpaceDN w:val="0"/>
        <w:adjustRightInd w:val="0"/>
        <w:spacing w:line="360" w:lineRule="auto"/>
        <w:ind w:firstLine="480"/>
        <w:rPr>
          <w:rFonts w:ascii="宋体" w:hAnsi="宋体" w:cs="宋体"/>
          <w:color w:val="auto"/>
          <w:sz w:val="24"/>
          <w:highlight w:val="none"/>
        </w:rPr>
      </w:pPr>
      <w:r>
        <w:rPr>
          <w:rFonts w:hint="eastAsia" w:ascii="宋体" w:hAnsi="宋体" w:cs="宋体"/>
          <w:color w:val="auto"/>
          <w:kern w:val="0"/>
          <w:sz w:val="24"/>
          <w:highlight w:val="none"/>
        </w:rPr>
        <w:t>（8）</w:t>
      </w:r>
      <w:r>
        <w:rPr>
          <w:rFonts w:hint="eastAsia" w:ascii="宋体" w:hAnsi="宋体" w:cs="宋体"/>
          <w:color w:val="auto"/>
          <w:sz w:val="24"/>
          <w:highlight w:val="none"/>
        </w:rPr>
        <w:t>与本次磋商无关的内容请不要制作在内，确保磋商响应文件有针对性、简洁明了。</w:t>
      </w:r>
    </w:p>
    <w:p w14:paraId="59A75C82">
      <w:pPr>
        <w:autoSpaceDE w:val="0"/>
        <w:autoSpaceDN w:val="0"/>
        <w:adjustRightInd w:val="0"/>
        <w:spacing w:line="360" w:lineRule="auto"/>
        <w:ind w:firstLine="480"/>
        <w:rPr>
          <w:rFonts w:ascii="宋体" w:hAnsi="宋体" w:cs="宋体"/>
          <w:color w:val="auto"/>
          <w:sz w:val="24"/>
          <w:highlight w:val="none"/>
        </w:rPr>
      </w:pPr>
      <w:r>
        <w:rPr>
          <w:rFonts w:hint="eastAsia" w:ascii="宋体" w:hAnsi="宋体" w:cs="宋体"/>
          <w:b/>
          <w:bCs/>
          <w:color w:val="auto"/>
          <w:sz w:val="24"/>
          <w:highlight w:val="none"/>
        </w:rPr>
        <w:t>2、投标文件的签章</w:t>
      </w:r>
    </w:p>
    <w:p w14:paraId="13FC848C">
      <w:pPr>
        <w:spacing w:line="360" w:lineRule="auto"/>
        <w:ind w:firstLine="460" w:firstLineChars="192"/>
        <w:rPr>
          <w:rFonts w:ascii="宋体" w:hAnsi="宋体" w:cs="宋体"/>
          <w:bCs/>
          <w:color w:val="auto"/>
          <w:kern w:val="0"/>
          <w:sz w:val="24"/>
          <w:highlight w:val="none"/>
        </w:rPr>
      </w:pPr>
      <w:r>
        <w:rPr>
          <w:rFonts w:hint="eastAsia" w:ascii="宋体" w:hAnsi="宋体" w:cs="宋体"/>
          <w:bCs/>
          <w:color w:val="auto"/>
          <w:kern w:val="0"/>
          <w:sz w:val="24"/>
          <w:highlight w:val="none"/>
        </w:rPr>
        <w:t>（1）《投标文件》的签章：</w:t>
      </w:r>
      <w:r>
        <w:rPr>
          <w:rFonts w:hint="eastAsia" w:ascii="宋体" w:hAnsi="宋体" w:cs="宋体"/>
          <w:bCs/>
          <w:color w:val="auto"/>
          <w:sz w:val="24"/>
          <w:highlight w:val="none"/>
        </w:rPr>
        <w:t>见《前附表》；</w:t>
      </w:r>
    </w:p>
    <w:p w14:paraId="02123839">
      <w:pPr>
        <w:spacing w:line="360" w:lineRule="auto"/>
        <w:ind w:firstLine="210" w:firstLineChars="100"/>
        <w:rPr>
          <w:rFonts w:ascii="宋体" w:hAnsi="宋体" w:cs="宋体"/>
          <w:bCs/>
          <w:color w:val="auto"/>
          <w:kern w:val="0"/>
          <w:sz w:val="24"/>
          <w:highlight w:val="none"/>
        </w:rPr>
      </w:pPr>
      <w:r>
        <w:rPr>
          <w:rFonts w:hint="eastAsia" w:ascii="宋体" w:hAnsi="宋体" w:cs="宋体"/>
          <w:color w:val="auto"/>
          <w:highlight w:val="none"/>
        </w:rPr>
        <w:t>▲</w:t>
      </w:r>
      <w:r>
        <w:rPr>
          <w:rFonts w:hint="eastAsia" w:ascii="宋体" w:hAnsi="宋体" w:cs="宋体"/>
          <w:bCs/>
          <w:color w:val="auto"/>
          <w:kern w:val="0"/>
          <w:sz w:val="24"/>
          <w:highlight w:val="none"/>
        </w:rPr>
        <w:t>（2）</w:t>
      </w:r>
      <w:r>
        <w:rPr>
          <w:rFonts w:hint="default" w:ascii="宋体" w:hAnsi="Times New Roman" w:eastAsia="宋体" w:cs="Arial"/>
          <w:b/>
          <w:color w:val="auto"/>
          <w:kern w:val="0"/>
          <w:sz w:val="24"/>
          <w:highlight w:val="none"/>
        </w:rPr>
        <w:t>《</w:t>
      </w:r>
      <w:r>
        <w:rPr>
          <w:rFonts w:hint="eastAsia" w:ascii="宋体" w:hAnsi="Times New Roman" w:eastAsia="宋体" w:cs="Arial"/>
          <w:b/>
          <w:color w:val="auto"/>
          <w:kern w:val="0"/>
          <w:sz w:val="24"/>
          <w:highlight w:val="none"/>
        </w:rPr>
        <w:t>投标文件</w:t>
      </w:r>
      <w:r>
        <w:rPr>
          <w:rFonts w:hint="default" w:ascii="宋体" w:hAnsi="Times New Roman" w:eastAsia="宋体" w:cs="Arial"/>
          <w:b/>
          <w:color w:val="auto"/>
          <w:kern w:val="0"/>
          <w:sz w:val="24"/>
          <w:highlight w:val="none"/>
        </w:rPr>
        <w:t>》</w:t>
      </w:r>
      <w:r>
        <w:rPr>
          <w:rFonts w:hint="default" w:ascii="宋体" w:hAnsi="Times New Roman" w:eastAsia="宋体" w:cs="Arial"/>
          <w:b/>
          <w:color w:val="auto"/>
          <w:kern w:val="0"/>
          <w:sz w:val="24"/>
          <w:szCs w:val="24"/>
          <w:highlight w:val="none"/>
          <w:lang w:val="zh-CN"/>
        </w:rPr>
        <w:t>中</w:t>
      </w:r>
      <w:r>
        <w:rPr>
          <w:rFonts w:hint="eastAsia" w:ascii="宋体" w:hAnsi="Times New Roman" w:eastAsia="宋体" w:cs="Arial"/>
          <w:b/>
          <w:color w:val="auto"/>
          <w:kern w:val="0"/>
          <w:sz w:val="24"/>
          <w:szCs w:val="24"/>
          <w:highlight w:val="none"/>
          <w:lang w:val="zh-CN"/>
        </w:rPr>
        <w:t>有要求盖章或签字的地方，必须加盖投标人的公章以及法定代表人或授权委托代理人盖章或签字</w:t>
      </w:r>
      <w:r>
        <w:rPr>
          <w:rFonts w:hint="eastAsia" w:ascii="宋体" w:eastAsia="宋体" w:cs="Arial"/>
          <w:b/>
          <w:color w:val="auto"/>
          <w:kern w:val="0"/>
          <w:sz w:val="24"/>
          <w:szCs w:val="24"/>
          <w:highlight w:val="none"/>
          <w:lang w:val="zh-CN"/>
        </w:rPr>
        <w:t>，</w:t>
      </w:r>
      <w:r>
        <w:rPr>
          <w:rFonts w:ascii="宋体"/>
          <w:b/>
          <w:bCs w:val="0"/>
          <w:color w:val="auto"/>
          <w:sz w:val="24"/>
        </w:rPr>
        <w:t>如该文件未提供将影响投标有效性的，则视为投标无效</w:t>
      </w:r>
      <w:r>
        <w:rPr>
          <w:rFonts w:hint="eastAsia" w:ascii="宋体" w:hAnsi="Times New Roman" w:eastAsia="宋体" w:cs="Arial"/>
          <w:b/>
          <w:color w:val="auto"/>
          <w:kern w:val="0"/>
          <w:sz w:val="24"/>
          <w:szCs w:val="24"/>
          <w:highlight w:val="none"/>
          <w:lang w:val="zh-CN"/>
        </w:rPr>
        <w:t>。</w:t>
      </w:r>
    </w:p>
    <w:p w14:paraId="00DD8697">
      <w:pPr>
        <w:autoSpaceDE w:val="0"/>
        <w:autoSpaceDN w:val="0"/>
        <w:adjustRightInd w:val="0"/>
        <w:spacing w:line="360" w:lineRule="auto"/>
        <w:ind w:firstLine="480"/>
        <w:rPr>
          <w:rFonts w:ascii="宋体" w:hAnsi="宋体" w:cs="宋体"/>
          <w:color w:val="auto"/>
          <w:kern w:val="0"/>
          <w:sz w:val="24"/>
          <w:highlight w:val="none"/>
          <w:lang w:val="zh-CN"/>
        </w:rPr>
      </w:pPr>
      <w:r>
        <w:rPr>
          <w:rFonts w:hint="eastAsia" w:ascii="宋体" w:hAnsi="宋体" w:cs="宋体"/>
          <w:bCs/>
          <w:color w:val="auto"/>
          <w:kern w:val="0"/>
          <w:sz w:val="24"/>
          <w:highlight w:val="none"/>
        </w:rPr>
        <w:t>（3）电子签章操作指南详见</w:t>
      </w:r>
      <w:r>
        <w:rPr>
          <w:rFonts w:hint="eastAsia" w:ascii="宋体" w:hAnsi="宋体" w:cs="宋体"/>
          <w:bCs/>
          <w:color w:val="auto"/>
          <w:sz w:val="24"/>
          <w:highlight w:val="none"/>
        </w:rPr>
        <w:t>《供应商项目采购-电子招投标操作指南》。</w:t>
      </w:r>
    </w:p>
    <w:p w14:paraId="5759605D">
      <w:pPr>
        <w:autoSpaceDE w:val="0"/>
        <w:autoSpaceDN w:val="0"/>
        <w:adjustRightInd w:val="0"/>
        <w:spacing w:line="360" w:lineRule="auto"/>
        <w:ind w:firstLine="480"/>
        <w:rPr>
          <w:rFonts w:ascii="宋体" w:hAnsi="宋体" w:cs="宋体"/>
          <w:b/>
          <w:color w:val="auto"/>
          <w:kern w:val="0"/>
          <w:sz w:val="24"/>
          <w:highlight w:val="none"/>
        </w:rPr>
      </w:pPr>
      <w:r>
        <w:rPr>
          <w:rFonts w:hint="eastAsia" w:ascii="宋体" w:hAnsi="宋体" w:cs="宋体"/>
          <w:b/>
          <w:color w:val="auto"/>
          <w:kern w:val="0"/>
          <w:sz w:val="24"/>
          <w:highlight w:val="none"/>
        </w:rPr>
        <w:t>3、投标文件的形式</w:t>
      </w:r>
    </w:p>
    <w:p w14:paraId="604FCBC0">
      <w:pPr>
        <w:spacing w:line="360" w:lineRule="auto"/>
        <w:ind w:firstLine="422" w:firstLineChars="176"/>
        <w:rPr>
          <w:rFonts w:ascii="宋体" w:hAnsi="宋体" w:cs="宋体"/>
          <w:bCs/>
          <w:color w:val="auto"/>
          <w:sz w:val="24"/>
          <w:highlight w:val="none"/>
        </w:rPr>
      </w:pPr>
      <w:r>
        <w:rPr>
          <w:rFonts w:hint="eastAsia" w:ascii="宋体" w:hAnsi="宋体" w:cs="宋体"/>
          <w:bCs/>
          <w:color w:val="auto"/>
          <w:sz w:val="24"/>
          <w:highlight w:val="none"/>
        </w:rPr>
        <w:t>（1）投标文件的形式：见《前附表》；</w:t>
      </w:r>
    </w:p>
    <w:p w14:paraId="346C23E7">
      <w:pPr>
        <w:spacing w:line="360" w:lineRule="auto"/>
        <w:ind w:firstLine="422" w:firstLineChars="176"/>
        <w:rPr>
          <w:rFonts w:ascii="宋体" w:hAnsi="宋体" w:cs="宋体"/>
          <w:bCs/>
          <w:color w:val="auto"/>
          <w:sz w:val="24"/>
          <w:highlight w:val="none"/>
        </w:rPr>
      </w:pPr>
      <w:r>
        <w:rPr>
          <w:rFonts w:hint="eastAsia" w:ascii="宋体" w:hAnsi="宋体" w:cs="宋体"/>
          <w:bCs/>
          <w:color w:val="auto"/>
          <w:sz w:val="24"/>
          <w:highlight w:val="none"/>
        </w:rPr>
        <w:t>（2）“电子加密投标文件”：“电子加密投标文件”是指通过“政采云电子交易客户端”完成投标文件编制后生成并加密的数据电文形式的投标文件。</w:t>
      </w:r>
    </w:p>
    <w:p w14:paraId="5A955F60">
      <w:pPr>
        <w:autoSpaceDE w:val="0"/>
        <w:autoSpaceDN w:val="0"/>
        <w:adjustRightInd w:val="0"/>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（3）“备份投标文件”：“备份投标文件”是指与“电子加密投标文件”同时生成的数据电文形式的电子文件（备份标书），</w:t>
      </w:r>
      <w:r>
        <w:rPr>
          <w:rFonts w:hint="eastAsia" w:ascii="宋体" w:hAnsi="宋体" w:cs="宋体"/>
          <w:b/>
          <w:color w:val="auto"/>
          <w:sz w:val="24"/>
          <w:highlight w:val="none"/>
        </w:rPr>
        <w:t>▲</w:t>
      </w:r>
      <w:r>
        <w:rPr>
          <w:rFonts w:hint="eastAsia" w:ascii="宋体" w:hAnsi="宋体" w:cs="宋体"/>
          <w:bCs/>
          <w:color w:val="auto"/>
          <w:sz w:val="24"/>
          <w:highlight w:val="none"/>
        </w:rPr>
        <w:t>其他方式编制的“备份投标文件”视为无效的“备份投标文件”。</w:t>
      </w:r>
    </w:p>
    <w:p w14:paraId="01D0B117">
      <w:pPr>
        <w:autoSpaceDE w:val="0"/>
        <w:autoSpaceDN w:val="0"/>
        <w:adjustRightInd w:val="0"/>
        <w:spacing w:line="360" w:lineRule="auto"/>
        <w:ind w:firstLine="480"/>
        <w:rPr>
          <w:rFonts w:ascii="宋体" w:hAnsi="宋体" w:cs="宋体"/>
          <w:b/>
          <w:color w:val="auto"/>
          <w:kern w:val="0"/>
          <w:sz w:val="24"/>
          <w:highlight w:val="none"/>
        </w:rPr>
      </w:pPr>
      <w:r>
        <w:rPr>
          <w:rFonts w:hint="eastAsia" w:ascii="宋体" w:hAnsi="宋体" w:cs="宋体"/>
          <w:b/>
          <w:color w:val="auto"/>
          <w:kern w:val="0"/>
          <w:sz w:val="24"/>
          <w:highlight w:val="none"/>
        </w:rPr>
        <w:t>4、投标文件的份数</w:t>
      </w:r>
    </w:p>
    <w:p w14:paraId="2D30FF5D">
      <w:pPr>
        <w:autoSpaceDE w:val="0"/>
        <w:autoSpaceDN w:val="0"/>
        <w:adjustRightInd w:val="0"/>
        <w:spacing w:line="360" w:lineRule="auto"/>
        <w:ind w:firstLine="480"/>
        <w:rPr>
          <w:rFonts w:ascii="宋体" w:hAnsi="宋体" w:cs="宋体"/>
          <w:bCs/>
          <w:color w:val="auto"/>
          <w:kern w:val="0"/>
          <w:sz w:val="24"/>
          <w:highlight w:val="none"/>
        </w:rPr>
      </w:pPr>
      <w:r>
        <w:rPr>
          <w:rFonts w:hint="eastAsia" w:ascii="宋体" w:hAnsi="宋体" w:cs="宋体"/>
          <w:bCs/>
          <w:color w:val="auto"/>
          <w:kern w:val="0"/>
          <w:sz w:val="24"/>
          <w:highlight w:val="none"/>
        </w:rPr>
        <w:t>（1）投标文件的份数：见《前附表》。</w:t>
      </w:r>
    </w:p>
    <w:p w14:paraId="5D83D85F">
      <w:pPr>
        <w:tabs>
          <w:tab w:val="left" w:pos="1898"/>
        </w:tabs>
        <w:autoSpaceDE w:val="0"/>
        <w:autoSpaceDN w:val="0"/>
        <w:adjustRightInd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5、磋商响应文件的补充、修改和撤回。</w:t>
      </w:r>
    </w:p>
    <w:p w14:paraId="28DD9335">
      <w:pPr>
        <w:tabs>
          <w:tab w:val="left" w:pos="960"/>
          <w:tab w:val="left" w:pos="1418"/>
        </w:tabs>
        <w:autoSpaceDE w:val="0"/>
        <w:autoSpaceDN w:val="0"/>
        <w:adjustRightIn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sz w:val="24"/>
          <w:highlight w:val="none"/>
        </w:rPr>
        <w:t>▲</w:t>
      </w:r>
      <w:r>
        <w:rPr>
          <w:rFonts w:hint="eastAsia" w:ascii="宋体" w:hAnsi="宋体" w:cs="宋体"/>
          <w:color w:val="auto"/>
          <w:kern w:val="0"/>
          <w:sz w:val="24"/>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038D8B13">
      <w:pPr>
        <w:numPr>
          <w:ilvl w:val="0"/>
          <w:numId w:val="4"/>
        </w:numPr>
        <w:tabs>
          <w:tab w:val="left" w:pos="1418"/>
        </w:tabs>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投标截止时间后，投标供应商不得撤回、修改《投标文件》。</w:t>
      </w:r>
    </w:p>
    <w:p w14:paraId="52E42B1B">
      <w:pPr>
        <w:tabs>
          <w:tab w:val="left" w:pos="1418"/>
        </w:tabs>
        <w:autoSpaceDE w:val="0"/>
        <w:autoSpaceDN w:val="0"/>
        <w:adjustRightInd w:val="0"/>
        <w:spacing w:line="360" w:lineRule="auto"/>
        <w:ind w:left="480"/>
        <w:rPr>
          <w:rFonts w:ascii="宋体" w:hAnsi="宋体" w:cs="宋体"/>
          <w:color w:val="auto"/>
          <w:kern w:val="0"/>
          <w:sz w:val="24"/>
          <w:highlight w:val="none"/>
        </w:rPr>
      </w:pPr>
      <w:r>
        <w:rPr>
          <w:rFonts w:hint="eastAsia" w:ascii="宋体" w:hAnsi="宋体" w:cs="宋体"/>
          <w:b/>
          <w:color w:val="auto"/>
          <w:kern w:val="0"/>
          <w:sz w:val="24"/>
          <w:highlight w:val="none"/>
        </w:rPr>
        <w:t>（三）磋商响应文件的有效期</w:t>
      </w:r>
    </w:p>
    <w:p w14:paraId="73D5C7FC">
      <w:pPr>
        <w:pStyle w:val="10"/>
        <w:widowControl w:val="0"/>
        <w:numPr>
          <w:ilvl w:val="0"/>
          <w:numId w:val="0"/>
        </w:numPr>
        <w:tabs>
          <w:tab w:val="left" w:pos="0"/>
          <w:tab w:val="left" w:pos="720"/>
          <w:tab w:val="left" w:pos="899"/>
          <w:tab w:val="left" w:pos="1200"/>
        </w:tabs>
        <w:snapToGrid w:val="0"/>
        <w:spacing w:afterLines="0" w:line="360" w:lineRule="auto"/>
        <w:ind w:firstLine="420" w:firstLineChars="200"/>
        <w:rPr>
          <w:rFonts w:ascii="宋体" w:hAnsi="宋体" w:cs="宋体"/>
          <w:color w:val="auto"/>
          <w:szCs w:val="24"/>
          <w:highlight w:val="none"/>
          <w:lang w:val="en-GB"/>
        </w:rPr>
      </w:pPr>
      <w:r>
        <w:rPr>
          <w:rFonts w:hint="eastAsia" w:ascii="宋体" w:hAnsi="宋体" w:cs="宋体"/>
          <w:color w:val="auto"/>
          <w:szCs w:val="24"/>
          <w:highlight w:val="none"/>
          <w:lang w:eastAsia="zh-CN"/>
        </w:rPr>
        <w:t>▲</w:t>
      </w:r>
      <w:r>
        <w:rPr>
          <w:rFonts w:hint="eastAsia" w:ascii="宋体" w:hAnsi="宋体" w:cs="宋体"/>
          <w:color w:val="auto"/>
          <w:szCs w:val="24"/>
          <w:highlight w:val="none"/>
        </w:rPr>
        <w:t>1、</w:t>
      </w:r>
      <w:r>
        <w:rPr>
          <w:rFonts w:hint="eastAsia" w:ascii="宋体" w:hAnsi="宋体" w:cs="宋体"/>
          <w:color w:val="auto"/>
          <w:szCs w:val="24"/>
          <w:highlight w:val="none"/>
          <w:lang w:val="en-GB"/>
        </w:rPr>
        <w:t>自磋商响应截止日起90天磋商响应文件应保持有效。有效期不足的磋商响应文件将被拒绝。</w:t>
      </w:r>
    </w:p>
    <w:p w14:paraId="01AC4293">
      <w:pPr>
        <w:pStyle w:val="10"/>
        <w:widowControl w:val="0"/>
        <w:numPr>
          <w:ilvl w:val="0"/>
          <w:numId w:val="0"/>
        </w:numPr>
        <w:tabs>
          <w:tab w:val="left" w:pos="0"/>
          <w:tab w:val="left" w:pos="720"/>
          <w:tab w:val="left" w:pos="899"/>
          <w:tab w:val="left" w:pos="1200"/>
        </w:tabs>
        <w:snapToGrid w:val="0"/>
        <w:spacing w:afterLines="0"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2、在特殊情况下，采购人可与磋商供应商协商延长磋商响应文件的有效期，这种要求和答复均以书面形式进行。</w:t>
      </w:r>
    </w:p>
    <w:p w14:paraId="5C2FAF5A">
      <w:pPr>
        <w:pStyle w:val="10"/>
        <w:widowControl w:val="0"/>
        <w:numPr>
          <w:ilvl w:val="0"/>
          <w:numId w:val="0"/>
        </w:numPr>
        <w:tabs>
          <w:tab w:val="left" w:pos="0"/>
          <w:tab w:val="left" w:pos="425"/>
          <w:tab w:val="left" w:pos="720"/>
          <w:tab w:val="left" w:pos="899"/>
          <w:tab w:val="left" w:pos="1200"/>
        </w:tabs>
        <w:snapToGrid w:val="0"/>
        <w:spacing w:afterLines="0" w:line="360" w:lineRule="auto"/>
        <w:ind w:firstLine="367" w:firstLineChars="175"/>
        <w:rPr>
          <w:rFonts w:ascii="宋体" w:hAnsi="宋体" w:cs="宋体"/>
          <w:color w:val="auto"/>
          <w:szCs w:val="24"/>
          <w:highlight w:val="none"/>
        </w:rPr>
      </w:pPr>
      <w:r>
        <w:rPr>
          <w:rFonts w:hint="eastAsia" w:ascii="宋体" w:hAnsi="宋体" w:cs="宋体"/>
          <w:color w:val="auto"/>
          <w:szCs w:val="24"/>
          <w:highlight w:val="none"/>
        </w:rPr>
        <w:t xml:space="preserve">3、磋商供应商可拒绝接受延期要求。同意延长有效期的磋商供应商不能修改磋商响应文件。 </w:t>
      </w:r>
    </w:p>
    <w:p w14:paraId="2923C377">
      <w:pPr>
        <w:snapToGrid w:val="0"/>
        <w:spacing w:line="360" w:lineRule="auto"/>
        <w:ind w:firstLine="241" w:firstLineChars="100"/>
        <w:jc w:val="left"/>
        <w:outlineLvl w:val="0"/>
        <w:rPr>
          <w:rFonts w:ascii="宋体" w:hAnsi="宋体" w:cs="宋体"/>
          <w:color w:val="auto"/>
          <w:kern w:val="0"/>
          <w:sz w:val="24"/>
          <w:highlight w:val="none"/>
        </w:rPr>
      </w:pPr>
      <w:r>
        <w:rPr>
          <w:rFonts w:hint="eastAsia" w:ascii="宋体" w:hAnsi="宋体" w:cs="宋体"/>
          <w:b/>
          <w:color w:val="auto"/>
          <w:sz w:val="24"/>
          <w:highlight w:val="none"/>
        </w:rPr>
        <w:t>▲</w:t>
      </w:r>
      <w:r>
        <w:rPr>
          <w:rFonts w:hint="eastAsia" w:ascii="宋体" w:hAnsi="宋体" w:cs="宋体"/>
          <w:color w:val="auto"/>
          <w:kern w:val="0"/>
          <w:sz w:val="24"/>
          <w:highlight w:val="none"/>
        </w:rPr>
        <w:t>4</w:t>
      </w:r>
      <w:r>
        <w:rPr>
          <w:rFonts w:hint="eastAsia" w:ascii="宋体" w:hAnsi="宋体" w:cs="宋体"/>
          <w:color w:val="auto"/>
          <w:szCs w:val="24"/>
          <w:highlight w:val="none"/>
        </w:rPr>
        <w:t>、</w:t>
      </w:r>
      <w:r>
        <w:rPr>
          <w:rFonts w:hint="eastAsia" w:ascii="宋体" w:hAnsi="宋体" w:cs="宋体"/>
          <w:color w:val="auto"/>
          <w:kern w:val="0"/>
          <w:sz w:val="24"/>
          <w:highlight w:val="none"/>
        </w:rPr>
        <w:t>成交供应商的</w:t>
      </w:r>
      <w:r>
        <w:rPr>
          <w:rFonts w:hint="eastAsia" w:ascii="宋体" w:hAnsi="宋体" w:cs="宋体"/>
          <w:color w:val="auto"/>
          <w:sz w:val="24"/>
          <w:highlight w:val="none"/>
        </w:rPr>
        <w:t>磋商响应文件</w:t>
      </w:r>
      <w:r>
        <w:rPr>
          <w:rFonts w:hint="eastAsia" w:ascii="宋体" w:hAnsi="宋体" w:cs="宋体"/>
          <w:color w:val="auto"/>
          <w:kern w:val="0"/>
          <w:sz w:val="24"/>
          <w:highlight w:val="none"/>
        </w:rPr>
        <w:t>自磋商之日起至合同履行完毕均应保持有效。</w:t>
      </w:r>
    </w:p>
    <w:p w14:paraId="4E4B92DB">
      <w:pPr>
        <w:snapToGrid w:val="0"/>
        <w:spacing w:line="360" w:lineRule="auto"/>
        <w:ind w:firstLine="482" w:firstLineChars="200"/>
        <w:jc w:val="left"/>
        <w:outlineLvl w:val="0"/>
        <w:rPr>
          <w:rFonts w:ascii="宋体" w:hAnsi="宋体" w:cs="宋体"/>
          <w:b/>
          <w:color w:val="auto"/>
          <w:kern w:val="0"/>
          <w:sz w:val="24"/>
          <w:highlight w:val="none"/>
        </w:rPr>
      </w:pPr>
      <w:r>
        <w:rPr>
          <w:rFonts w:hint="eastAsia" w:ascii="宋体" w:hAnsi="宋体" w:cs="宋体"/>
          <w:b/>
          <w:color w:val="auto"/>
          <w:kern w:val="0"/>
          <w:sz w:val="24"/>
          <w:highlight w:val="none"/>
        </w:rPr>
        <w:t>（四）投标文件的备选方案</w:t>
      </w:r>
    </w:p>
    <w:p w14:paraId="6ADCF84A">
      <w:pPr>
        <w:snapToGrid w:val="0"/>
        <w:spacing w:line="360" w:lineRule="auto"/>
        <w:ind w:firstLine="482" w:firstLineChars="200"/>
        <w:jc w:val="left"/>
        <w:outlineLvl w:val="0"/>
        <w:rPr>
          <w:rFonts w:ascii="宋体" w:hAnsi="宋体" w:cs="宋体"/>
          <w:color w:val="auto"/>
          <w:kern w:val="0"/>
          <w:sz w:val="24"/>
          <w:highlight w:val="none"/>
        </w:rPr>
      </w:pPr>
      <w:r>
        <w:rPr>
          <w:rFonts w:hint="eastAsia" w:ascii="宋体" w:hAnsi="宋体" w:cs="宋体"/>
          <w:b/>
          <w:color w:val="auto"/>
          <w:sz w:val="24"/>
          <w:highlight w:val="none"/>
        </w:rPr>
        <w:t>▲</w:t>
      </w:r>
      <w:r>
        <w:rPr>
          <w:rFonts w:hint="eastAsia" w:ascii="宋体" w:hAnsi="宋体" w:cs="宋体"/>
          <w:color w:val="auto"/>
          <w:kern w:val="0"/>
          <w:sz w:val="24"/>
          <w:highlight w:val="none"/>
        </w:rPr>
        <w:t>1、投标供应商不得递交任何的投标备选（替代）方案，否则其投标文件将作无效标处理。</w:t>
      </w:r>
      <w:r>
        <w:rPr>
          <w:rFonts w:hint="eastAsia" w:ascii="宋体" w:hAnsi="宋体" w:cs="宋体"/>
          <w:b/>
          <w:bCs/>
          <w:color w:val="auto"/>
          <w:kern w:val="0"/>
          <w:sz w:val="24"/>
          <w:highlight w:val="none"/>
        </w:rPr>
        <w:t>与“电子加密投标文件”同时生成的“备份投标文件”不是投标备选（替代）方案。</w:t>
      </w:r>
    </w:p>
    <w:p w14:paraId="6FC570C7">
      <w:pPr>
        <w:tabs>
          <w:tab w:val="left" w:pos="1418"/>
        </w:tabs>
        <w:autoSpaceDE w:val="0"/>
        <w:autoSpaceDN w:val="0"/>
        <w:adjustRightInd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三、磋商保证金</w:t>
      </w:r>
    </w:p>
    <w:p w14:paraId="66327195">
      <w:pPr>
        <w:snapToGrid w:val="0"/>
        <w:spacing w:line="360" w:lineRule="auto"/>
        <w:ind w:firstLine="470" w:firstLineChars="196"/>
        <w:rPr>
          <w:rFonts w:ascii="宋体" w:hAnsi="宋体" w:cs="宋体"/>
          <w:bCs/>
          <w:color w:val="auto"/>
          <w:sz w:val="24"/>
          <w:highlight w:val="none"/>
        </w:rPr>
      </w:pPr>
      <w:r>
        <w:rPr>
          <w:rFonts w:hint="eastAsia" w:ascii="宋体" w:hAnsi="宋体" w:cs="宋体"/>
          <w:color w:val="auto"/>
          <w:kern w:val="0"/>
          <w:sz w:val="24"/>
          <w:highlight w:val="none"/>
        </w:rPr>
        <w:t>无</w:t>
      </w:r>
    </w:p>
    <w:p w14:paraId="6A28FBA8">
      <w:pPr>
        <w:tabs>
          <w:tab w:val="left" w:pos="1418"/>
        </w:tabs>
        <w:autoSpaceDE w:val="0"/>
        <w:autoSpaceDN w:val="0"/>
        <w:adjustRightInd w:val="0"/>
        <w:spacing w:line="360" w:lineRule="auto"/>
        <w:ind w:firstLine="364" w:firstLineChars="151"/>
        <w:rPr>
          <w:rFonts w:ascii="宋体" w:hAnsi="宋体" w:cs="宋体"/>
          <w:b/>
          <w:color w:val="auto"/>
          <w:kern w:val="0"/>
          <w:sz w:val="24"/>
          <w:highlight w:val="none"/>
        </w:rPr>
      </w:pPr>
      <w:r>
        <w:rPr>
          <w:rFonts w:hint="eastAsia" w:ascii="宋体" w:hAnsi="宋体" w:cs="宋体"/>
          <w:b/>
          <w:color w:val="auto"/>
          <w:kern w:val="0"/>
          <w:sz w:val="24"/>
          <w:highlight w:val="none"/>
        </w:rPr>
        <w:t>四、磋商</w:t>
      </w:r>
    </w:p>
    <w:p w14:paraId="212B15EC">
      <w:pPr>
        <w:autoSpaceDE w:val="0"/>
        <w:autoSpaceDN w:val="0"/>
        <w:adjustRightIn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b/>
          <w:color w:val="auto"/>
          <w:sz w:val="24"/>
          <w:highlight w:val="none"/>
        </w:rPr>
        <w:t>（一）磋商说明</w:t>
      </w:r>
    </w:p>
    <w:p w14:paraId="170341D5">
      <w:pPr>
        <w:autoSpaceDE w:val="0"/>
        <w:autoSpaceDN w:val="0"/>
        <w:adjustRightInd w:val="0"/>
        <w:spacing w:line="360" w:lineRule="auto"/>
        <w:ind w:firstLine="475" w:firstLineChars="198"/>
        <w:rPr>
          <w:rFonts w:ascii="宋体" w:hAnsi="宋体" w:cs="宋体"/>
          <w:color w:val="auto"/>
          <w:sz w:val="24"/>
          <w:highlight w:val="none"/>
        </w:rPr>
      </w:pPr>
      <w:r>
        <w:rPr>
          <w:rFonts w:hint="eastAsia" w:ascii="宋体" w:hAnsi="宋体" w:cs="宋体"/>
          <w:color w:val="auto"/>
          <w:sz w:val="24"/>
          <w:highlight w:val="none"/>
        </w:rPr>
        <w:t>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因电子交易平台故障无法登录、无法正常操作等导致平台无法正常运行，或者无法保证电子交易的公平、公正和安全时，采购组织机构可中止电子交易活动。</w:t>
      </w:r>
    </w:p>
    <w:p w14:paraId="317DB6F6">
      <w:pPr>
        <w:autoSpaceDE w:val="0"/>
        <w:autoSpaceDN w:val="0"/>
        <w:adjustRightInd w:val="0"/>
        <w:spacing w:line="360" w:lineRule="auto"/>
        <w:ind w:firstLine="477" w:firstLineChars="198"/>
        <w:rPr>
          <w:rFonts w:ascii="宋体" w:hAnsi="宋体" w:cs="宋体"/>
          <w:b/>
          <w:bCs/>
          <w:color w:val="auto"/>
          <w:sz w:val="24"/>
          <w:highlight w:val="none"/>
        </w:rPr>
      </w:pPr>
      <w:r>
        <w:rPr>
          <w:rFonts w:hint="eastAsia" w:ascii="宋体" w:hAnsi="宋体" w:cs="宋体"/>
          <w:b/>
          <w:bCs/>
          <w:color w:val="auto"/>
          <w:sz w:val="24"/>
          <w:highlight w:val="none"/>
        </w:rPr>
        <w:t>（二）磋商流程</w:t>
      </w:r>
    </w:p>
    <w:p w14:paraId="0A237E4B">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686F4EED">
      <w:pPr>
        <w:spacing w:line="360" w:lineRule="auto"/>
        <w:ind w:firstLine="426" w:firstLineChars="177"/>
        <w:jc w:val="left"/>
        <w:rPr>
          <w:rFonts w:hint="eastAsia" w:ascii="宋体" w:hAnsi="宋体" w:eastAsia="宋体" w:cs="宋体"/>
          <w:color w:val="auto"/>
          <w:kern w:val="0"/>
          <w:sz w:val="24"/>
          <w:highlight w:val="none"/>
          <w:lang w:eastAsia="zh-CN"/>
        </w:rPr>
      </w:pPr>
      <w:r>
        <w:rPr>
          <w:rFonts w:hint="eastAsia" w:ascii="宋体" w:hAnsi="宋体" w:cs="宋体"/>
          <w:b/>
          <w:bCs/>
          <w:color w:val="auto"/>
          <w:kern w:val="0"/>
          <w:sz w:val="24"/>
          <w:highlight w:val="none"/>
        </w:rPr>
        <w:t>（2）</w:t>
      </w:r>
      <w:r>
        <w:rPr>
          <w:rFonts w:ascii="宋体" w:hAnsi="宋体" w:cs="Arial"/>
          <w:b/>
          <w:color w:val="auto"/>
          <w:kern w:val="0"/>
          <w:sz w:val="24"/>
          <w:szCs w:val="24"/>
          <w:highlight w:val="none"/>
        </w:rPr>
        <w:t>投标文件解密结束</w:t>
      </w:r>
      <w:r>
        <w:rPr>
          <w:rFonts w:hint="eastAsia" w:ascii="宋体" w:hAnsi="宋体" w:cs="Arial"/>
          <w:b/>
          <w:color w:val="auto"/>
          <w:kern w:val="0"/>
          <w:sz w:val="24"/>
          <w:szCs w:val="24"/>
          <w:highlight w:val="none"/>
          <w:lang w:val="en-US" w:eastAsia="zh-CN"/>
        </w:rPr>
        <w:t>后</w:t>
      </w:r>
      <w:r>
        <w:rPr>
          <w:rFonts w:ascii="宋体" w:hAnsi="宋体" w:cs="Arial"/>
          <w:b/>
          <w:color w:val="auto"/>
          <w:kern w:val="0"/>
          <w:sz w:val="24"/>
          <w:szCs w:val="24"/>
          <w:highlight w:val="none"/>
        </w:rPr>
        <w:t>，供应商通过电子邮件形式将经授权代表签署的《政府采购活动现场确认声明书》（格式见采购文件最后一页内容）的扫描件或（图片）发至采购代理机构邮箱：</w:t>
      </w:r>
      <w:r>
        <w:rPr>
          <w:rFonts w:hint="eastAsia" w:ascii="宋体" w:hAnsi="宋体" w:cs="Arial"/>
          <w:b/>
          <w:color w:val="auto"/>
          <w:kern w:val="0"/>
          <w:sz w:val="24"/>
          <w:highlight w:val="none"/>
          <w:lang w:val="en-US" w:eastAsia="zh-CN"/>
        </w:rPr>
        <w:t>75326417</w:t>
      </w:r>
      <w:r>
        <w:rPr>
          <w:rFonts w:hint="eastAsia" w:ascii="宋体" w:hAnsi="宋体" w:cs="Arial"/>
          <w:b/>
          <w:color w:val="auto"/>
          <w:kern w:val="0"/>
          <w:sz w:val="24"/>
          <w:highlight w:val="none"/>
          <w:lang w:eastAsia="zh-CN"/>
        </w:rPr>
        <w:t>@qq.com</w:t>
      </w:r>
      <w:r>
        <w:rPr>
          <w:rFonts w:ascii="宋体" w:hAnsi="宋体" w:cs="Arial"/>
          <w:b/>
          <w:color w:val="auto"/>
          <w:kern w:val="0"/>
          <w:sz w:val="24"/>
          <w:szCs w:val="24"/>
          <w:highlight w:val="none"/>
        </w:rPr>
        <w:t>，如没有发送的，视为对采购代理机构和采购人之间、投标人与其</w:t>
      </w:r>
      <w:r>
        <w:rPr>
          <w:rFonts w:hint="eastAsia" w:ascii="宋体" w:hAnsi="宋体" w:cs="Arial"/>
          <w:b/>
          <w:color w:val="auto"/>
          <w:kern w:val="0"/>
          <w:sz w:val="24"/>
          <w:szCs w:val="24"/>
          <w:highlight w:val="none"/>
        </w:rPr>
        <w:t>他供应商均不存在利害关系</w:t>
      </w:r>
      <w:r>
        <w:rPr>
          <w:rFonts w:hint="eastAsia" w:ascii="宋体" w:hAnsi="宋体" w:cs="宋体"/>
          <w:b/>
          <w:bCs/>
          <w:color w:val="auto"/>
          <w:kern w:val="0"/>
          <w:sz w:val="24"/>
          <w:highlight w:val="none"/>
          <w:lang w:eastAsia="zh-CN"/>
        </w:rPr>
        <w:t>。</w:t>
      </w:r>
    </w:p>
    <w:p w14:paraId="4A5BB608">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3）开启投标文件，首先进行资格审查；如发现投标供应商所提交的资格证明材料不合法或与事实不符，可取消其中标资格并追究投标供应商的法律责任。如资格证明材料无法证明其符合招标文件规定的“投标供应商资格要求”的，将对其作资格审查不通过处理（无效投标），并不进入后续磋商小组评审。</w:t>
      </w:r>
    </w:p>
    <w:p w14:paraId="58013F63">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（4）资格审查通过的投标供应商的进入商务与技术的符合性审查、评审；</w:t>
      </w:r>
    </w:p>
    <w:p w14:paraId="204DA3BC">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（5）公布资格审查、符合性审查、商务技术文件评审无效供应商名称及理由；公布有效磋商供应商的名单。</w:t>
      </w:r>
    </w:p>
    <w:p w14:paraId="0252C936">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（6）磋商小组所有成员集中与单一供应商分别进行磋商，并给予所有参加磋商的供应商平等的磋商机会。</w:t>
      </w:r>
    </w:p>
    <w:p w14:paraId="04F132FD">
      <w:pPr>
        <w:spacing w:line="360" w:lineRule="auto"/>
        <w:ind w:firstLine="424" w:firstLineChars="177"/>
        <w:jc w:val="left"/>
        <w:rPr>
          <w:rFonts w:hint="eastAsia" w:ascii="宋体" w:hAnsi="宋体" w:eastAsia="宋体" w:cs="Arial"/>
          <w:b/>
          <w:color w:val="auto"/>
          <w:kern w:val="0"/>
          <w:sz w:val="24"/>
          <w:highlight w:val="none"/>
        </w:rPr>
      </w:pPr>
      <w:r>
        <w:rPr>
          <w:rFonts w:hint="eastAsia" w:ascii="宋体" w:hAnsi="宋体" w:cs="宋体"/>
          <w:color w:val="auto"/>
          <w:kern w:val="0"/>
          <w:sz w:val="24"/>
          <w:highlight w:val="none"/>
        </w:rPr>
        <w:t>（7）磋商文件能够详细列明采购标的的技术、服务要求的，磋商结束后，磋商小组将要求所有实质性响应的供应商在规定时间内在“政采云平台”上提交最后报价</w:t>
      </w:r>
      <w:r>
        <w:rPr>
          <w:rFonts w:hint="eastAsia" w:ascii="宋体" w:hAnsi="宋体" w:cs="Arial"/>
          <w:b/>
          <w:color w:val="auto"/>
          <w:kern w:val="0"/>
          <w:sz w:val="24"/>
          <w:highlight w:val="none"/>
          <w:lang w:val="en-US" w:eastAsia="zh-CN"/>
        </w:rPr>
        <w:t>{</w:t>
      </w:r>
      <w:r>
        <w:rPr>
          <w:rFonts w:hint="eastAsia" w:ascii="宋体" w:hAnsi="宋体" w:cs="Arial"/>
          <w:b/>
          <w:color w:val="auto"/>
          <w:kern w:val="0"/>
          <w:sz w:val="24"/>
          <w:highlight w:val="none"/>
        </w:rPr>
        <w:t>最后报价的工程量清单报价明细表</w:t>
      </w:r>
      <w:r>
        <w:rPr>
          <w:rFonts w:hint="eastAsia" w:ascii="宋体" w:hAnsi="宋体" w:cs="Arial"/>
          <w:b/>
          <w:color w:val="auto"/>
          <w:kern w:val="0"/>
          <w:sz w:val="24"/>
          <w:highlight w:val="none"/>
          <w:lang w:val="en-US" w:eastAsia="zh-CN"/>
        </w:rPr>
        <w:t>及单价计算表</w:t>
      </w:r>
      <w:r>
        <w:rPr>
          <w:rFonts w:hint="eastAsia" w:ascii="宋体" w:hAnsi="宋体" w:cs="Arial"/>
          <w:b/>
          <w:color w:val="auto"/>
          <w:kern w:val="0"/>
          <w:sz w:val="24"/>
          <w:highlight w:val="none"/>
        </w:rPr>
        <w:t>不用提供</w:t>
      </w:r>
      <w:r>
        <w:rPr>
          <w:rFonts w:hint="eastAsia" w:ascii="宋体" w:hAnsi="宋体" w:cs="Arial"/>
          <w:b/>
          <w:color w:val="auto"/>
          <w:kern w:val="0"/>
          <w:sz w:val="24"/>
          <w:highlight w:val="none"/>
          <w:lang w:val="en-US" w:eastAsia="zh-CN"/>
        </w:rPr>
        <w:t>}</w:t>
      </w:r>
      <w:r>
        <w:rPr>
          <w:rFonts w:hint="eastAsia" w:ascii="宋体" w:hAnsi="宋体" w:cs="宋体"/>
          <w:color w:val="auto"/>
          <w:kern w:val="0"/>
          <w:sz w:val="24"/>
          <w:highlight w:val="none"/>
        </w:rPr>
        <w:t>，</w:t>
      </w:r>
      <w:r>
        <w:rPr>
          <w:rFonts w:hint="eastAsia" w:ascii="宋体" w:hAnsi="宋体" w:eastAsia="宋体" w:cs="Arial"/>
          <w:b/>
          <w:color w:val="auto"/>
          <w:kern w:val="0"/>
          <w:sz w:val="24"/>
          <w:highlight w:val="none"/>
        </w:rPr>
        <w:t>最后报价是供应商响应文件的有效组成部分。</w:t>
      </w:r>
      <w:r>
        <w:rPr>
          <w:rFonts w:hint="eastAsia" w:ascii="宋体" w:hAnsi="宋体" w:cs="Arial"/>
          <w:b/>
          <w:color w:val="auto"/>
          <w:kern w:val="0"/>
          <w:sz w:val="24"/>
          <w:highlight w:val="none"/>
          <w:lang w:eastAsia="zh-CN"/>
        </w:rPr>
        <w:t>▲</w:t>
      </w:r>
      <w:r>
        <w:rPr>
          <w:rFonts w:hint="eastAsia" w:ascii="宋体" w:hAnsi="宋体" w:eastAsia="宋体" w:cs="Arial"/>
          <w:b/>
          <w:color w:val="auto"/>
          <w:kern w:val="0"/>
          <w:sz w:val="24"/>
          <w:highlight w:val="none"/>
        </w:rPr>
        <w:t>若实质性采购需求技术、服务未作改变的，最后报价不得高于首次报价，否则做无效标处理。</w:t>
      </w:r>
    </w:p>
    <w:p w14:paraId="4849BFA8">
      <w:pPr>
        <w:spacing w:line="360" w:lineRule="auto"/>
        <w:ind w:firstLine="426" w:firstLineChars="177"/>
        <w:jc w:val="left"/>
        <w:rPr>
          <w:rFonts w:ascii="宋体" w:hAnsi="宋体" w:cs="宋体"/>
          <w:b/>
          <w:bCs/>
          <w:color w:val="auto"/>
          <w:kern w:val="0"/>
          <w:sz w:val="24"/>
          <w:highlight w:val="none"/>
        </w:rPr>
      </w:pPr>
      <w:r>
        <w:rPr>
          <w:rFonts w:hint="eastAsia" w:ascii="宋体" w:hAnsi="宋体" w:cs="宋体"/>
          <w:b/>
          <w:color w:val="auto"/>
          <w:sz w:val="24"/>
          <w:highlight w:val="none"/>
        </w:rPr>
        <w:t>▲</w:t>
      </w:r>
      <w:r>
        <w:rPr>
          <w:rFonts w:hint="eastAsia" w:ascii="宋体" w:hAnsi="宋体" w:cs="宋体"/>
          <w:b/>
          <w:bCs/>
          <w:color w:val="auto"/>
          <w:kern w:val="0"/>
          <w:sz w:val="24"/>
          <w:highlight w:val="none"/>
        </w:rPr>
        <w:t>若在规定报价时间内，供应商未完成最终报价的，则该供应商作无效处理，由此引起的后果由供应商自行承担。</w:t>
      </w:r>
    </w:p>
    <w:p w14:paraId="4C75942E">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（8）经磋商确定最终采购需求和提交最后报价的供应商后，由磋商小组采用综合评分法对提交最后报价的供应商的响应文件和最后报价进行综合评分。</w:t>
      </w:r>
    </w:p>
    <w:p w14:paraId="52F41E62">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（9）磋商小组根据综合评分情况，按照评审得分由高到低顺序确定预成交供应商，编写评审报告。</w:t>
      </w:r>
    </w:p>
    <w:p w14:paraId="46039B8B">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（10）评审结束后，公布中标（成交）候选供应商名单，或在政釆云平台上进行公布结果。</w:t>
      </w:r>
    </w:p>
    <w:p w14:paraId="1F2B5A1C">
      <w:pPr>
        <w:spacing w:line="360" w:lineRule="auto"/>
        <w:ind w:firstLine="426" w:firstLineChars="177"/>
        <w:jc w:val="left"/>
        <w:rPr>
          <w:rFonts w:ascii="宋体" w:hAnsi="宋体" w:cs="宋体"/>
          <w:b/>
          <w:color w:val="auto"/>
          <w:kern w:val="0"/>
          <w:sz w:val="24"/>
          <w:highlight w:val="none"/>
        </w:rPr>
      </w:pPr>
      <w:r>
        <w:rPr>
          <w:rFonts w:hint="eastAsia" w:ascii="宋体" w:hAnsi="宋体" w:cs="宋体"/>
          <w:b/>
          <w:color w:val="auto"/>
          <w:kern w:val="0"/>
          <w:sz w:val="24"/>
          <w:highlight w:val="none"/>
        </w:rPr>
        <w:t>特别说明：1、如遇“政府采购云平台”电子化开标或评审程序调整的，按调整后程序执行。</w:t>
      </w:r>
    </w:p>
    <w:p w14:paraId="23EA4C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2、磋商小组必须按照客观、公正、审慎的原则，根据磋商文件规定的评审程序、评审方法和评审标准进行独立评审。</w:t>
      </w:r>
      <w:r>
        <w:rPr>
          <w:rFonts w:hint="eastAsia" w:ascii="宋体" w:hAnsi="宋体" w:cs="宋体"/>
          <w:b/>
          <w:color w:val="auto"/>
          <w:sz w:val="24"/>
          <w:highlight w:val="none"/>
        </w:rPr>
        <w:t>▲</w:t>
      </w:r>
      <w:r>
        <w:rPr>
          <w:rFonts w:hint="eastAsia" w:ascii="宋体" w:hAnsi="宋体" w:cs="宋体"/>
          <w:color w:val="auto"/>
          <w:sz w:val="24"/>
          <w:highlight w:val="none"/>
        </w:rPr>
        <w:t>未实质性响应磋商文件的响应文件按无效响应处理，磋商小组应当告知提交响应文件的供应商。</w:t>
      </w:r>
    </w:p>
    <w:p w14:paraId="1FF6B71F">
      <w:pPr>
        <w:pStyle w:val="14"/>
        <w:snapToGrid w:val="0"/>
        <w:spacing w:line="360" w:lineRule="auto"/>
        <w:ind w:left="720" w:leftChars="228" w:hanging="241" w:hangingChars="100"/>
        <w:rPr>
          <w:rFonts w:ascii="宋体" w:hAnsi="宋体" w:eastAsia="宋体" w:cs="宋体"/>
          <w:color w:val="auto"/>
          <w:sz w:val="24"/>
          <w:highlight w:val="none"/>
        </w:rPr>
      </w:pPr>
      <w:r>
        <w:rPr>
          <w:rFonts w:hint="eastAsia" w:ascii="宋体" w:hAnsi="宋体" w:eastAsia="宋体" w:cs="宋体"/>
          <w:b/>
          <w:color w:val="auto"/>
          <w:sz w:val="24"/>
          <w:highlight w:val="none"/>
        </w:rPr>
        <w:t>（三）澄清问题的形式</w:t>
      </w:r>
    </w:p>
    <w:p w14:paraId="7468938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磋商供应商的澄清、说明或者补正应当采用书面形式，并加盖公章，或者由法定代理人或其授权的代表签字，并不得超出磋商响应文件的范围或者改变磋商响应文件的实质性内容。</w:t>
      </w:r>
    </w:p>
    <w:p w14:paraId="14E4CA08">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（四）错误修正</w:t>
      </w:r>
    </w:p>
    <w:p w14:paraId="0B7E8245">
      <w:pPr>
        <w:pStyle w:val="23"/>
        <w:spacing w:before="0" w:beforeAutospacing="0" w:after="0" w:afterAutospacing="0" w:line="360" w:lineRule="auto"/>
        <w:ind w:firstLine="480" w:firstLineChars="200"/>
        <w:jc w:val="both"/>
        <w:rPr>
          <w:rFonts w:hint="default" w:ascii="宋体" w:hAnsi="宋体" w:cs="宋体"/>
          <w:color w:val="auto"/>
          <w:highlight w:val="none"/>
        </w:rPr>
      </w:pPr>
      <w:r>
        <w:rPr>
          <w:rFonts w:ascii="宋体" w:hAnsi="宋体" w:cs="宋体"/>
          <w:color w:val="auto"/>
          <w:highlight w:val="none"/>
        </w:rPr>
        <w:t>磋商响应文件报价出现前后不一致的，除</w:t>
      </w:r>
      <w:r>
        <w:rPr>
          <w:rFonts w:ascii="宋体" w:hAnsi="宋体" w:cs="宋体"/>
          <w:bCs/>
          <w:color w:val="auto"/>
          <w:highlight w:val="none"/>
        </w:rPr>
        <w:t>磋商采购文件</w:t>
      </w:r>
      <w:r>
        <w:rPr>
          <w:rFonts w:ascii="宋体" w:hAnsi="宋体" w:cs="宋体"/>
          <w:color w:val="auto"/>
          <w:highlight w:val="none"/>
        </w:rPr>
        <w:t>另有规定外，按照下列规定修正：</w:t>
      </w:r>
    </w:p>
    <w:p w14:paraId="0DD2FE61">
      <w:pPr>
        <w:pStyle w:val="23"/>
        <w:spacing w:before="0" w:beforeAutospacing="0" w:after="0" w:afterAutospacing="0" w:line="360" w:lineRule="auto"/>
        <w:ind w:firstLine="465"/>
        <w:jc w:val="both"/>
        <w:rPr>
          <w:rFonts w:ascii="宋体" w:hAnsi="宋体" w:cs="宋体"/>
          <w:color w:val="auto"/>
          <w:highlight w:val="none"/>
        </w:rPr>
      </w:pPr>
      <w:r>
        <w:rPr>
          <w:rFonts w:ascii="宋体" w:hAnsi="宋体" w:cs="宋体"/>
          <w:color w:val="auto"/>
          <w:highlight w:val="none"/>
        </w:rPr>
        <w:t>1、</w:t>
      </w:r>
      <w:r>
        <w:rPr>
          <w:color w:val="auto"/>
        </w:rPr>
        <w:t>政采云平台上开启的投标报价与电子投标文件中报价一览表（报价表）内容不一致的，以电子投标文件中报价一览表（报价表）为准；</w:t>
      </w:r>
    </w:p>
    <w:p w14:paraId="63500F2E">
      <w:pPr>
        <w:pStyle w:val="23"/>
        <w:spacing w:before="0" w:beforeAutospacing="0" w:after="0" w:afterAutospacing="0" w:line="360" w:lineRule="auto"/>
        <w:ind w:firstLine="480"/>
        <w:jc w:val="both"/>
        <w:rPr>
          <w:rFonts w:hint="default" w:ascii="宋体" w:hAnsi="宋体" w:cs="宋体"/>
          <w:color w:val="auto"/>
          <w:highlight w:val="none"/>
        </w:rPr>
      </w:pPr>
      <w:r>
        <w:rPr>
          <w:rFonts w:hint="eastAsia" w:ascii="宋体" w:hAnsi="宋体" w:cs="宋体"/>
          <w:color w:val="auto"/>
          <w:highlight w:val="none"/>
          <w:lang w:val="en-US" w:eastAsia="zh-CN"/>
        </w:rPr>
        <w:t>2、</w:t>
      </w:r>
      <w:r>
        <w:rPr>
          <w:rFonts w:ascii="宋体" w:hAnsi="宋体" w:cs="宋体"/>
          <w:color w:val="auto"/>
          <w:highlight w:val="none"/>
        </w:rPr>
        <w:t>磋商响应文件中首次报价一览表内容与磋商响应文件中相应内容不一致的，以首次报价一览表为准；</w:t>
      </w:r>
    </w:p>
    <w:p w14:paraId="5D673ACD">
      <w:pPr>
        <w:pStyle w:val="23"/>
        <w:spacing w:before="0" w:beforeAutospacing="0" w:after="0" w:afterAutospacing="0" w:line="360" w:lineRule="auto"/>
        <w:jc w:val="both"/>
        <w:rPr>
          <w:rFonts w:hint="default" w:ascii="宋体" w:hAnsi="宋体" w:cs="宋体"/>
          <w:color w:val="auto"/>
          <w:highlight w:val="none"/>
        </w:rPr>
      </w:pPr>
      <w:r>
        <w:rPr>
          <w:rFonts w:ascii="宋体" w:hAnsi="宋体" w:cs="宋体"/>
          <w:color w:val="auto"/>
          <w:highlight w:val="none"/>
        </w:rPr>
        <w:t>　　</w:t>
      </w:r>
      <w:r>
        <w:rPr>
          <w:rFonts w:hint="eastAsia" w:ascii="宋体" w:hAnsi="宋体" w:cs="宋体"/>
          <w:color w:val="auto"/>
          <w:highlight w:val="none"/>
          <w:lang w:val="en-US" w:eastAsia="zh-CN"/>
        </w:rPr>
        <w:t>3</w:t>
      </w:r>
      <w:r>
        <w:rPr>
          <w:rFonts w:ascii="宋体" w:hAnsi="宋体" w:cs="宋体"/>
          <w:color w:val="auto"/>
          <w:highlight w:val="none"/>
        </w:rPr>
        <w:t>、大写金额和小写金额不一致的，以大写金额为准；</w:t>
      </w:r>
    </w:p>
    <w:p w14:paraId="089486A8">
      <w:pPr>
        <w:pStyle w:val="23"/>
        <w:spacing w:before="0" w:beforeAutospacing="0" w:after="0" w:afterAutospacing="0" w:line="360" w:lineRule="auto"/>
        <w:jc w:val="both"/>
        <w:rPr>
          <w:rFonts w:hint="default" w:ascii="宋体" w:hAnsi="宋体" w:cs="宋体"/>
          <w:color w:val="auto"/>
          <w:highlight w:val="none"/>
        </w:rPr>
      </w:pPr>
      <w:r>
        <w:rPr>
          <w:rFonts w:ascii="宋体" w:hAnsi="宋体" w:cs="宋体"/>
          <w:color w:val="auto"/>
          <w:highlight w:val="none"/>
        </w:rPr>
        <w:t>　　</w:t>
      </w:r>
      <w:r>
        <w:rPr>
          <w:rFonts w:hint="eastAsia" w:ascii="宋体" w:hAnsi="宋体" w:cs="宋体"/>
          <w:color w:val="auto"/>
          <w:highlight w:val="none"/>
          <w:lang w:val="en-US" w:eastAsia="zh-CN"/>
        </w:rPr>
        <w:t>4</w:t>
      </w:r>
      <w:r>
        <w:rPr>
          <w:rFonts w:ascii="宋体" w:hAnsi="宋体" w:cs="宋体"/>
          <w:color w:val="auto"/>
          <w:highlight w:val="none"/>
        </w:rPr>
        <w:t>、单价金额小数点或者百分比有明显错位的，以首次报价一览表的总价为准，并修改单价；</w:t>
      </w:r>
    </w:p>
    <w:p w14:paraId="7E098252">
      <w:pPr>
        <w:pStyle w:val="23"/>
        <w:spacing w:before="0" w:beforeAutospacing="0" w:after="0" w:afterAutospacing="0" w:line="360" w:lineRule="auto"/>
        <w:jc w:val="both"/>
        <w:rPr>
          <w:rFonts w:hint="default" w:ascii="宋体" w:hAnsi="宋体" w:cs="宋体"/>
          <w:color w:val="auto"/>
          <w:highlight w:val="none"/>
        </w:rPr>
      </w:pPr>
      <w:r>
        <w:rPr>
          <w:rFonts w:ascii="宋体" w:hAnsi="宋体" w:cs="宋体"/>
          <w:color w:val="auto"/>
          <w:highlight w:val="none"/>
        </w:rPr>
        <w:t>　　</w:t>
      </w:r>
      <w:r>
        <w:rPr>
          <w:rFonts w:hint="eastAsia" w:ascii="宋体" w:hAnsi="宋体" w:cs="宋体"/>
          <w:color w:val="auto"/>
          <w:highlight w:val="none"/>
          <w:lang w:val="en-US" w:eastAsia="zh-CN"/>
        </w:rPr>
        <w:t>5</w:t>
      </w:r>
      <w:r>
        <w:rPr>
          <w:rFonts w:ascii="宋体" w:hAnsi="宋体" w:cs="宋体"/>
          <w:color w:val="auto"/>
          <w:highlight w:val="none"/>
        </w:rPr>
        <w:t>、总价金额与按单价汇总金额不一致的，以单价金额计算结果为准。</w:t>
      </w:r>
    </w:p>
    <w:p w14:paraId="546C3775">
      <w:pPr>
        <w:pStyle w:val="23"/>
        <w:spacing w:before="0" w:beforeAutospacing="0" w:after="0" w:afterAutospacing="0" w:line="360" w:lineRule="auto"/>
        <w:ind w:firstLine="480"/>
        <w:jc w:val="both"/>
        <w:rPr>
          <w:rFonts w:hint="default" w:ascii="宋体" w:hAnsi="宋体" w:cs="宋体"/>
          <w:color w:val="auto"/>
          <w:highlight w:val="none"/>
        </w:rPr>
      </w:pPr>
      <w:r>
        <w:rPr>
          <w:rFonts w:hint="eastAsia" w:ascii="宋体" w:hAnsi="宋体" w:cs="宋体"/>
          <w:b/>
          <w:color w:val="auto"/>
          <w:sz w:val="24"/>
          <w:highlight w:val="none"/>
        </w:rPr>
        <w:t>▲</w:t>
      </w:r>
      <w:r>
        <w:rPr>
          <w:rFonts w:ascii="宋体" w:hAnsi="宋体" w:cs="宋体"/>
          <w:color w:val="auto"/>
          <w:highlight w:val="none"/>
        </w:rPr>
        <w:t>同时出现两种以上不一致的，按照前款规定的顺序修正。按上述修正错误的原则及方法调整或修正磋商响应文件的投标报价，磋商供应商同意并签字确认后，以扫描件形式发送至指定邮箱。修正后的报价经磋商供应商确认后产生约束力，磋商供应商不确认</w:t>
      </w:r>
      <w:r>
        <w:rPr>
          <w:rFonts w:ascii="宋体" w:hAnsi="宋体"/>
          <w:color w:val="auto"/>
        </w:rPr>
        <w:t>或在规定的时间内未能有效澄清</w:t>
      </w:r>
      <w:r>
        <w:rPr>
          <w:rFonts w:ascii="宋体" w:hAnsi="宋体" w:cs="宋体"/>
          <w:color w:val="auto"/>
          <w:highlight w:val="none"/>
        </w:rPr>
        <w:t>的，将终止磋商。</w:t>
      </w:r>
    </w:p>
    <w:p w14:paraId="70ECCDE7">
      <w:pPr>
        <w:pStyle w:val="23"/>
        <w:spacing w:before="0" w:beforeAutospacing="0" w:after="0" w:afterAutospacing="0" w:line="360" w:lineRule="auto"/>
        <w:ind w:firstLine="480"/>
        <w:rPr>
          <w:rFonts w:hint="default" w:ascii="宋体" w:hAnsi="宋体" w:cs="宋体"/>
          <w:color w:val="auto"/>
          <w:highlight w:val="none"/>
        </w:rPr>
      </w:pPr>
      <w:r>
        <w:rPr>
          <w:rFonts w:hint="eastAsia" w:ascii="宋体" w:hAnsi="宋体" w:cs="宋体"/>
          <w:b/>
          <w:color w:val="auto"/>
          <w:sz w:val="24"/>
          <w:highlight w:val="none"/>
        </w:rPr>
        <w:t>▲</w:t>
      </w:r>
      <w:r>
        <w:rPr>
          <w:rFonts w:ascii="宋体" w:hAnsi="宋体" w:cs="宋体"/>
          <w:b/>
          <w:bCs/>
          <w:color w:val="auto"/>
          <w:highlight w:val="none"/>
        </w:rPr>
        <w:t>（五）</w:t>
      </w:r>
      <w:r>
        <w:rPr>
          <w:rFonts w:ascii="宋体" w:hAnsi="宋体" w:cs="宋体"/>
          <w:b/>
          <w:color w:val="auto"/>
          <w:highlight w:val="none"/>
        </w:rPr>
        <w:t>磋商供应商存在下列情况之一的，响应无效，终止磋商</w:t>
      </w:r>
    </w:p>
    <w:p w14:paraId="7BF43A75">
      <w:pPr>
        <w:adjustRightInd w:val="0"/>
        <w:snapToGrid w:val="0"/>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kern w:val="0"/>
          <w:sz w:val="24"/>
          <w:highlight w:val="none"/>
        </w:rPr>
        <w:t>1、磋商响应文件中的报价跟商务与技术内容中的出现重大偏差的；</w:t>
      </w:r>
    </w:p>
    <w:p w14:paraId="1ACF482A">
      <w:pPr>
        <w:pStyle w:val="23"/>
        <w:tabs>
          <w:tab w:val="left" w:pos="7380"/>
        </w:tabs>
        <w:adjustRightInd w:val="0"/>
        <w:snapToGrid w:val="0"/>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2、不具备磋商采购文件中规定的资格要求的。</w:t>
      </w:r>
    </w:p>
    <w:p w14:paraId="60FB2B0F">
      <w:pPr>
        <w:pStyle w:val="23"/>
        <w:adjustRightInd w:val="0"/>
        <w:snapToGrid w:val="0"/>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3、磋商响应文件含有采购人不能接受的附加条件的。</w:t>
      </w:r>
    </w:p>
    <w:p w14:paraId="24F00612">
      <w:pPr>
        <w:adjustRightInd w:val="0"/>
        <w:snapToGrid w:val="0"/>
        <w:spacing w:line="360" w:lineRule="auto"/>
        <w:ind w:right="-340" w:rightChars="-162" w:firstLine="480" w:firstLineChars="200"/>
        <w:jc w:val="left"/>
        <w:rPr>
          <w:rFonts w:ascii="宋体" w:hAnsi="宋体" w:cs="宋体"/>
          <w:bCs/>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sz w:val="24"/>
          <w:highlight w:val="none"/>
        </w:rPr>
        <w:t>、供应商代表人未能出具身份证明或与法定代表人授权委托人身份不符的；</w:t>
      </w:r>
    </w:p>
    <w:p w14:paraId="441322CE">
      <w:pPr>
        <w:pStyle w:val="23"/>
        <w:adjustRightInd w:val="0"/>
        <w:snapToGrid w:val="0"/>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0FD22574">
      <w:pPr>
        <w:pStyle w:val="23"/>
        <w:adjustRightInd w:val="0"/>
        <w:snapToGrid w:val="0"/>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6、报价超过磋商采购文件中规定的预算金额/最高限（单）价。</w:t>
      </w:r>
    </w:p>
    <w:p w14:paraId="1EBD8D8F">
      <w:pPr>
        <w:tabs>
          <w:tab w:val="left" w:pos="1898"/>
        </w:tabs>
        <w:autoSpaceDE w:val="0"/>
        <w:autoSpaceDN w:val="0"/>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7、磋商参数未如实填写的。</w:t>
      </w:r>
    </w:p>
    <w:p w14:paraId="33D92E7B">
      <w:pPr>
        <w:tabs>
          <w:tab w:val="left" w:pos="1898"/>
        </w:tabs>
        <w:autoSpaceDE w:val="0"/>
        <w:autoSpaceDN w:val="0"/>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8、磋商响应文件提供虚假材料的。</w:t>
      </w:r>
    </w:p>
    <w:p w14:paraId="39E19683">
      <w:pPr>
        <w:tabs>
          <w:tab w:val="left" w:pos="1898"/>
        </w:tabs>
        <w:autoSpaceDE w:val="0"/>
        <w:autoSpaceDN w:val="0"/>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9、</w:t>
      </w:r>
      <w:r>
        <w:rPr>
          <w:rFonts w:hint="eastAsia" w:ascii="宋体" w:hAnsi="宋体" w:cs="宋体"/>
          <w:color w:val="auto"/>
          <w:sz w:val="24"/>
          <w:highlight w:val="none"/>
        </w:rPr>
        <w:t>不同供应商的磋商响应文件由同一单位或者个人编制；</w:t>
      </w:r>
    </w:p>
    <w:p w14:paraId="12660067">
      <w:pPr>
        <w:pStyle w:val="23"/>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10、不同供应商委托同一单位或者个人办理磋商事宜；</w:t>
      </w:r>
    </w:p>
    <w:p w14:paraId="324E2580">
      <w:pPr>
        <w:pStyle w:val="23"/>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11、不同供应商的磋商响应文件载明的项目管理成员或者联系人员为同一人；</w:t>
      </w:r>
    </w:p>
    <w:p w14:paraId="62B7B9A6">
      <w:pPr>
        <w:pStyle w:val="23"/>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12、不同供应商的磋商响应文件异常一致或者报价呈规律性差异；</w:t>
      </w:r>
    </w:p>
    <w:p w14:paraId="214E93F3">
      <w:pPr>
        <w:pStyle w:val="23"/>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13、不同供应商的磋商响应文件相互混装；</w:t>
      </w:r>
    </w:p>
    <w:p w14:paraId="49B713AC">
      <w:pPr>
        <w:pStyle w:val="23"/>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14、不符合法律、法规和磋商采购文件中规定的其他实质性要求的（磋商采购文件中打“▲”内容及被拒绝的条款）。</w:t>
      </w:r>
    </w:p>
    <w:p w14:paraId="10E48BBF">
      <w:pPr>
        <w:pStyle w:val="23"/>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15、</w:t>
      </w:r>
      <w:r>
        <w:rPr>
          <w:rFonts w:ascii="宋体" w:hAnsi="宋体" w:cs="宋体"/>
          <w:b/>
          <w:bCs/>
          <w:color w:val="auto"/>
          <w:highlight w:val="none"/>
        </w:rPr>
        <w:t>仅提交“备份投标文件”或电子磋商响应文件未按时完成解密，又未提供备份电子磋商响应文件的；</w:t>
      </w:r>
    </w:p>
    <w:p w14:paraId="317FAB71">
      <w:pPr>
        <w:autoSpaceDE w:val="0"/>
        <w:autoSpaceDN w:val="0"/>
        <w:adjustRightInd w:val="0"/>
        <w:spacing w:line="360" w:lineRule="auto"/>
        <w:ind w:firstLine="482" w:firstLineChars="200"/>
        <w:jc w:val="left"/>
        <w:rPr>
          <w:rFonts w:ascii="宋体" w:hAnsi="宋体" w:cs="宋体"/>
          <w:color w:val="auto"/>
          <w:kern w:val="0"/>
          <w:sz w:val="24"/>
          <w:highlight w:val="none"/>
        </w:rPr>
      </w:pP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rPr>
        <w:t>（六）有下列情况之一的，本次磋商终止。</w:t>
      </w:r>
    </w:p>
    <w:p w14:paraId="1A278FF7">
      <w:pPr>
        <w:pStyle w:val="23"/>
        <w:spacing w:before="0" w:beforeAutospacing="0" w:after="0" w:afterAutospacing="0" w:line="360" w:lineRule="auto"/>
        <w:ind w:firstLine="600" w:firstLineChars="250"/>
        <w:jc w:val="both"/>
        <w:rPr>
          <w:rFonts w:hint="default" w:ascii="宋体" w:hAnsi="宋体" w:cs="宋体"/>
          <w:color w:val="auto"/>
          <w:highlight w:val="none"/>
        </w:rPr>
      </w:pPr>
      <w:r>
        <w:rPr>
          <w:rFonts w:ascii="宋体" w:hAnsi="宋体" w:cs="宋体"/>
          <w:color w:val="auto"/>
          <w:highlight w:val="none"/>
        </w:rPr>
        <w:t>1、出现影响采购公正的违法、违规行为的；</w:t>
      </w:r>
    </w:p>
    <w:p w14:paraId="4513D893">
      <w:pPr>
        <w:pStyle w:val="23"/>
        <w:spacing w:before="0" w:beforeAutospacing="0" w:after="0" w:afterAutospacing="0" w:line="360" w:lineRule="auto"/>
        <w:ind w:firstLine="600" w:firstLineChars="250"/>
        <w:jc w:val="both"/>
        <w:rPr>
          <w:rFonts w:hint="default" w:ascii="宋体" w:hAnsi="宋体" w:cs="宋体"/>
          <w:color w:val="auto"/>
          <w:highlight w:val="none"/>
        </w:rPr>
      </w:pPr>
      <w:r>
        <w:rPr>
          <w:rFonts w:ascii="宋体" w:hAnsi="宋体" w:cs="宋体"/>
          <w:color w:val="auto"/>
          <w:highlight w:val="none"/>
        </w:rPr>
        <w:t xml:space="preserve">2、磋商小组发现磋商文件存在歧义、重大缺陷导致评审工作无法进行，或者磋商文件内容违反国家有关强制性规定的； </w:t>
      </w:r>
    </w:p>
    <w:p w14:paraId="48CC38FB">
      <w:pPr>
        <w:pStyle w:val="23"/>
        <w:spacing w:before="0" w:beforeAutospacing="0" w:after="0" w:afterAutospacing="0" w:line="360" w:lineRule="auto"/>
        <w:ind w:firstLine="600" w:firstLineChars="250"/>
        <w:jc w:val="both"/>
        <w:rPr>
          <w:rFonts w:hint="default" w:ascii="宋体" w:hAnsi="宋体" w:eastAsia="宋体" w:cs="宋体"/>
          <w:color w:val="auto"/>
          <w:highlight w:val="none"/>
        </w:rPr>
      </w:pPr>
      <w:r>
        <w:rPr>
          <w:rFonts w:ascii="宋体" w:hAnsi="宋体" w:eastAsia="宋体" w:cs="宋体"/>
          <w:color w:val="auto"/>
          <w:highlight w:val="none"/>
        </w:rPr>
        <w:t>3、因重大变故，采购任务取消的；</w:t>
      </w:r>
    </w:p>
    <w:p w14:paraId="2314AAA6">
      <w:pPr>
        <w:pStyle w:val="23"/>
        <w:spacing w:before="0" w:beforeAutospacing="0" w:after="0" w:afterAutospacing="0" w:line="360" w:lineRule="auto"/>
        <w:ind w:firstLine="600" w:firstLineChars="250"/>
        <w:jc w:val="both"/>
        <w:rPr>
          <w:rFonts w:hint="default" w:ascii="宋体" w:hAnsi="宋体" w:eastAsia="宋体" w:cs="宋体"/>
          <w:color w:val="auto"/>
          <w:highlight w:val="none"/>
        </w:rPr>
      </w:pPr>
      <w:r>
        <w:rPr>
          <w:rFonts w:ascii="宋体" w:hAnsi="宋体" w:eastAsia="宋体" w:cs="宋体"/>
          <w:color w:val="auto"/>
          <w:highlight w:val="none"/>
        </w:rPr>
        <w:t>4、法律、法规和磋商文件规定的其他导致评审结果无效的。</w:t>
      </w:r>
    </w:p>
    <w:p w14:paraId="5A526084">
      <w:pPr>
        <w:pStyle w:val="23"/>
        <w:spacing w:before="0" w:beforeAutospacing="0" w:after="0" w:afterAutospacing="0" w:line="360" w:lineRule="auto"/>
        <w:ind w:firstLine="600" w:firstLineChars="25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5、因电子交易平台故障无法登录、无法正常操作等导致平台无法正常运行，或者无法保证电子交易的公平、公正和安全时，采购组织机构可中止电子交易活动</w:t>
      </w:r>
      <w:r>
        <w:rPr>
          <w:rFonts w:hint="eastAsia" w:ascii="宋体" w:hAnsi="宋体" w:eastAsia="宋体" w:cs="宋体"/>
          <w:color w:val="auto"/>
          <w:highlight w:val="none"/>
          <w:lang w:eastAsia="zh-CN"/>
        </w:rPr>
        <w:t>。</w:t>
      </w:r>
    </w:p>
    <w:p w14:paraId="7313CB5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（七）磋商原则和方法</w:t>
      </w:r>
    </w:p>
    <w:p w14:paraId="0D4654BA">
      <w:pPr>
        <w:pStyle w:val="14"/>
        <w:snapToGrid w:val="0"/>
        <w:spacing w:line="360" w:lineRule="auto"/>
        <w:ind w:firstLine="602" w:firstLineChars="250"/>
        <w:rPr>
          <w:rFonts w:ascii="宋体" w:hAnsi="宋体" w:eastAsia="宋体" w:cs="宋体"/>
          <w:color w:val="auto"/>
          <w:sz w:val="24"/>
          <w:highlight w:val="none"/>
        </w:rPr>
      </w:pPr>
      <w:r>
        <w:rPr>
          <w:rFonts w:hint="eastAsia" w:ascii="宋体" w:hAnsi="宋体" w:eastAsia="宋体" w:cs="宋体"/>
          <w:color w:val="auto"/>
          <w:sz w:val="24"/>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3050AF39">
      <w:pPr>
        <w:pStyle w:val="14"/>
        <w:snapToGrid w:val="0"/>
        <w:spacing w:line="360" w:lineRule="auto"/>
        <w:ind w:firstLine="602" w:firstLineChars="250"/>
        <w:rPr>
          <w:rFonts w:ascii="宋体" w:hAnsi="宋体" w:eastAsia="宋体" w:cs="宋体"/>
          <w:color w:val="auto"/>
          <w:sz w:val="24"/>
          <w:highlight w:val="none"/>
        </w:rPr>
      </w:pPr>
      <w:r>
        <w:rPr>
          <w:rFonts w:hint="eastAsia" w:ascii="宋体" w:hAnsi="宋体" w:eastAsia="宋体" w:cs="宋体"/>
          <w:color w:val="auto"/>
          <w:sz w:val="24"/>
          <w:highlight w:val="none"/>
        </w:rPr>
        <w:t>2、磋商办法。具体磋商内容及评分标准等详见《第</w:t>
      </w:r>
      <w:r>
        <w:rPr>
          <w:rFonts w:hint="eastAsia" w:hAnsi="宋体" w:cs="宋体"/>
          <w:color w:val="auto"/>
          <w:sz w:val="24"/>
          <w:highlight w:val="none"/>
          <w:lang w:val="en-US" w:eastAsia="zh-CN"/>
        </w:rPr>
        <w:t>四</w:t>
      </w:r>
      <w:r>
        <w:rPr>
          <w:rFonts w:hint="eastAsia" w:ascii="宋体" w:hAnsi="宋体" w:eastAsia="宋体" w:cs="宋体"/>
          <w:color w:val="auto"/>
          <w:sz w:val="24"/>
          <w:highlight w:val="none"/>
        </w:rPr>
        <w:t>章：评审方法及评分标准》。</w:t>
      </w:r>
    </w:p>
    <w:p w14:paraId="7AE86222">
      <w:pPr>
        <w:pStyle w:val="14"/>
        <w:snapToGrid w:val="0"/>
        <w:spacing w:line="360" w:lineRule="auto"/>
        <w:ind w:firstLine="602" w:firstLineChars="250"/>
        <w:rPr>
          <w:rFonts w:ascii="宋体" w:hAnsi="宋体" w:eastAsia="宋体" w:cs="宋体"/>
          <w:color w:val="auto"/>
          <w:sz w:val="24"/>
          <w:highlight w:val="none"/>
        </w:rPr>
      </w:pPr>
      <w:r>
        <w:rPr>
          <w:rFonts w:hint="eastAsia" w:ascii="宋体" w:hAnsi="宋体" w:eastAsia="宋体" w:cs="宋体"/>
          <w:b/>
          <w:color w:val="auto"/>
          <w:sz w:val="24"/>
          <w:highlight w:val="none"/>
        </w:rPr>
        <w:t>（八）评审过程的监控</w:t>
      </w:r>
    </w:p>
    <w:p w14:paraId="6C530ED8">
      <w:pPr>
        <w:pStyle w:val="23"/>
        <w:spacing w:before="0" w:beforeAutospacing="0" w:after="0" w:afterAutospacing="0" w:line="360" w:lineRule="auto"/>
        <w:ind w:firstLine="480" w:firstLineChars="200"/>
        <w:jc w:val="both"/>
        <w:rPr>
          <w:rFonts w:hint="default" w:ascii="宋体" w:hAnsi="宋体" w:cs="宋体"/>
          <w:color w:val="auto"/>
          <w:highlight w:val="none"/>
        </w:rPr>
      </w:pPr>
      <w:r>
        <w:rPr>
          <w:rFonts w:ascii="宋体" w:hAnsi="宋体" w:cs="宋体"/>
          <w:color w:val="auto"/>
          <w:highlight w:val="none"/>
        </w:rPr>
        <w:t>本项目评审过程实行全程录音、录像监控，政府采购监管部门视情进行现场监督，供应商在评审过程中所进行的试图影响评审结果的不公正活动，可能导致其被拒绝磋商。</w:t>
      </w:r>
    </w:p>
    <w:p w14:paraId="0C6F44AD">
      <w:pPr>
        <w:autoSpaceDE w:val="0"/>
        <w:autoSpaceDN w:val="0"/>
        <w:adjustRightInd w:val="0"/>
        <w:spacing w:line="420" w:lineRule="exact"/>
        <w:ind w:left="480"/>
        <w:rPr>
          <w:rFonts w:ascii="宋体" w:hAnsi="宋体"/>
          <w:b/>
          <w:color w:val="auto"/>
          <w:kern w:val="0"/>
          <w:sz w:val="24"/>
          <w:highlight w:val="none"/>
        </w:rPr>
      </w:pPr>
      <w:r>
        <w:rPr>
          <w:rFonts w:hint="eastAsia" w:ascii="宋体" w:hAnsi="宋体"/>
          <w:b/>
          <w:color w:val="auto"/>
          <w:kern w:val="0"/>
          <w:sz w:val="24"/>
          <w:highlight w:val="none"/>
        </w:rPr>
        <w:t>（九）电子交易异常情形处理</w:t>
      </w:r>
    </w:p>
    <w:p w14:paraId="5911821B">
      <w:pPr>
        <w:pStyle w:val="23"/>
        <w:spacing w:before="0" w:beforeAutospacing="0" w:after="0" w:afterAutospacing="0" w:line="360" w:lineRule="auto"/>
        <w:ind w:firstLine="480" w:firstLineChars="200"/>
        <w:jc w:val="both"/>
        <w:rPr>
          <w:rFonts w:hint="default" w:ascii="宋体" w:hAnsi="宋体" w:eastAsia="宋体" w:cs="宋体"/>
          <w:color w:val="auto"/>
          <w:highlight w:val="none"/>
        </w:rPr>
      </w:pPr>
      <w:r>
        <w:rPr>
          <w:rFonts w:ascii="宋体" w:hAnsi="宋体" w:eastAsia="宋体" w:cs="宋体"/>
          <w:color w:val="auto"/>
          <w:highlight w:val="none"/>
        </w:rPr>
        <w:t>采购过程中出现以下情形，导致电子交易平台无法正常运行，或者无法保证电子交易的公平、公正和安全时，采购组织机构可中止电子交易活动：</w:t>
      </w:r>
    </w:p>
    <w:p w14:paraId="02F08085">
      <w:pPr>
        <w:pStyle w:val="23"/>
        <w:spacing w:before="0" w:beforeAutospacing="0" w:after="0" w:afterAutospacing="0" w:line="360" w:lineRule="auto"/>
        <w:ind w:firstLine="480" w:firstLineChars="200"/>
        <w:jc w:val="both"/>
        <w:rPr>
          <w:rFonts w:hint="default" w:ascii="宋体" w:hAnsi="宋体" w:eastAsia="宋体" w:cs="宋体"/>
          <w:color w:val="auto"/>
          <w:highlight w:val="none"/>
        </w:rPr>
      </w:pPr>
      <w:r>
        <w:rPr>
          <w:rFonts w:ascii="宋体" w:hAnsi="宋体" w:eastAsia="宋体" w:cs="宋体"/>
          <w:color w:val="auto"/>
          <w:highlight w:val="none"/>
        </w:rPr>
        <w:t>1、电子交易平台发生故障而无法登录访问的；</w:t>
      </w:r>
    </w:p>
    <w:p w14:paraId="5B47C058">
      <w:pPr>
        <w:pStyle w:val="23"/>
        <w:spacing w:before="0" w:beforeAutospacing="0" w:after="0" w:afterAutospacing="0" w:line="360" w:lineRule="auto"/>
        <w:ind w:firstLine="480" w:firstLineChars="200"/>
        <w:jc w:val="both"/>
        <w:rPr>
          <w:rFonts w:hint="default" w:ascii="宋体" w:hAnsi="宋体" w:eastAsia="宋体" w:cs="宋体"/>
          <w:color w:val="auto"/>
          <w:highlight w:val="none"/>
        </w:rPr>
      </w:pPr>
      <w:r>
        <w:rPr>
          <w:rFonts w:ascii="宋体" w:hAnsi="宋体" w:eastAsia="宋体" w:cs="宋体"/>
          <w:color w:val="auto"/>
          <w:highlight w:val="none"/>
        </w:rPr>
        <w:t>2、电子交易平台应用或数据库出现错误，不能进行正常操作的；</w:t>
      </w:r>
    </w:p>
    <w:p w14:paraId="79600265">
      <w:pPr>
        <w:pStyle w:val="23"/>
        <w:spacing w:before="0" w:beforeAutospacing="0" w:after="0" w:afterAutospacing="0" w:line="360" w:lineRule="auto"/>
        <w:ind w:firstLine="480" w:firstLineChars="200"/>
        <w:jc w:val="both"/>
        <w:rPr>
          <w:rFonts w:hint="default" w:ascii="宋体" w:hAnsi="宋体" w:eastAsia="宋体" w:cs="宋体"/>
          <w:color w:val="auto"/>
          <w:highlight w:val="none"/>
        </w:rPr>
      </w:pPr>
      <w:r>
        <w:rPr>
          <w:rFonts w:ascii="宋体" w:hAnsi="宋体" w:eastAsia="宋体" w:cs="宋体"/>
          <w:color w:val="auto"/>
          <w:highlight w:val="none"/>
        </w:rPr>
        <w:t>3、电子交易平台发现严重安全漏洞，有潜在泄密危险的；</w:t>
      </w:r>
    </w:p>
    <w:p w14:paraId="6413AEF6">
      <w:pPr>
        <w:pStyle w:val="23"/>
        <w:spacing w:before="0" w:beforeAutospacing="0" w:after="0" w:afterAutospacing="0" w:line="360" w:lineRule="auto"/>
        <w:ind w:firstLine="480" w:firstLineChars="200"/>
        <w:jc w:val="both"/>
        <w:rPr>
          <w:rFonts w:hint="default" w:ascii="宋体" w:hAnsi="宋体" w:eastAsia="宋体" w:cs="宋体"/>
          <w:color w:val="auto"/>
          <w:highlight w:val="none"/>
        </w:rPr>
      </w:pPr>
      <w:r>
        <w:rPr>
          <w:rFonts w:ascii="宋体" w:hAnsi="宋体" w:eastAsia="宋体" w:cs="宋体"/>
          <w:color w:val="auto"/>
          <w:highlight w:val="none"/>
        </w:rPr>
        <w:t>4、病毒发作导致不能进行正常操作的；</w:t>
      </w:r>
    </w:p>
    <w:p w14:paraId="2CC93F2E">
      <w:pPr>
        <w:pStyle w:val="23"/>
        <w:spacing w:before="0" w:beforeAutospacing="0" w:after="0" w:afterAutospacing="0" w:line="360" w:lineRule="auto"/>
        <w:ind w:firstLine="480" w:firstLineChars="200"/>
        <w:jc w:val="both"/>
        <w:rPr>
          <w:rFonts w:hint="default" w:ascii="宋体" w:hAnsi="宋体" w:eastAsia="宋体" w:cs="宋体"/>
          <w:color w:val="auto"/>
          <w:highlight w:val="none"/>
        </w:rPr>
      </w:pPr>
      <w:r>
        <w:rPr>
          <w:rFonts w:ascii="宋体" w:hAnsi="宋体" w:eastAsia="宋体" w:cs="宋体"/>
          <w:color w:val="auto"/>
          <w:highlight w:val="none"/>
        </w:rPr>
        <w:t>5、其他无法保证电子交易的公平、公正和安全的情况。</w:t>
      </w:r>
    </w:p>
    <w:p w14:paraId="022B9BF5">
      <w:pPr>
        <w:pStyle w:val="23"/>
        <w:spacing w:before="0" w:beforeAutospacing="0" w:after="0" w:afterAutospacing="0" w:line="360" w:lineRule="auto"/>
        <w:ind w:firstLine="480" w:firstLineChars="200"/>
        <w:jc w:val="both"/>
        <w:rPr>
          <w:rFonts w:ascii="宋体" w:hAnsi="宋体" w:eastAsia="宋体" w:cs="宋体"/>
          <w:color w:val="auto"/>
          <w:highlight w:val="none"/>
        </w:rPr>
      </w:pPr>
      <w:r>
        <w:rPr>
          <w:rFonts w:ascii="宋体" w:hAnsi="宋体" w:eastAsia="宋体" w:cs="宋体"/>
          <w:color w:val="auto"/>
          <w:highlight w:val="none"/>
        </w:rPr>
        <w:t>出现前款规定情形，不影响采购公平、公正性的，采购组织机构可以待上述情形消除后继续组织电子交易活动；影响或可能影响采购公平、公正性的，应当重新采购。</w:t>
      </w:r>
    </w:p>
    <w:p w14:paraId="497FFECE">
      <w:pPr>
        <w:pStyle w:val="23"/>
        <w:spacing w:before="0" w:beforeAutospacing="0" w:after="0" w:afterAutospacing="0" w:line="360" w:lineRule="auto"/>
        <w:ind w:firstLine="482" w:firstLineChars="200"/>
        <w:jc w:val="both"/>
        <w:rPr>
          <w:rFonts w:hint="default" w:ascii="宋体" w:hAnsi="宋体" w:cs="宋体"/>
          <w:b/>
          <w:color w:val="auto"/>
          <w:kern w:val="2"/>
          <w:highlight w:val="none"/>
        </w:rPr>
      </w:pPr>
      <w:r>
        <w:rPr>
          <w:rFonts w:ascii="宋体" w:hAnsi="宋体" w:cs="宋体"/>
          <w:b/>
          <w:color w:val="auto"/>
          <w:kern w:val="2"/>
          <w:highlight w:val="none"/>
        </w:rPr>
        <w:t>五、磋商结果确定</w:t>
      </w:r>
    </w:p>
    <w:p w14:paraId="59F193C9">
      <w:pPr>
        <w:pStyle w:val="23"/>
        <w:spacing w:before="0" w:beforeAutospacing="0" w:after="0" w:afterAutospacing="0" w:line="360" w:lineRule="auto"/>
        <w:ind w:firstLine="600" w:firstLineChars="250"/>
        <w:jc w:val="both"/>
        <w:rPr>
          <w:rFonts w:hint="default" w:ascii="宋体" w:hAnsi="宋体" w:cs="宋体"/>
          <w:color w:val="auto"/>
          <w:highlight w:val="none"/>
        </w:rPr>
      </w:pPr>
      <w:r>
        <w:rPr>
          <w:rFonts w:ascii="宋体" w:hAnsi="宋体" w:cs="宋体"/>
          <w:color w:val="auto"/>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392347D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2、发布成交结果公告。采购组织机构应当在成交供应商确定后2个工作日内，在省级以上财政部门指定的政府采购信息发布媒体及相关网站上公告成交结果，并将磋商文件随同公告。</w:t>
      </w:r>
    </w:p>
    <w:p w14:paraId="3DD3BB6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3、发出成交通知书。采购组织机构在发布成交结果同时，向成交供应商发出成交通知书。</w:t>
      </w:r>
    </w:p>
    <w:p w14:paraId="179059FE">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六、合同签订及公告</w:t>
      </w:r>
    </w:p>
    <w:p w14:paraId="2717D4AE">
      <w:pPr>
        <w:pStyle w:val="23"/>
        <w:spacing w:line="360" w:lineRule="auto"/>
        <w:ind w:firstLine="602" w:firstLineChars="250"/>
        <w:rPr>
          <w:rFonts w:hint="eastAsia" w:ascii="宋体" w:hAnsi="宋体" w:cs="宋体"/>
          <w:b/>
          <w:color w:val="auto"/>
          <w:highlight w:val="none"/>
          <w:lang w:val="en-US" w:eastAsia="zh-CN"/>
        </w:rPr>
      </w:pPr>
      <w:r>
        <w:rPr>
          <w:rFonts w:hint="eastAsia" w:ascii="宋体" w:hAnsi="宋体" w:cs="宋体"/>
          <w:b/>
          <w:color w:val="auto"/>
          <w:highlight w:val="none"/>
          <w:lang w:val="en-US" w:eastAsia="zh-CN"/>
        </w:rPr>
        <w:t>（一）签订合同</w:t>
      </w:r>
    </w:p>
    <w:p w14:paraId="1F58E69A">
      <w:pPr>
        <w:pStyle w:val="23"/>
        <w:spacing w:before="0" w:beforeAutospacing="0" w:after="0" w:afterAutospacing="0" w:line="360" w:lineRule="auto"/>
        <w:ind w:firstLine="600" w:firstLineChars="250"/>
        <w:jc w:val="both"/>
        <w:rPr>
          <w:rFonts w:ascii="宋体" w:hAnsi="宋体" w:cs="宋体"/>
          <w:color w:val="auto"/>
          <w:highlight w:val="none"/>
        </w:rPr>
      </w:pPr>
      <w:r>
        <w:rPr>
          <w:rFonts w:hint="eastAsia" w:ascii="宋体" w:hAnsi="宋体" w:cs="宋体"/>
          <w:color w:val="auto"/>
          <w:highlight w:val="none"/>
        </w:rPr>
        <w:t>1、采购人应当自成交通知书发出之日起30日内，按照磋商采购文件确定的合同文本以及采购标的、规格型号、采购金额、采购数量和服务要求等事项签订政府采购合同。</w:t>
      </w:r>
    </w:p>
    <w:p w14:paraId="3E591E96">
      <w:pPr>
        <w:pStyle w:val="23"/>
        <w:spacing w:before="0" w:beforeAutospacing="0" w:after="0" w:afterAutospacing="0" w:line="360" w:lineRule="auto"/>
        <w:ind w:firstLine="600" w:firstLineChars="250"/>
        <w:jc w:val="both"/>
        <w:rPr>
          <w:rFonts w:hint="default" w:ascii="宋体" w:hAnsi="宋体" w:cs="宋体"/>
          <w:color w:val="auto"/>
          <w:highlight w:val="none"/>
        </w:rPr>
      </w:pPr>
      <w:r>
        <w:rPr>
          <w:rFonts w:ascii="宋体" w:hAnsi="宋体" w:cs="宋体"/>
          <w:color w:val="auto"/>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35642C9E">
      <w:pPr>
        <w:pStyle w:val="23"/>
        <w:spacing w:before="0" w:beforeAutospacing="0" w:after="0" w:afterAutospacing="0" w:line="360" w:lineRule="auto"/>
        <w:ind w:firstLine="600" w:firstLineChars="250"/>
        <w:jc w:val="both"/>
        <w:rPr>
          <w:rFonts w:hint="default" w:ascii="宋体" w:hAnsi="宋体" w:cs="宋体"/>
          <w:color w:val="auto"/>
          <w:highlight w:val="none"/>
        </w:rPr>
      </w:pPr>
      <w:r>
        <w:rPr>
          <w:rFonts w:ascii="宋体" w:hAnsi="宋体" w:cs="宋体"/>
          <w:color w:val="auto"/>
          <w:highlight w:val="none"/>
        </w:rPr>
        <w:t>3、成交供应商无故拖延、拒签合同的,取消成交资格。</w:t>
      </w:r>
    </w:p>
    <w:p w14:paraId="5B7C5135">
      <w:pPr>
        <w:pStyle w:val="23"/>
        <w:spacing w:before="0" w:beforeAutospacing="0" w:after="0" w:afterAutospacing="0" w:line="360" w:lineRule="auto"/>
        <w:ind w:firstLine="600" w:firstLineChars="250"/>
        <w:jc w:val="both"/>
        <w:rPr>
          <w:rFonts w:hint="default" w:ascii="宋体" w:hAnsi="宋体" w:cs="宋体"/>
          <w:color w:val="auto"/>
          <w:highlight w:val="none"/>
        </w:rPr>
      </w:pPr>
      <w:r>
        <w:rPr>
          <w:rFonts w:ascii="宋体" w:hAnsi="宋体" w:cs="宋体"/>
          <w:color w:val="auto"/>
          <w:highlight w:val="none"/>
        </w:rPr>
        <w:t>4、成交供应商拒绝与采购人签订合同或因成交供应商原因造成采购人无法与成交供应商签订合同的，采购人可以按照评审报告名单排序，确定</w:t>
      </w:r>
      <w:r>
        <w:rPr>
          <w:rFonts w:hint="eastAsia" w:ascii="宋体" w:hAnsi="宋体" w:cs="宋体"/>
          <w:color w:val="auto"/>
          <w:highlight w:val="none"/>
        </w:rPr>
        <w:t>下一候选</w:t>
      </w:r>
      <w:r>
        <w:rPr>
          <w:rFonts w:hint="eastAsia" w:ascii="宋体" w:hAnsi="宋体" w:eastAsia="宋体" w:cs="宋体"/>
          <w:color w:val="auto"/>
          <w:sz w:val="24"/>
          <w:highlight w:val="none"/>
        </w:rPr>
        <w:t>供应商</w:t>
      </w:r>
      <w:r>
        <w:rPr>
          <w:rFonts w:ascii="宋体" w:hAnsi="宋体" w:cs="宋体"/>
          <w:color w:val="auto"/>
          <w:highlight w:val="none"/>
        </w:rPr>
        <w:t>为成交供应商，也可以重新开展政府采购活动。同时，拒绝与采购人签订合同的供应商，由同级财政部门依法作出处理。</w:t>
      </w:r>
    </w:p>
    <w:p w14:paraId="6866C34B">
      <w:pPr>
        <w:pStyle w:val="23"/>
        <w:spacing w:before="0" w:beforeAutospacing="0" w:after="0" w:afterAutospacing="0" w:line="360" w:lineRule="auto"/>
        <w:ind w:firstLine="600" w:firstLineChars="250"/>
        <w:jc w:val="both"/>
        <w:rPr>
          <w:rFonts w:hint="default" w:ascii="宋体" w:hAnsi="宋体" w:cs="宋体"/>
          <w:color w:val="auto"/>
          <w:highlight w:val="none"/>
        </w:rPr>
      </w:pPr>
      <w:r>
        <w:rPr>
          <w:rFonts w:ascii="宋体" w:hAnsi="宋体" w:cs="宋体"/>
          <w:color w:val="auto"/>
          <w:highlight w:val="none"/>
        </w:rPr>
        <w:t>5、询问或者质疑事项可能影响成交结果的，采购人应当暂停签订合同，已经签订合同的，应当中止履行合同（成交结果的质疑期为成交结果公告期限届满之日起七个工作日）。</w:t>
      </w:r>
    </w:p>
    <w:p w14:paraId="207767B2">
      <w:pPr>
        <w:pStyle w:val="23"/>
        <w:spacing w:line="360" w:lineRule="auto"/>
        <w:ind w:firstLine="602" w:firstLineChars="250"/>
        <w:rPr>
          <w:rFonts w:hint="default" w:ascii="宋体" w:hAnsi="宋体" w:cs="宋体"/>
          <w:b/>
          <w:color w:val="auto"/>
          <w:highlight w:val="none"/>
        </w:rPr>
      </w:pPr>
      <w:r>
        <w:rPr>
          <w:rFonts w:ascii="宋体" w:hAnsi="宋体" w:cs="宋体"/>
          <w:b/>
          <w:color w:val="auto"/>
          <w:highlight w:val="none"/>
        </w:rPr>
        <w:t>（二）合同公告及备案</w:t>
      </w:r>
    </w:p>
    <w:p w14:paraId="128B4F87">
      <w:pPr>
        <w:pStyle w:val="23"/>
        <w:spacing w:before="0" w:beforeAutospacing="0" w:after="0" w:afterAutospacing="0" w:line="360" w:lineRule="auto"/>
        <w:ind w:firstLine="600" w:firstLineChars="25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1、采购人应当自政府采购合同签订之日起2个工作日内，在省级以上财政部门指定的政府采购信息发布媒体及相关网站上公告。</w:t>
      </w:r>
    </w:p>
    <w:p w14:paraId="4100DCDF">
      <w:pPr>
        <w:pStyle w:val="23"/>
        <w:spacing w:before="0" w:beforeAutospacing="0" w:after="0" w:afterAutospacing="0" w:line="360" w:lineRule="auto"/>
        <w:ind w:firstLine="600" w:firstLineChars="25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2、采购人应当自政府采购合同签订之日起7个工作日内，将政府采购合同副本报同级人民政府财政部门备案以及采购组织机构存档。</w:t>
      </w:r>
    </w:p>
    <w:p w14:paraId="5EE0D4A4">
      <w:pPr>
        <w:pStyle w:val="23"/>
        <w:spacing w:before="0" w:beforeAutospacing="0" w:after="0" w:afterAutospacing="0" w:line="360" w:lineRule="auto"/>
        <w:ind w:firstLine="600" w:firstLineChars="250"/>
        <w:jc w:val="both"/>
        <w:rPr>
          <w:rFonts w:hint="eastAsia" w:ascii="宋体" w:hAnsi="宋体" w:cs="宋体"/>
          <w:color w:val="auto"/>
          <w:highlight w:val="none"/>
          <w:lang w:val="en-US" w:eastAsia="zh-CN"/>
        </w:rPr>
        <w:sectPr>
          <w:pgSz w:w="11906" w:h="16838"/>
          <w:pgMar w:top="1440" w:right="1800" w:bottom="1440" w:left="1800" w:header="851" w:footer="992" w:gutter="0"/>
          <w:pgNumType w:fmt="decimal"/>
          <w:cols w:space="720" w:num="1"/>
          <w:docGrid w:type="lines" w:linePitch="312" w:charSpace="0"/>
        </w:sectPr>
      </w:pPr>
    </w:p>
    <w:p w14:paraId="50137F57">
      <w:pPr>
        <w:pStyle w:val="12"/>
        <w:ind w:left="567" w:right="-315" w:firstLine="480"/>
        <w:rPr>
          <w:color w:val="auto"/>
        </w:rPr>
      </w:pPr>
    </w:p>
    <w:p w14:paraId="40821C80">
      <w:pPr>
        <w:pStyle w:val="33"/>
        <w:rPr>
          <w:rFonts w:ascii="黑体"/>
          <w:b/>
          <w:color w:val="auto"/>
          <w:sz w:val="30"/>
          <w:szCs w:val="30"/>
        </w:rPr>
      </w:pPr>
    </w:p>
    <w:p w14:paraId="7F230593">
      <w:pPr>
        <w:pStyle w:val="8"/>
        <w:rPr>
          <w:color w:val="auto"/>
        </w:rPr>
      </w:pPr>
    </w:p>
    <w:p w14:paraId="1F259FDC">
      <w:pPr>
        <w:numPr>
          <w:ilvl w:val="0"/>
          <w:numId w:val="5"/>
        </w:numPr>
        <w:jc w:val="center"/>
        <w:outlineLvl w:val="0"/>
        <w:rPr>
          <w:rFonts w:hint="eastAsia" w:ascii="黑体"/>
          <w:b/>
          <w:color w:val="auto"/>
          <w:sz w:val="30"/>
          <w:szCs w:val="30"/>
        </w:rPr>
      </w:pPr>
      <w:bookmarkStart w:id="13" w:name="_Toc23632_WPSOffice_Level1"/>
      <w:bookmarkStart w:id="14" w:name="_Toc333823821"/>
      <w:r>
        <w:rPr>
          <w:rFonts w:hint="eastAsia" w:ascii="黑体"/>
          <w:b/>
          <w:color w:val="auto"/>
          <w:sz w:val="30"/>
          <w:szCs w:val="30"/>
        </w:rPr>
        <w:t xml:space="preserve"> 评审办法及评审标准</w:t>
      </w:r>
      <w:bookmarkEnd w:id="13"/>
      <w:bookmarkEnd w:id="14"/>
    </w:p>
    <w:p w14:paraId="37FADF23">
      <w:pPr>
        <w:pStyle w:val="2"/>
        <w:rPr>
          <w:rFonts w:hint="eastAsia"/>
        </w:rPr>
      </w:pPr>
    </w:p>
    <w:p w14:paraId="5AECC100">
      <w:pPr>
        <w:adjustRightInd w:val="0"/>
        <w:snapToGrid w:val="0"/>
        <w:spacing w:line="400" w:lineRule="exact"/>
        <w:rPr>
          <w:rFonts w:hint="default" w:ascii="宋体" w:hAnsi="宋体" w:cs="宋体"/>
          <w:color w:val="000000" w:themeColor="text1"/>
          <w:szCs w:val="21"/>
          <w:lang w:val="en-US"/>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一、资信、技术、商务评审</w:t>
      </w:r>
    </w:p>
    <w:p w14:paraId="24500944">
      <w:pPr>
        <w:pStyle w:val="4"/>
        <w:rPr>
          <w:rFonts w:hint="eastAsia"/>
          <w:lang w:val="en-US" w:eastAsia="zh-CN"/>
        </w:rPr>
      </w:pP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094"/>
        <w:gridCol w:w="6114"/>
        <w:gridCol w:w="464"/>
      </w:tblGrid>
      <w:tr w14:paraId="5ADF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97" w:type="pct"/>
            <w:noWrap w:val="0"/>
            <w:vAlign w:val="center"/>
          </w:tcPr>
          <w:p w14:paraId="573ABB9E">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类别</w:t>
            </w:r>
          </w:p>
        </w:tc>
        <w:tc>
          <w:tcPr>
            <w:tcW w:w="642" w:type="pct"/>
            <w:noWrap w:val="0"/>
            <w:vAlign w:val="center"/>
          </w:tcPr>
          <w:p w14:paraId="1CF7E357">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3587" w:type="pct"/>
            <w:noWrap w:val="0"/>
            <w:vAlign w:val="center"/>
          </w:tcPr>
          <w:p w14:paraId="390D2550">
            <w:pPr>
              <w:keepNext w:val="0"/>
              <w:keepLines w:val="0"/>
              <w:pageBreakBefore w:val="0"/>
              <w:kinsoku/>
              <w:wordWrap/>
              <w:overflowPunct/>
              <w:topLinePunct w:val="0"/>
              <w:autoSpaceDE/>
              <w:autoSpaceDN/>
              <w:bidi w:val="0"/>
              <w:spacing w:line="360" w:lineRule="auto"/>
              <w:ind w:left="420" w:leftChars="200" w:firstLine="482"/>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272" w:type="pct"/>
            <w:noWrap w:val="0"/>
            <w:vAlign w:val="center"/>
          </w:tcPr>
          <w:p w14:paraId="01A81B2C">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7291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497" w:type="pct"/>
            <w:vMerge w:val="restart"/>
            <w:noWrap w:val="0"/>
            <w:vAlign w:val="center"/>
          </w:tcPr>
          <w:p w14:paraId="625874CA">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商务分（</w:t>
            </w:r>
            <w:r>
              <w:rPr>
                <w:rFonts w:hint="eastAsia" w:ascii="宋体" w:hAnsi="宋体" w:cs="宋体"/>
                <w:color w:val="auto"/>
                <w:kern w:val="0"/>
                <w:sz w:val="24"/>
                <w:szCs w:val="24"/>
                <w:highlight w:val="none"/>
                <w:lang w:val="en-US" w:eastAsia="zh-CN"/>
              </w:rPr>
              <w:t>34</w:t>
            </w:r>
            <w:r>
              <w:rPr>
                <w:rFonts w:hint="eastAsia" w:ascii="宋体" w:hAnsi="宋体" w:eastAsia="宋体" w:cs="宋体"/>
                <w:color w:val="auto"/>
                <w:kern w:val="0"/>
                <w:sz w:val="24"/>
                <w:szCs w:val="24"/>
                <w:highlight w:val="none"/>
                <w:lang w:val="en-US" w:eastAsia="zh-CN"/>
              </w:rPr>
              <w:t>分）</w:t>
            </w:r>
          </w:p>
        </w:tc>
        <w:tc>
          <w:tcPr>
            <w:tcW w:w="642" w:type="pct"/>
            <w:vMerge w:val="restart"/>
            <w:noWrap w:val="0"/>
            <w:vAlign w:val="center"/>
          </w:tcPr>
          <w:p w14:paraId="3CAE1867">
            <w:pPr>
              <w:pStyle w:val="49"/>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default" w:ascii="宋体" w:hAnsi="宋体" w:eastAsia="宋体" w:cs="宋体"/>
                <w:color w:val="auto"/>
                <w:sz w:val="24"/>
                <w:szCs w:val="24"/>
                <w:highlight w:val="none"/>
                <w:lang w:val="en-US"/>
              </w:rPr>
            </w:pPr>
            <w:r>
              <w:rPr>
                <w:rFonts w:hint="eastAsia" w:cs="宋体"/>
                <w:color w:val="auto"/>
                <w:sz w:val="24"/>
                <w:szCs w:val="24"/>
                <w:highlight w:val="none"/>
                <w:lang w:val="en-US" w:eastAsia="zh-CN"/>
              </w:rPr>
              <w:t>企业实力</w:t>
            </w:r>
          </w:p>
        </w:tc>
        <w:tc>
          <w:tcPr>
            <w:tcW w:w="3587" w:type="pct"/>
            <w:noWrap w:val="0"/>
            <w:vAlign w:val="center"/>
          </w:tcPr>
          <w:p w14:paraId="2877F0DF">
            <w:pPr>
              <w:pStyle w:val="49"/>
              <w:keepNext w:val="0"/>
              <w:keepLines w:val="0"/>
              <w:pageBreakBefore w:val="0"/>
              <w:numPr>
                <w:ilvl w:val="0"/>
                <w:numId w:val="0"/>
              </w:numPr>
              <w:kinsoku/>
              <w:wordWrap/>
              <w:overflowPunct/>
              <w:topLinePunct w:val="0"/>
              <w:autoSpaceDE/>
              <w:autoSpaceDN/>
              <w:bidi w:val="0"/>
              <w:spacing w:after="0" w:line="36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投标人具有有效期内</w:t>
            </w:r>
            <w:r>
              <w:rPr>
                <w:rFonts w:hint="eastAsia" w:ascii="宋体" w:hAnsi="宋体" w:eastAsia="宋体" w:cs="宋体"/>
                <w:color w:val="auto"/>
                <w:sz w:val="24"/>
                <w:szCs w:val="24"/>
                <w:highlight w:val="none"/>
                <w:lang w:val="en-US" w:eastAsia="zh-CN"/>
              </w:rPr>
              <w:t>的环境管理体系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质量管理体系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职业健康安全管理体系</w:t>
            </w:r>
            <w:r>
              <w:rPr>
                <w:rFonts w:hint="eastAsia" w:cs="宋体"/>
                <w:color w:val="auto"/>
                <w:sz w:val="24"/>
                <w:szCs w:val="24"/>
                <w:highlight w:val="none"/>
                <w:lang w:val="en-US" w:eastAsia="zh-CN"/>
              </w:rPr>
              <w:t>认证证书，</w:t>
            </w:r>
            <w:r>
              <w:rPr>
                <w:rFonts w:hint="eastAsia" w:ascii="宋体" w:hAnsi="宋体" w:eastAsia="宋体" w:cs="宋体"/>
                <w:bCs/>
                <w:color w:val="auto"/>
                <w:sz w:val="24"/>
                <w:szCs w:val="24"/>
                <w:highlight w:val="none"/>
                <w:lang w:val="en-US" w:eastAsia="zh-CN"/>
              </w:rPr>
              <w:t>以上证件每具有一项得1分，本项最高得</w:t>
            </w:r>
            <w:r>
              <w:rPr>
                <w:rFonts w:hint="eastAsia"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分。</w:t>
            </w:r>
          </w:p>
          <w:p w14:paraId="32843A3F">
            <w:pPr>
              <w:pStyle w:val="49"/>
              <w:keepNext w:val="0"/>
              <w:keepLines w:val="0"/>
              <w:pageBreakBefore w:val="0"/>
              <w:numPr>
                <w:ilvl w:val="0"/>
                <w:numId w:val="0"/>
              </w:numPr>
              <w:kinsoku/>
              <w:wordWrap/>
              <w:overflowPunct/>
              <w:topLinePunct w:val="0"/>
              <w:autoSpaceDE/>
              <w:autoSpaceDN/>
              <w:bidi w:val="0"/>
              <w:spacing w:after="0" w:line="36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投标人具有有效期内</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kern w:val="0"/>
                <w:sz w:val="24"/>
                <w:szCs w:val="24"/>
                <w:highlight w:val="none"/>
                <w:lang w:val="en-US" w:eastAsia="zh-CN" w:bidi="ar-SA"/>
              </w:rPr>
              <w:t>信息技术服务管理体系、</w:t>
            </w:r>
            <w:r>
              <w:rPr>
                <w:rFonts w:hint="eastAsia" w:ascii="宋体" w:hAnsi="宋体" w:eastAsia="宋体" w:cs="宋体"/>
                <w:color w:val="auto"/>
                <w:sz w:val="24"/>
                <w:szCs w:val="24"/>
                <w:highlight w:val="none"/>
                <w:lang w:val="en-US" w:eastAsia="zh-CN"/>
              </w:rPr>
              <w:t>信息技术服务标准符合性（运行维护）证书、信息安全管理体系认证证书，</w:t>
            </w:r>
            <w:r>
              <w:rPr>
                <w:rFonts w:hint="eastAsia" w:ascii="宋体" w:hAnsi="宋体" w:eastAsia="宋体" w:cs="宋体"/>
                <w:bCs/>
                <w:color w:val="auto"/>
                <w:sz w:val="24"/>
                <w:szCs w:val="24"/>
                <w:highlight w:val="none"/>
                <w:lang w:val="en-US" w:eastAsia="zh-CN"/>
              </w:rPr>
              <w:t>（认证范围：与环保设备运行维护相关）以上证件每具有一项得</w:t>
            </w:r>
            <w:r>
              <w:rPr>
                <w:rFonts w:hint="eastAsia"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分，本项最高得</w:t>
            </w:r>
            <w:r>
              <w:rPr>
                <w:rFonts w:hint="eastAsia"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分。</w:t>
            </w:r>
          </w:p>
          <w:p w14:paraId="22D74275">
            <w:pPr>
              <w:keepNext w:val="0"/>
              <w:keepLines w:val="0"/>
              <w:pageBreakBefore w:val="0"/>
              <w:kinsoku/>
              <w:wordWrap/>
              <w:overflowPunct/>
              <w:topLinePunct w:val="0"/>
              <w:autoSpaceDE/>
              <w:autoSpaceDN/>
              <w:bidi w:val="0"/>
              <w:spacing w:line="360" w:lineRule="auto"/>
              <w:ind w:left="55" w:leftChars="26"/>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注：相关材料复印件须加盖公章并编入商务与技术文件中，未盖公章</w:t>
            </w:r>
            <w:r>
              <w:rPr>
                <w:rFonts w:hint="eastAsia" w:ascii="宋体" w:hAnsi="宋体" w:eastAsia="宋体" w:cs="宋体"/>
                <w:b/>
                <w:bCs/>
                <w:color w:val="auto"/>
                <w:sz w:val="24"/>
                <w:szCs w:val="24"/>
                <w:highlight w:val="none"/>
                <w:lang w:val="en-US" w:eastAsia="zh-CN"/>
              </w:rPr>
              <w:t>或不符合要求</w:t>
            </w:r>
            <w:r>
              <w:rPr>
                <w:rFonts w:hint="eastAsia" w:ascii="宋体" w:hAnsi="宋体" w:eastAsia="宋体" w:cs="宋体"/>
                <w:b/>
                <w:bCs/>
                <w:color w:val="auto"/>
                <w:kern w:val="2"/>
                <w:sz w:val="24"/>
                <w:szCs w:val="24"/>
                <w:highlight w:val="none"/>
                <w:lang w:val="en-US" w:eastAsia="zh-CN" w:bidi="ar-SA"/>
              </w:rPr>
              <w:t>的不得分。</w:t>
            </w:r>
          </w:p>
        </w:tc>
        <w:tc>
          <w:tcPr>
            <w:tcW w:w="272" w:type="pct"/>
            <w:noWrap w:val="0"/>
            <w:vAlign w:val="center"/>
          </w:tcPr>
          <w:p w14:paraId="34B2A9D3">
            <w:pPr>
              <w:keepNext w:val="0"/>
              <w:keepLines w:val="0"/>
              <w:pageBreakBefore w:val="0"/>
              <w:widowControl/>
              <w:kinsoku/>
              <w:wordWrap/>
              <w:overflowPunct/>
              <w:topLinePunct w:val="0"/>
              <w:autoSpaceDE/>
              <w:autoSpaceDN/>
              <w:bidi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r>
      <w:tr w14:paraId="222E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 w:type="pct"/>
            <w:vMerge w:val="continue"/>
            <w:noWrap w:val="0"/>
            <w:vAlign w:val="center"/>
          </w:tcPr>
          <w:p w14:paraId="3EDB1976">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rPr>
            </w:pPr>
          </w:p>
        </w:tc>
        <w:tc>
          <w:tcPr>
            <w:tcW w:w="642" w:type="pct"/>
            <w:vMerge w:val="continue"/>
            <w:noWrap w:val="0"/>
            <w:vAlign w:val="center"/>
          </w:tcPr>
          <w:p w14:paraId="2252C0C8">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eastAsia="zh-CN"/>
              </w:rPr>
            </w:pPr>
          </w:p>
        </w:tc>
        <w:tc>
          <w:tcPr>
            <w:tcW w:w="3587" w:type="pct"/>
            <w:noWrap w:val="0"/>
            <w:vAlign w:val="center"/>
          </w:tcPr>
          <w:p w14:paraId="5D71B919">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投标人</w:t>
            </w:r>
            <w:r>
              <w:rPr>
                <w:rFonts w:hint="eastAsia" w:ascii="宋体" w:hAnsi="宋体" w:eastAsia="宋体" w:cs="宋体"/>
                <w:b w:val="0"/>
                <w:bCs/>
                <w:color w:val="auto"/>
                <w:sz w:val="24"/>
                <w:szCs w:val="24"/>
                <w:highlight w:val="none"/>
              </w:rPr>
              <w:t>具有污染源在线监测</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环境监测仪器或其他与证明本项目服务能力相关</w:t>
            </w:r>
            <w:r>
              <w:rPr>
                <w:rFonts w:hint="eastAsia" w:ascii="宋体" w:hAnsi="宋体" w:cs="宋体"/>
                <w:b w:val="0"/>
                <w:bCs/>
                <w:color w:val="auto"/>
                <w:sz w:val="24"/>
                <w:szCs w:val="24"/>
                <w:highlight w:val="none"/>
                <w:lang w:val="en-US" w:eastAsia="zh-CN"/>
              </w:rPr>
              <w:t>的，</w:t>
            </w:r>
            <w:r>
              <w:rPr>
                <w:rFonts w:hint="eastAsia" w:ascii="宋体" w:hAnsi="宋体" w:eastAsia="宋体" w:cs="宋体"/>
                <w:b w:val="0"/>
                <w:bCs/>
                <w:color w:val="auto"/>
                <w:sz w:val="24"/>
                <w:szCs w:val="24"/>
                <w:highlight w:val="none"/>
                <w:lang w:val="en-US" w:eastAsia="zh-CN"/>
              </w:rPr>
              <w:t>由政府部门或者法律法规授权部门颁发的标准、规范技术培训证书，每类证书</w:t>
            </w:r>
            <w:r>
              <w:rPr>
                <w:rFonts w:hint="eastAsia" w:ascii="宋体" w:hAnsi="宋体" w:cs="宋体"/>
                <w:b w:val="0"/>
                <w:bCs/>
                <w:color w:val="auto"/>
                <w:sz w:val="24"/>
                <w:szCs w:val="24"/>
                <w:highlight w:val="none"/>
                <w:lang w:val="en-US" w:eastAsia="zh-CN"/>
              </w:rPr>
              <w:t>最多</w:t>
            </w:r>
            <w:r>
              <w:rPr>
                <w:rFonts w:hint="eastAsia" w:ascii="宋体" w:hAnsi="宋体" w:eastAsia="宋体" w:cs="宋体"/>
                <w:b w:val="0"/>
                <w:bCs/>
                <w:color w:val="auto"/>
                <w:sz w:val="24"/>
                <w:szCs w:val="24"/>
                <w:highlight w:val="none"/>
                <w:lang w:val="en-US" w:eastAsia="zh-CN"/>
              </w:rPr>
              <w:t>提供2本，每提供1本证书得1分</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本项</w:t>
            </w:r>
            <w:r>
              <w:rPr>
                <w:rFonts w:hint="eastAsia" w:ascii="宋体" w:hAnsi="宋体" w:eastAsia="宋体" w:cs="宋体"/>
                <w:b w:val="0"/>
                <w:bCs/>
                <w:color w:val="auto"/>
                <w:sz w:val="24"/>
                <w:szCs w:val="24"/>
                <w:highlight w:val="none"/>
              </w:rPr>
              <w:t>最高得</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分。</w:t>
            </w:r>
          </w:p>
          <w:p w14:paraId="16EB82C6">
            <w:pPr>
              <w:keepNext w:val="0"/>
              <w:keepLines w:val="0"/>
              <w:pageBreakBefore w:val="0"/>
              <w:kinsoku/>
              <w:wordWrap/>
              <w:overflowPunct/>
              <w:topLinePunct w:val="0"/>
              <w:autoSpaceDE/>
              <w:autoSpaceDN/>
              <w:bidi w:val="0"/>
              <w:spacing w:line="360" w:lineRule="auto"/>
              <w:ind w:left="55" w:leftChars="26"/>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注：相关材料复印件</w:t>
            </w:r>
            <w:r>
              <w:rPr>
                <w:rFonts w:hint="eastAsia" w:ascii="宋体" w:hAnsi="宋体" w:eastAsia="宋体" w:cs="宋体"/>
                <w:b/>
                <w:bCs/>
                <w:color w:val="auto"/>
                <w:sz w:val="24"/>
                <w:szCs w:val="24"/>
                <w:highlight w:val="none"/>
                <w:lang w:val="en-US" w:eastAsia="zh-CN"/>
              </w:rPr>
              <w:t>须</w:t>
            </w:r>
            <w:r>
              <w:rPr>
                <w:rFonts w:hint="eastAsia" w:ascii="宋体" w:hAnsi="宋体" w:eastAsia="宋体" w:cs="宋体"/>
                <w:b/>
                <w:bCs/>
                <w:color w:val="auto"/>
                <w:sz w:val="24"/>
                <w:szCs w:val="24"/>
                <w:highlight w:val="none"/>
              </w:rPr>
              <w:t>加盖公章</w:t>
            </w:r>
            <w:r>
              <w:rPr>
                <w:rFonts w:hint="eastAsia" w:ascii="宋体" w:hAnsi="宋体" w:eastAsia="宋体" w:cs="宋体"/>
                <w:b/>
                <w:bCs/>
                <w:color w:val="auto"/>
                <w:sz w:val="24"/>
                <w:szCs w:val="24"/>
                <w:highlight w:val="none"/>
                <w:lang w:eastAsia="zh-CN"/>
              </w:rPr>
              <w:t>并编入商务与技术文件中，</w:t>
            </w:r>
            <w:r>
              <w:rPr>
                <w:rFonts w:hint="eastAsia" w:ascii="宋体" w:hAnsi="宋体" w:eastAsia="宋体" w:cs="宋体"/>
                <w:b/>
                <w:bCs/>
                <w:color w:val="auto"/>
                <w:sz w:val="24"/>
                <w:szCs w:val="24"/>
                <w:highlight w:val="none"/>
                <w:lang w:val="en-US" w:eastAsia="zh-CN"/>
              </w:rPr>
              <w:t>未盖公章或不符合要求的不得分</w:t>
            </w:r>
            <w:r>
              <w:rPr>
                <w:rFonts w:hint="eastAsia" w:ascii="宋体" w:hAnsi="宋体" w:eastAsia="宋体" w:cs="宋体"/>
                <w:b/>
                <w:bCs/>
                <w:color w:val="auto"/>
                <w:sz w:val="24"/>
                <w:szCs w:val="24"/>
                <w:highlight w:val="none"/>
              </w:rPr>
              <w:t>。</w:t>
            </w:r>
          </w:p>
        </w:tc>
        <w:tc>
          <w:tcPr>
            <w:tcW w:w="272" w:type="pct"/>
            <w:noWrap w:val="0"/>
            <w:vAlign w:val="center"/>
          </w:tcPr>
          <w:p w14:paraId="38638E18">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14:paraId="26081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497" w:type="pct"/>
            <w:vMerge w:val="continue"/>
            <w:noWrap w:val="0"/>
            <w:vAlign w:val="center"/>
          </w:tcPr>
          <w:p w14:paraId="3128A518">
            <w:pPr>
              <w:pStyle w:val="49"/>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color w:val="auto"/>
                <w:sz w:val="24"/>
                <w:szCs w:val="24"/>
                <w:highlight w:val="none"/>
              </w:rPr>
            </w:pPr>
          </w:p>
        </w:tc>
        <w:tc>
          <w:tcPr>
            <w:tcW w:w="642" w:type="pct"/>
            <w:vMerge w:val="continue"/>
            <w:noWrap w:val="0"/>
            <w:vAlign w:val="center"/>
          </w:tcPr>
          <w:p w14:paraId="4C376A6D">
            <w:pPr>
              <w:pStyle w:val="49"/>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color w:val="auto"/>
                <w:sz w:val="24"/>
                <w:szCs w:val="24"/>
                <w:highlight w:val="none"/>
              </w:rPr>
            </w:pPr>
          </w:p>
        </w:tc>
        <w:tc>
          <w:tcPr>
            <w:tcW w:w="3587" w:type="pct"/>
            <w:noWrap w:val="0"/>
            <w:vAlign w:val="center"/>
          </w:tcPr>
          <w:p w14:paraId="3283ECBF">
            <w:pPr>
              <w:pStyle w:val="49"/>
              <w:keepNext w:val="0"/>
              <w:keepLines w:val="0"/>
              <w:pageBreakBefore w:val="0"/>
              <w:kinsoku/>
              <w:wordWrap/>
              <w:overflowPunct/>
              <w:topLinePunct w:val="0"/>
              <w:autoSpaceDE/>
              <w:autoSpaceDN/>
              <w:bidi w:val="0"/>
              <w:spacing w:after="0" w:line="360" w:lineRule="auto"/>
              <w:ind w:firstLine="0" w:firstLineChars="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投标人具有国家版权局认可的企业污染物排放报警输出管理类相关系统、污染源过程监控管理类相关平台软件奢作权证书的，每提供1个得</w:t>
            </w:r>
            <w:r>
              <w:rPr>
                <w:rFonts w:hint="eastAsia"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分，本项最高得</w:t>
            </w:r>
            <w:r>
              <w:rPr>
                <w:rFonts w:hint="eastAsia"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分。</w:t>
            </w:r>
          </w:p>
          <w:p w14:paraId="136F950B">
            <w:pPr>
              <w:pStyle w:val="49"/>
              <w:keepNext w:val="0"/>
              <w:keepLines w:val="0"/>
              <w:pageBreakBefore w:val="0"/>
              <w:kinsoku/>
              <w:wordWrap/>
              <w:overflowPunct/>
              <w:topLinePunct w:val="0"/>
              <w:autoSpaceDE/>
              <w:autoSpaceDN/>
              <w:bidi w:val="0"/>
              <w:spacing w:after="0" w:line="360" w:lineRule="auto"/>
              <w:ind w:firstLine="0" w:firstLineChars="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注：相关材料复印件须加盖公章并编入商务与技术文件中，未盖公章</w:t>
            </w:r>
            <w:r>
              <w:rPr>
                <w:rFonts w:hint="eastAsia" w:ascii="宋体" w:hAnsi="宋体" w:eastAsia="宋体" w:cs="宋体"/>
                <w:b/>
                <w:bCs/>
                <w:color w:val="auto"/>
                <w:sz w:val="24"/>
                <w:szCs w:val="24"/>
                <w:highlight w:val="none"/>
                <w:lang w:val="en-US" w:eastAsia="zh-CN"/>
              </w:rPr>
              <w:t>或不符合要求</w:t>
            </w:r>
            <w:r>
              <w:rPr>
                <w:rFonts w:hint="eastAsia" w:ascii="宋体" w:hAnsi="宋体" w:eastAsia="宋体" w:cs="宋体"/>
                <w:b/>
                <w:bCs/>
                <w:color w:val="auto"/>
                <w:kern w:val="2"/>
                <w:sz w:val="24"/>
                <w:szCs w:val="24"/>
                <w:highlight w:val="none"/>
                <w:lang w:val="en-US" w:eastAsia="zh-CN" w:bidi="ar-SA"/>
              </w:rPr>
              <w:t>的不得分。</w:t>
            </w:r>
          </w:p>
        </w:tc>
        <w:tc>
          <w:tcPr>
            <w:tcW w:w="272" w:type="pct"/>
            <w:noWrap w:val="0"/>
            <w:vAlign w:val="center"/>
          </w:tcPr>
          <w:p w14:paraId="295B7CAB">
            <w:pPr>
              <w:pStyle w:val="49"/>
              <w:keepNext w:val="0"/>
              <w:keepLines w:val="0"/>
              <w:pageBreakBefore w:val="0"/>
              <w:kinsoku/>
              <w:wordWrap/>
              <w:overflowPunct/>
              <w:topLinePunct w:val="0"/>
              <w:autoSpaceDE/>
              <w:autoSpaceDN/>
              <w:bidi w:val="0"/>
              <w:spacing w:after="0"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4</w:t>
            </w:r>
          </w:p>
        </w:tc>
      </w:tr>
      <w:tr w14:paraId="61BFC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497" w:type="pct"/>
            <w:vMerge w:val="continue"/>
            <w:noWrap w:val="0"/>
            <w:vAlign w:val="center"/>
          </w:tcPr>
          <w:p w14:paraId="74837EFF">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642" w:type="pct"/>
            <w:noWrap w:val="0"/>
            <w:vAlign w:val="center"/>
          </w:tcPr>
          <w:p w14:paraId="72F49883">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同类项目经验</w:t>
            </w:r>
          </w:p>
        </w:tc>
        <w:tc>
          <w:tcPr>
            <w:tcW w:w="3587" w:type="pct"/>
            <w:noWrap w:val="0"/>
            <w:vAlign w:val="center"/>
          </w:tcPr>
          <w:p w14:paraId="6E377C36">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提供20</w:t>
            </w:r>
            <w:r>
              <w:rPr>
                <w:rFonts w:hint="eastAsia" w:ascii="宋体" w:hAnsi="宋体" w:cs="宋体"/>
                <w:b w:val="0"/>
                <w:bCs/>
                <w:color w:val="auto"/>
                <w:sz w:val="24"/>
                <w:szCs w:val="24"/>
                <w:highlight w:val="none"/>
                <w:lang w:val="en-US" w:eastAsia="zh-CN"/>
              </w:rPr>
              <w:t>22</w:t>
            </w:r>
            <w:r>
              <w:rPr>
                <w:rFonts w:hint="eastAsia" w:ascii="宋体" w:hAnsi="宋体" w:eastAsia="宋体" w:cs="宋体"/>
                <w:b w:val="0"/>
                <w:bCs/>
                <w:color w:val="auto"/>
                <w:sz w:val="24"/>
                <w:szCs w:val="24"/>
                <w:highlight w:val="none"/>
              </w:rPr>
              <w:t>年1月1日至今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以合同签订时间为准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shd w:val="clear" w:color="auto" w:fill="auto"/>
                <w:lang w:val="en-US" w:eastAsia="zh-CN"/>
              </w:rPr>
              <w:t>完成过同类运维项目业绩的</w:t>
            </w:r>
            <w:r>
              <w:rPr>
                <w:rFonts w:hint="eastAsia" w:ascii="宋体" w:hAnsi="宋体" w:eastAsia="宋体" w:cs="宋体"/>
                <w:color w:val="auto"/>
                <w:sz w:val="24"/>
                <w:szCs w:val="24"/>
                <w:highlight w:val="none"/>
              </w:rPr>
              <w:t>，每提供1份合同得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本项</w:t>
            </w:r>
            <w:r>
              <w:rPr>
                <w:rFonts w:hint="eastAsia" w:ascii="宋体" w:hAnsi="宋体" w:eastAsia="宋体" w:cs="宋体"/>
                <w:color w:val="auto"/>
                <w:sz w:val="24"/>
                <w:szCs w:val="24"/>
                <w:highlight w:val="none"/>
              </w:rPr>
              <w:t>最高得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09FF1F29">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color w:val="auto"/>
                <w:sz w:val="24"/>
                <w:szCs w:val="24"/>
                <w:highlight w:val="none"/>
              </w:rPr>
              <w:t>注：合同复印件</w:t>
            </w:r>
            <w:r>
              <w:rPr>
                <w:rFonts w:hint="eastAsia" w:ascii="宋体" w:hAnsi="宋体" w:eastAsia="宋体" w:cs="宋体"/>
                <w:b/>
                <w:color w:val="auto"/>
                <w:sz w:val="24"/>
                <w:szCs w:val="24"/>
                <w:highlight w:val="none"/>
                <w:lang w:val="en-US" w:eastAsia="zh-CN"/>
              </w:rPr>
              <w:t>须加盖公章并</w:t>
            </w:r>
            <w:r>
              <w:rPr>
                <w:rFonts w:hint="eastAsia" w:ascii="宋体" w:hAnsi="宋体" w:eastAsia="宋体" w:cs="宋体"/>
                <w:b/>
                <w:color w:val="auto"/>
                <w:sz w:val="24"/>
                <w:szCs w:val="24"/>
                <w:highlight w:val="none"/>
              </w:rPr>
              <w:t>编入商务与技术文件</w:t>
            </w:r>
            <w:r>
              <w:rPr>
                <w:rFonts w:hint="eastAsia" w:ascii="宋体" w:hAnsi="宋体" w:eastAsia="宋体" w:cs="宋体"/>
                <w:b/>
                <w:color w:val="auto"/>
                <w:sz w:val="24"/>
                <w:szCs w:val="24"/>
                <w:highlight w:val="none"/>
                <w:lang w:val="en-US" w:eastAsia="zh-CN"/>
              </w:rPr>
              <w:t>中</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未盖公章</w:t>
            </w:r>
            <w:r>
              <w:rPr>
                <w:rFonts w:hint="eastAsia" w:ascii="宋体" w:hAnsi="宋体" w:eastAsia="宋体" w:cs="宋体"/>
                <w:b/>
                <w:bCs/>
                <w:color w:val="auto"/>
                <w:sz w:val="24"/>
                <w:szCs w:val="24"/>
                <w:highlight w:val="none"/>
                <w:lang w:val="en-US" w:eastAsia="zh-CN"/>
              </w:rPr>
              <w:t>或不符合要求</w:t>
            </w:r>
            <w:r>
              <w:rPr>
                <w:rFonts w:hint="eastAsia" w:ascii="宋体" w:hAnsi="宋体" w:eastAsia="宋体" w:cs="宋体"/>
                <w:b/>
                <w:color w:val="auto"/>
                <w:sz w:val="24"/>
                <w:szCs w:val="24"/>
                <w:highlight w:val="none"/>
                <w:lang w:val="en-US" w:eastAsia="zh-CN"/>
              </w:rPr>
              <w:t>的</w:t>
            </w:r>
            <w:r>
              <w:rPr>
                <w:rFonts w:hint="eastAsia" w:ascii="宋体" w:hAnsi="宋体" w:eastAsia="宋体" w:cs="宋体"/>
                <w:b/>
                <w:color w:val="auto"/>
                <w:sz w:val="24"/>
                <w:szCs w:val="24"/>
                <w:highlight w:val="none"/>
              </w:rPr>
              <w:t>合同不</w:t>
            </w:r>
            <w:r>
              <w:rPr>
                <w:rFonts w:hint="eastAsia" w:ascii="宋体" w:hAnsi="宋体" w:eastAsia="宋体" w:cs="宋体"/>
                <w:b/>
                <w:color w:val="auto"/>
                <w:sz w:val="24"/>
                <w:szCs w:val="24"/>
                <w:highlight w:val="none"/>
                <w:lang w:val="en-US" w:eastAsia="zh-CN"/>
              </w:rPr>
              <w:t>得分</w:t>
            </w:r>
            <w:r>
              <w:rPr>
                <w:rFonts w:hint="eastAsia" w:ascii="宋体" w:hAnsi="宋体" w:eastAsia="宋体" w:cs="宋体"/>
                <w:b/>
                <w:color w:val="auto"/>
                <w:sz w:val="24"/>
                <w:szCs w:val="24"/>
                <w:highlight w:val="none"/>
              </w:rPr>
              <w:t>。</w:t>
            </w:r>
          </w:p>
        </w:tc>
        <w:tc>
          <w:tcPr>
            <w:tcW w:w="272" w:type="pct"/>
            <w:noWrap w:val="0"/>
            <w:vAlign w:val="center"/>
          </w:tcPr>
          <w:p w14:paraId="6E11CE6D">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r>
      <w:tr w14:paraId="33D6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1" w:hRule="atLeast"/>
        </w:trPr>
        <w:tc>
          <w:tcPr>
            <w:tcW w:w="497" w:type="pct"/>
            <w:vMerge w:val="continue"/>
            <w:noWrap w:val="0"/>
            <w:vAlign w:val="center"/>
          </w:tcPr>
          <w:p w14:paraId="5CB2F718">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642" w:type="pct"/>
            <w:vMerge w:val="restart"/>
            <w:noWrap w:val="0"/>
            <w:vAlign w:val="center"/>
          </w:tcPr>
          <w:p w14:paraId="65DA8530">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投标人拟投入本项目团队的综合能力评价</w:t>
            </w:r>
          </w:p>
        </w:tc>
        <w:tc>
          <w:tcPr>
            <w:tcW w:w="3587" w:type="pct"/>
            <w:noWrap w:val="0"/>
            <w:vAlign w:val="center"/>
          </w:tcPr>
          <w:p w14:paraId="242445E1">
            <w:pPr>
              <w:pStyle w:val="14"/>
              <w:spacing w:line="360" w:lineRule="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运维项目负责人需具备与从事本项目行业相关的专业技术能力，具有3年及以上</w:t>
            </w:r>
            <w:r>
              <w:rPr>
                <w:rFonts w:hint="eastAsia" w:hAnsi="宋体" w:cs="宋体"/>
                <w:color w:val="auto"/>
                <w:kern w:val="2"/>
                <w:sz w:val="24"/>
                <w:szCs w:val="24"/>
                <w:highlight w:val="none"/>
                <w:shd w:val="clear" w:color="auto" w:fill="auto"/>
                <w:lang w:val="en-US" w:eastAsia="zh-CN" w:bidi="ar-SA"/>
              </w:rPr>
              <w:t>（在项目负责人简历表里体现）</w:t>
            </w:r>
            <w:r>
              <w:rPr>
                <w:rFonts w:hint="eastAsia" w:ascii="宋体" w:hAnsi="宋体" w:eastAsia="宋体" w:cs="宋体"/>
                <w:color w:val="auto"/>
                <w:kern w:val="2"/>
                <w:sz w:val="24"/>
                <w:szCs w:val="24"/>
                <w:highlight w:val="none"/>
                <w:shd w:val="clear" w:color="auto" w:fill="auto"/>
                <w:lang w:val="en-US" w:eastAsia="zh-CN" w:bidi="ar-SA"/>
              </w:rPr>
              <w:t>从事污染源自动监控运维工作经验且拥有</w:t>
            </w:r>
            <w:r>
              <w:rPr>
                <w:rFonts w:hint="eastAsia"/>
                <w:lang w:val="en-US" w:eastAsia="zh-CN"/>
              </w:rPr>
              <w:t>生态环境类高级职称</w:t>
            </w:r>
            <w:r>
              <w:rPr>
                <w:rFonts w:hint="eastAsia" w:ascii="宋体" w:hAnsi="宋体" w:eastAsia="宋体" w:cs="宋体"/>
                <w:color w:val="auto"/>
                <w:kern w:val="2"/>
                <w:sz w:val="24"/>
                <w:szCs w:val="24"/>
                <w:highlight w:val="none"/>
                <w:shd w:val="clear" w:color="auto" w:fill="auto"/>
                <w:lang w:val="en-US" w:eastAsia="zh-CN" w:bidi="ar-SA"/>
              </w:rPr>
              <w:t>（含副高）及以上的得</w:t>
            </w:r>
            <w:r>
              <w:rPr>
                <w:rFonts w:hint="eastAsia" w:hAnsi="宋体" w:cs="宋体"/>
                <w:color w:val="auto"/>
                <w:kern w:val="2"/>
                <w:sz w:val="24"/>
                <w:szCs w:val="24"/>
                <w:highlight w:val="none"/>
                <w:shd w:val="clear" w:color="auto" w:fill="auto"/>
                <w:lang w:val="en-US" w:eastAsia="zh-CN" w:bidi="ar-SA"/>
              </w:rPr>
              <w:t>5</w:t>
            </w:r>
            <w:r>
              <w:rPr>
                <w:rFonts w:hint="eastAsia" w:ascii="宋体" w:hAnsi="宋体" w:eastAsia="宋体" w:cs="宋体"/>
                <w:color w:val="auto"/>
                <w:kern w:val="2"/>
                <w:sz w:val="24"/>
                <w:szCs w:val="24"/>
                <w:highlight w:val="none"/>
                <w:shd w:val="clear" w:color="auto" w:fill="auto"/>
                <w:lang w:val="en-US" w:eastAsia="zh-CN" w:bidi="ar-SA"/>
              </w:rPr>
              <w:t>分，中级职称的得</w:t>
            </w:r>
            <w:r>
              <w:rPr>
                <w:rFonts w:hint="eastAsia" w:hAnsi="宋体" w:cs="宋体"/>
                <w:color w:val="auto"/>
                <w:kern w:val="2"/>
                <w:sz w:val="24"/>
                <w:szCs w:val="24"/>
                <w:highlight w:val="none"/>
                <w:shd w:val="clear" w:color="auto" w:fill="auto"/>
                <w:lang w:val="en-US" w:eastAsia="zh-CN" w:bidi="ar-SA"/>
              </w:rPr>
              <w:t>3</w:t>
            </w:r>
            <w:r>
              <w:rPr>
                <w:rFonts w:hint="eastAsia" w:ascii="宋体" w:hAnsi="宋体" w:eastAsia="宋体" w:cs="宋体"/>
                <w:color w:val="auto"/>
                <w:kern w:val="2"/>
                <w:sz w:val="24"/>
                <w:szCs w:val="24"/>
                <w:highlight w:val="none"/>
                <w:shd w:val="clear" w:color="auto" w:fill="auto"/>
                <w:lang w:val="en-US" w:eastAsia="zh-CN" w:bidi="ar-SA"/>
              </w:rPr>
              <w:t>分，没有则不得分；</w:t>
            </w:r>
          </w:p>
          <w:p w14:paraId="1B9B8E47">
            <w:pPr>
              <w:pStyle w:val="14"/>
              <w:spacing w:line="360" w:lineRule="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项目负责人具有《自动监控（气相关）运行工》上岗证且在有效期内的得1分，没有则不得分。</w:t>
            </w:r>
          </w:p>
          <w:p w14:paraId="2C81CD8D">
            <w:pPr>
              <w:pStyle w:val="14"/>
              <w:spacing w:line="360" w:lineRule="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项目负责人具有省级及以上应急管理部门颁发的电工作业类证书（特种作业操作证）的得</w:t>
            </w:r>
            <w:r>
              <w:rPr>
                <w:rFonts w:hint="eastAsia" w:hAnsi="宋体" w:cs="宋体"/>
                <w:color w:val="auto"/>
                <w:kern w:val="2"/>
                <w:sz w:val="24"/>
                <w:szCs w:val="24"/>
                <w:highlight w:val="none"/>
                <w:shd w:val="clear" w:color="auto" w:fill="auto"/>
                <w:lang w:val="en-US" w:eastAsia="zh-CN" w:bidi="ar-SA"/>
              </w:rPr>
              <w:t>2</w:t>
            </w:r>
            <w:r>
              <w:rPr>
                <w:rFonts w:hint="eastAsia" w:ascii="宋体" w:hAnsi="宋体" w:eastAsia="宋体" w:cs="宋体"/>
                <w:color w:val="auto"/>
                <w:kern w:val="2"/>
                <w:sz w:val="24"/>
                <w:szCs w:val="24"/>
                <w:highlight w:val="none"/>
                <w:shd w:val="clear" w:color="auto" w:fill="auto"/>
                <w:lang w:val="en-US" w:eastAsia="zh-CN" w:bidi="ar-SA"/>
              </w:rPr>
              <w:t>分，没有则不得分。</w:t>
            </w:r>
          </w:p>
          <w:p w14:paraId="0B48DAAC">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注：相关证书等证明材料复印件须加盖公章，且须提供在投标单位</w:t>
            </w:r>
            <w:r>
              <w:rPr>
                <w:rFonts w:hint="eastAsia" w:ascii="宋体" w:hAnsi="宋体" w:eastAsia="宋体" w:cs="宋体"/>
                <w:b/>
                <w:bCs/>
                <w:color w:val="auto"/>
                <w:sz w:val="24"/>
                <w:szCs w:val="24"/>
                <w:highlight w:val="none"/>
                <w:lang w:val="en-US" w:eastAsia="zh-CN"/>
              </w:rPr>
              <w:t>缴纳近</w:t>
            </w:r>
            <w:r>
              <w:rPr>
                <w:rFonts w:hint="eastAsia" w:ascii="宋体" w:hAnsi="宋体" w:eastAsia="宋体" w:cs="宋体"/>
                <w:b/>
                <w:bCs w:val="0"/>
                <w:color w:val="auto"/>
                <w:sz w:val="24"/>
                <w:szCs w:val="24"/>
                <w:highlight w:val="none"/>
                <w:lang w:val="en-US" w:eastAsia="zh-CN"/>
              </w:rPr>
              <w:t>3个月的社保证明并加盖公章，不符合要求的不得分。</w:t>
            </w:r>
          </w:p>
        </w:tc>
        <w:tc>
          <w:tcPr>
            <w:tcW w:w="272" w:type="pct"/>
            <w:noWrap w:val="0"/>
            <w:vAlign w:val="center"/>
          </w:tcPr>
          <w:p w14:paraId="19900522">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r>
      <w:tr w14:paraId="2507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497" w:type="pct"/>
            <w:vMerge w:val="continue"/>
            <w:noWrap w:val="0"/>
            <w:vAlign w:val="center"/>
          </w:tcPr>
          <w:p w14:paraId="00DD83B2">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642" w:type="pct"/>
            <w:vMerge w:val="continue"/>
            <w:noWrap w:val="0"/>
            <w:vAlign w:val="center"/>
          </w:tcPr>
          <w:p w14:paraId="3CD27712">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3587" w:type="pct"/>
            <w:noWrap w:val="0"/>
            <w:vAlign w:val="center"/>
          </w:tcPr>
          <w:p w14:paraId="4D8F1440">
            <w:pPr>
              <w:pStyle w:val="14"/>
              <w:spacing w:line="360" w:lineRule="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项目组成员（除项目负责人外）具备环保类中级工程师及以上职称且具有在有效期内的《自动监控（气相关）运行工》上岗证的，每提供1人得1分，最高得</w:t>
            </w:r>
            <w:r>
              <w:rPr>
                <w:rFonts w:hint="eastAsia" w:hAnsi="宋体" w:cs="宋体"/>
                <w:color w:val="auto"/>
                <w:kern w:val="2"/>
                <w:sz w:val="24"/>
                <w:szCs w:val="24"/>
                <w:highlight w:val="none"/>
                <w:shd w:val="clear" w:color="auto" w:fill="auto"/>
                <w:lang w:val="en-US" w:eastAsia="zh-CN" w:bidi="ar-SA"/>
              </w:rPr>
              <w:t>4</w:t>
            </w:r>
            <w:r>
              <w:rPr>
                <w:rFonts w:hint="eastAsia" w:ascii="宋体" w:hAnsi="宋体" w:eastAsia="宋体" w:cs="宋体"/>
                <w:color w:val="auto"/>
                <w:kern w:val="2"/>
                <w:sz w:val="24"/>
                <w:szCs w:val="24"/>
                <w:highlight w:val="none"/>
                <w:shd w:val="clear" w:color="auto" w:fill="auto"/>
                <w:lang w:val="en-US" w:eastAsia="zh-CN" w:bidi="ar-SA"/>
              </w:rPr>
              <w:t>分；</w:t>
            </w:r>
          </w:p>
          <w:p w14:paraId="3E00A297">
            <w:pPr>
              <w:pStyle w:val="14"/>
              <w:spacing w:line="360" w:lineRule="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具备环保类中级工程师及以上职称且具有省级及以上应急管理部门颁发的电工作业类证书（特种作业操作证）的，每提供1人得</w:t>
            </w:r>
            <w:r>
              <w:rPr>
                <w:rFonts w:hint="eastAsia" w:hAnsi="宋体" w:cs="宋体"/>
                <w:color w:val="auto"/>
                <w:kern w:val="2"/>
                <w:sz w:val="24"/>
                <w:szCs w:val="24"/>
                <w:highlight w:val="none"/>
                <w:shd w:val="clear" w:color="auto" w:fill="auto"/>
                <w:lang w:val="en-US" w:eastAsia="zh-CN" w:bidi="ar-SA"/>
              </w:rPr>
              <w:t>2</w:t>
            </w:r>
            <w:r>
              <w:rPr>
                <w:rFonts w:hint="eastAsia" w:ascii="宋体" w:hAnsi="宋体" w:eastAsia="宋体" w:cs="宋体"/>
                <w:color w:val="auto"/>
                <w:kern w:val="2"/>
                <w:sz w:val="24"/>
                <w:szCs w:val="24"/>
                <w:highlight w:val="none"/>
                <w:shd w:val="clear" w:color="auto" w:fill="auto"/>
                <w:lang w:val="en-US" w:eastAsia="zh-CN" w:bidi="ar-SA"/>
              </w:rPr>
              <w:t>分，最高得</w:t>
            </w:r>
            <w:r>
              <w:rPr>
                <w:rFonts w:hint="eastAsia" w:hAnsi="宋体" w:cs="宋体"/>
                <w:color w:val="auto"/>
                <w:kern w:val="2"/>
                <w:sz w:val="24"/>
                <w:szCs w:val="24"/>
                <w:highlight w:val="none"/>
                <w:shd w:val="clear" w:color="auto" w:fill="auto"/>
                <w:lang w:val="en-US" w:eastAsia="zh-CN" w:bidi="ar-SA"/>
              </w:rPr>
              <w:t>4</w:t>
            </w:r>
            <w:r>
              <w:rPr>
                <w:rFonts w:hint="eastAsia" w:ascii="宋体" w:hAnsi="宋体" w:eastAsia="宋体" w:cs="宋体"/>
                <w:color w:val="auto"/>
                <w:kern w:val="2"/>
                <w:sz w:val="24"/>
                <w:szCs w:val="24"/>
                <w:highlight w:val="none"/>
                <w:shd w:val="clear" w:color="auto" w:fill="auto"/>
                <w:lang w:val="en-US" w:eastAsia="zh-CN" w:bidi="ar-SA"/>
              </w:rPr>
              <w:t>分；</w:t>
            </w:r>
          </w:p>
          <w:p w14:paraId="29492DC1">
            <w:pPr>
              <w:pStyle w:val="14"/>
              <w:spacing w:line="360" w:lineRule="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具备环保类中级工程师及以上职称且具有自动监测数据有效性审核(废气监测)证书的，每1人得</w:t>
            </w:r>
            <w:r>
              <w:rPr>
                <w:rFonts w:hint="eastAsia" w:hAnsi="宋体" w:cs="宋体"/>
                <w:color w:val="auto"/>
                <w:kern w:val="2"/>
                <w:sz w:val="24"/>
                <w:szCs w:val="24"/>
                <w:highlight w:val="none"/>
                <w:shd w:val="clear" w:color="auto" w:fill="auto"/>
                <w:lang w:val="en-US" w:eastAsia="zh-CN" w:bidi="ar-SA"/>
              </w:rPr>
              <w:t>2</w:t>
            </w:r>
            <w:r>
              <w:rPr>
                <w:rFonts w:hint="eastAsia" w:ascii="宋体" w:hAnsi="宋体" w:eastAsia="宋体" w:cs="宋体"/>
                <w:color w:val="auto"/>
                <w:kern w:val="2"/>
                <w:sz w:val="24"/>
                <w:szCs w:val="24"/>
                <w:highlight w:val="none"/>
                <w:shd w:val="clear" w:color="auto" w:fill="auto"/>
                <w:lang w:val="en-US" w:eastAsia="zh-CN" w:bidi="ar-SA"/>
              </w:rPr>
              <w:t>分，最高得</w:t>
            </w:r>
            <w:r>
              <w:rPr>
                <w:rFonts w:hint="eastAsia" w:hAnsi="宋体" w:cs="宋体"/>
                <w:color w:val="auto"/>
                <w:kern w:val="2"/>
                <w:sz w:val="24"/>
                <w:szCs w:val="24"/>
                <w:highlight w:val="none"/>
                <w:shd w:val="clear" w:color="auto" w:fill="auto"/>
                <w:lang w:val="en-US" w:eastAsia="zh-CN" w:bidi="ar-SA"/>
              </w:rPr>
              <w:t>2</w:t>
            </w:r>
            <w:r>
              <w:rPr>
                <w:rFonts w:hint="eastAsia" w:ascii="宋体" w:hAnsi="宋体" w:eastAsia="宋体" w:cs="宋体"/>
                <w:color w:val="auto"/>
                <w:kern w:val="2"/>
                <w:sz w:val="24"/>
                <w:szCs w:val="24"/>
                <w:highlight w:val="none"/>
                <w:shd w:val="clear" w:color="auto" w:fill="auto"/>
                <w:lang w:val="en-US" w:eastAsia="zh-CN" w:bidi="ar-SA"/>
              </w:rPr>
              <w:t>分。</w:t>
            </w:r>
          </w:p>
          <w:p w14:paraId="60DB9FDB">
            <w:pPr>
              <w:pStyle w:val="14"/>
              <w:spacing w:line="360" w:lineRule="auto"/>
              <w:rPr>
                <w:rFonts w:hint="default"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本项最高得5分。</w:t>
            </w:r>
          </w:p>
          <w:p w14:paraId="1530B6E8">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注：相关证书等证明材料复印件须加盖公章，且须提供在投标单位</w:t>
            </w:r>
            <w:r>
              <w:rPr>
                <w:rFonts w:hint="eastAsia" w:ascii="宋体" w:hAnsi="宋体" w:eastAsia="宋体" w:cs="宋体"/>
                <w:b/>
                <w:bCs/>
                <w:color w:val="auto"/>
                <w:sz w:val="24"/>
                <w:szCs w:val="24"/>
                <w:highlight w:val="none"/>
                <w:lang w:val="en-US" w:eastAsia="zh-CN"/>
              </w:rPr>
              <w:t>缴纳近</w:t>
            </w:r>
            <w:r>
              <w:rPr>
                <w:rFonts w:hint="eastAsia" w:ascii="宋体" w:hAnsi="宋体" w:eastAsia="宋体" w:cs="宋体"/>
                <w:b/>
                <w:bCs w:val="0"/>
                <w:color w:val="auto"/>
                <w:sz w:val="24"/>
                <w:szCs w:val="24"/>
                <w:highlight w:val="none"/>
                <w:lang w:val="en-US" w:eastAsia="zh-CN"/>
              </w:rPr>
              <w:t>3个月的社保证明并加盖公章，不符合要求的不得分</w:t>
            </w:r>
            <w:r>
              <w:rPr>
                <w:rFonts w:hint="eastAsia" w:ascii="宋体" w:hAnsi="宋体" w:cs="宋体"/>
                <w:b/>
                <w:bCs w:val="0"/>
                <w:color w:val="auto"/>
                <w:sz w:val="24"/>
                <w:szCs w:val="24"/>
                <w:highlight w:val="none"/>
                <w:lang w:val="en-US" w:eastAsia="zh-CN"/>
              </w:rPr>
              <w:t>（若组员单人具备多项证书只取一项）</w:t>
            </w:r>
            <w:r>
              <w:rPr>
                <w:rFonts w:hint="eastAsia" w:ascii="宋体" w:hAnsi="宋体" w:eastAsia="宋体" w:cs="宋体"/>
                <w:b/>
                <w:bCs w:val="0"/>
                <w:color w:val="auto"/>
                <w:sz w:val="24"/>
                <w:szCs w:val="24"/>
                <w:highlight w:val="none"/>
                <w:lang w:val="en-US" w:eastAsia="zh-CN"/>
              </w:rPr>
              <w:t>。</w:t>
            </w:r>
          </w:p>
        </w:tc>
        <w:tc>
          <w:tcPr>
            <w:tcW w:w="272" w:type="pct"/>
            <w:noWrap w:val="0"/>
            <w:vAlign w:val="center"/>
          </w:tcPr>
          <w:p w14:paraId="5DEAED02">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r>
      <w:tr w14:paraId="0B79F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97" w:type="pct"/>
            <w:vMerge w:val="restart"/>
            <w:noWrap w:val="0"/>
            <w:vAlign w:val="center"/>
          </w:tcPr>
          <w:p w14:paraId="66E4915E">
            <w:pPr>
              <w:pStyle w:val="20"/>
              <w:keepNext w:val="0"/>
              <w:keepLines w:val="0"/>
              <w:pageBreakBefore w:val="0"/>
              <w:kinsoku/>
              <w:wordWrap/>
              <w:overflowPunct/>
              <w:topLinePunct w:val="0"/>
              <w:autoSpaceDE/>
              <w:autoSpaceDN/>
              <w:bidi w:val="0"/>
              <w:spacing w:after="0" w:afterLines="0" w:line="360" w:lineRule="auto"/>
              <w:ind w:left="0" w:lef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Cs/>
                <w:color w:val="auto"/>
                <w:sz w:val="24"/>
                <w:szCs w:val="24"/>
                <w:highlight w:val="none"/>
                <w:lang w:val="en-US" w:eastAsia="zh-CN" w:bidi="ar"/>
              </w:rPr>
              <w:t>技术分（4</w:t>
            </w:r>
            <w:r>
              <w:rPr>
                <w:rFonts w:hint="eastAsia" w:ascii="宋体" w:hAnsi="宋体" w:cs="宋体"/>
                <w:bCs/>
                <w:color w:val="auto"/>
                <w:sz w:val="24"/>
                <w:szCs w:val="24"/>
                <w:highlight w:val="none"/>
                <w:lang w:val="en-US" w:eastAsia="zh-CN" w:bidi="ar"/>
              </w:rPr>
              <w:t>6</w:t>
            </w:r>
            <w:r>
              <w:rPr>
                <w:rFonts w:hint="eastAsia" w:ascii="宋体" w:hAnsi="宋体" w:eastAsia="宋体" w:cs="宋体"/>
                <w:bCs/>
                <w:color w:val="auto"/>
                <w:sz w:val="24"/>
                <w:szCs w:val="24"/>
                <w:highlight w:val="none"/>
                <w:lang w:val="en-US" w:eastAsia="zh-CN" w:bidi="ar"/>
              </w:rPr>
              <w:t>分）</w:t>
            </w:r>
          </w:p>
        </w:tc>
        <w:tc>
          <w:tcPr>
            <w:tcW w:w="642" w:type="pct"/>
            <w:noWrap w:val="0"/>
            <w:vAlign w:val="center"/>
          </w:tcPr>
          <w:p w14:paraId="31E3AF07">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项目分析</w:t>
            </w:r>
          </w:p>
        </w:tc>
        <w:tc>
          <w:tcPr>
            <w:tcW w:w="3587" w:type="pct"/>
            <w:noWrap w:val="0"/>
            <w:vAlign w:val="center"/>
          </w:tcPr>
          <w:p w14:paraId="6B8E0134">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根据供应商对采购单位需求理解是否准确、全面，是否熟悉现场情况、了解现场运维工作</w:t>
            </w:r>
            <w:r>
              <w:rPr>
                <w:rFonts w:hint="eastAsia" w:ascii="宋体" w:hAnsi="宋体" w:cs="宋体"/>
                <w:color w:val="auto"/>
                <w:sz w:val="24"/>
                <w:szCs w:val="24"/>
                <w:highlight w:val="none"/>
                <w:lang w:val="en-US" w:eastAsia="zh-CN"/>
              </w:rPr>
              <w:t>、项目重难点分析及解决措施</w:t>
            </w:r>
            <w:r>
              <w:rPr>
                <w:rFonts w:hint="eastAsia" w:ascii="宋体" w:hAnsi="宋体" w:eastAsia="宋体" w:cs="宋体"/>
                <w:color w:val="auto"/>
                <w:sz w:val="24"/>
                <w:szCs w:val="24"/>
                <w:highlight w:val="none"/>
                <w:lang w:val="en-US" w:eastAsia="zh-CN"/>
              </w:rPr>
              <w:t>等情况进行打分。</w:t>
            </w:r>
          </w:p>
          <w:p w14:paraId="08104BA3">
            <w:pPr>
              <w:pStyle w:val="3"/>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项目需求理解准确，熟悉现场情况，了解运维工作的得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分；项目需求理解较准确，基本熟悉情况，了解运维工作的得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分；项目需求理解不够准确，对运维工作有了解的得2分；项目需求理解不够准确，对现场情况及运维工作了解片面的得1分；</w:t>
            </w:r>
            <w:r>
              <w:rPr>
                <w:rFonts w:hint="eastAsia" w:ascii="宋体" w:hAnsi="宋体" w:eastAsia="宋体" w:cs="宋体"/>
                <w:color w:val="auto"/>
                <w:sz w:val="24"/>
                <w:szCs w:val="24"/>
                <w:highlight w:val="none"/>
              </w:rPr>
              <w:t>未提及此项不得分。</w:t>
            </w:r>
          </w:p>
        </w:tc>
        <w:tc>
          <w:tcPr>
            <w:tcW w:w="272" w:type="pct"/>
            <w:noWrap w:val="0"/>
            <w:vAlign w:val="center"/>
          </w:tcPr>
          <w:p w14:paraId="179B6DAF">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p>
        </w:tc>
      </w:tr>
      <w:tr w14:paraId="2E3B6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97" w:type="pct"/>
            <w:vMerge w:val="continue"/>
            <w:noWrap w:val="0"/>
            <w:vAlign w:val="center"/>
          </w:tcPr>
          <w:p w14:paraId="6BB5428D">
            <w:pPr>
              <w:pStyle w:val="20"/>
              <w:keepNext w:val="0"/>
              <w:keepLines w:val="0"/>
              <w:pageBreakBefore w:val="0"/>
              <w:kinsoku/>
              <w:wordWrap/>
              <w:overflowPunct/>
              <w:topLinePunct w:val="0"/>
              <w:autoSpaceDE/>
              <w:autoSpaceDN/>
              <w:bidi w:val="0"/>
              <w:spacing w:after="0" w:afterLines="0" w:line="360" w:lineRule="auto"/>
              <w:ind w:left="0" w:leftChars="0"/>
              <w:jc w:val="center"/>
              <w:textAlignment w:val="auto"/>
              <w:rPr>
                <w:rFonts w:hint="eastAsia" w:ascii="宋体" w:hAnsi="宋体" w:eastAsia="宋体" w:cs="宋体"/>
                <w:color w:val="auto"/>
                <w:kern w:val="0"/>
                <w:sz w:val="24"/>
                <w:szCs w:val="24"/>
                <w:highlight w:val="none"/>
                <w:lang w:val="en-US" w:eastAsia="zh-CN"/>
              </w:rPr>
            </w:pPr>
          </w:p>
        </w:tc>
        <w:tc>
          <w:tcPr>
            <w:tcW w:w="642" w:type="pct"/>
            <w:vMerge w:val="restart"/>
            <w:noWrap w:val="0"/>
            <w:vAlign w:val="center"/>
          </w:tcPr>
          <w:p w14:paraId="3E12221C">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项目总体实施方案</w:t>
            </w:r>
          </w:p>
        </w:tc>
        <w:tc>
          <w:tcPr>
            <w:tcW w:w="3587" w:type="pct"/>
            <w:noWrap w:val="0"/>
            <w:vAlign w:val="center"/>
          </w:tcPr>
          <w:p w14:paraId="4132F883">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根据供应商对本项目实施计划、主要思路是否明确并具有针对性、合理性和可操作性方面进行打分。</w:t>
            </w:r>
          </w:p>
          <w:p w14:paraId="3D8062D6">
            <w:pPr>
              <w:pStyle w:val="3"/>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实施</w:t>
            </w:r>
            <w:r>
              <w:rPr>
                <w:rFonts w:hint="eastAsia" w:ascii="宋体" w:hAnsi="宋体" w:eastAsia="宋体" w:cs="宋体"/>
                <w:color w:val="auto"/>
                <w:sz w:val="24"/>
                <w:szCs w:val="24"/>
                <w:highlight w:val="none"/>
                <w:lang w:val="en-US" w:eastAsia="zh-CN"/>
              </w:rPr>
              <w:t>计划</w:t>
            </w:r>
            <w:r>
              <w:rPr>
                <w:rFonts w:hint="eastAsia" w:ascii="宋体" w:hAnsi="宋体" w:eastAsia="宋体" w:cs="宋体"/>
                <w:color w:val="auto"/>
                <w:sz w:val="24"/>
                <w:szCs w:val="24"/>
                <w:highlight w:val="none"/>
              </w:rPr>
              <w:t>可行，</w:t>
            </w:r>
            <w:r>
              <w:rPr>
                <w:rFonts w:hint="eastAsia" w:ascii="宋体" w:hAnsi="宋体" w:eastAsia="宋体" w:cs="宋体"/>
                <w:color w:val="auto"/>
                <w:sz w:val="24"/>
                <w:szCs w:val="24"/>
                <w:highlight w:val="none"/>
                <w:lang w:val="en-US" w:eastAsia="zh-CN"/>
              </w:rPr>
              <w:t>思路明确，具有针对性的得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分；实施计划基本可行，思路较明确，具有一定针对性的得3分；实施计划基本可行，但思路不够明确，内容简单的得2分；计划和思路不够明确，缺乏针对性的得1分；</w:t>
            </w:r>
            <w:r>
              <w:rPr>
                <w:rFonts w:hint="eastAsia" w:ascii="宋体" w:hAnsi="宋体" w:eastAsia="宋体" w:cs="宋体"/>
                <w:color w:val="auto"/>
                <w:sz w:val="24"/>
                <w:szCs w:val="24"/>
                <w:highlight w:val="none"/>
              </w:rPr>
              <w:t>未提及此项不得分。</w:t>
            </w:r>
          </w:p>
        </w:tc>
        <w:tc>
          <w:tcPr>
            <w:tcW w:w="272" w:type="pct"/>
            <w:noWrap w:val="0"/>
            <w:vAlign w:val="center"/>
          </w:tcPr>
          <w:p w14:paraId="448BD7C5">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r>
      <w:tr w14:paraId="157FB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97" w:type="pct"/>
            <w:vMerge w:val="continue"/>
            <w:noWrap w:val="0"/>
            <w:vAlign w:val="center"/>
          </w:tcPr>
          <w:p w14:paraId="44E64A1B">
            <w:pPr>
              <w:pStyle w:val="20"/>
              <w:keepNext w:val="0"/>
              <w:keepLines w:val="0"/>
              <w:pageBreakBefore w:val="0"/>
              <w:kinsoku/>
              <w:wordWrap/>
              <w:overflowPunct/>
              <w:topLinePunct w:val="0"/>
              <w:autoSpaceDE/>
              <w:autoSpaceDN/>
              <w:bidi w:val="0"/>
              <w:spacing w:after="0" w:afterLines="0" w:line="360" w:lineRule="auto"/>
              <w:ind w:left="0" w:leftChars="0"/>
              <w:jc w:val="center"/>
              <w:textAlignment w:val="auto"/>
              <w:rPr>
                <w:rFonts w:hint="eastAsia" w:ascii="宋体" w:hAnsi="宋体" w:eastAsia="宋体" w:cs="宋体"/>
                <w:color w:val="auto"/>
                <w:kern w:val="0"/>
                <w:sz w:val="24"/>
                <w:szCs w:val="24"/>
                <w:highlight w:val="none"/>
                <w:lang w:val="en-US" w:eastAsia="zh-CN"/>
              </w:rPr>
            </w:pPr>
          </w:p>
        </w:tc>
        <w:tc>
          <w:tcPr>
            <w:tcW w:w="642" w:type="pct"/>
            <w:vMerge w:val="continue"/>
            <w:noWrap w:val="0"/>
            <w:vAlign w:val="center"/>
          </w:tcPr>
          <w:p w14:paraId="45DD48E4">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3587" w:type="pct"/>
            <w:noWrap w:val="0"/>
            <w:vAlign w:val="center"/>
          </w:tcPr>
          <w:p w14:paraId="2DA9B30A">
            <w:pPr>
              <w:pStyle w:val="14"/>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根据采购人的招标要求，供应商制定的现场运维工作方案是否科学、合理、有效，根据方案的可行性、科学性进行打分。</w:t>
            </w:r>
          </w:p>
          <w:p w14:paraId="3655ADD4">
            <w:pPr>
              <w:pStyle w:val="3"/>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工作方案内容完善，切实可行的得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分；工作方案内容较完善，有一定可行性的得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分；工作方案内容不够完善，缺乏可行的得1分；</w:t>
            </w:r>
            <w:r>
              <w:rPr>
                <w:rFonts w:hint="eastAsia" w:ascii="宋体" w:hAnsi="宋体" w:eastAsia="宋体" w:cs="宋体"/>
                <w:color w:val="auto"/>
                <w:sz w:val="24"/>
                <w:szCs w:val="24"/>
                <w:highlight w:val="none"/>
              </w:rPr>
              <w:t>未提及此项不得分。</w:t>
            </w:r>
          </w:p>
        </w:tc>
        <w:tc>
          <w:tcPr>
            <w:tcW w:w="272" w:type="pct"/>
            <w:noWrap w:val="0"/>
            <w:vAlign w:val="center"/>
          </w:tcPr>
          <w:p w14:paraId="515592FF">
            <w:pPr>
              <w:keepNext w:val="0"/>
              <w:keepLines w:val="0"/>
              <w:pageBreakBefore w:val="0"/>
              <w:widowControl/>
              <w:kinsoku/>
              <w:wordWrap/>
              <w:overflowPunct/>
              <w:topLinePunct w:val="0"/>
              <w:autoSpaceDE/>
              <w:autoSpaceDN/>
              <w:bidi w:val="0"/>
              <w:spacing w:line="36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r>
      <w:tr w14:paraId="4589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97" w:type="pct"/>
            <w:vMerge w:val="continue"/>
            <w:noWrap w:val="0"/>
            <w:vAlign w:val="center"/>
          </w:tcPr>
          <w:p w14:paraId="45B99772">
            <w:pPr>
              <w:pStyle w:val="20"/>
              <w:keepNext w:val="0"/>
              <w:keepLines w:val="0"/>
              <w:pageBreakBefore w:val="0"/>
              <w:kinsoku/>
              <w:wordWrap/>
              <w:overflowPunct/>
              <w:topLinePunct w:val="0"/>
              <w:autoSpaceDE/>
              <w:autoSpaceDN/>
              <w:bidi w:val="0"/>
              <w:spacing w:after="0" w:afterLines="0" w:line="360" w:lineRule="auto"/>
              <w:ind w:left="0" w:leftChars="0"/>
              <w:jc w:val="center"/>
              <w:textAlignment w:val="auto"/>
              <w:rPr>
                <w:rFonts w:hint="eastAsia" w:ascii="宋体" w:hAnsi="宋体" w:eastAsia="宋体" w:cs="宋体"/>
                <w:color w:val="auto"/>
                <w:kern w:val="0"/>
                <w:sz w:val="24"/>
                <w:szCs w:val="24"/>
                <w:highlight w:val="none"/>
                <w:lang w:val="en-US" w:eastAsia="zh-CN"/>
              </w:rPr>
            </w:pPr>
          </w:p>
        </w:tc>
        <w:tc>
          <w:tcPr>
            <w:tcW w:w="642" w:type="pct"/>
            <w:vMerge w:val="continue"/>
            <w:noWrap w:val="0"/>
            <w:vAlign w:val="center"/>
          </w:tcPr>
          <w:p w14:paraId="2255A280">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3587" w:type="pct"/>
            <w:noWrap w:val="0"/>
            <w:vAlign w:val="center"/>
          </w:tcPr>
          <w:p w14:paraId="20E02C13">
            <w:pPr>
              <w:pStyle w:val="14"/>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根据采购人的招标要求，供应商制定的网络巡检工作方案是否科学、合理、有效，根据方案的可行性、科学性进行打分。</w:t>
            </w:r>
          </w:p>
          <w:p w14:paraId="21028B95">
            <w:pPr>
              <w:pStyle w:val="3"/>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工作方案内容完善，切实可行的得4分；工作方案内容较完善，有一定可行性的得2分；工作方案内容不够完善，缺乏可行的得1分；</w:t>
            </w:r>
            <w:r>
              <w:rPr>
                <w:rFonts w:hint="eastAsia" w:ascii="宋体" w:hAnsi="宋体" w:eastAsia="宋体" w:cs="宋体"/>
                <w:color w:val="auto"/>
                <w:sz w:val="24"/>
                <w:szCs w:val="24"/>
                <w:highlight w:val="none"/>
              </w:rPr>
              <w:t>未提及此项不得分。</w:t>
            </w:r>
          </w:p>
        </w:tc>
        <w:tc>
          <w:tcPr>
            <w:tcW w:w="272" w:type="pct"/>
            <w:noWrap w:val="0"/>
            <w:vAlign w:val="center"/>
          </w:tcPr>
          <w:p w14:paraId="0AE2A4A0">
            <w:pPr>
              <w:keepNext w:val="0"/>
              <w:keepLines w:val="0"/>
              <w:pageBreakBefore w:val="0"/>
              <w:widowControl/>
              <w:kinsoku/>
              <w:wordWrap/>
              <w:overflowPunct/>
              <w:topLinePunct w:val="0"/>
              <w:autoSpaceDE/>
              <w:autoSpaceDN/>
              <w:bidi w:val="0"/>
              <w:spacing w:line="36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r>
      <w:tr w14:paraId="4BF4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97" w:type="pct"/>
            <w:vMerge w:val="continue"/>
            <w:noWrap w:val="0"/>
            <w:vAlign w:val="center"/>
          </w:tcPr>
          <w:p w14:paraId="5D73DCB1">
            <w:pPr>
              <w:pStyle w:val="20"/>
              <w:keepNext w:val="0"/>
              <w:keepLines w:val="0"/>
              <w:pageBreakBefore w:val="0"/>
              <w:kinsoku/>
              <w:wordWrap/>
              <w:overflowPunct/>
              <w:topLinePunct w:val="0"/>
              <w:autoSpaceDE/>
              <w:autoSpaceDN/>
              <w:bidi w:val="0"/>
              <w:spacing w:after="0" w:afterLines="0" w:line="360" w:lineRule="auto"/>
              <w:ind w:left="0" w:leftChars="0"/>
              <w:jc w:val="center"/>
              <w:textAlignment w:val="auto"/>
              <w:rPr>
                <w:rFonts w:hint="eastAsia" w:ascii="宋体" w:hAnsi="宋体" w:eastAsia="宋体" w:cs="宋体"/>
                <w:color w:val="auto"/>
                <w:kern w:val="0"/>
                <w:sz w:val="24"/>
                <w:szCs w:val="24"/>
                <w:highlight w:val="none"/>
                <w:lang w:val="en-US" w:eastAsia="zh-CN"/>
              </w:rPr>
            </w:pPr>
          </w:p>
        </w:tc>
        <w:tc>
          <w:tcPr>
            <w:tcW w:w="642" w:type="pct"/>
            <w:vMerge w:val="continue"/>
            <w:noWrap w:val="0"/>
            <w:vAlign w:val="center"/>
          </w:tcPr>
          <w:p w14:paraId="49B57B44">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3587" w:type="pct"/>
            <w:noWrap w:val="0"/>
            <w:vAlign w:val="center"/>
          </w:tcPr>
          <w:p w14:paraId="377196B9">
            <w:pPr>
              <w:pStyle w:val="14"/>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根据采购人的招标要求，供应商制定的有效数据判定工作方案是否科学、合理、有效，根据方案的可行性、科学性进行打分。</w:t>
            </w:r>
          </w:p>
          <w:p w14:paraId="701A415F">
            <w:pPr>
              <w:pStyle w:val="3"/>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工作方案内容完善，切实可行的得4分；工作方案内容较完善，有一定可行性的得2分；工作方案内容不够完善，缺乏可行的得1分；</w:t>
            </w:r>
            <w:r>
              <w:rPr>
                <w:rFonts w:hint="eastAsia" w:ascii="宋体" w:hAnsi="宋体" w:eastAsia="宋体" w:cs="宋体"/>
                <w:color w:val="auto"/>
                <w:sz w:val="24"/>
                <w:szCs w:val="24"/>
                <w:highlight w:val="none"/>
              </w:rPr>
              <w:t>未提及此项不得分。</w:t>
            </w:r>
          </w:p>
        </w:tc>
        <w:tc>
          <w:tcPr>
            <w:tcW w:w="272" w:type="pct"/>
            <w:noWrap w:val="0"/>
            <w:vAlign w:val="center"/>
          </w:tcPr>
          <w:p w14:paraId="01FDF753">
            <w:pPr>
              <w:keepNext w:val="0"/>
              <w:keepLines w:val="0"/>
              <w:pageBreakBefore w:val="0"/>
              <w:widowControl/>
              <w:kinsoku/>
              <w:wordWrap/>
              <w:overflowPunct/>
              <w:topLinePunct w:val="0"/>
              <w:autoSpaceDE/>
              <w:autoSpaceDN/>
              <w:bidi w:val="0"/>
              <w:spacing w:line="36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r>
      <w:tr w14:paraId="6F7E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97" w:type="pct"/>
            <w:vMerge w:val="continue"/>
            <w:noWrap w:val="0"/>
            <w:vAlign w:val="center"/>
          </w:tcPr>
          <w:p w14:paraId="1E47C636">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4"/>
                <w:szCs w:val="24"/>
                <w:highlight w:val="none"/>
                <w:lang w:eastAsia="zh-CN"/>
              </w:rPr>
            </w:pPr>
          </w:p>
        </w:tc>
        <w:tc>
          <w:tcPr>
            <w:tcW w:w="642" w:type="pct"/>
            <w:vMerge w:val="continue"/>
            <w:noWrap w:val="0"/>
            <w:vAlign w:val="center"/>
          </w:tcPr>
          <w:p w14:paraId="36AF7CEA">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3587" w:type="pct"/>
            <w:noWrap w:val="0"/>
            <w:vAlign w:val="center"/>
          </w:tcPr>
          <w:p w14:paraId="382AD971">
            <w:pPr>
              <w:pStyle w:val="14"/>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根据采购人的招标要求，供应商制定</w:t>
            </w:r>
            <w:r>
              <w:rPr>
                <w:rFonts w:hint="eastAsia" w:ascii="宋体" w:hAnsi="宋体" w:eastAsia="宋体" w:cs="宋体"/>
                <w:b w:val="0"/>
                <w:bCs w:val="0"/>
                <w:color w:val="auto"/>
                <w:sz w:val="24"/>
                <w:szCs w:val="24"/>
                <w:highlight w:val="none"/>
                <w:lang w:val="en-US" w:eastAsia="zh-CN"/>
              </w:rPr>
              <w:t>的相关管理制度是</w:t>
            </w:r>
            <w:r>
              <w:rPr>
                <w:rFonts w:hint="eastAsia" w:ascii="宋体" w:hAnsi="宋体" w:eastAsia="宋体" w:cs="宋体"/>
                <w:color w:val="auto"/>
                <w:sz w:val="24"/>
                <w:szCs w:val="24"/>
                <w:highlight w:val="none"/>
                <w:lang w:val="en-US" w:eastAsia="zh-CN"/>
              </w:rPr>
              <w:t>否科学、合理、有效，根据管理制度的可行性、科学性进行打分。</w:t>
            </w:r>
          </w:p>
          <w:p w14:paraId="5FEA025A">
            <w:pPr>
              <w:pStyle w:val="15"/>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管理制度完善、科学有效的得4分；管理制度较完善，有一定可行性的得3分；管理制度内容简单，有一定可行性的得2分；管理制度片面，缺乏可行性的得1分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未提及此项不得分。</w:t>
            </w:r>
          </w:p>
        </w:tc>
        <w:tc>
          <w:tcPr>
            <w:tcW w:w="272" w:type="pct"/>
            <w:noWrap w:val="0"/>
            <w:vAlign w:val="center"/>
          </w:tcPr>
          <w:p w14:paraId="5F0AFC62">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r>
      <w:tr w14:paraId="71B7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97" w:type="pct"/>
            <w:vMerge w:val="continue"/>
            <w:noWrap w:val="0"/>
            <w:vAlign w:val="center"/>
          </w:tcPr>
          <w:p w14:paraId="1FEBD26A">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4"/>
                <w:szCs w:val="24"/>
                <w:highlight w:val="none"/>
                <w:lang w:val="en-US" w:eastAsia="zh-CN"/>
              </w:rPr>
            </w:pPr>
          </w:p>
        </w:tc>
        <w:tc>
          <w:tcPr>
            <w:tcW w:w="642" w:type="pct"/>
            <w:noWrap w:val="0"/>
            <w:vAlign w:val="center"/>
          </w:tcPr>
          <w:p w14:paraId="48CADA1C">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质量控制保障</w:t>
            </w:r>
          </w:p>
        </w:tc>
        <w:tc>
          <w:tcPr>
            <w:tcW w:w="3587" w:type="pct"/>
            <w:noWrap w:val="0"/>
            <w:vAlign w:val="center"/>
          </w:tcPr>
          <w:p w14:paraId="23161826">
            <w:pPr>
              <w:pStyle w:val="14"/>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根据采购人的招标要求，供应商制定</w:t>
            </w:r>
            <w:r>
              <w:rPr>
                <w:rFonts w:hint="eastAsia" w:ascii="宋体" w:hAnsi="宋体" w:eastAsia="宋体" w:cs="宋体"/>
                <w:b w:val="0"/>
                <w:bCs w:val="0"/>
                <w:color w:val="auto"/>
                <w:sz w:val="24"/>
                <w:szCs w:val="24"/>
                <w:highlight w:val="none"/>
                <w:lang w:val="en-US" w:eastAsia="zh-CN"/>
              </w:rPr>
              <w:t>的质量控制保障方案是否科学、合理、有效，根据方案的可行性、科学性进行打分。</w:t>
            </w:r>
          </w:p>
          <w:p w14:paraId="75ED5EDD">
            <w:pPr>
              <w:pStyle w:val="15"/>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质量控制保障方案科学合理，内容完善的得4分；保障制度内容较完善，有一定合理性的得3分；保障制度内容简单，基本符合需求的得2分；保障制度内容片面，偏离需求的得1分；</w:t>
            </w:r>
            <w:r>
              <w:rPr>
                <w:rFonts w:hint="eastAsia" w:ascii="宋体" w:hAnsi="宋体" w:eastAsia="宋体" w:cs="宋体"/>
                <w:color w:val="auto"/>
                <w:sz w:val="24"/>
                <w:szCs w:val="24"/>
                <w:highlight w:val="none"/>
              </w:rPr>
              <w:t>未提及此项不得分。</w:t>
            </w:r>
          </w:p>
        </w:tc>
        <w:tc>
          <w:tcPr>
            <w:tcW w:w="272" w:type="pct"/>
            <w:noWrap w:val="0"/>
            <w:vAlign w:val="center"/>
          </w:tcPr>
          <w:p w14:paraId="3F158E63">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r>
      <w:tr w14:paraId="2939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97" w:type="pct"/>
            <w:vMerge w:val="continue"/>
            <w:noWrap w:val="0"/>
            <w:vAlign w:val="center"/>
          </w:tcPr>
          <w:p w14:paraId="4F2F0685">
            <w:pPr>
              <w:pStyle w:val="20"/>
              <w:keepNext w:val="0"/>
              <w:keepLines w:val="0"/>
              <w:pageBreakBefore w:val="0"/>
              <w:kinsoku/>
              <w:wordWrap/>
              <w:overflowPunct/>
              <w:topLinePunct w:val="0"/>
              <w:autoSpaceDE/>
              <w:autoSpaceDN/>
              <w:bidi w:val="0"/>
              <w:spacing w:after="0" w:afterLines="0" w:line="360" w:lineRule="auto"/>
              <w:ind w:left="0" w:leftChars="0"/>
              <w:jc w:val="center"/>
              <w:textAlignment w:val="auto"/>
              <w:rPr>
                <w:rFonts w:hint="eastAsia" w:ascii="宋体" w:hAnsi="宋体" w:eastAsia="宋体" w:cs="宋体"/>
                <w:color w:val="auto"/>
                <w:kern w:val="0"/>
                <w:sz w:val="24"/>
                <w:szCs w:val="24"/>
                <w:highlight w:val="none"/>
                <w:lang w:val="en-US" w:eastAsia="zh-CN"/>
              </w:rPr>
            </w:pPr>
          </w:p>
        </w:tc>
        <w:tc>
          <w:tcPr>
            <w:tcW w:w="642" w:type="pct"/>
            <w:noWrap w:val="0"/>
            <w:vAlign w:val="center"/>
          </w:tcPr>
          <w:p w14:paraId="7B016B76">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保密方案</w:t>
            </w:r>
          </w:p>
        </w:tc>
        <w:tc>
          <w:tcPr>
            <w:tcW w:w="3587" w:type="pct"/>
            <w:noWrap w:val="0"/>
            <w:vAlign w:val="center"/>
          </w:tcPr>
          <w:p w14:paraId="41C5A964">
            <w:pPr>
              <w:pStyle w:val="14"/>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根据供应商对项目运维过程中所获取的数据保密措施进行打分。</w:t>
            </w:r>
          </w:p>
          <w:p w14:paraId="7B5876FE">
            <w:pPr>
              <w:pStyle w:val="15"/>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有详细的数据保密措施的得2分；保密措施有欠缺的得1分；</w:t>
            </w:r>
            <w:r>
              <w:rPr>
                <w:rFonts w:hint="eastAsia" w:ascii="宋体" w:hAnsi="宋体" w:eastAsia="宋体" w:cs="宋体"/>
                <w:color w:val="auto"/>
                <w:kern w:val="0"/>
                <w:sz w:val="24"/>
                <w:szCs w:val="24"/>
                <w:highlight w:val="none"/>
                <w:lang w:val="en-US" w:eastAsia="zh-CN"/>
              </w:rPr>
              <w:t>未提及此项不得分。</w:t>
            </w:r>
          </w:p>
        </w:tc>
        <w:tc>
          <w:tcPr>
            <w:tcW w:w="272" w:type="pct"/>
            <w:noWrap w:val="0"/>
            <w:vAlign w:val="center"/>
          </w:tcPr>
          <w:p w14:paraId="6C433896">
            <w:pPr>
              <w:pStyle w:val="20"/>
              <w:keepNext w:val="0"/>
              <w:keepLines w:val="0"/>
              <w:pageBreakBefore w:val="0"/>
              <w:kinsoku/>
              <w:wordWrap/>
              <w:overflowPunct/>
              <w:topLinePunct w:val="0"/>
              <w:autoSpaceDE/>
              <w:autoSpaceDN/>
              <w:bidi w:val="0"/>
              <w:spacing w:after="0" w:afterLines="0" w:line="360" w:lineRule="auto"/>
              <w:ind w:left="0" w:lef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r>
      <w:tr w14:paraId="7707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97" w:type="pct"/>
            <w:vMerge w:val="continue"/>
            <w:noWrap w:val="0"/>
            <w:vAlign w:val="center"/>
          </w:tcPr>
          <w:p w14:paraId="20535AC2">
            <w:pPr>
              <w:pStyle w:val="20"/>
              <w:keepNext w:val="0"/>
              <w:keepLines w:val="0"/>
              <w:pageBreakBefore w:val="0"/>
              <w:kinsoku/>
              <w:wordWrap/>
              <w:overflowPunct/>
              <w:topLinePunct w:val="0"/>
              <w:autoSpaceDE/>
              <w:autoSpaceDN/>
              <w:bidi w:val="0"/>
              <w:spacing w:after="0" w:afterLines="0" w:line="360" w:lineRule="auto"/>
              <w:ind w:left="0" w:leftChars="0"/>
              <w:jc w:val="center"/>
              <w:textAlignment w:val="auto"/>
              <w:rPr>
                <w:rFonts w:hint="eastAsia" w:ascii="宋体" w:hAnsi="宋体" w:eastAsia="宋体" w:cs="宋体"/>
                <w:color w:val="auto"/>
                <w:kern w:val="0"/>
                <w:sz w:val="24"/>
                <w:szCs w:val="24"/>
                <w:highlight w:val="none"/>
                <w:lang w:val="en-US" w:eastAsia="zh-CN"/>
              </w:rPr>
            </w:pPr>
          </w:p>
        </w:tc>
        <w:tc>
          <w:tcPr>
            <w:tcW w:w="642" w:type="pct"/>
            <w:shd w:val="clear" w:color="auto" w:fill="auto"/>
            <w:noWrap w:val="0"/>
            <w:vAlign w:val="center"/>
          </w:tcPr>
          <w:p w14:paraId="24C16A8E">
            <w:pPr>
              <w:pStyle w:val="20"/>
              <w:keepNext w:val="0"/>
              <w:keepLines w:val="0"/>
              <w:pageBreakBefore w:val="0"/>
              <w:kinsoku/>
              <w:wordWrap/>
              <w:overflowPunct/>
              <w:topLinePunct w:val="0"/>
              <w:autoSpaceDE/>
              <w:autoSpaceDN/>
              <w:bidi w:val="0"/>
              <w:spacing w:after="0" w:afterLines="0" w:line="360" w:lineRule="auto"/>
              <w:ind w:left="0" w:lef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售后服务</w:t>
            </w:r>
            <w:r>
              <w:rPr>
                <w:rFonts w:hint="eastAsia" w:ascii="宋体" w:hAnsi="宋体" w:cs="宋体"/>
                <w:color w:val="auto"/>
                <w:sz w:val="24"/>
                <w:szCs w:val="24"/>
                <w:highlight w:val="none"/>
                <w:lang w:val="en-US" w:eastAsia="zh-CN"/>
              </w:rPr>
              <w:t>方案</w:t>
            </w:r>
          </w:p>
        </w:tc>
        <w:tc>
          <w:tcPr>
            <w:tcW w:w="3587" w:type="pct"/>
            <w:shd w:val="clear" w:color="auto" w:fill="auto"/>
            <w:noWrap w:val="0"/>
            <w:vAlign w:val="center"/>
          </w:tcPr>
          <w:p w14:paraId="23D9BD00">
            <w:pPr>
              <w:pStyle w:val="20"/>
              <w:keepNext w:val="0"/>
              <w:keepLines w:val="0"/>
              <w:pageBreakBefore w:val="0"/>
              <w:kinsoku/>
              <w:wordWrap/>
              <w:overflowPunct/>
              <w:topLinePunct w:val="0"/>
              <w:autoSpaceDE/>
              <w:autoSpaceDN/>
              <w:bidi w:val="0"/>
              <w:spacing w:after="0" w:afterLines="0" w:line="360" w:lineRule="auto"/>
              <w:ind w:left="0" w:left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根据投标方提供的后期服务方案、保障措施等售后服务方案进行打分。</w:t>
            </w:r>
          </w:p>
          <w:p w14:paraId="400EC34F">
            <w:pPr>
              <w:pStyle w:val="20"/>
              <w:keepNext w:val="0"/>
              <w:keepLines w:val="0"/>
              <w:pageBreakBefore w:val="0"/>
              <w:kinsoku/>
              <w:wordWrap/>
              <w:overflowPunct/>
              <w:topLinePunct w:val="0"/>
              <w:autoSpaceDE/>
              <w:autoSpaceDN/>
              <w:bidi w:val="0"/>
              <w:spacing w:after="0" w:afterLines="0" w:line="360" w:lineRule="auto"/>
              <w:ind w:left="0" w:left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有完整的售后服务方案，且内容明确的得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分；售后服务方案有欠缺的得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分；未提及此项不得分。</w:t>
            </w:r>
          </w:p>
        </w:tc>
        <w:tc>
          <w:tcPr>
            <w:tcW w:w="272" w:type="pct"/>
            <w:shd w:val="clear" w:color="auto" w:fill="auto"/>
            <w:noWrap w:val="0"/>
            <w:vAlign w:val="center"/>
          </w:tcPr>
          <w:p w14:paraId="362F0FB3">
            <w:pPr>
              <w:pStyle w:val="20"/>
              <w:keepNext w:val="0"/>
              <w:keepLines w:val="0"/>
              <w:pageBreakBefore w:val="0"/>
              <w:kinsoku/>
              <w:wordWrap/>
              <w:overflowPunct/>
              <w:topLinePunct w:val="0"/>
              <w:autoSpaceDE/>
              <w:autoSpaceDN/>
              <w:bidi w:val="0"/>
              <w:spacing w:after="0" w:afterLines="0" w:line="360" w:lineRule="auto"/>
              <w:ind w:left="0" w:lef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w:t>
            </w:r>
          </w:p>
        </w:tc>
      </w:tr>
      <w:tr w14:paraId="5776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97" w:type="pct"/>
            <w:vMerge w:val="continue"/>
            <w:noWrap w:val="0"/>
            <w:vAlign w:val="center"/>
          </w:tcPr>
          <w:p w14:paraId="714C8334">
            <w:pPr>
              <w:pStyle w:val="20"/>
              <w:keepNext w:val="0"/>
              <w:keepLines w:val="0"/>
              <w:pageBreakBefore w:val="0"/>
              <w:kinsoku/>
              <w:wordWrap/>
              <w:overflowPunct/>
              <w:topLinePunct w:val="0"/>
              <w:autoSpaceDE/>
              <w:autoSpaceDN/>
              <w:bidi w:val="0"/>
              <w:spacing w:after="0" w:afterLines="0" w:line="360" w:lineRule="auto"/>
              <w:ind w:left="0" w:leftChars="0"/>
              <w:jc w:val="center"/>
              <w:textAlignment w:val="auto"/>
              <w:rPr>
                <w:rFonts w:hint="eastAsia" w:ascii="宋体" w:hAnsi="宋体" w:eastAsia="宋体" w:cs="宋体"/>
                <w:color w:val="auto"/>
                <w:kern w:val="0"/>
                <w:sz w:val="24"/>
                <w:szCs w:val="24"/>
                <w:highlight w:val="none"/>
                <w:lang w:val="en-US" w:eastAsia="zh-CN"/>
              </w:rPr>
            </w:pPr>
          </w:p>
        </w:tc>
        <w:tc>
          <w:tcPr>
            <w:tcW w:w="642" w:type="pct"/>
            <w:vMerge w:val="restart"/>
            <w:noWrap w:val="0"/>
            <w:vAlign w:val="center"/>
          </w:tcPr>
          <w:p w14:paraId="557803DB">
            <w:pPr>
              <w:pStyle w:val="20"/>
              <w:keepNext w:val="0"/>
              <w:keepLines w:val="0"/>
              <w:pageBreakBefore w:val="0"/>
              <w:kinsoku/>
              <w:wordWrap/>
              <w:overflowPunct/>
              <w:topLinePunct w:val="0"/>
              <w:autoSpaceDE/>
              <w:autoSpaceDN/>
              <w:bidi w:val="0"/>
              <w:spacing w:after="0" w:afterLines="0" w:line="360" w:lineRule="auto"/>
              <w:ind w:left="0" w:lef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应急响应制度及本地化服务能力</w:t>
            </w:r>
          </w:p>
        </w:tc>
        <w:tc>
          <w:tcPr>
            <w:tcW w:w="3587" w:type="pct"/>
            <w:noWrap w:val="0"/>
            <w:vAlign w:val="center"/>
          </w:tcPr>
          <w:p w14:paraId="7E80B666">
            <w:pPr>
              <w:pStyle w:val="14"/>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投标单位应有详细完善的运维应急响应制度及实施保障方案，根据方案的完整性、科学性、可行性进行综合评分。</w:t>
            </w:r>
          </w:p>
          <w:p w14:paraId="5C43268A">
            <w:pPr>
              <w:pStyle w:val="15"/>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响应制度完善，实施方案有保障，内容完整的得4分；应急响应制度较完善，实施方案有一定保障，内容较完整的得3分；应急响应制度及实施方案简单，缺乏保障的得2分；应急响应制度及实施方案片面，可行性不高的得1分；</w:t>
            </w:r>
            <w:r>
              <w:rPr>
                <w:rFonts w:hint="eastAsia" w:ascii="宋体" w:hAnsi="宋体" w:eastAsia="宋体" w:cs="宋体"/>
                <w:color w:val="auto"/>
                <w:kern w:val="0"/>
                <w:sz w:val="24"/>
                <w:szCs w:val="24"/>
                <w:highlight w:val="none"/>
                <w:lang w:val="en-US" w:eastAsia="zh-CN"/>
              </w:rPr>
              <w:t>未提及此项不得分。</w:t>
            </w:r>
          </w:p>
        </w:tc>
        <w:tc>
          <w:tcPr>
            <w:tcW w:w="272" w:type="pct"/>
            <w:noWrap w:val="0"/>
            <w:vAlign w:val="center"/>
          </w:tcPr>
          <w:p w14:paraId="22DEBDFC">
            <w:pPr>
              <w:pStyle w:val="20"/>
              <w:keepNext w:val="0"/>
              <w:keepLines w:val="0"/>
              <w:pageBreakBefore w:val="0"/>
              <w:kinsoku/>
              <w:wordWrap/>
              <w:overflowPunct/>
              <w:topLinePunct w:val="0"/>
              <w:autoSpaceDE/>
              <w:autoSpaceDN/>
              <w:bidi w:val="0"/>
              <w:spacing w:after="0" w:afterLines="0" w:line="360" w:lineRule="auto"/>
              <w:ind w:left="0" w:lef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r>
      <w:tr w14:paraId="7749C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97" w:type="pct"/>
            <w:vMerge w:val="continue"/>
            <w:noWrap w:val="0"/>
            <w:vAlign w:val="center"/>
          </w:tcPr>
          <w:p w14:paraId="6269FC36">
            <w:pPr>
              <w:pStyle w:val="20"/>
              <w:keepNext w:val="0"/>
              <w:keepLines w:val="0"/>
              <w:pageBreakBefore w:val="0"/>
              <w:kinsoku/>
              <w:wordWrap/>
              <w:overflowPunct/>
              <w:topLinePunct w:val="0"/>
              <w:autoSpaceDE/>
              <w:autoSpaceDN/>
              <w:bidi w:val="0"/>
              <w:spacing w:after="0" w:afterLines="0" w:line="360" w:lineRule="auto"/>
              <w:ind w:left="0" w:leftChars="0"/>
              <w:jc w:val="center"/>
              <w:textAlignment w:val="auto"/>
              <w:rPr>
                <w:rFonts w:hint="eastAsia" w:ascii="宋体" w:hAnsi="宋体" w:eastAsia="宋体" w:cs="宋体"/>
                <w:color w:val="auto"/>
                <w:kern w:val="0"/>
                <w:sz w:val="24"/>
                <w:szCs w:val="24"/>
                <w:highlight w:val="none"/>
                <w:lang w:val="en-US" w:eastAsia="zh-CN"/>
              </w:rPr>
            </w:pPr>
          </w:p>
        </w:tc>
        <w:tc>
          <w:tcPr>
            <w:tcW w:w="642" w:type="pct"/>
            <w:vMerge w:val="continue"/>
            <w:noWrap w:val="0"/>
            <w:vAlign w:val="center"/>
          </w:tcPr>
          <w:p w14:paraId="07FC5166">
            <w:pPr>
              <w:pStyle w:val="20"/>
              <w:keepNext w:val="0"/>
              <w:keepLines w:val="0"/>
              <w:pageBreakBefore w:val="0"/>
              <w:kinsoku/>
              <w:wordWrap/>
              <w:overflowPunct/>
              <w:topLinePunct w:val="0"/>
              <w:autoSpaceDE/>
              <w:autoSpaceDN/>
              <w:bidi w:val="0"/>
              <w:spacing w:after="0" w:afterLines="0" w:line="360" w:lineRule="auto"/>
              <w:ind w:left="0" w:leftChars="0"/>
              <w:jc w:val="center"/>
              <w:textAlignment w:val="auto"/>
              <w:rPr>
                <w:rFonts w:hint="eastAsia" w:ascii="宋体" w:hAnsi="宋体" w:eastAsia="宋体" w:cs="宋体"/>
                <w:color w:val="auto"/>
                <w:sz w:val="24"/>
                <w:szCs w:val="24"/>
                <w:highlight w:val="none"/>
                <w:lang w:val="en-US" w:eastAsia="zh-CN"/>
              </w:rPr>
            </w:pPr>
          </w:p>
        </w:tc>
        <w:tc>
          <w:tcPr>
            <w:tcW w:w="3587" w:type="pct"/>
            <w:noWrap w:val="0"/>
            <w:vAlign w:val="center"/>
          </w:tcPr>
          <w:p w14:paraId="6F33E76E">
            <w:pPr>
              <w:pStyle w:val="14"/>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为确保本项目运维工作及时响应，在台州范围内设有本项目相设备的备品备件库或承诺中标后</w:t>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个月内在台州范围内设立本项目相关设备的备品备件库，符合的得</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分，不符合的得0分。</w:t>
            </w:r>
            <w:r>
              <w:rPr>
                <w:rFonts w:hint="eastAsia" w:ascii="宋体" w:hAnsi="宋体" w:eastAsia="宋体" w:cs="宋体"/>
                <w:b/>
                <w:bCs/>
                <w:color w:val="auto"/>
                <w:sz w:val="24"/>
                <w:szCs w:val="24"/>
                <w:highlight w:val="none"/>
                <w:lang w:val="en-US" w:eastAsia="zh-CN"/>
              </w:rPr>
              <w:t>（已设立备品备件库的须提供相关照片证明，承诺中标后设立备品备件库的须提供加盖投标人公章的承诺书，否则不予认可）</w:t>
            </w:r>
          </w:p>
        </w:tc>
        <w:tc>
          <w:tcPr>
            <w:tcW w:w="272" w:type="pct"/>
            <w:noWrap w:val="0"/>
            <w:vAlign w:val="center"/>
          </w:tcPr>
          <w:p w14:paraId="3BEBB164">
            <w:pPr>
              <w:pStyle w:val="20"/>
              <w:keepNext w:val="0"/>
              <w:keepLines w:val="0"/>
              <w:pageBreakBefore w:val="0"/>
              <w:kinsoku/>
              <w:wordWrap/>
              <w:overflowPunct/>
              <w:topLinePunct w:val="0"/>
              <w:autoSpaceDE/>
              <w:autoSpaceDN/>
              <w:bidi w:val="0"/>
              <w:spacing w:after="0" w:afterLines="0" w:line="360" w:lineRule="auto"/>
              <w:ind w:left="0" w:lef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r>
      <w:tr w14:paraId="0BE97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497" w:type="pct"/>
            <w:vMerge w:val="continue"/>
            <w:noWrap w:val="0"/>
            <w:vAlign w:val="center"/>
          </w:tcPr>
          <w:p w14:paraId="1473D08A">
            <w:pPr>
              <w:pStyle w:val="20"/>
              <w:keepNext w:val="0"/>
              <w:keepLines w:val="0"/>
              <w:pageBreakBefore w:val="0"/>
              <w:kinsoku/>
              <w:wordWrap/>
              <w:overflowPunct/>
              <w:topLinePunct w:val="0"/>
              <w:autoSpaceDE/>
              <w:autoSpaceDN/>
              <w:bidi w:val="0"/>
              <w:spacing w:after="0" w:afterLines="0" w:line="360" w:lineRule="auto"/>
              <w:ind w:left="0" w:leftChars="0"/>
              <w:jc w:val="center"/>
              <w:textAlignment w:val="auto"/>
              <w:rPr>
                <w:rFonts w:hint="eastAsia" w:ascii="宋体" w:hAnsi="宋体" w:eastAsia="宋体" w:cs="宋体"/>
                <w:color w:val="auto"/>
                <w:kern w:val="0"/>
                <w:sz w:val="24"/>
                <w:szCs w:val="24"/>
                <w:highlight w:val="none"/>
                <w:lang w:val="en-US" w:eastAsia="zh-CN"/>
              </w:rPr>
            </w:pPr>
          </w:p>
        </w:tc>
        <w:tc>
          <w:tcPr>
            <w:tcW w:w="642" w:type="pct"/>
            <w:vMerge w:val="continue"/>
            <w:noWrap w:val="0"/>
            <w:vAlign w:val="center"/>
          </w:tcPr>
          <w:p w14:paraId="258992BE">
            <w:pPr>
              <w:pStyle w:val="20"/>
              <w:keepNext w:val="0"/>
              <w:keepLines w:val="0"/>
              <w:pageBreakBefore w:val="0"/>
              <w:kinsoku/>
              <w:wordWrap/>
              <w:overflowPunct/>
              <w:topLinePunct w:val="0"/>
              <w:autoSpaceDE/>
              <w:autoSpaceDN/>
              <w:bidi w:val="0"/>
              <w:spacing w:after="0" w:afterLines="0" w:line="360" w:lineRule="auto"/>
              <w:ind w:left="0" w:leftChars="0"/>
              <w:jc w:val="center"/>
              <w:textAlignment w:val="auto"/>
              <w:rPr>
                <w:rFonts w:hint="eastAsia" w:ascii="宋体" w:hAnsi="宋体" w:eastAsia="宋体" w:cs="宋体"/>
                <w:color w:val="auto"/>
                <w:kern w:val="0"/>
                <w:sz w:val="24"/>
                <w:szCs w:val="24"/>
                <w:highlight w:val="none"/>
                <w:lang w:val="en-US" w:eastAsia="zh-CN"/>
              </w:rPr>
            </w:pPr>
          </w:p>
        </w:tc>
        <w:tc>
          <w:tcPr>
            <w:tcW w:w="3587" w:type="pct"/>
            <w:noWrap w:val="0"/>
            <w:vAlign w:val="center"/>
          </w:tcPr>
          <w:p w14:paraId="4469A397">
            <w:pPr>
              <w:pStyle w:val="20"/>
              <w:keepNext w:val="0"/>
              <w:keepLines w:val="0"/>
              <w:pageBreakBefore w:val="0"/>
              <w:kinsoku/>
              <w:wordWrap/>
              <w:overflowPunct/>
              <w:topLinePunct w:val="0"/>
              <w:autoSpaceDE/>
              <w:autoSpaceDN/>
              <w:bidi w:val="0"/>
              <w:spacing w:after="0" w:afterLines="0" w:line="360" w:lineRule="auto"/>
              <w:ind w:left="0" w:left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w:t>
            </w:r>
            <w:r>
              <w:rPr>
                <w:rFonts w:hint="eastAsia" w:ascii="宋体" w:hAnsi="宋体" w:cs="宋体"/>
                <w:color w:val="auto"/>
                <w:kern w:val="0"/>
                <w:sz w:val="24"/>
                <w:szCs w:val="24"/>
                <w:highlight w:val="none"/>
                <w:lang w:val="en-US" w:eastAsia="zh-CN"/>
              </w:rPr>
              <w:t>应为本项目</w:t>
            </w:r>
            <w:r>
              <w:rPr>
                <w:rFonts w:hint="eastAsia" w:ascii="宋体" w:hAnsi="宋体" w:eastAsia="宋体" w:cs="宋体"/>
                <w:color w:val="auto"/>
                <w:kern w:val="0"/>
                <w:sz w:val="24"/>
                <w:szCs w:val="24"/>
                <w:highlight w:val="none"/>
                <w:lang w:val="en-US" w:eastAsia="zh-CN"/>
              </w:rPr>
              <w:t>配有额外的应急响应人员和</w:t>
            </w:r>
            <w:r>
              <w:rPr>
                <w:rFonts w:hint="eastAsia" w:ascii="宋体" w:hAnsi="宋体" w:cs="宋体"/>
                <w:color w:val="auto"/>
                <w:kern w:val="0"/>
                <w:sz w:val="24"/>
                <w:szCs w:val="24"/>
                <w:highlight w:val="none"/>
                <w:lang w:val="en-US" w:eastAsia="zh-CN"/>
              </w:rPr>
              <w:t>2辆以上</w:t>
            </w:r>
            <w:r>
              <w:rPr>
                <w:rFonts w:hint="eastAsia" w:ascii="宋体" w:hAnsi="宋体" w:eastAsia="宋体" w:cs="宋体"/>
                <w:color w:val="auto"/>
                <w:kern w:val="0"/>
                <w:sz w:val="24"/>
                <w:szCs w:val="24"/>
                <w:highlight w:val="none"/>
                <w:lang w:val="en-US" w:eastAsia="zh-CN"/>
              </w:rPr>
              <w:t>的运维专用车辆，且对突发事件有</w:t>
            </w:r>
            <w:r>
              <w:rPr>
                <w:rFonts w:hint="eastAsia" w:ascii="宋体" w:hAnsi="宋体" w:cs="宋体"/>
                <w:color w:val="auto"/>
                <w:kern w:val="0"/>
                <w:sz w:val="24"/>
                <w:szCs w:val="24"/>
                <w:highlight w:val="none"/>
                <w:lang w:val="en-US" w:eastAsia="zh-CN"/>
              </w:rPr>
              <w:t>应对</w:t>
            </w:r>
            <w:r>
              <w:rPr>
                <w:rFonts w:hint="eastAsia" w:ascii="宋体" w:hAnsi="宋体" w:eastAsia="宋体" w:cs="宋体"/>
                <w:color w:val="auto"/>
                <w:kern w:val="0"/>
                <w:sz w:val="24"/>
                <w:szCs w:val="24"/>
                <w:highlight w:val="none"/>
                <w:lang w:val="en-US" w:eastAsia="zh-CN"/>
              </w:rPr>
              <w:t>和实施能力</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提供</w:t>
            </w:r>
            <w:r>
              <w:rPr>
                <w:rFonts w:hint="eastAsia" w:ascii="宋体" w:hAnsi="宋体" w:cs="宋体"/>
                <w:color w:val="auto"/>
                <w:kern w:val="0"/>
                <w:sz w:val="24"/>
                <w:szCs w:val="24"/>
                <w:highlight w:val="none"/>
                <w:lang w:val="en-US" w:eastAsia="zh-CN"/>
              </w:rPr>
              <w:t>服务能力</w:t>
            </w:r>
            <w:r>
              <w:rPr>
                <w:rFonts w:hint="eastAsia" w:ascii="宋体" w:hAnsi="宋体" w:eastAsia="宋体" w:cs="宋体"/>
                <w:color w:val="auto"/>
                <w:kern w:val="0"/>
                <w:sz w:val="24"/>
                <w:szCs w:val="24"/>
                <w:highlight w:val="none"/>
                <w:lang w:val="en-US" w:eastAsia="zh-CN"/>
              </w:rPr>
              <w:t>承诺书</w:t>
            </w:r>
            <w:r>
              <w:rPr>
                <w:rFonts w:hint="eastAsia" w:ascii="宋体" w:hAnsi="宋体" w:cs="宋体"/>
                <w:color w:val="auto"/>
                <w:kern w:val="0"/>
                <w:sz w:val="24"/>
                <w:szCs w:val="24"/>
                <w:highlight w:val="none"/>
                <w:lang w:val="en-US" w:eastAsia="zh-CN"/>
              </w:rPr>
              <w:t>，</w:t>
            </w:r>
            <w:r>
              <w:rPr>
                <w:rFonts w:hint="eastAsia" w:ascii="宋体" w:hAnsi="宋体" w:cstheme="minorEastAsia"/>
                <w:sz w:val="24"/>
              </w:rPr>
              <w:t>承诺接到采购方通知后，在1小时内（含）到达现场的得</w:t>
            </w:r>
            <w:r>
              <w:rPr>
                <w:rFonts w:hint="eastAsia" w:ascii="宋体" w:hAnsi="宋体" w:cstheme="minorEastAsia"/>
                <w:sz w:val="24"/>
                <w:lang w:val="en-US" w:eastAsia="zh-CN"/>
              </w:rPr>
              <w:t>2</w:t>
            </w:r>
            <w:r>
              <w:rPr>
                <w:rFonts w:hint="eastAsia" w:ascii="宋体" w:hAnsi="宋体" w:cstheme="minorEastAsia"/>
                <w:sz w:val="24"/>
              </w:rPr>
              <w:t>分；在2小时内（含）到达现场的得1分</w:t>
            </w:r>
            <w:r>
              <w:rPr>
                <w:rFonts w:hint="eastAsia" w:ascii="宋体" w:hAnsi="宋体" w:cstheme="minorEastAsia"/>
                <w:sz w:val="24"/>
                <w:lang w:eastAsia="zh-CN"/>
              </w:rPr>
              <w:t>；</w:t>
            </w:r>
            <w:r>
              <w:rPr>
                <w:rFonts w:hint="eastAsia" w:ascii="宋体" w:hAnsi="宋体" w:cstheme="minorEastAsia"/>
                <w:sz w:val="24"/>
                <w:lang w:val="en-US" w:eastAsia="zh-CN"/>
              </w:rPr>
              <w:t>未达到条件的不得分。</w:t>
            </w:r>
            <w:r>
              <w:rPr>
                <w:rFonts w:hint="eastAsia" w:ascii="宋体" w:hAnsi="宋体" w:eastAsia="宋体" w:cs="宋体"/>
                <w:b/>
                <w:bCs/>
                <w:color w:val="auto"/>
                <w:kern w:val="0"/>
                <w:sz w:val="24"/>
                <w:szCs w:val="24"/>
                <w:highlight w:val="none"/>
                <w:lang w:val="en-US" w:eastAsia="zh-CN"/>
              </w:rPr>
              <w:t>（须提供应急响应人员和运维专用车辆详细配置清单以及</w:t>
            </w:r>
            <w:r>
              <w:rPr>
                <w:rFonts w:hint="eastAsia" w:ascii="宋体" w:hAnsi="宋体" w:eastAsia="宋体" w:cs="宋体"/>
                <w:b/>
                <w:bCs/>
                <w:color w:val="auto"/>
                <w:sz w:val="24"/>
                <w:szCs w:val="24"/>
                <w:highlight w:val="none"/>
                <w:lang w:val="en-US" w:eastAsia="zh-CN"/>
              </w:rPr>
              <w:t>加盖投标人公章的</w:t>
            </w:r>
            <w:r>
              <w:rPr>
                <w:rFonts w:hint="eastAsia" w:ascii="宋体" w:hAnsi="宋体" w:eastAsia="宋体" w:cs="宋体"/>
                <w:b/>
                <w:bCs/>
                <w:color w:val="auto"/>
                <w:kern w:val="0"/>
                <w:sz w:val="24"/>
                <w:szCs w:val="24"/>
                <w:highlight w:val="none"/>
                <w:lang w:val="en-US" w:eastAsia="zh-CN"/>
              </w:rPr>
              <w:t>承诺书</w:t>
            </w:r>
            <w:r>
              <w:rPr>
                <w:rFonts w:hint="eastAsia" w:ascii="宋体" w:hAnsi="宋体" w:eastAsia="宋体" w:cs="宋体"/>
                <w:b/>
                <w:bCs/>
                <w:color w:val="auto"/>
                <w:sz w:val="24"/>
                <w:szCs w:val="24"/>
                <w:highlight w:val="none"/>
                <w:lang w:val="en-US" w:eastAsia="zh-CN"/>
              </w:rPr>
              <w:t>，否则不予认可</w:t>
            </w:r>
            <w:r>
              <w:rPr>
                <w:rFonts w:hint="eastAsia" w:ascii="宋体" w:hAnsi="宋体" w:cs="宋体"/>
                <w:b/>
                <w:bCs/>
                <w:color w:val="auto"/>
                <w:sz w:val="24"/>
                <w:szCs w:val="24"/>
                <w:highlight w:val="none"/>
                <w:lang w:val="en-US" w:eastAsia="zh-CN"/>
              </w:rPr>
              <w:t>；应急响应人员须提供</w:t>
            </w:r>
            <w:r>
              <w:rPr>
                <w:rFonts w:hint="eastAsia" w:ascii="宋体" w:hAnsi="宋体" w:eastAsia="宋体" w:cs="宋体"/>
                <w:b/>
                <w:bCs w:val="0"/>
                <w:color w:val="auto"/>
                <w:sz w:val="24"/>
                <w:szCs w:val="24"/>
                <w:highlight w:val="none"/>
                <w:lang w:val="en-US" w:eastAsia="zh-CN"/>
              </w:rPr>
              <w:t>投标单位</w:t>
            </w:r>
            <w:r>
              <w:rPr>
                <w:rFonts w:hint="eastAsia" w:ascii="宋体" w:hAnsi="宋体" w:eastAsia="宋体" w:cs="宋体"/>
                <w:b/>
                <w:bCs/>
                <w:color w:val="auto"/>
                <w:sz w:val="24"/>
                <w:szCs w:val="24"/>
                <w:highlight w:val="none"/>
                <w:lang w:val="en-US" w:eastAsia="zh-CN"/>
              </w:rPr>
              <w:t>缴纳近</w:t>
            </w:r>
            <w:r>
              <w:rPr>
                <w:rFonts w:hint="eastAsia" w:ascii="宋体" w:hAnsi="宋体" w:eastAsia="宋体" w:cs="宋体"/>
                <w:b/>
                <w:bCs w:val="0"/>
                <w:color w:val="auto"/>
                <w:sz w:val="24"/>
                <w:szCs w:val="24"/>
                <w:highlight w:val="none"/>
                <w:lang w:val="en-US" w:eastAsia="zh-CN"/>
              </w:rPr>
              <w:t>3个月的社保证明并加盖公章</w:t>
            </w:r>
            <w:r>
              <w:rPr>
                <w:rFonts w:hint="eastAsia" w:ascii="宋体" w:hAnsi="宋体" w:eastAsia="宋体" w:cs="宋体"/>
                <w:b/>
                <w:bCs/>
                <w:color w:val="auto"/>
                <w:kern w:val="0"/>
                <w:sz w:val="24"/>
                <w:szCs w:val="24"/>
                <w:highlight w:val="none"/>
                <w:lang w:val="en-US" w:eastAsia="zh-CN"/>
              </w:rPr>
              <w:t>）</w:t>
            </w:r>
            <w:bookmarkStart w:id="60" w:name="_GoBack"/>
            <w:bookmarkEnd w:id="60"/>
          </w:p>
        </w:tc>
        <w:tc>
          <w:tcPr>
            <w:tcW w:w="272" w:type="pct"/>
            <w:noWrap w:val="0"/>
            <w:vAlign w:val="center"/>
          </w:tcPr>
          <w:p w14:paraId="13000A95">
            <w:pPr>
              <w:pStyle w:val="20"/>
              <w:keepNext w:val="0"/>
              <w:keepLines w:val="0"/>
              <w:pageBreakBefore w:val="0"/>
              <w:kinsoku/>
              <w:wordWrap/>
              <w:overflowPunct/>
              <w:topLinePunct w:val="0"/>
              <w:autoSpaceDE/>
              <w:autoSpaceDN/>
              <w:bidi w:val="0"/>
              <w:spacing w:after="0" w:afterLines="0" w:line="360" w:lineRule="auto"/>
              <w:ind w:left="0" w:lef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r>
      <w:tr w14:paraId="131F2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497" w:type="pct"/>
            <w:noWrap w:val="0"/>
            <w:vAlign w:val="center"/>
          </w:tcPr>
          <w:p w14:paraId="518E6B99">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价格分（</w:t>
            </w:r>
            <w:r>
              <w:rPr>
                <w:rFonts w:hint="eastAsia" w:ascii="宋体" w:hAnsi="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lang w:val="en-US" w:eastAsia="zh-CN"/>
              </w:rPr>
              <w:t>0分）</w:t>
            </w:r>
          </w:p>
        </w:tc>
        <w:tc>
          <w:tcPr>
            <w:tcW w:w="4229" w:type="pct"/>
            <w:gridSpan w:val="2"/>
            <w:noWrap w:val="0"/>
            <w:vAlign w:val="center"/>
          </w:tcPr>
          <w:p w14:paraId="7BB6A77A">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取投标合格供应商的最终投标报价最低价为评标基准价，基准价为</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0分。投标报价得分=(评标基准价/投标报价)×</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0%×100。（小数点后保留2位小数）。</w:t>
            </w:r>
          </w:p>
        </w:tc>
        <w:tc>
          <w:tcPr>
            <w:tcW w:w="272" w:type="pct"/>
            <w:noWrap w:val="0"/>
            <w:vAlign w:val="center"/>
          </w:tcPr>
          <w:p w14:paraId="190610BC">
            <w:pPr>
              <w:pStyle w:val="20"/>
              <w:keepNext w:val="0"/>
              <w:keepLines w:val="0"/>
              <w:pageBreakBefore w:val="0"/>
              <w:kinsoku/>
              <w:wordWrap/>
              <w:overflowPunct/>
              <w:topLinePunct w:val="0"/>
              <w:autoSpaceDE/>
              <w:autoSpaceDN/>
              <w:bidi w:val="0"/>
              <w:spacing w:after="0" w:afterLines="0" w:line="360" w:lineRule="auto"/>
              <w:ind w:left="0" w:lef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0</w:t>
            </w:r>
          </w:p>
        </w:tc>
      </w:tr>
    </w:tbl>
    <w:p w14:paraId="4CF678B7">
      <w:pPr>
        <w:adjustRightInd w:val="0"/>
        <w:snapToGrid w:val="0"/>
        <w:spacing w:line="400" w:lineRule="exact"/>
        <w:rPr>
          <w:rFonts w:hint="eastAsia" w:ascii="宋体" w:hAnsi="宋体" w:cs="宋体"/>
          <w:color w:val="000000" w:themeColor="text1"/>
          <w:szCs w:val="21"/>
          <w:lang w:val="en-US" w:eastAsia="zh-CN"/>
          <w14:textFill>
            <w14:solidFill>
              <w14:schemeClr w14:val="tx1"/>
            </w14:solidFill>
          </w14:textFill>
        </w:rPr>
      </w:pPr>
    </w:p>
    <w:p w14:paraId="63A331CA">
      <w:pPr>
        <w:adjustRightInd w:val="0"/>
        <w:snapToGrid w:val="0"/>
        <w:spacing w:line="400" w:lineRule="exact"/>
        <w:rPr>
          <w:rFonts w:hint="eastAsia" w:ascii="宋体" w:hAnsi="宋体" w:cs="宋体"/>
          <w:color w:val="000000" w:themeColor="text1"/>
          <w:szCs w:val="21"/>
          <w:lang w:val="en-US" w:eastAsia="zh-CN"/>
          <w14:textFill>
            <w14:solidFill>
              <w14:schemeClr w14:val="tx1"/>
            </w14:solidFill>
          </w14:textFill>
        </w:rPr>
      </w:pPr>
    </w:p>
    <w:p w14:paraId="37CDBE6A">
      <w:pPr>
        <w:adjustRightInd w:val="0"/>
        <w:snapToGrid w:val="0"/>
        <w:spacing w:line="400" w:lineRule="exact"/>
        <w:rPr>
          <w:rFonts w:hint="eastAsia" w:ascii="宋体" w:hAnsi="宋体" w:cs="宋体"/>
          <w:color w:val="000000" w:themeColor="text1"/>
          <w:szCs w:val="21"/>
          <w:lang w:val="en-US" w:eastAsia="zh-CN"/>
          <w14:textFill>
            <w14:solidFill>
              <w14:schemeClr w14:val="tx1"/>
            </w14:solidFill>
          </w14:textFill>
        </w:rPr>
      </w:pPr>
    </w:p>
    <w:p w14:paraId="461EE237">
      <w:pPr>
        <w:adjustRightInd w:val="0"/>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二、</w:t>
      </w:r>
      <w:r>
        <w:rPr>
          <w:rFonts w:hint="eastAsia" w:ascii="宋体" w:hAnsi="宋体" w:cs="宋体"/>
          <w:color w:val="000000" w:themeColor="text1"/>
          <w:szCs w:val="21"/>
          <w14:textFill>
            <w14:solidFill>
              <w14:schemeClr w14:val="tx1"/>
            </w14:solidFill>
          </w14:textFill>
        </w:rPr>
        <w:t>中标候选人的确定</w:t>
      </w:r>
    </w:p>
    <w:p w14:paraId="4071F15F">
      <w:pPr>
        <w:adjustRightInd w:val="0"/>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评标委员会按投标人总得分确定中标候选人，即投标人总得分最高者为第一中标候选人。如出现投标人总得分相同的，按以下优先顺序确定中标候选人推荐次序：</w:t>
      </w:r>
    </w:p>
    <w:p w14:paraId="3A99FF68">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（1）技术标得分高者；</w:t>
      </w:r>
    </w:p>
    <w:p w14:paraId="7D910CF3">
      <w:pPr>
        <w:adjustRightInd w:val="0"/>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（2）投标报价低者；</w:t>
      </w:r>
    </w:p>
    <w:p w14:paraId="30AAAE02">
      <w:pPr>
        <w:adjustRightInd w:val="0"/>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（3）抽签确定（抽签规则：招标人代表对进入抽签的各投标人依次抽取对应单位编号，再由招标人在上述对应单位编号中进行抽取，抽中的第一个编号所对应的投标人即为中标候选人）。</w:t>
      </w:r>
    </w:p>
    <w:p w14:paraId="4AB1D197">
      <w:pPr>
        <w:rPr>
          <w:color w:val="auto"/>
        </w:rPr>
      </w:pPr>
    </w:p>
    <w:p w14:paraId="0C6AE55F">
      <w:pPr>
        <w:pStyle w:val="13"/>
        <w:rPr>
          <w:color w:val="auto"/>
        </w:rPr>
      </w:pPr>
    </w:p>
    <w:p w14:paraId="7181A6F2">
      <w:pPr>
        <w:rPr>
          <w:color w:val="auto"/>
        </w:rPr>
      </w:pPr>
    </w:p>
    <w:p w14:paraId="412E227D">
      <w:pPr>
        <w:pStyle w:val="13"/>
        <w:rPr>
          <w:color w:val="auto"/>
        </w:rPr>
      </w:pPr>
    </w:p>
    <w:p w14:paraId="3BE70AB5"/>
    <w:p w14:paraId="66D2A2B2">
      <w:pPr>
        <w:pStyle w:val="19"/>
        <w:widowControl/>
        <w:spacing w:after="0"/>
        <w:rPr>
          <w:rFonts w:hint="eastAsia" w:ascii="黑体" w:eastAsia="黑体" w:cs="黑体"/>
          <w:b/>
          <w:color w:val="auto"/>
          <w:sz w:val="32"/>
          <w:szCs w:val="32"/>
        </w:rPr>
      </w:pPr>
      <w:bookmarkStart w:id="15" w:name="_Toc251160747"/>
      <w:bookmarkStart w:id="16" w:name="_Toc517158299"/>
      <w:bookmarkStart w:id="17" w:name="第五章"/>
      <w:bookmarkStart w:id="18" w:name="_Toc31340_WPSOffice_Level1"/>
    </w:p>
    <w:p w14:paraId="199686D2">
      <w:pPr>
        <w:rPr>
          <w:rFonts w:hint="eastAsia" w:ascii="黑体" w:eastAsia="黑体" w:cs="黑体"/>
          <w:b/>
          <w:color w:val="auto"/>
          <w:sz w:val="32"/>
          <w:szCs w:val="32"/>
        </w:rPr>
      </w:pPr>
    </w:p>
    <w:p w14:paraId="06090160">
      <w:pPr>
        <w:pStyle w:val="2"/>
        <w:rPr>
          <w:rFonts w:hint="eastAsia" w:ascii="黑体" w:eastAsia="黑体" w:cs="黑体"/>
          <w:b/>
          <w:color w:val="auto"/>
          <w:sz w:val="32"/>
          <w:szCs w:val="32"/>
        </w:rPr>
      </w:pPr>
    </w:p>
    <w:p w14:paraId="3FF91D0B">
      <w:pPr>
        <w:pStyle w:val="4"/>
        <w:rPr>
          <w:rFonts w:hint="eastAsia" w:ascii="黑体" w:eastAsia="黑体" w:cs="黑体"/>
          <w:b/>
          <w:color w:val="auto"/>
          <w:sz w:val="32"/>
          <w:szCs w:val="32"/>
        </w:rPr>
      </w:pPr>
    </w:p>
    <w:p w14:paraId="79F0F6BE">
      <w:pPr>
        <w:rPr>
          <w:rFonts w:hint="eastAsia" w:ascii="黑体" w:eastAsia="黑体" w:cs="黑体"/>
          <w:b/>
          <w:color w:val="auto"/>
          <w:sz w:val="32"/>
          <w:szCs w:val="32"/>
        </w:rPr>
      </w:pPr>
    </w:p>
    <w:p w14:paraId="3023D5A8">
      <w:pPr>
        <w:pStyle w:val="2"/>
        <w:rPr>
          <w:rFonts w:hint="eastAsia" w:ascii="黑体" w:eastAsia="黑体" w:cs="黑体"/>
          <w:b/>
          <w:color w:val="auto"/>
          <w:sz w:val="32"/>
          <w:szCs w:val="32"/>
        </w:rPr>
      </w:pPr>
    </w:p>
    <w:p w14:paraId="48058CED">
      <w:pPr>
        <w:pStyle w:val="4"/>
        <w:rPr>
          <w:rFonts w:hint="eastAsia" w:ascii="黑体" w:eastAsia="黑体" w:cs="黑体"/>
          <w:b/>
          <w:color w:val="auto"/>
          <w:sz w:val="32"/>
          <w:szCs w:val="32"/>
        </w:rPr>
      </w:pPr>
    </w:p>
    <w:p w14:paraId="63B3928C">
      <w:pPr>
        <w:rPr>
          <w:rFonts w:hint="eastAsia" w:ascii="黑体" w:eastAsia="黑体" w:cs="黑体"/>
          <w:b/>
          <w:color w:val="auto"/>
          <w:sz w:val="32"/>
          <w:szCs w:val="32"/>
        </w:rPr>
      </w:pPr>
    </w:p>
    <w:p w14:paraId="53E95060">
      <w:pPr>
        <w:pStyle w:val="2"/>
        <w:rPr>
          <w:rFonts w:hint="eastAsia" w:ascii="黑体" w:eastAsia="黑体" w:cs="黑体"/>
          <w:b/>
          <w:color w:val="auto"/>
          <w:sz w:val="32"/>
          <w:szCs w:val="32"/>
        </w:rPr>
      </w:pPr>
    </w:p>
    <w:p w14:paraId="33392CB3">
      <w:pPr>
        <w:pStyle w:val="4"/>
        <w:rPr>
          <w:rFonts w:hint="eastAsia" w:ascii="黑体" w:eastAsia="黑体" w:cs="黑体"/>
          <w:b/>
          <w:color w:val="auto"/>
          <w:sz w:val="32"/>
          <w:szCs w:val="32"/>
        </w:rPr>
      </w:pPr>
    </w:p>
    <w:p w14:paraId="5F0B56A2">
      <w:pPr>
        <w:rPr>
          <w:rFonts w:hint="eastAsia" w:ascii="黑体" w:eastAsia="黑体" w:cs="黑体"/>
          <w:b/>
          <w:color w:val="auto"/>
          <w:sz w:val="32"/>
          <w:szCs w:val="32"/>
        </w:rPr>
      </w:pPr>
    </w:p>
    <w:p w14:paraId="141B511E">
      <w:pPr>
        <w:pStyle w:val="2"/>
        <w:rPr>
          <w:rFonts w:hint="eastAsia" w:ascii="黑体" w:eastAsia="黑体" w:cs="黑体"/>
          <w:b/>
          <w:color w:val="auto"/>
          <w:sz w:val="32"/>
          <w:szCs w:val="32"/>
        </w:rPr>
      </w:pPr>
    </w:p>
    <w:p w14:paraId="07AE8187">
      <w:pPr>
        <w:pStyle w:val="4"/>
        <w:rPr>
          <w:rFonts w:hint="eastAsia" w:ascii="黑体" w:eastAsia="黑体" w:cs="黑体"/>
          <w:b/>
          <w:color w:val="auto"/>
          <w:sz w:val="32"/>
          <w:szCs w:val="32"/>
        </w:rPr>
      </w:pPr>
    </w:p>
    <w:p w14:paraId="035B34E4">
      <w:pPr>
        <w:rPr>
          <w:rFonts w:hint="eastAsia" w:ascii="黑体" w:eastAsia="黑体" w:cs="黑体"/>
          <w:b/>
          <w:color w:val="auto"/>
          <w:sz w:val="32"/>
          <w:szCs w:val="32"/>
        </w:rPr>
      </w:pPr>
    </w:p>
    <w:p w14:paraId="1A20C1FE">
      <w:pPr>
        <w:pStyle w:val="2"/>
        <w:rPr>
          <w:rFonts w:hint="eastAsia" w:ascii="黑体" w:eastAsia="黑体" w:cs="黑体"/>
          <w:b/>
          <w:color w:val="auto"/>
          <w:sz w:val="32"/>
          <w:szCs w:val="32"/>
        </w:rPr>
      </w:pPr>
    </w:p>
    <w:p w14:paraId="126BDCA0">
      <w:pPr>
        <w:pStyle w:val="4"/>
        <w:rPr>
          <w:rFonts w:hint="eastAsia" w:ascii="黑体" w:eastAsia="黑体" w:cs="黑体"/>
          <w:b/>
          <w:color w:val="auto"/>
          <w:sz w:val="32"/>
          <w:szCs w:val="32"/>
        </w:rPr>
      </w:pPr>
    </w:p>
    <w:p w14:paraId="51C5BFD3">
      <w:pPr>
        <w:rPr>
          <w:rFonts w:hint="eastAsia" w:ascii="黑体" w:eastAsia="黑体" w:cs="黑体"/>
          <w:b/>
          <w:color w:val="auto"/>
          <w:sz w:val="32"/>
          <w:szCs w:val="32"/>
        </w:rPr>
      </w:pPr>
    </w:p>
    <w:p w14:paraId="715966A3">
      <w:pPr>
        <w:pStyle w:val="2"/>
        <w:rPr>
          <w:rFonts w:hint="eastAsia"/>
        </w:rPr>
      </w:pPr>
    </w:p>
    <w:p w14:paraId="02481C9B">
      <w:pPr>
        <w:pStyle w:val="19"/>
        <w:widowControl/>
        <w:spacing w:after="0"/>
        <w:rPr>
          <w:rFonts w:hint="eastAsia" w:ascii="黑体" w:eastAsia="黑体" w:cs="黑体"/>
          <w:b/>
          <w:color w:val="auto"/>
          <w:sz w:val="32"/>
          <w:szCs w:val="32"/>
        </w:rPr>
      </w:pPr>
    </w:p>
    <w:p w14:paraId="0C90CFDC">
      <w:pPr>
        <w:pStyle w:val="19"/>
        <w:widowControl/>
        <w:spacing w:after="0"/>
        <w:rPr>
          <w:rFonts w:hint="eastAsia" w:ascii="黑体" w:eastAsia="黑体" w:cs="黑体"/>
          <w:b/>
          <w:color w:val="auto"/>
          <w:sz w:val="32"/>
          <w:szCs w:val="32"/>
        </w:rPr>
      </w:pPr>
    </w:p>
    <w:p w14:paraId="3921C45B">
      <w:pPr>
        <w:pStyle w:val="19"/>
        <w:widowControl/>
        <w:spacing w:after="0"/>
        <w:rPr>
          <w:rFonts w:hint="eastAsia" w:ascii="黑体" w:eastAsia="黑体" w:cs="黑体"/>
          <w:b/>
          <w:color w:val="auto"/>
          <w:sz w:val="32"/>
          <w:szCs w:val="32"/>
        </w:rPr>
      </w:pPr>
    </w:p>
    <w:p w14:paraId="34720E0F">
      <w:pPr>
        <w:pStyle w:val="19"/>
        <w:widowControl/>
        <w:spacing w:after="0"/>
        <w:rPr>
          <w:rFonts w:ascii="Times New Roman" w:hAnsi="Times New Roman" w:eastAsia="宋体"/>
          <w:color w:val="auto"/>
        </w:rPr>
      </w:pPr>
      <w:r>
        <w:rPr>
          <w:rFonts w:hint="eastAsia" w:ascii="黑体" w:eastAsia="黑体" w:cs="黑体"/>
          <w:b/>
          <w:color w:val="auto"/>
          <w:sz w:val="32"/>
          <w:szCs w:val="32"/>
        </w:rPr>
        <w:t xml:space="preserve">第五部分 </w:t>
      </w:r>
      <w:bookmarkEnd w:id="15"/>
      <w:bookmarkEnd w:id="16"/>
      <w:bookmarkEnd w:id="17"/>
      <w:bookmarkEnd w:id="18"/>
      <w:r>
        <w:rPr>
          <w:rFonts w:hint="eastAsia" w:ascii="黑体" w:eastAsia="黑体" w:cs="黑体"/>
          <w:b/>
          <w:color w:val="auto"/>
          <w:sz w:val="32"/>
          <w:szCs w:val="32"/>
        </w:rPr>
        <w:t>合同条款及格式</w:t>
      </w:r>
    </w:p>
    <w:p w14:paraId="74E1B195">
      <w:pPr>
        <w:pStyle w:val="5"/>
        <w:spacing w:line="400" w:lineRule="exact"/>
        <w:jc w:val="center"/>
        <w:rPr>
          <w:rFonts w:ascii="Times New Roman" w:hAnsi="Times New Roman"/>
          <w:color w:val="auto"/>
          <w:sz w:val="30"/>
          <w:szCs w:val="30"/>
        </w:rPr>
      </w:pPr>
      <w:bookmarkStart w:id="19" w:name="_Toc229305361"/>
      <w:bookmarkStart w:id="20" w:name="_Toc222029501"/>
      <w:bookmarkStart w:id="21" w:name="_Toc222033852"/>
      <w:bookmarkStart w:id="22" w:name="_Toc222031003"/>
      <w:bookmarkStart w:id="23" w:name="_Toc222032670"/>
      <w:bookmarkStart w:id="24" w:name="_Toc221948339"/>
      <w:bookmarkStart w:id="25" w:name="_Toc221950661"/>
      <w:bookmarkStart w:id="26" w:name="_Toc522010868"/>
      <w:bookmarkStart w:id="27" w:name="_Toc25081"/>
      <w:r>
        <w:rPr>
          <w:rFonts w:hint="eastAsia" w:ascii="Times New Roman" w:hAnsi="Times New Roman"/>
          <w:color w:val="auto"/>
          <w:sz w:val="30"/>
          <w:szCs w:val="30"/>
        </w:rPr>
        <w:t>第一节  通用合同条款</w:t>
      </w:r>
      <w:bookmarkEnd w:id="19"/>
      <w:bookmarkEnd w:id="20"/>
      <w:bookmarkEnd w:id="21"/>
      <w:bookmarkEnd w:id="22"/>
      <w:bookmarkEnd w:id="23"/>
      <w:bookmarkEnd w:id="24"/>
      <w:bookmarkEnd w:id="25"/>
      <w:r>
        <w:rPr>
          <w:rFonts w:hint="eastAsia" w:ascii="Times New Roman" w:hAnsi="Times New Roman"/>
          <w:color w:val="auto"/>
          <w:sz w:val="30"/>
          <w:szCs w:val="30"/>
        </w:rPr>
        <w:t>(略)</w:t>
      </w:r>
      <w:bookmarkEnd w:id="26"/>
      <w:bookmarkEnd w:id="27"/>
    </w:p>
    <w:p w14:paraId="04609C67">
      <w:pPr>
        <w:spacing w:line="360" w:lineRule="exact"/>
        <w:ind w:firstLine="422" w:firstLineChars="200"/>
        <w:rPr>
          <w:b/>
          <w:bCs/>
          <w:color w:val="auto"/>
        </w:rPr>
        <w:sectPr>
          <w:footerReference r:id="rId10" w:type="first"/>
          <w:headerReference r:id="rId8" w:type="default"/>
          <w:footerReference r:id="rId9" w:type="default"/>
          <w:pgSz w:w="11906" w:h="16838"/>
          <w:pgMar w:top="1440" w:right="1800" w:bottom="1440" w:left="1800" w:header="851" w:footer="992" w:gutter="0"/>
          <w:cols w:space="720" w:num="1"/>
          <w:titlePg/>
          <w:docGrid w:linePitch="312" w:charSpace="0"/>
        </w:sectPr>
      </w:pPr>
      <w:bookmarkStart w:id="28" w:name="_Toc306817446"/>
      <w:bookmarkStart w:id="29" w:name="_Toc168476293"/>
      <w:bookmarkStart w:id="30" w:name="_Toc168475890"/>
      <w:bookmarkStart w:id="31" w:name="_Toc144974834"/>
    </w:p>
    <w:bookmarkEnd w:id="28"/>
    <w:bookmarkEnd w:id="29"/>
    <w:bookmarkEnd w:id="30"/>
    <w:bookmarkEnd w:id="31"/>
    <w:p w14:paraId="53BF25E2">
      <w:pPr>
        <w:spacing w:line="360" w:lineRule="auto"/>
        <w:jc w:val="center"/>
        <w:outlineLvl w:val="0"/>
        <w:rPr>
          <w:rFonts w:ascii="宋体" w:hAnsi="宋体"/>
          <w:b/>
          <w:color w:val="auto"/>
          <w:sz w:val="36"/>
          <w:szCs w:val="36"/>
          <w:highlight w:val="none"/>
        </w:rPr>
      </w:pPr>
      <w:r>
        <w:rPr>
          <w:rFonts w:hint="eastAsia" w:ascii="宋体" w:hAnsi="宋体"/>
          <w:b/>
          <w:color w:val="auto"/>
          <w:sz w:val="36"/>
          <w:szCs w:val="36"/>
          <w:highlight w:val="none"/>
        </w:rPr>
        <w:t>政府采购合同主要条款</w:t>
      </w:r>
    </w:p>
    <w:p w14:paraId="041E78D4">
      <w:pPr>
        <w:pStyle w:val="50"/>
        <w:keepNext w:val="0"/>
        <w:keepLines w:val="0"/>
        <w:pageBreakBefore w:val="0"/>
        <w:kinsoku/>
        <w:wordWrap/>
        <w:overflowPunct/>
        <w:topLinePunct w:val="0"/>
        <w:bidi w:val="0"/>
        <w:jc w:val="center"/>
        <w:outlineLvl w:val="9"/>
        <w:rPr>
          <w:rFonts w:ascii="Times New Roman" w:hAnsi="宋体"/>
          <w:color w:val="auto"/>
          <w:kern w:val="2"/>
          <w:sz w:val="21"/>
          <w:szCs w:val="21"/>
          <w:highlight w:val="none"/>
        </w:rPr>
      </w:pPr>
      <w:r>
        <w:rPr>
          <w:rFonts w:hint="eastAsia" w:ascii="Times New Roman" w:hAnsi="宋体"/>
          <w:color w:val="auto"/>
          <w:kern w:val="2"/>
          <w:sz w:val="21"/>
          <w:szCs w:val="21"/>
          <w:highlight w:val="none"/>
        </w:rPr>
        <w:t>（此稿为合同样本，最终定稿待双方协商后定）</w:t>
      </w:r>
    </w:p>
    <w:p w14:paraId="3B9C26D5">
      <w:pPr>
        <w:keepNext w:val="0"/>
        <w:keepLines w:val="0"/>
        <w:pageBreakBefore w:val="0"/>
        <w:kinsoku/>
        <w:wordWrap/>
        <w:overflowPunct/>
        <w:topLinePunct w:val="0"/>
        <w:bidi w:val="0"/>
        <w:adjustRightInd w:val="0"/>
        <w:snapToGrid w:val="0"/>
        <w:spacing w:line="360" w:lineRule="auto"/>
        <w:ind w:firstLine="420" w:firstLineChars="200"/>
        <w:outlineLvl w:val="9"/>
        <w:rPr>
          <w:rFonts w:hAnsi="宋体"/>
          <w:color w:val="auto"/>
          <w:szCs w:val="21"/>
          <w:highlight w:val="none"/>
        </w:rPr>
      </w:pPr>
    </w:p>
    <w:p w14:paraId="1DEC992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lang w:val="en-US" w:eastAsia="zh-CN"/>
        </w:rPr>
        <w:t>椒江区眼镜、喷水织布行业环保过程监控系统运维服务项目</w:t>
      </w:r>
    </w:p>
    <w:p w14:paraId="674B9B18">
      <w:pPr>
        <w:keepNext w:val="0"/>
        <w:keepLines w:val="0"/>
        <w:pageBreakBefore w:val="0"/>
        <w:kinsoku/>
        <w:wordWrap/>
        <w:overflowPunct/>
        <w:topLinePunct w:val="0"/>
        <w:bidi w:val="0"/>
        <w:spacing w:line="360" w:lineRule="auto"/>
        <w:ind w:firstLine="420" w:firstLineChars="200"/>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lang w:val="en-US" w:eastAsia="zh-CN"/>
        </w:rPr>
        <w:t>ZJSX-20250201</w:t>
      </w:r>
    </w:p>
    <w:p w14:paraId="1217BF7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甲方（采购方）：</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u w:val="single"/>
          <w:lang w:val="en-US" w:eastAsia="zh-CN"/>
        </w:rPr>
        <w:t>台州市生态环境局椒江分局（本级）</w:t>
      </w:r>
      <w:r>
        <w:rPr>
          <w:rFonts w:hint="eastAsia" w:ascii="宋体" w:hAnsi="宋体" w:eastAsia="宋体" w:cs="宋体"/>
          <w:color w:val="auto"/>
          <w:szCs w:val="21"/>
          <w:highlight w:val="none"/>
          <w:lang w:val="en-US" w:eastAsia="zh-CN"/>
        </w:rPr>
        <w:t xml:space="preserve">     </w:t>
      </w:r>
    </w:p>
    <w:p w14:paraId="1A1AEFD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乙方（中标方）：                        </w:t>
      </w:r>
    </w:p>
    <w:p w14:paraId="25E28A7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eastAsia="zh-CN"/>
        </w:rPr>
        <w:t>椒江区眼镜、喷水织布行业环保过程监控服务项目</w:t>
      </w:r>
      <w:r>
        <w:rPr>
          <w:rFonts w:hint="eastAsia" w:ascii="宋体" w:hAnsi="宋体" w:eastAsia="宋体" w:cs="宋体"/>
          <w:color w:val="auto"/>
          <w:szCs w:val="21"/>
          <w:highlight w:val="none"/>
        </w:rPr>
        <w:t>的招标结果，经双方协商一致，就</w:t>
      </w:r>
      <w:r>
        <w:rPr>
          <w:rFonts w:hint="eastAsia" w:ascii="宋体" w:hAnsi="宋体" w:eastAsia="宋体" w:cs="宋体"/>
          <w:color w:val="auto"/>
          <w:szCs w:val="21"/>
          <w:highlight w:val="none"/>
          <w:lang w:eastAsia="zh-CN"/>
        </w:rPr>
        <w:t>椒江区眼镜、喷水织布行业环保过程监控服务</w:t>
      </w:r>
      <w:r>
        <w:rPr>
          <w:rFonts w:hint="eastAsia" w:ascii="宋体" w:hAnsi="宋体" w:eastAsia="宋体" w:cs="宋体"/>
          <w:color w:val="auto"/>
          <w:szCs w:val="21"/>
          <w:highlight w:val="none"/>
          <w:lang w:val="en-US" w:eastAsia="zh-CN"/>
        </w:rPr>
        <w:t>运维</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事宜达成以下条款：</w:t>
      </w:r>
    </w:p>
    <w:p w14:paraId="6EA60EF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服务内容及需求</w:t>
      </w:r>
    </w:p>
    <w:p w14:paraId="62A3F21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详见本项目招标文件第</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部分《</w:t>
      </w:r>
      <w:r>
        <w:rPr>
          <w:rFonts w:hint="eastAsia" w:ascii="宋体" w:hAnsi="宋体" w:eastAsia="宋体" w:cs="宋体"/>
          <w:color w:val="auto"/>
          <w:szCs w:val="21"/>
          <w:highlight w:val="none"/>
          <w:lang w:val="en-US" w:eastAsia="zh-CN"/>
        </w:rPr>
        <w:t>采购需求</w:t>
      </w:r>
      <w:r>
        <w:rPr>
          <w:rFonts w:hint="eastAsia" w:ascii="宋体" w:hAnsi="宋体" w:eastAsia="宋体" w:cs="宋体"/>
          <w:color w:val="auto"/>
          <w:szCs w:val="21"/>
          <w:highlight w:val="none"/>
        </w:rPr>
        <w:t>》。</w:t>
      </w:r>
    </w:p>
    <w:p w14:paraId="1B8FDABF">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合同金额</w:t>
      </w:r>
    </w:p>
    <w:p w14:paraId="54F8312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本项目合同金额为（大写）：</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元（小写：￥</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元）人民币。</w:t>
      </w:r>
    </w:p>
    <w:p w14:paraId="46DB55F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技术资料</w:t>
      </w:r>
    </w:p>
    <w:p w14:paraId="34DDAD0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1、乙方应按招标文件规定的时间向甲方提供有关技术资料。</w:t>
      </w:r>
    </w:p>
    <w:p w14:paraId="654BA93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282610E">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知识产权</w:t>
      </w:r>
    </w:p>
    <w:p w14:paraId="6FC5D7C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1、乙方应保证提供服务过程中不会侵犯任何第三方的知识产权。</w:t>
      </w:r>
    </w:p>
    <w:p w14:paraId="682C39D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2、本项目所有成果的版权属甲方所有，乙方不得以任何形式向第三方提供，否则，按国家法律和有关规定追究乙方的一切责任。</w:t>
      </w:r>
    </w:p>
    <w:p w14:paraId="1E37E71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3、本项目作业过程中提供的或涉及的所有数据属甲方拥有，乙方无权在技术要求规定之外自行处置数据，不得自行删除、复制、调整完善、转移数据，不得以任何形式向第三方提供。</w:t>
      </w:r>
    </w:p>
    <w:p w14:paraId="4596FE3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4、若侵犯,由乙方赔偿甲方因此遭受的损失（包括但不限于应对及追偿过程中所支付的律师费、差旅费、诉讼费、保全费、鉴定费、评估费等）。</w:t>
      </w:r>
    </w:p>
    <w:p w14:paraId="538C0CF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转包或分包</w:t>
      </w:r>
    </w:p>
    <w:p w14:paraId="1DF5AC7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本合同范围的服务，应由乙方直接供应，不得转让他人供应；</w:t>
      </w:r>
    </w:p>
    <w:p w14:paraId="0F367F80">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除非得到甲方的书面同意，乙方不得将本合同范围的服务全部或部分分包给他人供应；</w:t>
      </w:r>
    </w:p>
    <w:p w14:paraId="3E25C22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如有转让和未经甲方同意的分包行为，甲方有权解除合同，没收履约保证金并追究乙方的违约责任。</w:t>
      </w:r>
    </w:p>
    <w:p w14:paraId="3378719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项目工期</w:t>
      </w:r>
    </w:p>
    <w:p w14:paraId="03F253A3">
      <w:pPr>
        <w:keepNext w:val="0"/>
        <w:keepLines w:val="0"/>
        <w:pageBreakBefore w:val="0"/>
        <w:kinsoku/>
        <w:wordWrap/>
        <w:overflowPunct/>
        <w:topLinePunct w:val="0"/>
        <w:bidi w:val="0"/>
        <w:spacing w:line="360" w:lineRule="auto"/>
        <w:ind w:firstLine="420" w:firstLineChars="200"/>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、运行维护服务期限：自合同签订后一年。</w:t>
      </w:r>
    </w:p>
    <w:p w14:paraId="67AE3B2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七</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款项支付</w:t>
      </w:r>
    </w:p>
    <w:p w14:paraId="21AD0202">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合同签订后</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lang w:eastAsia="zh-CN"/>
        </w:rPr>
        <w:t>支付合同价款的</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0%；运维结束后</w:t>
      </w:r>
      <w:r>
        <w:rPr>
          <w:rFonts w:hint="eastAsia" w:ascii="宋体" w:hAnsi="宋体" w:cs="宋体"/>
          <w:color w:val="auto"/>
          <w:szCs w:val="21"/>
          <w:highlight w:val="none"/>
          <w:lang w:val="en-US" w:eastAsia="zh-CN"/>
        </w:rPr>
        <w:t>15个工作日内</w:t>
      </w:r>
      <w:r>
        <w:rPr>
          <w:rFonts w:hint="eastAsia" w:ascii="宋体" w:hAnsi="宋体" w:eastAsia="宋体" w:cs="宋体"/>
          <w:color w:val="auto"/>
          <w:szCs w:val="21"/>
          <w:highlight w:val="none"/>
          <w:lang w:eastAsia="zh-CN"/>
        </w:rPr>
        <w:t>支付剩余款项。发票应随付款进度及时提供。</w:t>
      </w:r>
    </w:p>
    <w:p w14:paraId="495EDE1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、税费</w:t>
      </w:r>
    </w:p>
    <w:p w14:paraId="5F8453E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本合同执行中相关的一切税费均由乙方负担。</w:t>
      </w:r>
    </w:p>
    <w:p w14:paraId="6D2A26A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九</w:t>
      </w:r>
      <w:r>
        <w:rPr>
          <w:rFonts w:hint="eastAsia" w:ascii="宋体" w:hAnsi="宋体" w:eastAsia="宋体" w:cs="宋体"/>
          <w:color w:val="auto"/>
          <w:szCs w:val="21"/>
          <w:highlight w:val="none"/>
        </w:rPr>
        <w:t>、质量保证及售后服务</w:t>
      </w:r>
    </w:p>
    <w:p w14:paraId="35A8E1FF">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1、乙方应按招标文件规定向甲方提供服务。</w:t>
      </w:r>
    </w:p>
    <w:p w14:paraId="301722BE">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2、乙方提供的服务成果在服务期内发生问题，乙方应负责免费提供后续服务。对达不到要求者，根据实际情况，经双方协商，可按以下办法处理：</w:t>
      </w:r>
    </w:p>
    <w:p w14:paraId="6AF4532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（1）重做：由乙方承担所发生的全部费用。</w:t>
      </w:r>
    </w:p>
    <w:p w14:paraId="27ED585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（2）解除合同。</w:t>
      </w:r>
    </w:p>
    <w:p w14:paraId="16196B66">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3、如在服务期内发生问题，乙方在接到甲方通知后在   小时内到达甲方现场。</w:t>
      </w:r>
    </w:p>
    <w:p w14:paraId="12B0867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4、在服务期内，乙方应对出现的质量及安全问题负责处理解决并承担一切费用。</w:t>
      </w:r>
    </w:p>
    <w:p w14:paraId="32642F9F">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w:t>
      </w:r>
      <w:r>
        <w:rPr>
          <w:rFonts w:hint="eastAsia" w:ascii="宋体" w:hAnsi="宋体" w:eastAsia="宋体" w:cs="宋体"/>
          <w:color w:val="auto"/>
          <w:szCs w:val="21"/>
          <w:highlight w:val="none"/>
        </w:rPr>
        <w:t>、违约责任</w:t>
      </w:r>
    </w:p>
    <w:p w14:paraId="2D74ABB0">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甲方无正当理由拒收接受服务的，甲方向乙方支付合同款项百分之五作为违约金。</w:t>
      </w:r>
    </w:p>
    <w:p w14:paraId="6197E8CF">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甲方无故逾期办理款项支付手续的，甲方应按逾期付款总额向乙方支付每日万分之五违约金。</w:t>
      </w:r>
    </w:p>
    <w:p w14:paraId="4B5DE5A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乙方逾期提供服务的，乙方应按逾期天数向甲方支付每日万分之五违约金。逾期超过约定日期10个工作日的，甲方可解除本合同。乙方因其他违约行为导致甲方解除合同的，乙方应向甲方支付合同款项百分之五的违约金，如造成甲方损失超过违约金的，超出部分由乙方继续承担赔偿责任。 </w:t>
      </w:r>
    </w:p>
    <w:p w14:paraId="34EC4DD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4、若发生纠纷，由违约方赔偿守约方因纠纷所支付的费用（包括但不限于律师费、差旅费、诉讼费、保全费、鉴定费、评估费等）。</w:t>
      </w:r>
    </w:p>
    <w:p w14:paraId="555FB7D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w:t>
      </w:r>
      <w:r>
        <w:rPr>
          <w:rFonts w:hint="eastAsia" w:ascii="宋体" w:hAnsi="宋体" w:cs="宋体"/>
          <w:color w:val="auto"/>
          <w:szCs w:val="21"/>
          <w:highlight w:val="none"/>
          <w:lang w:val="en-US" w:eastAsia="zh-CN"/>
        </w:rPr>
        <w:t>一</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不可抗力事件处理</w:t>
      </w:r>
    </w:p>
    <w:p w14:paraId="44D67040">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1、在合同有效期内，任何一方因不可抗力事件导致不能履行合同，则合同履行期可延长，其延长期与不可抗力影响期相同。</w:t>
      </w:r>
    </w:p>
    <w:p w14:paraId="4FD7189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2、不可抗力事件发生后，应立即通知对方，并寄送有关权威机构出具的证明。</w:t>
      </w:r>
    </w:p>
    <w:p w14:paraId="6058227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3、不可抗力事件延续120天以上，双方应通过友好协商，确定是否继续履行合同。</w:t>
      </w:r>
    </w:p>
    <w:p w14:paraId="1F032D8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w:t>
      </w: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rPr>
        <w:t>、诉讼</w:t>
      </w:r>
    </w:p>
    <w:p w14:paraId="031477F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双方在执行合同中所发生的一切争议，应通过协商解决。如协商不成，可向甲方所在地法院起诉。</w:t>
      </w:r>
    </w:p>
    <w:p w14:paraId="31548CB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rPr>
        <w:t>、合同生效及其它</w:t>
      </w:r>
    </w:p>
    <w:p w14:paraId="0EF383F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1、合同经双方法定代表人或授权代表签字并加盖单位公章后生效。</w:t>
      </w:r>
    </w:p>
    <w:p w14:paraId="7A3E3302">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2、合同执行中涉及采购资金和采购内容修改或补充的，须经财政部门审批，并签书面补充协议报政府采购监督管理部门备案，方可作为主合同不可分割的一部分。</w:t>
      </w:r>
    </w:p>
    <w:p w14:paraId="3B8FCB3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3、本合同未尽事宜，遵照《</w:t>
      </w:r>
      <w:r>
        <w:rPr>
          <w:rFonts w:hint="eastAsia" w:ascii="宋体" w:hAnsi="宋体" w:eastAsia="宋体" w:cs="宋体"/>
          <w:color w:val="auto"/>
          <w:szCs w:val="21"/>
          <w:highlight w:val="none"/>
          <w:lang w:val="en-US" w:eastAsia="zh-CN"/>
        </w:rPr>
        <w:t>中华人民共和国民法典</w:t>
      </w:r>
      <w:r>
        <w:rPr>
          <w:rFonts w:hint="eastAsia" w:ascii="宋体" w:hAnsi="宋体" w:eastAsia="宋体" w:cs="宋体"/>
          <w:color w:val="auto"/>
          <w:szCs w:val="21"/>
          <w:highlight w:val="none"/>
        </w:rPr>
        <w:t>》有关条文执行。</w:t>
      </w:r>
    </w:p>
    <w:p w14:paraId="74B25A6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4、本合同壹式陆份，甲、乙双方、招标代理公司各执贰份。本项目未尽事宜以招标文件、投标文件及澄清文件等为准。</w:t>
      </w:r>
    </w:p>
    <w:p w14:paraId="7BDC72D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5、与本合同有关标书及记录同本合同具有同等法律效果。</w:t>
      </w:r>
    </w:p>
    <w:p w14:paraId="54B1EE0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p>
    <w:p w14:paraId="3B7D0CF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p>
    <w:p w14:paraId="29755481">
      <w:pPr>
        <w:pStyle w:val="2"/>
        <w:ind w:left="0" w:leftChars="0" w:firstLine="0" w:firstLineChars="0"/>
        <w:rPr>
          <w:rFonts w:hint="eastAsia"/>
        </w:rPr>
      </w:pPr>
    </w:p>
    <w:p w14:paraId="2FDE584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甲方（公章）：                             乙方（公章）：          </w:t>
      </w:r>
    </w:p>
    <w:p w14:paraId="349F1D3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p>
    <w:p w14:paraId="076ECB7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法定代表人或委托人：                      法定代表人或委托人：         </w:t>
      </w:r>
    </w:p>
    <w:p w14:paraId="3EDBCF9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p>
    <w:p w14:paraId="59F3DE2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                                联系电话：</w:t>
      </w:r>
    </w:p>
    <w:p w14:paraId="194DE840">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p>
    <w:p w14:paraId="5F5214E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开户银行：    </w:t>
      </w:r>
    </w:p>
    <w:p w14:paraId="4071FF0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p>
    <w:p w14:paraId="20BDAAB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    号：                                账    号：</w:t>
      </w:r>
    </w:p>
    <w:p w14:paraId="33332B72">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合同鉴证方：</w:t>
      </w:r>
    </w:p>
    <w:p w14:paraId="1DE5863F">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签订日期：       年     月     日</w:t>
      </w:r>
    </w:p>
    <w:p w14:paraId="499DD07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330BBCB2">
      <w:pPr>
        <w:spacing w:line="360" w:lineRule="exact"/>
        <w:rPr>
          <w:b/>
          <w:bCs/>
          <w:color w:val="auto"/>
        </w:rPr>
      </w:pPr>
    </w:p>
    <w:p w14:paraId="39127AE9">
      <w:pPr>
        <w:jc w:val="center"/>
        <w:rPr>
          <w:rFonts w:hint="eastAsia" w:ascii="Arial" w:hAnsi="Arial"/>
          <w:b/>
          <w:kern w:val="0"/>
          <w:sz w:val="30"/>
          <w:szCs w:val="30"/>
        </w:rPr>
      </w:pPr>
    </w:p>
    <w:p w14:paraId="518903D5">
      <w:pPr>
        <w:pStyle w:val="18"/>
        <w:rPr>
          <w:color w:val="auto"/>
        </w:rPr>
      </w:pPr>
    </w:p>
    <w:p w14:paraId="19F23C31">
      <w:pPr>
        <w:pStyle w:val="23"/>
        <w:widowControl w:val="0"/>
        <w:snapToGrid w:val="0"/>
        <w:spacing w:before="0" w:beforeAutospacing="0" w:after="0" w:afterAutospacing="0"/>
        <w:jc w:val="both"/>
        <w:rPr>
          <w:rFonts w:hint="default"/>
          <w:b/>
          <w:color w:val="auto"/>
          <w:sz w:val="36"/>
          <w:szCs w:val="36"/>
        </w:rPr>
      </w:pPr>
    </w:p>
    <w:p w14:paraId="4801A16A">
      <w:pPr>
        <w:pStyle w:val="23"/>
        <w:widowControl w:val="0"/>
        <w:numPr>
          <w:ilvl w:val="0"/>
          <w:numId w:val="6"/>
        </w:numPr>
        <w:snapToGrid w:val="0"/>
        <w:spacing w:before="0" w:beforeAutospacing="0" w:after="0" w:afterAutospacing="0"/>
        <w:ind w:firstLine="542" w:firstLineChars="150"/>
        <w:jc w:val="center"/>
        <w:rPr>
          <w:rFonts w:hint="default"/>
          <w:b/>
          <w:color w:val="auto"/>
          <w:sz w:val="36"/>
          <w:szCs w:val="36"/>
        </w:rPr>
      </w:pPr>
      <w:r>
        <w:rPr>
          <w:b/>
          <w:color w:val="auto"/>
          <w:sz w:val="36"/>
          <w:szCs w:val="36"/>
        </w:rPr>
        <w:t xml:space="preserve"> 投标文件格式附件</w:t>
      </w:r>
    </w:p>
    <w:p w14:paraId="3F3B7A18">
      <w:pPr>
        <w:pStyle w:val="23"/>
        <w:widowControl w:val="0"/>
        <w:snapToGrid w:val="0"/>
        <w:spacing w:before="0" w:beforeAutospacing="0" w:after="0" w:afterAutospacing="0"/>
        <w:jc w:val="both"/>
        <w:rPr>
          <w:rFonts w:hint="default"/>
          <w:b/>
          <w:color w:val="auto"/>
          <w:sz w:val="36"/>
          <w:szCs w:val="36"/>
        </w:rPr>
      </w:pPr>
    </w:p>
    <w:p w14:paraId="0B073A5F">
      <w:pPr>
        <w:rPr>
          <w:rFonts w:ascii="宋体" w:hAnsi="宋体" w:cs="宋体"/>
          <w:bCs/>
          <w:color w:val="auto"/>
          <w:sz w:val="24"/>
          <w:lang w:val="zh-CN"/>
        </w:rPr>
      </w:pPr>
    </w:p>
    <w:p w14:paraId="3AA2C12F">
      <w:pPr>
        <w:jc w:val="left"/>
        <w:rPr>
          <w:rFonts w:ascii="宋体" w:hAnsi="宋体" w:cs="宋体"/>
          <w:b/>
          <w:color w:val="auto"/>
          <w:sz w:val="28"/>
          <w:szCs w:val="28"/>
          <w:lang w:val="zh-CN"/>
        </w:rPr>
      </w:pPr>
      <w:r>
        <w:rPr>
          <w:rFonts w:hint="eastAsia" w:ascii="宋体" w:hAnsi="宋体" w:cs="宋体"/>
          <w:b/>
          <w:color w:val="auto"/>
          <w:sz w:val="28"/>
          <w:szCs w:val="28"/>
          <w:lang w:val="zh-CN"/>
        </w:rPr>
        <w:t xml:space="preserve">附件1                       </w:t>
      </w:r>
    </w:p>
    <w:p w14:paraId="0BF02A4F">
      <w:pPr>
        <w:jc w:val="center"/>
        <w:rPr>
          <w:rFonts w:ascii="宋体" w:hAnsi="宋体" w:cs="宋体"/>
          <w:color w:val="auto"/>
          <w:sz w:val="52"/>
          <w:szCs w:val="52"/>
        </w:rPr>
      </w:pPr>
      <w:r>
        <w:rPr>
          <w:rFonts w:hint="eastAsia" w:ascii="宋体" w:hAnsi="宋体" w:cs="宋体"/>
          <w:b/>
          <w:color w:val="auto"/>
          <w:sz w:val="28"/>
          <w:szCs w:val="28"/>
          <w:lang w:val="zh-CN"/>
        </w:rPr>
        <w:t xml:space="preserve">  </w:t>
      </w:r>
      <w:bookmarkStart w:id="32" w:name="_Toc4956_WPSOffice_Level1"/>
      <w:bookmarkStart w:id="33" w:name="_Toc19093_WPSOffice_Level1"/>
      <w:bookmarkStart w:id="34" w:name="_Toc32372_WPSOffice_Level1"/>
      <w:r>
        <w:rPr>
          <w:rFonts w:hint="eastAsia" w:ascii="宋体" w:hAnsi="宋体" w:cs="宋体"/>
          <w:color w:val="auto"/>
          <w:sz w:val="52"/>
          <w:szCs w:val="52"/>
        </w:rPr>
        <w:t>项目名称</w:t>
      </w:r>
      <w:bookmarkEnd w:id="32"/>
      <w:bookmarkEnd w:id="33"/>
      <w:bookmarkEnd w:id="34"/>
      <w:r>
        <w:rPr>
          <w:rFonts w:hint="eastAsia" w:ascii="宋体" w:hAnsi="宋体" w:cs="宋体"/>
          <w:color w:val="auto"/>
          <w:sz w:val="52"/>
          <w:szCs w:val="52"/>
        </w:rPr>
        <w:t>：</w:t>
      </w:r>
    </w:p>
    <w:p w14:paraId="3FA04FD4">
      <w:pPr>
        <w:spacing w:before="240" w:beforeLines="100" w:line="360" w:lineRule="auto"/>
        <w:ind w:right="-108"/>
        <w:jc w:val="center"/>
        <w:rPr>
          <w:rFonts w:ascii="宋体" w:hAnsi="宋体" w:cs="宋体"/>
          <w:color w:val="auto"/>
          <w:sz w:val="36"/>
          <w:szCs w:val="36"/>
        </w:rPr>
      </w:pPr>
      <w:r>
        <w:rPr>
          <w:rFonts w:hint="eastAsia" w:ascii="宋体" w:hAnsi="宋体" w:cs="宋体"/>
          <w:color w:val="auto"/>
          <w:sz w:val="36"/>
          <w:szCs w:val="36"/>
        </w:rPr>
        <w:t>项目编号：</w:t>
      </w:r>
    </w:p>
    <w:p w14:paraId="537C5BE0">
      <w:pPr>
        <w:pStyle w:val="25"/>
        <w:rPr>
          <w:rFonts w:ascii="宋体" w:hAnsi="宋体"/>
          <w:color w:val="auto"/>
        </w:rPr>
      </w:pPr>
    </w:p>
    <w:p w14:paraId="21FF5980">
      <w:pPr>
        <w:jc w:val="center"/>
        <w:rPr>
          <w:rFonts w:hint="eastAsia" w:ascii="宋体" w:hAnsi="宋体" w:cs="宋体"/>
          <w:color w:val="auto"/>
          <w:sz w:val="84"/>
          <w:szCs w:val="84"/>
          <w:lang w:val="en-US" w:eastAsia="zh-CN"/>
        </w:rPr>
      </w:pPr>
      <w:r>
        <w:rPr>
          <w:rFonts w:hint="eastAsia" w:ascii="宋体" w:hAnsi="宋体" w:cs="宋体"/>
          <w:color w:val="auto"/>
          <w:sz w:val="84"/>
          <w:szCs w:val="84"/>
          <w:lang w:val="en-US" w:eastAsia="zh-CN"/>
        </w:rPr>
        <w:t>磋商</w:t>
      </w:r>
    </w:p>
    <w:p w14:paraId="7EE66DCB">
      <w:pPr>
        <w:jc w:val="center"/>
        <w:rPr>
          <w:rFonts w:hint="default" w:ascii="宋体" w:hAnsi="宋体" w:eastAsia="宋体" w:cs="宋体"/>
          <w:color w:val="auto"/>
          <w:sz w:val="84"/>
          <w:szCs w:val="84"/>
          <w:lang w:val="en-US" w:eastAsia="zh-CN"/>
        </w:rPr>
      </w:pPr>
      <w:r>
        <w:rPr>
          <w:rFonts w:hint="eastAsia" w:ascii="宋体" w:hAnsi="宋体" w:cs="宋体"/>
          <w:color w:val="auto"/>
          <w:sz w:val="84"/>
          <w:szCs w:val="84"/>
          <w:lang w:val="en-US" w:eastAsia="zh-CN"/>
        </w:rPr>
        <w:t>响应</w:t>
      </w:r>
    </w:p>
    <w:p w14:paraId="17B5DD7A">
      <w:pPr>
        <w:jc w:val="center"/>
        <w:rPr>
          <w:rFonts w:ascii="宋体" w:hAnsi="宋体" w:cs="宋体"/>
          <w:color w:val="auto"/>
          <w:sz w:val="84"/>
          <w:szCs w:val="84"/>
          <w:lang w:val="zh-CN"/>
        </w:rPr>
      </w:pPr>
      <w:r>
        <w:rPr>
          <w:rFonts w:hint="eastAsia" w:ascii="宋体" w:hAnsi="宋体" w:cs="宋体"/>
          <w:color w:val="auto"/>
          <w:sz w:val="84"/>
          <w:szCs w:val="84"/>
          <w:lang w:val="zh-CN"/>
        </w:rPr>
        <w:t>文件</w:t>
      </w:r>
    </w:p>
    <w:p w14:paraId="7B2BA5DC">
      <w:pPr>
        <w:spacing w:after="100" w:afterAutospacing="1" w:line="360" w:lineRule="auto"/>
        <w:ind w:right="-108"/>
        <w:jc w:val="center"/>
        <w:rPr>
          <w:rFonts w:ascii="宋体" w:hAnsi="宋体" w:cs="宋体"/>
          <w:b/>
          <w:color w:val="auto"/>
          <w:sz w:val="28"/>
          <w:szCs w:val="28"/>
        </w:rPr>
      </w:pPr>
      <w:r>
        <w:rPr>
          <w:rFonts w:hint="eastAsia" w:ascii="宋体" w:hAnsi="宋体" w:cs="宋体"/>
          <w:color w:val="auto"/>
          <w:sz w:val="28"/>
          <w:szCs w:val="28"/>
          <w:lang w:val="zh-CN"/>
        </w:rPr>
        <w:t>（</w:t>
      </w:r>
      <w:r>
        <w:rPr>
          <w:rFonts w:hint="eastAsia" w:ascii="宋体" w:hAnsi="宋体" w:cs="宋体"/>
          <w:b/>
          <w:color w:val="auto"/>
          <w:sz w:val="28"/>
          <w:szCs w:val="28"/>
        </w:rPr>
        <w:t>资格证明文件）</w:t>
      </w:r>
    </w:p>
    <w:p w14:paraId="5C0C68BA">
      <w:pPr>
        <w:pStyle w:val="25"/>
        <w:rPr>
          <w:rFonts w:ascii="宋体" w:hAnsi="宋体"/>
          <w:color w:val="auto"/>
        </w:rPr>
      </w:pPr>
    </w:p>
    <w:p w14:paraId="18C51F8C">
      <w:pPr>
        <w:spacing w:line="360" w:lineRule="auto"/>
        <w:ind w:right="532" w:firstLine="640" w:firstLineChars="200"/>
        <w:rPr>
          <w:rFonts w:ascii="宋体" w:hAnsi="宋体" w:cs="宋体"/>
          <w:color w:val="auto"/>
          <w:sz w:val="32"/>
          <w:szCs w:val="32"/>
        </w:rPr>
      </w:pPr>
      <w:r>
        <w:rPr>
          <w:rFonts w:hint="eastAsia" w:ascii="宋体" w:hAnsi="宋体" w:cs="宋体"/>
          <w:color w:val="auto"/>
          <w:sz w:val="32"/>
          <w:szCs w:val="32"/>
        </w:rPr>
        <w:t>投标人全称（电子印章）：</w:t>
      </w:r>
    </w:p>
    <w:p w14:paraId="3C197F6B">
      <w:pPr>
        <w:spacing w:line="360" w:lineRule="auto"/>
        <w:ind w:right="532" w:firstLine="640" w:firstLineChars="200"/>
        <w:rPr>
          <w:rFonts w:ascii="宋体" w:hAnsi="宋体" w:cs="宋体"/>
          <w:color w:val="auto"/>
          <w:sz w:val="32"/>
          <w:szCs w:val="32"/>
        </w:rPr>
      </w:pPr>
      <w:r>
        <w:rPr>
          <w:rFonts w:hint="eastAsia" w:ascii="宋体" w:hAnsi="宋体" w:cs="宋体"/>
          <w:color w:val="auto"/>
          <w:sz w:val="32"/>
          <w:szCs w:val="32"/>
        </w:rPr>
        <w:t>地    址：</w:t>
      </w:r>
    </w:p>
    <w:p w14:paraId="7C83574E">
      <w:pPr>
        <w:spacing w:line="360" w:lineRule="auto"/>
        <w:ind w:right="532" w:firstLine="640" w:firstLineChars="200"/>
        <w:rPr>
          <w:rFonts w:ascii="宋体" w:hAnsi="宋体" w:cs="宋体"/>
          <w:color w:val="auto"/>
          <w:sz w:val="32"/>
          <w:szCs w:val="32"/>
        </w:rPr>
      </w:pPr>
      <w:r>
        <w:rPr>
          <w:rFonts w:hint="eastAsia" w:ascii="宋体" w:hAnsi="宋体" w:cs="宋体"/>
          <w:color w:val="auto"/>
          <w:sz w:val="32"/>
          <w:szCs w:val="32"/>
        </w:rPr>
        <w:t>时    间：</w:t>
      </w:r>
    </w:p>
    <w:p w14:paraId="4B883BE4">
      <w:pPr>
        <w:rPr>
          <w:rFonts w:ascii="宋体" w:hAnsi="宋体" w:cs="宋体"/>
          <w:bCs/>
          <w:color w:val="auto"/>
          <w:sz w:val="36"/>
          <w:szCs w:val="36"/>
          <w:lang w:val="zh-CN"/>
        </w:rPr>
      </w:pPr>
    </w:p>
    <w:p w14:paraId="080C3514">
      <w:pPr>
        <w:jc w:val="center"/>
        <w:rPr>
          <w:rFonts w:ascii="宋体" w:hAnsi="宋体" w:cs="宋体"/>
          <w:b/>
          <w:color w:val="auto"/>
          <w:sz w:val="36"/>
          <w:szCs w:val="36"/>
          <w:lang w:val="zh-CN"/>
        </w:rPr>
      </w:pPr>
    </w:p>
    <w:p w14:paraId="0E1C7543">
      <w:pPr>
        <w:jc w:val="center"/>
        <w:rPr>
          <w:rFonts w:ascii="宋体" w:hAnsi="宋体" w:cs="宋体"/>
          <w:b/>
          <w:color w:val="auto"/>
          <w:sz w:val="36"/>
          <w:szCs w:val="36"/>
          <w:lang w:val="zh-CN"/>
        </w:rPr>
      </w:pPr>
    </w:p>
    <w:p w14:paraId="16A8AEB3">
      <w:pPr>
        <w:jc w:val="center"/>
        <w:rPr>
          <w:rFonts w:ascii="宋体" w:hAnsi="宋体" w:cs="宋体"/>
          <w:b/>
          <w:color w:val="auto"/>
          <w:sz w:val="36"/>
          <w:szCs w:val="36"/>
          <w:lang w:val="zh-CN"/>
        </w:rPr>
      </w:pPr>
    </w:p>
    <w:p w14:paraId="1037E497">
      <w:pPr>
        <w:jc w:val="center"/>
        <w:rPr>
          <w:rFonts w:ascii="宋体" w:hAnsi="宋体" w:cs="宋体"/>
          <w:b/>
          <w:color w:val="auto"/>
          <w:sz w:val="36"/>
          <w:szCs w:val="36"/>
          <w:lang w:val="zh-CN"/>
        </w:rPr>
      </w:pPr>
    </w:p>
    <w:p w14:paraId="4F2529A5">
      <w:pPr>
        <w:jc w:val="center"/>
        <w:rPr>
          <w:rFonts w:ascii="宋体" w:hAnsi="宋体" w:cs="宋体"/>
          <w:b/>
          <w:color w:val="auto"/>
          <w:sz w:val="36"/>
          <w:szCs w:val="36"/>
          <w:lang w:val="zh-CN"/>
        </w:rPr>
      </w:pPr>
      <w:r>
        <w:rPr>
          <w:rFonts w:hint="eastAsia" w:ascii="宋体" w:hAnsi="宋体" w:cs="宋体"/>
          <w:b/>
          <w:color w:val="auto"/>
          <w:sz w:val="36"/>
          <w:szCs w:val="36"/>
          <w:lang w:val="zh-CN"/>
        </w:rPr>
        <w:t>资格证明文件目录</w:t>
      </w:r>
    </w:p>
    <w:p w14:paraId="0F524F0A">
      <w:pPr>
        <w:rPr>
          <w:rFonts w:ascii="宋体" w:hAnsi="宋体" w:cs="宋体"/>
          <w:bCs/>
          <w:color w:val="auto"/>
          <w:sz w:val="24"/>
          <w:lang w:val="zh-CN"/>
        </w:rPr>
      </w:pPr>
    </w:p>
    <w:p w14:paraId="79D4B76B">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（1）</w:t>
      </w:r>
      <w:r>
        <w:rPr>
          <w:rFonts w:hint="eastAsia" w:ascii="宋体" w:hAnsi="宋体"/>
          <w:color w:val="auto"/>
          <w:sz w:val="24"/>
          <w:lang w:val="en-US" w:eastAsia="zh-CN"/>
        </w:rPr>
        <w:t>磋商</w:t>
      </w:r>
      <w:r>
        <w:rPr>
          <w:rFonts w:hint="eastAsia" w:ascii="宋体" w:hAnsi="宋体"/>
          <w:color w:val="auto"/>
          <w:sz w:val="24"/>
          <w:lang w:val="zh-CN"/>
        </w:rPr>
        <w:t>声明书（格式见附件）；</w:t>
      </w:r>
    </w:p>
    <w:p w14:paraId="2FA77AF1">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w:t>
      </w:r>
      <w:r>
        <w:rPr>
          <w:rFonts w:hint="eastAsia" w:ascii="宋体" w:hAnsi="宋体"/>
          <w:color w:val="auto"/>
          <w:sz w:val="24"/>
        </w:rPr>
        <w:t>2</w:t>
      </w:r>
      <w:r>
        <w:rPr>
          <w:rFonts w:hint="eastAsia" w:ascii="宋体" w:hAnsi="宋体"/>
          <w:color w:val="auto"/>
          <w:sz w:val="24"/>
          <w:lang w:val="zh-CN"/>
        </w:rPr>
        <w:t>）法定代表人授权书（格式见附件）（如法定代表人亲自参加的，无需提供）；</w:t>
      </w:r>
    </w:p>
    <w:p w14:paraId="0E79C355">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w:t>
      </w:r>
      <w:r>
        <w:rPr>
          <w:rFonts w:hint="eastAsia" w:ascii="宋体" w:hAnsi="宋体"/>
          <w:color w:val="auto"/>
          <w:sz w:val="24"/>
        </w:rPr>
        <w:t>3</w:t>
      </w:r>
      <w:r>
        <w:rPr>
          <w:rFonts w:hint="eastAsia" w:ascii="宋体" w:hAnsi="宋体"/>
          <w:color w:val="auto"/>
          <w:sz w:val="24"/>
          <w:lang w:val="zh-CN"/>
        </w:rPr>
        <w:t>）</w:t>
      </w:r>
      <w:r>
        <w:rPr>
          <w:rFonts w:hint="eastAsia" w:ascii="宋体" w:hAnsi="宋体" w:eastAsia="宋体" w:cs="Times New Roman"/>
          <w:color w:val="auto"/>
          <w:sz w:val="24"/>
          <w:lang w:val="zh-CN"/>
        </w:rPr>
        <w:t>法人或者其他组织的营业执照等证明文件，自然人的身份证明</w:t>
      </w:r>
      <w:r>
        <w:rPr>
          <w:rFonts w:hint="eastAsia" w:ascii="宋体" w:hAnsi="宋体"/>
          <w:color w:val="auto"/>
          <w:sz w:val="24"/>
          <w:lang w:val="zh-CN"/>
        </w:rPr>
        <w:t>，复印件加盖公章；</w:t>
      </w:r>
    </w:p>
    <w:p w14:paraId="323C854A">
      <w:p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sz w:val="24"/>
        </w:rPr>
        <w:t>（4）</w:t>
      </w:r>
      <w:r>
        <w:rPr>
          <w:rFonts w:hint="eastAsia" w:ascii="宋体" w:hAnsi="宋体"/>
          <w:color w:val="auto"/>
          <w:kern w:val="0"/>
          <w:sz w:val="24"/>
        </w:rPr>
        <w:t>中小企业等声明函等政府采购优惠政策适用材料</w:t>
      </w:r>
      <w:r>
        <w:rPr>
          <w:rFonts w:hint="eastAsia" w:ascii="宋体" w:hAnsi="宋体"/>
          <w:color w:val="auto"/>
          <w:sz w:val="24"/>
        </w:rPr>
        <w:t>（详见格式附件）；</w:t>
      </w:r>
    </w:p>
    <w:p w14:paraId="6215B392">
      <w:pPr>
        <w:snapToGrid w:val="0"/>
        <w:spacing w:line="360" w:lineRule="auto"/>
        <w:ind w:firstLine="480" w:firstLineChars="200"/>
        <w:jc w:val="left"/>
        <w:rPr>
          <w:rFonts w:hint="eastAsia" w:ascii="宋体" w:hAnsi="宋体" w:cs="宋体"/>
          <w:color w:val="auto"/>
          <w:sz w:val="24"/>
          <w:lang w:bidi="ar"/>
        </w:rPr>
      </w:pPr>
      <w:r>
        <w:rPr>
          <w:rFonts w:hint="eastAsia" w:ascii="宋体" w:hAnsi="宋体"/>
          <w:color w:val="auto"/>
          <w:sz w:val="24"/>
        </w:rPr>
        <w:t>（5）</w:t>
      </w:r>
      <w:r>
        <w:rPr>
          <w:rFonts w:hint="eastAsia" w:ascii="宋体" w:hAnsi="宋体" w:cs="Arial"/>
          <w:color w:val="auto"/>
          <w:sz w:val="24"/>
        </w:rPr>
        <w:t>符合参与政府采购活动的资格条件、具备良好的商业信誉和健全的财务会计制度并且没有税收缴纳、社会保障等方面的失信记录的承诺函</w:t>
      </w:r>
      <w:r>
        <w:rPr>
          <w:rFonts w:hint="eastAsia" w:ascii="宋体" w:hAnsi="宋体" w:cs="宋体"/>
          <w:color w:val="auto"/>
          <w:sz w:val="24"/>
          <w:lang w:bidi="ar"/>
        </w:rPr>
        <w:t>；</w:t>
      </w:r>
    </w:p>
    <w:p w14:paraId="44FB941F">
      <w:pPr>
        <w:snapToGrid w:val="0"/>
        <w:spacing w:line="360" w:lineRule="auto"/>
        <w:ind w:firstLine="480" w:firstLineChars="200"/>
        <w:jc w:val="left"/>
        <w:rPr>
          <w:rFonts w:ascii="宋体" w:hAnsi="宋体"/>
          <w:color w:val="auto"/>
          <w:sz w:val="24"/>
        </w:rPr>
      </w:pPr>
      <w:r>
        <w:rPr>
          <w:rFonts w:hint="eastAsia" w:ascii="宋体" w:hAnsi="宋体"/>
          <w:color w:val="auto"/>
          <w:sz w:val="24"/>
        </w:rPr>
        <w:t>（</w:t>
      </w:r>
      <w:r>
        <w:rPr>
          <w:rFonts w:hint="eastAsia" w:ascii="宋体" w:hAnsi="宋体"/>
          <w:color w:val="auto"/>
          <w:sz w:val="24"/>
          <w:lang w:val="en-US" w:eastAsia="zh-CN"/>
        </w:rPr>
        <w:t>6</w:t>
      </w:r>
      <w:r>
        <w:rPr>
          <w:rFonts w:hint="eastAsia" w:ascii="宋体" w:hAnsi="宋体"/>
          <w:color w:val="auto"/>
          <w:sz w:val="24"/>
        </w:rPr>
        <w:t>）需要说明的其他资料。</w:t>
      </w:r>
    </w:p>
    <w:p w14:paraId="2AE14F79">
      <w:pPr>
        <w:rPr>
          <w:color w:val="auto"/>
          <w:lang w:val="zh-CN"/>
        </w:rPr>
      </w:pPr>
      <w:r>
        <w:rPr>
          <w:color w:val="auto"/>
          <w:lang w:val="zh-CN"/>
        </w:rPr>
        <w:br w:type="page"/>
      </w:r>
    </w:p>
    <w:p w14:paraId="38B71BF5">
      <w:pPr>
        <w:rPr>
          <w:color w:val="auto"/>
          <w:lang w:val="zh-CN"/>
        </w:rPr>
      </w:pPr>
    </w:p>
    <w:p w14:paraId="5A7C1DB3">
      <w:pPr>
        <w:rPr>
          <w:rFonts w:ascii="宋体" w:hAnsi="宋体" w:cs="宋体"/>
          <w:b/>
          <w:color w:val="auto"/>
          <w:sz w:val="28"/>
          <w:szCs w:val="28"/>
          <w:lang w:val="zh-CN"/>
        </w:rPr>
      </w:pPr>
      <w:r>
        <w:rPr>
          <w:rFonts w:hint="eastAsia" w:ascii="宋体" w:hAnsi="宋体" w:cs="宋体"/>
          <w:b/>
          <w:color w:val="auto"/>
          <w:sz w:val="28"/>
          <w:szCs w:val="28"/>
          <w:lang w:val="zh-CN"/>
        </w:rPr>
        <w:t>附件2</w:t>
      </w:r>
    </w:p>
    <w:p w14:paraId="070BAE41">
      <w:pPr>
        <w:spacing w:line="360" w:lineRule="auto"/>
        <w:jc w:val="center"/>
        <w:rPr>
          <w:rFonts w:ascii="宋体" w:hAnsi="宋体" w:cs="宋体"/>
          <w:b/>
          <w:color w:val="auto"/>
          <w:sz w:val="28"/>
          <w:szCs w:val="28"/>
          <w:lang w:val="zh-CN"/>
        </w:rPr>
      </w:pPr>
      <w:r>
        <w:rPr>
          <w:rFonts w:hint="eastAsia" w:ascii="宋体" w:hAnsi="宋体" w:cs="宋体"/>
          <w:b/>
          <w:color w:val="auto"/>
          <w:sz w:val="28"/>
          <w:szCs w:val="28"/>
          <w:lang w:val="en-US" w:eastAsia="zh-CN"/>
        </w:rPr>
        <w:t>磋商</w:t>
      </w:r>
      <w:r>
        <w:rPr>
          <w:rFonts w:hint="eastAsia" w:ascii="宋体" w:hAnsi="宋体" w:cs="宋体"/>
          <w:b/>
          <w:color w:val="auto"/>
          <w:sz w:val="28"/>
          <w:szCs w:val="28"/>
          <w:lang w:val="zh-CN"/>
        </w:rPr>
        <w:t>声明书</w:t>
      </w:r>
    </w:p>
    <w:p w14:paraId="1A0D3689">
      <w:pPr>
        <w:spacing w:line="360" w:lineRule="auto"/>
        <w:rPr>
          <w:rFonts w:ascii="宋体" w:hAnsi="宋体" w:cs="宋体"/>
          <w:bCs/>
          <w:color w:val="auto"/>
          <w:sz w:val="24"/>
          <w:lang w:val="zh-CN"/>
        </w:rPr>
      </w:pPr>
      <w:r>
        <w:rPr>
          <w:rFonts w:hint="eastAsia" w:ascii="宋体" w:hAnsi="宋体" w:cs="宋体"/>
          <w:bCs/>
          <w:color w:val="auto"/>
          <w:sz w:val="24"/>
          <w:lang w:val="zh-CN"/>
        </w:rPr>
        <w:t>浙江首信工程项目管理有限公司：</w:t>
      </w:r>
      <w:r>
        <w:rPr>
          <w:rFonts w:hint="eastAsia" w:ascii="宋体" w:hAnsi="宋体" w:cs="宋体"/>
          <w:bCs/>
          <w:color w:val="auto"/>
          <w:sz w:val="24"/>
          <w:lang w:val="zh-CN"/>
        </w:rPr>
        <w:cr/>
      </w:r>
      <w:r>
        <w:rPr>
          <w:rFonts w:hint="eastAsia" w:ascii="宋体" w:hAnsi="宋体" w:cs="宋体"/>
          <w:bCs/>
          <w:color w:val="auto"/>
          <w:sz w:val="24"/>
          <w:lang w:val="zh-CN"/>
        </w:rPr>
        <w:t>     </w:t>
      </w:r>
      <w:r>
        <w:rPr>
          <w:rFonts w:hint="eastAsia" w:ascii="宋体" w:hAnsi="宋体" w:cs="宋体"/>
          <w:bCs/>
          <w:color w:val="auto"/>
          <w:sz w:val="24"/>
          <w:u w:val="single"/>
          <w:lang w:val="zh-CN"/>
        </w:rPr>
        <w:t>   （供应商名称）</w:t>
      </w:r>
      <w:r>
        <w:rPr>
          <w:rFonts w:hint="eastAsia" w:ascii="宋体" w:hAnsi="宋体" w:cs="宋体"/>
          <w:bCs/>
          <w:color w:val="auto"/>
          <w:sz w:val="24"/>
          <w:lang w:val="zh-CN"/>
        </w:rPr>
        <w:t>系中华人民共和国合法企业，经营地址</w:t>
      </w:r>
      <w:r>
        <w:rPr>
          <w:rFonts w:hint="eastAsia" w:ascii="宋体" w:hAnsi="宋体" w:cs="宋体"/>
          <w:bCs/>
          <w:color w:val="auto"/>
          <w:sz w:val="24"/>
          <w:u w:val="single"/>
          <w:lang w:val="zh-CN"/>
        </w:rPr>
        <w:t>   </w:t>
      </w:r>
      <w:r>
        <w:rPr>
          <w:rFonts w:hint="eastAsia" w:ascii="宋体" w:hAnsi="宋体" w:cs="宋体"/>
          <w:bCs/>
          <w:color w:val="auto"/>
          <w:sz w:val="24"/>
          <w:lang w:val="zh-CN"/>
        </w:rPr>
        <w:t>。</w:t>
      </w:r>
    </w:p>
    <w:p w14:paraId="1959020E">
      <w:pPr>
        <w:spacing w:line="360" w:lineRule="auto"/>
        <w:ind w:firstLine="480" w:firstLineChars="200"/>
        <w:rPr>
          <w:rFonts w:ascii="宋体" w:hAnsi="宋体" w:cs="宋体"/>
          <w:bCs/>
          <w:color w:val="auto"/>
          <w:sz w:val="24"/>
          <w:lang w:val="zh-CN"/>
        </w:rPr>
      </w:pPr>
      <w:r>
        <w:rPr>
          <w:rFonts w:hint="eastAsia" w:ascii="宋体" w:hAnsi="宋体" w:cs="宋体"/>
          <w:bCs/>
          <w:color w:val="auto"/>
          <w:sz w:val="24"/>
          <w:lang w:val="zh-CN"/>
        </w:rPr>
        <w:t>我</w:t>
      </w:r>
      <w:r>
        <w:rPr>
          <w:rFonts w:hint="eastAsia" w:ascii="宋体" w:hAnsi="宋体" w:cs="宋体"/>
          <w:bCs/>
          <w:color w:val="auto"/>
          <w:sz w:val="24"/>
          <w:u w:val="single"/>
          <w:lang w:val="zh-CN"/>
        </w:rPr>
        <w:t>（ 姓名 ）</w:t>
      </w:r>
      <w:r>
        <w:rPr>
          <w:rFonts w:hint="eastAsia" w:ascii="宋体" w:hAnsi="宋体" w:cs="宋体"/>
          <w:bCs/>
          <w:color w:val="auto"/>
          <w:sz w:val="24"/>
          <w:lang w:val="zh-CN"/>
        </w:rPr>
        <w:t>系</w:t>
      </w:r>
      <w:r>
        <w:rPr>
          <w:rFonts w:hint="eastAsia" w:ascii="宋体" w:hAnsi="宋体" w:cs="宋体"/>
          <w:bCs/>
          <w:color w:val="auto"/>
          <w:sz w:val="24"/>
          <w:u w:val="single"/>
          <w:lang w:val="zh-CN"/>
        </w:rPr>
        <w:t>（ 供应商名称 ）</w:t>
      </w:r>
      <w:r>
        <w:rPr>
          <w:rFonts w:hint="eastAsia" w:ascii="宋体" w:hAnsi="宋体" w:cs="宋体"/>
          <w:bCs/>
          <w:color w:val="auto"/>
          <w:sz w:val="24"/>
          <w:lang w:val="zh-CN"/>
        </w:rPr>
        <w:t>的法定代表人，我公司自愿参加贵方组织的</w:t>
      </w:r>
      <w:r>
        <w:rPr>
          <w:rFonts w:hint="eastAsia" w:ascii="宋体" w:hAnsi="宋体" w:cs="宋体"/>
          <w:bCs/>
          <w:color w:val="auto"/>
          <w:sz w:val="24"/>
          <w:u w:val="single"/>
        </w:rPr>
        <w:t xml:space="preserve">  </w:t>
      </w:r>
      <w:r>
        <w:rPr>
          <w:rFonts w:hint="eastAsia" w:ascii="宋体" w:hAnsi="宋体" w:cs="宋体"/>
          <w:bCs/>
          <w:color w:val="auto"/>
          <w:sz w:val="24"/>
          <w:u w:val="single"/>
          <w:lang w:eastAsia="zh-CN"/>
        </w:rPr>
        <w:t>椒江区眼镜、喷水织布行业环保过程监控系统运维服务项目</w:t>
      </w:r>
      <w:r>
        <w:rPr>
          <w:rFonts w:hint="eastAsia" w:ascii="宋体" w:hAnsi="宋体" w:cs="宋体"/>
          <w:bCs/>
          <w:color w:val="auto"/>
          <w:sz w:val="24"/>
          <w:lang w:val="zh-CN"/>
        </w:rPr>
        <w:t>（编号为</w:t>
      </w:r>
      <w:r>
        <w:rPr>
          <w:rFonts w:hint="eastAsia" w:ascii="宋体" w:hAnsi="宋体" w:cs="宋体"/>
          <w:bCs/>
          <w:color w:val="auto"/>
          <w:sz w:val="24"/>
          <w:lang w:val="en-US" w:eastAsia="zh-CN"/>
        </w:rPr>
        <w:t>ZTJY-0101</w:t>
      </w:r>
      <w:r>
        <w:rPr>
          <w:rFonts w:hint="eastAsia" w:ascii="宋体" w:hAnsi="宋体" w:cs="宋体"/>
          <w:bCs/>
          <w:color w:val="auto"/>
          <w:sz w:val="24"/>
          <w:lang w:val="zh-CN"/>
        </w:rPr>
        <w:t>）的</w:t>
      </w:r>
      <w:r>
        <w:rPr>
          <w:rFonts w:hint="eastAsia" w:ascii="宋体" w:hAnsi="宋体" w:cs="宋体"/>
          <w:color w:val="auto"/>
          <w:kern w:val="0"/>
          <w:sz w:val="24"/>
        </w:rPr>
        <w:t>投标</w:t>
      </w:r>
      <w:r>
        <w:rPr>
          <w:rFonts w:hint="eastAsia" w:ascii="宋体" w:hAnsi="宋体" w:cs="宋体"/>
          <w:bCs/>
          <w:color w:val="auto"/>
          <w:sz w:val="24"/>
          <w:lang w:val="zh-CN"/>
        </w:rPr>
        <w:t>，为此，我公司就本次投标有关事项郑重声明如下：</w:t>
      </w:r>
    </w:p>
    <w:p w14:paraId="2C818116">
      <w:pPr>
        <w:spacing w:line="360" w:lineRule="auto"/>
        <w:ind w:firstLine="480" w:firstLineChars="200"/>
        <w:rPr>
          <w:rFonts w:ascii="宋体" w:hAnsi="宋体" w:cs="宋体"/>
          <w:bCs/>
          <w:color w:val="auto"/>
          <w:sz w:val="24"/>
          <w:lang w:val="zh-CN"/>
        </w:rPr>
      </w:pPr>
      <w:r>
        <w:rPr>
          <w:rFonts w:hint="eastAsia" w:ascii="宋体" w:hAnsi="宋体" w:cs="宋体"/>
          <w:bCs/>
          <w:color w:val="auto"/>
          <w:sz w:val="24"/>
        </w:rPr>
        <w:t>1、</w:t>
      </w:r>
      <w:r>
        <w:rPr>
          <w:rFonts w:hint="eastAsia" w:ascii="宋体" w:hAnsi="宋体" w:cs="宋体"/>
          <w:bCs/>
          <w:color w:val="auto"/>
          <w:sz w:val="24"/>
          <w:lang w:val="zh-CN"/>
        </w:rPr>
        <w:t>我公司声明截止</w:t>
      </w:r>
      <w:r>
        <w:rPr>
          <w:rFonts w:hint="eastAsia" w:ascii="宋体" w:hAnsi="宋体" w:cs="宋体"/>
          <w:color w:val="auto"/>
          <w:kern w:val="0"/>
          <w:sz w:val="24"/>
        </w:rPr>
        <w:t>投标时间</w:t>
      </w:r>
      <w:r>
        <w:rPr>
          <w:rFonts w:hint="eastAsia" w:ascii="宋体" w:hAnsi="宋体" w:cs="宋体"/>
          <w:bCs/>
          <w:color w:val="auto"/>
          <w:sz w:val="24"/>
          <w:lang w:val="zh-CN"/>
        </w:rPr>
        <w:t>近三年以来：在参加采购活动过程中无任何不良行为记录；无重大违法记录（重大违法记录是指供应商因违法经营受到刑事处罚或者责令停产停业、吊销许可证或者执照、较大数额罚款等行政处罚）。</w:t>
      </w:r>
    </w:p>
    <w:p w14:paraId="1D917733">
      <w:pPr>
        <w:spacing w:line="360" w:lineRule="auto"/>
        <w:ind w:firstLine="480" w:firstLineChars="200"/>
        <w:rPr>
          <w:rFonts w:ascii="宋体" w:hAnsi="宋体" w:cs="宋体"/>
          <w:bCs/>
          <w:color w:val="auto"/>
          <w:sz w:val="24"/>
          <w:lang w:val="zh-CN"/>
        </w:rPr>
      </w:pPr>
      <w:r>
        <w:rPr>
          <w:rFonts w:hint="eastAsia" w:ascii="宋体" w:hAnsi="宋体" w:cs="宋体"/>
          <w:bCs/>
          <w:color w:val="auto"/>
          <w:sz w:val="24"/>
        </w:rPr>
        <w:t>2、</w:t>
      </w:r>
      <w:r>
        <w:rPr>
          <w:rFonts w:hint="eastAsia" w:ascii="宋体" w:hAnsi="宋体" w:cs="宋体"/>
          <w:bCs/>
          <w:color w:val="auto"/>
          <w:sz w:val="24"/>
          <w:lang w:val="zh-CN"/>
        </w:rPr>
        <w:t>我公司在参与</w:t>
      </w:r>
      <w:r>
        <w:rPr>
          <w:rFonts w:hint="eastAsia" w:ascii="宋体" w:hAnsi="宋体" w:cs="宋体"/>
          <w:color w:val="auto"/>
          <w:kern w:val="0"/>
          <w:sz w:val="24"/>
        </w:rPr>
        <w:t>投标</w:t>
      </w:r>
      <w:r>
        <w:rPr>
          <w:rFonts w:hint="eastAsia" w:ascii="宋体" w:hAnsi="宋体" w:cs="宋体"/>
          <w:bCs/>
          <w:color w:val="auto"/>
          <w:sz w:val="24"/>
          <w:lang w:val="zh-CN"/>
        </w:rPr>
        <w:t>前已详细审查了</w:t>
      </w:r>
      <w:r>
        <w:rPr>
          <w:rFonts w:hint="eastAsia" w:ascii="宋体" w:hAnsi="宋体" w:cs="宋体"/>
          <w:color w:val="auto"/>
          <w:kern w:val="0"/>
          <w:sz w:val="24"/>
        </w:rPr>
        <w:t>招标</w:t>
      </w:r>
      <w:r>
        <w:rPr>
          <w:rFonts w:hint="eastAsia" w:ascii="宋体" w:hAnsi="宋体" w:cs="宋体"/>
          <w:bCs/>
          <w:color w:val="auto"/>
          <w:sz w:val="24"/>
          <w:lang w:val="zh-CN"/>
        </w:rPr>
        <w:t>文件和所有相关资料，我方完全明白并认为此</w:t>
      </w:r>
      <w:r>
        <w:rPr>
          <w:rFonts w:hint="eastAsia" w:ascii="宋体" w:hAnsi="宋体" w:cs="宋体"/>
          <w:color w:val="auto"/>
          <w:kern w:val="0"/>
          <w:sz w:val="24"/>
        </w:rPr>
        <w:t>招标</w:t>
      </w:r>
      <w:r>
        <w:rPr>
          <w:rFonts w:hint="eastAsia" w:ascii="宋体" w:hAnsi="宋体" w:cs="宋体"/>
          <w:bCs/>
          <w:color w:val="auto"/>
          <w:sz w:val="24"/>
          <w:lang w:val="zh-CN"/>
        </w:rPr>
        <w:t>文件没有倾向性，也没有存在排斥潜在供应商的内容，我方同意招标文件的相关条款，放弃对</w:t>
      </w:r>
      <w:r>
        <w:rPr>
          <w:rFonts w:hint="eastAsia" w:ascii="宋体" w:hAnsi="宋体" w:cs="宋体"/>
          <w:color w:val="auto"/>
          <w:kern w:val="0"/>
          <w:sz w:val="24"/>
        </w:rPr>
        <w:t>招标</w:t>
      </w:r>
      <w:r>
        <w:rPr>
          <w:rFonts w:hint="eastAsia" w:ascii="宋体" w:hAnsi="宋体" w:cs="宋体"/>
          <w:bCs/>
          <w:color w:val="auto"/>
          <w:sz w:val="24"/>
          <w:lang w:val="zh-CN"/>
        </w:rPr>
        <w:t>文件提出误解和质疑的一切权利。</w:t>
      </w:r>
    </w:p>
    <w:p w14:paraId="3FAC1300">
      <w:pPr>
        <w:spacing w:line="360" w:lineRule="auto"/>
        <w:ind w:firstLine="480" w:firstLineChars="200"/>
        <w:rPr>
          <w:rFonts w:ascii="宋体" w:hAnsi="宋体" w:cs="宋体"/>
          <w:bCs/>
          <w:color w:val="auto"/>
          <w:sz w:val="24"/>
          <w:lang w:val="zh-CN"/>
        </w:rPr>
      </w:pPr>
      <w:r>
        <w:rPr>
          <w:rFonts w:hint="eastAsia" w:ascii="宋体" w:hAnsi="宋体" w:cs="宋体"/>
          <w:bCs/>
          <w:color w:val="auto"/>
          <w:sz w:val="24"/>
          <w:lang w:val="zh-CN"/>
        </w:rPr>
        <w:t>3、我公司不是采购人的附属机构；在获知本项目采购信息后，与采购人聘请的为此项目提供咨询服务的公司及其附属机构没有任何联系。</w:t>
      </w:r>
    </w:p>
    <w:p w14:paraId="7E083B9D">
      <w:pPr>
        <w:spacing w:line="360" w:lineRule="auto"/>
        <w:ind w:firstLine="480" w:firstLineChars="200"/>
        <w:rPr>
          <w:rFonts w:ascii="宋体" w:hAnsi="宋体" w:cs="宋体"/>
          <w:bCs/>
          <w:color w:val="auto"/>
          <w:sz w:val="24"/>
          <w:lang w:val="af-ZA"/>
        </w:rPr>
      </w:pPr>
      <w:r>
        <w:rPr>
          <w:rFonts w:hint="eastAsia" w:ascii="宋体" w:hAnsi="宋体" w:cs="宋体"/>
          <w:bCs/>
          <w:color w:val="auto"/>
          <w:sz w:val="24"/>
          <w:lang w:val="zh-CN"/>
        </w:rPr>
        <w:t>4、我公司保证，</w:t>
      </w:r>
      <w:r>
        <w:rPr>
          <w:rFonts w:hint="eastAsia" w:ascii="宋体" w:hAnsi="宋体" w:cs="宋体"/>
          <w:bCs/>
          <w:color w:val="auto"/>
          <w:sz w:val="24"/>
          <w:lang w:val="af-ZA"/>
        </w:rPr>
        <w:t>采购人在中华人民共和国境内使用</w:t>
      </w:r>
      <w:r>
        <w:rPr>
          <w:rFonts w:hint="eastAsia" w:ascii="宋体" w:hAnsi="宋体" w:cs="宋体"/>
          <w:bCs/>
          <w:color w:val="auto"/>
          <w:sz w:val="24"/>
          <w:lang w:val="zh-CN"/>
        </w:rPr>
        <w:t>我公司</w:t>
      </w:r>
      <w:r>
        <w:rPr>
          <w:rFonts w:hint="eastAsia" w:ascii="宋体" w:hAnsi="宋体"/>
          <w:color w:val="auto"/>
          <w:kern w:val="0"/>
          <w:sz w:val="24"/>
          <w:lang w:val="af-ZA"/>
        </w:rPr>
        <w:t>投标</w:t>
      </w:r>
      <w:r>
        <w:rPr>
          <w:rFonts w:hint="eastAsia" w:ascii="宋体" w:hAnsi="宋体" w:cs="宋体"/>
          <w:bCs/>
          <w:color w:val="auto"/>
          <w:sz w:val="24"/>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2A3D60DA">
      <w:pPr>
        <w:spacing w:line="360" w:lineRule="auto"/>
        <w:ind w:firstLine="480" w:firstLineChars="200"/>
        <w:rPr>
          <w:rFonts w:ascii="宋体" w:hAnsi="宋体" w:cs="宋体"/>
          <w:bCs/>
          <w:color w:val="auto"/>
          <w:sz w:val="24"/>
          <w:lang w:val="af-ZA"/>
        </w:rPr>
      </w:pPr>
      <w:r>
        <w:rPr>
          <w:rFonts w:hint="eastAsia" w:ascii="宋体" w:hAnsi="宋体" w:cs="宋体"/>
          <w:bCs/>
          <w:color w:val="auto"/>
          <w:sz w:val="24"/>
          <w:lang w:val="af-ZA"/>
        </w:rPr>
        <w:t>5、我</w:t>
      </w:r>
      <w:r>
        <w:rPr>
          <w:rFonts w:hint="eastAsia" w:ascii="宋体" w:hAnsi="宋体" w:cs="宋体"/>
          <w:bCs/>
          <w:color w:val="auto"/>
          <w:sz w:val="24"/>
          <w:lang w:val="zh-CN"/>
        </w:rPr>
        <w:t>公司</w:t>
      </w:r>
      <w:r>
        <w:rPr>
          <w:rFonts w:hint="eastAsia" w:ascii="宋体" w:hAnsi="宋体" w:cs="宋体"/>
          <w:bCs/>
          <w:color w:val="auto"/>
          <w:sz w:val="24"/>
          <w:lang w:val="af-ZA"/>
        </w:rPr>
        <w:t>严格履行采购合同，</w:t>
      </w:r>
      <w:r>
        <w:rPr>
          <w:rFonts w:hint="eastAsia" w:ascii="宋体" w:hAnsi="宋体" w:cs="宋体"/>
          <w:color w:val="auto"/>
          <w:kern w:val="0"/>
          <w:sz w:val="24"/>
        </w:rPr>
        <w:t>除在投标文件中明确拒绝之外，均接受招标文件中的全部条件，</w:t>
      </w:r>
      <w:r>
        <w:rPr>
          <w:rFonts w:hint="eastAsia" w:ascii="宋体" w:hAnsi="宋体" w:cs="宋体"/>
          <w:bCs/>
          <w:color w:val="auto"/>
          <w:sz w:val="24"/>
          <w:lang w:val="af-ZA"/>
        </w:rPr>
        <w:t>不降低合同约定的产品质量和服务，不擅自变更、中止、终止合同，或拒绝履行合同义务；</w:t>
      </w:r>
    </w:p>
    <w:p w14:paraId="2AE3EF89">
      <w:pPr>
        <w:snapToGrid w:val="0"/>
        <w:spacing w:line="360" w:lineRule="auto"/>
        <w:ind w:firstLine="482" w:firstLineChars="200"/>
        <w:rPr>
          <w:color w:val="auto"/>
          <w:lang w:val="zh-CN"/>
        </w:rPr>
      </w:pPr>
      <w:r>
        <w:rPr>
          <w:rFonts w:hint="eastAsia" w:ascii="宋体" w:hAnsi="宋体" w:cs="宋体"/>
          <w:b/>
          <w:bCs/>
          <w:color w:val="auto"/>
          <w:kern w:val="0"/>
          <w:sz w:val="24"/>
        </w:rPr>
        <w:t>6、投标项目负责人在投标截止时间前无在建项目；</w:t>
      </w:r>
    </w:p>
    <w:p w14:paraId="39E7E18C">
      <w:pPr>
        <w:spacing w:line="360" w:lineRule="auto"/>
        <w:ind w:firstLine="480" w:firstLineChars="200"/>
        <w:rPr>
          <w:rFonts w:ascii="宋体" w:hAnsi="宋体" w:cs="宋体"/>
          <w:bCs/>
          <w:color w:val="auto"/>
          <w:sz w:val="24"/>
          <w:lang w:val="zh-CN"/>
        </w:rPr>
      </w:pPr>
      <w:r>
        <w:rPr>
          <w:rFonts w:hint="eastAsia" w:ascii="宋体" w:hAnsi="宋体" w:cs="宋体"/>
          <w:bCs/>
          <w:color w:val="auto"/>
          <w:sz w:val="24"/>
        </w:rPr>
        <w:t>7</w:t>
      </w:r>
      <w:r>
        <w:rPr>
          <w:rFonts w:hint="eastAsia" w:ascii="宋体" w:hAnsi="宋体" w:cs="宋体"/>
          <w:bCs/>
          <w:color w:val="auto"/>
          <w:sz w:val="24"/>
          <w:lang w:val="zh-CN"/>
        </w:rPr>
        <w:t>、以上事项如有虚假或隐瞒，我公司愿意承担一切后果，并不再寻求任何旨在减轻或免除法律责任的辩解。</w:t>
      </w:r>
    </w:p>
    <w:p w14:paraId="1DCC170D">
      <w:pPr>
        <w:spacing w:line="360" w:lineRule="auto"/>
        <w:rPr>
          <w:rFonts w:ascii="宋体" w:hAnsi="宋体" w:cs="宋体"/>
          <w:bCs/>
          <w:color w:val="auto"/>
          <w:sz w:val="24"/>
          <w:lang w:val="zh-CN"/>
        </w:rPr>
      </w:pPr>
      <w:r>
        <w:rPr>
          <w:rFonts w:hint="eastAsia" w:ascii="宋体" w:hAnsi="宋体"/>
          <w:color w:val="auto"/>
          <w:sz w:val="24"/>
        </w:rPr>
        <w:t>供应商名称</w:t>
      </w:r>
      <w:r>
        <w:rPr>
          <w:rFonts w:hint="eastAsia" w:ascii="宋体" w:hAnsi="宋体" w:cs="宋体"/>
          <w:bCs/>
          <w:color w:val="auto"/>
          <w:sz w:val="24"/>
          <w:lang w:val="zh-CN"/>
        </w:rPr>
        <w:t>(公章)：</w:t>
      </w:r>
    </w:p>
    <w:p w14:paraId="1C08D6B9">
      <w:pPr>
        <w:spacing w:line="360" w:lineRule="auto"/>
        <w:rPr>
          <w:rFonts w:ascii="宋体" w:hAnsi="宋体" w:cs="宋体"/>
          <w:bCs/>
          <w:color w:val="auto"/>
          <w:sz w:val="24"/>
          <w:lang w:val="zh-CN"/>
        </w:rPr>
      </w:pPr>
      <w:r>
        <w:rPr>
          <w:rFonts w:hint="eastAsia" w:ascii="宋体" w:hAnsi="宋体" w:cs="宋体"/>
          <w:bCs/>
          <w:color w:val="auto"/>
          <w:sz w:val="24"/>
          <w:lang w:val="zh-CN"/>
        </w:rPr>
        <w:t>法定代表人或授权委托人(签字或盖章)：</w:t>
      </w:r>
      <w:r>
        <w:rPr>
          <w:rFonts w:hint="eastAsia" w:ascii="宋体" w:hAnsi="宋体" w:cs="宋体"/>
          <w:bCs/>
          <w:color w:val="auto"/>
          <w:sz w:val="24"/>
        </w:rPr>
        <w:t xml:space="preserve">              </w:t>
      </w:r>
      <w:r>
        <w:rPr>
          <w:rFonts w:hint="eastAsia" w:ascii="宋体" w:hAnsi="宋体" w:cs="宋体"/>
          <w:bCs/>
          <w:color w:val="auto"/>
          <w:sz w:val="24"/>
          <w:lang w:val="zh-CN"/>
        </w:rPr>
        <w:t>日期：</w:t>
      </w:r>
      <w:r>
        <w:rPr>
          <w:rFonts w:hint="eastAsia" w:ascii="宋体" w:hAnsi="宋体" w:cs="宋体"/>
          <w:bCs/>
          <w:color w:val="auto"/>
          <w:sz w:val="24"/>
        </w:rPr>
        <w:t xml:space="preserve">   </w:t>
      </w:r>
      <w:r>
        <w:rPr>
          <w:rFonts w:hint="eastAsia" w:ascii="宋体" w:hAnsi="宋体" w:cs="宋体"/>
          <w:bCs/>
          <w:color w:val="auto"/>
          <w:sz w:val="24"/>
          <w:lang w:val="zh-CN"/>
        </w:rPr>
        <w:t>年</w:t>
      </w:r>
      <w:r>
        <w:rPr>
          <w:rFonts w:hint="eastAsia" w:ascii="宋体" w:hAnsi="宋体" w:cs="宋体"/>
          <w:bCs/>
          <w:color w:val="auto"/>
          <w:sz w:val="24"/>
        </w:rPr>
        <w:t xml:space="preserve">   </w:t>
      </w:r>
      <w:r>
        <w:rPr>
          <w:rFonts w:hint="eastAsia" w:ascii="宋体" w:hAnsi="宋体" w:cs="宋体"/>
          <w:bCs/>
          <w:color w:val="auto"/>
          <w:sz w:val="24"/>
          <w:lang w:val="zh-CN"/>
        </w:rPr>
        <w:t>月</w:t>
      </w:r>
      <w:r>
        <w:rPr>
          <w:rFonts w:hint="eastAsia" w:ascii="宋体" w:hAnsi="宋体" w:cs="宋体"/>
          <w:bCs/>
          <w:color w:val="auto"/>
          <w:sz w:val="24"/>
        </w:rPr>
        <w:t xml:space="preserve">   </w:t>
      </w:r>
      <w:r>
        <w:rPr>
          <w:rFonts w:hint="eastAsia" w:ascii="宋体" w:hAnsi="宋体" w:cs="宋体"/>
          <w:bCs/>
          <w:color w:val="auto"/>
          <w:sz w:val="24"/>
          <w:lang w:val="zh-CN"/>
        </w:rPr>
        <w:t>日</w:t>
      </w:r>
    </w:p>
    <w:p w14:paraId="05F538D6">
      <w:pPr>
        <w:rPr>
          <w:rFonts w:ascii="宋体" w:hAnsi="宋体" w:cs="宋体"/>
          <w:b/>
          <w:color w:val="auto"/>
          <w:sz w:val="28"/>
          <w:szCs w:val="28"/>
          <w:lang w:val="zh-CN"/>
        </w:rPr>
      </w:pPr>
    </w:p>
    <w:p w14:paraId="15FA4FC1">
      <w:pPr>
        <w:rPr>
          <w:rFonts w:ascii="宋体" w:hAnsi="宋体" w:cs="宋体"/>
          <w:b/>
          <w:color w:val="auto"/>
          <w:sz w:val="28"/>
          <w:szCs w:val="28"/>
          <w:lang w:val="zh-CN"/>
        </w:rPr>
      </w:pPr>
      <w:r>
        <w:rPr>
          <w:rFonts w:hint="eastAsia" w:ascii="宋体" w:hAnsi="宋体" w:cs="宋体"/>
          <w:b/>
          <w:color w:val="auto"/>
          <w:sz w:val="28"/>
          <w:szCs w:val="28"/>
          <w:lang w:val="zh-CN"/>
        </w:rPr>
        <w:t>附件3</w:t>
      </w:r>
    </w:p>
    <w:p w14:paraId="33DED92A">
      <w:pPr>
        <w:jc w:val="center"/>
        <w:rPr>
          <w:rFonts w:ascii="宋体" w:hAnsi="宋体" w:cs="宋体"/>
          <w:b/>
          <w:color w:val="auto"/>
          <w:sz w:val="28"/>
          <w:szCs w:val="28"/>
          <w:lang w:val="zh-CN"/>
        </w:rPr>
      </w:pPr>
      <w:r>
        <w:rPr>
          <w:rFonts w:hint="eastAsia" w:ascii="宋体" w:hAnsi="宋体" w:cs="宋体"/>
          <w:b/>
          <w:color w:val="auto"/>
          <w:sz w:val="28"/>
          <w:szCs w:val="28"/>
          <w:lang w:val="zh-CN"/>
        </w:rPr>
        <w:t>授权委托书</w:t>
      </w:r>
    </w:p>
    <w:p w14:paraId="1EC5A98D">
      <w:pPr>
        <w:spacing w:line="360" w:lineRule="auto"/>
        <w:rPr>
          <w:rFonts w:ascii="宋体" w:hAnsi="宋体" w:cs="宋体"/>
          <w:b/>
          <w:color w:val="auto"/>
          <w:sz w:val="24"/>
          <w:u w:val="single"/>
          <w:lang w:val="zh-CN"/>
        </w:rPr>
      </w:pPr>
      <w:r>
        <w:rPr>
          <w:rFonts w:hint="eastAsia" w:ascii="宋体" w:hAnsi="宋体" w:cs="宋体"/>
          <w:b/>
          <w:color w:val="auto"/>
          <w:sz w:val="24"/>
          <w:u w:val="single"/>
          <w:lang w:val="zh-CN"/>
        </w:rPr>
        <w:t>浙江首信工程项目管理有限公司：</w:t>
      </w:r>
    </w:p>
    <w:p w14:paraId="57161BA8">
      <w:pPr>
        <w:spacing w:line="360" w:lineRule="auto"/>
        <w:ind w:firstLine="480" w:firstLineChars="200"/>
        <w:rPr>
          <w:rFonts w:ascii="宋体" w:hAnsi="宋体" w:cs="宋体"/>
          <w:bCs/>
          <w:color w:val="auto"/>
          <w:sz w:val="24"/>
          <w:lang w:val="zh-CN"/>
        </w:rPr>
      </w:pPr>
      <w:r>
        <w:rPr>
          <w:rFonts w:hint="eastAsia" w:ascii="宋体" w:hAnsi="宋体" w:cs="宋体"/>
          <w:bCs/>
          <w:color w:val="auto"/>
          <w:sz w:val="24"/>
          <w:u w:val="single"/>
        </w:rPr>
        <w:t xml:space="preserve"> </w:t>
      </w:r>
      <w:r>
        <w:rPr>
          <w:rFonts w:hint="eastAsia" w:ascii="宋体" w:hAnsi="宋体" w:cs="宋体"/>
          <w:bCs/>
          <w:color w:val="auto"/>
          <w:sz w:val="24"/>
          <w:u w:val="single"/>
          <w:lang w:val="zh-CN"/>
        </w:rPr>
        <w:t>（供应商全称）</w:t>
      </w:r>
      <w:r>
        <w:rPr>
          <w:rFonts w:hint="eastAsia" w:ascii="宋体" w:hAnsi="宋体" w:cs="宋体"/>
          <w:bCs/>
          <w:color w:val="auto"/>
          <w:sz w:val="24"/>
          <w:u w:val="single"/>
        </w:rPr>
        <w:t xml:space="preserve"> </w:t>
      </w:r>
      <w:r>
        <w:rPr>
          <w:rFonts w:hint="eastAsia" w:ascii="宋体" w:hAnsi="宋体" w:cs="宋体"/>
          <w:bCs/>
          <w:color w:val="auto"/>
          <w:sz w:val="24"/>
          <w:lang w:val="zh-CN"/>
        </w:rPr>
        <w:t>法定代表人（或营业执照中单位负责人）</w:t>
      </w:r>
      <w:r>
        <w:rPr>
          <w:rFonts w:hint="eastAsia" w:ascii="宋体" w:hAnsi="宋体" w:cs="宋体"/>
          <w:bCs/>
          <w:color w:val="auto"/>
          <w:sz w:val="24"/>
          <w:u w:val="single"/>
        </w:rPr>
        <w:t xml:space="preserve"> </w:t>
      </w:r>
      <w:r>
        <w:rPr>
          <w:rFonts w:hint="eastAsia" w:ascii="宋体" w:hAnsi="宋体" w:cs="宋体"/>
          <w:bCs/>
          <w:color w:val="auto"/>
          <w:sz w:val="24"/>
          <w:u w:val="single"/>
          <w:lang w:val="zh-CN"/>
        </w:rPr>
        <w:t>（法定代表人或营业执照中单位负责人姓名）</w:t>
      </w:r>
      <w:r>
        <w:rPr>
          <w:rFonts w:hint="eastAsia" w:ascii="宋体" w:hAnsi="宋体" w:cs="宋体"/>
          <w:bCs/>
          <w:color w:val="auto"/>
          <w:sz w:val="24"/>
          <w:u w:val="single"/>
        </w:rPr>
        <w:t xml:space="preserve"> </w:t>
      </w:r>
      <w:r>
        <w:rPr>
          <w:rFonts w:hint="eastAsia" w:ascii="宋体" w:hAnsi="宋体" w:cs="宋体"/>
          <w:bCs/>
          <w:color w:val="auto"/>
          <w:sz w:val="24"/>
          <w:lang w:val="zh-CN"/>
        </w:rPr>
        <w:t>授权</w:t>
      </w:r>
      <w:r>
        <w:rPr>
          <w:rFonts w:hint="eastAsia" w:ascii="宋体" w:hAnsi="宋体" w:cs="宋体"/>
          <w:bCs/>
          <w:color w:val="auto"/>
          <w:sz w:val="24"/>
          <w:u w:val="single"/>
        </w:rPr>
        <w:t xml:space="preserve"> </w:t>
      </w:r>
      <w:r>
        <w:rPr>
          <w:rFonts w:hint="eastAsia" w:ascii="宋体" w:hAnsi="宋体" w:cs="宋体"/>
          <w:bCs/>
          <w:color w:val="auto"/>
          <w:sz w:val="24"/>
          <w:u w:val="single"/>
          <w:lang w:val="zh-CN"/>
        </w:rPr>
        <w:t xml:space="preserve">（授权委托代理人姓名） </w:t>
      </w:r>
      <w:r>
        <w:rPr>
          <w:rFonts w:hint="eastAsia" w:ascii="宋体" w:hAnsi="宋体" w:cs="宋体"/>
          <w:bCs/>
          <w:color w:val="auto"/>
          <w:sz w:val="24"/>
          <w:lang w:val="zh-CN"/>
        </w:rPr>
        <w:t>为授权委托代理人，参加贵单位组织的</w:t>
      </w:r>
      <w:r>
        <w:rPr>
          <w:rFonts w:hint="eastAsia" w:ascii="宋体" w:hAnsi="宋体" w:cs="宋体"/>
          <w:bCs/>
          <w:color w:val="auto"/>
          <w:sz w:val="24"/>
          <w:u w:val="single"/>
        </w:rPr>
        <w:t xml:space="preserve"> </w:t>
      </w:r>
      <w:r>
        <w:rPr>
          <w:rFonts w:hint="eastAsia" w:ascii="宋体" w:hAnsi="宋体" w:cs="宋体"/>
          <w:bCs/>
          <w:color w:val="auto"/>
          <w:sz w:val="24"/>
          <w:u w:val="single"/>
          <w:lang w:eastAsia="zh-CN"/>
        </w:rPr>
        <w:t>椒江区眼镜、喷水织布行业环保过程监控系统运维服务项目</w:t>
      </w:r>
      <w:r>
        <w:rPr>
          <w:rFonts w:hint="eastAsia" w:ascii="宋体" w:hAnsi="宋体" w:cs="宋体"/>
          <w:bCs/>
          <w:color w:val="auto"/>
          <w:sz w:val="24"/>
          <w:u w:val="single"/>
        </w:rPr>
        <w:t xml:space="preserve">  </w:t>
      </w:r>
      <w:r>
        <w:rPr>
          <w:rFonts w:hint="eastAsia" w:ascii="宋体" w:hAnsi="宋体" w:cs="宋体"/>
          <w:bCs/>
          <w:color w:val="auto"/>
          <w:sz w:val="24"/>
          <w:lang w:val="zh-CN"/>
        </w:rPr>
        <w:t>的采购活动，并代表我方全权办理针对上述项目的投标、开标、签约等具体事务和签署相关文件。我方对授权委托代理人的签字事项负全部责任。</w:t>
      </w:r>
    </w:p>
    <w:p w14:paraId="3655893D">
      <w:pPr>
        <w:spacing w:line="360" w:lineRule="auto"/>
        <w:ind w:firstLine="480" w:firstLineChars="200"/>
        <w:rPr>
          <w:rFonts w:ascii="宋体" w:hAnsi="宋体" w:cs="宋体"/>
          <w:bCs/>
          <w:color w:val="auto"/>
          <w:sz w:val="24"/>
          <w:lang w:val="zh-CN"/>
        </w:rPr>
      </w:pPr>
      <w:r>
        <w:rPr>
          <w:rFonts w:hint="eastAsia" w:ascii="宋体" w:hAnsi="宋体" w:cs="宋体"/>
          <w:bCs/>
          <w:color w:val="auto"/>
          <w:sz w:val="24"/>
          <w:lang w:val="zh-CN"/>
        </w:rPr>
        <w:t>在撤销授权的书面通知以前，本授权书一直有效。授权委托代理人在授权委托书有效期内签署的所有文件不因授权的撤销而失效。</w:t>
      </w:r>
    </w:p>
    <w:p w14:paraId="3C623F80">
      <w:pPr>
        <w:spacing w:line="360" w:lineRule="auto"/>
        <w:ind w:firstLine="480" w:firstLineChars="200"/>
        <w:rPr>
          <w:rFonts w:ascii="宋体" w:hAnsi="宋体" w:cs="宋体"/>
          <w:bCs/>
          <w:color w:val="auto"/>
          <w:sz w:val="24"/>
          <w:lang w:val="zh-CN"/>
        </w:rPr>
      </w:pPr>
      <w:r>
        <w:rPr>
          <w:rFonts w:hint="eastAsia" w:ascii="宋体" w:hAnsi="宋体" w:cs="宋体"/>
          <w:bCs/>
          <w:color w:val="auto"/>
          <w:sz w:val="24"/>
          <w:lang w:val="zh-CN"/>
        </w:rPr>
        <w:t>授权委托代理人无转委托权，特此委托。</w:t>
      </w:r>
    </w:p>
    <w:p w14:paraId="58F06EEC">
      <w:pPr>
        <w:spacing w:line="360" w:lineRule="auto"/>
        <w:rPr>
          <w:rFonts w:ascii="宋体" w:hAnsi="宋体" w:cs="宋体"/>
          <w:bCs/>
          <w:color w:val="auto"/>
          <w:sz w:val="24"/>
          <w:lang w:val="zh-CN"/>
        </w:rPr>
      </w:pPr>
      <w:r>
        <w:rPr>
          <w:rFonts w:hint="eastAsia" w:ascii="宋体" w:hAnsi="宋体" w:cs="宋体"/>
          <w:bCs/>
          <w:color w:val="auto"/>
          <w:sz w:val="24"/>
          <w:lang w:val="zh-CN"/>
        </w:rPr>
        <w:t>法定代表人签字或盖章：</w:t>
      </w:r>
    </w:p>
    <w:p w14:paraId="6199F6C3">
      <w:pPr>
        <w:spacing w:line="360" w:lineRule="auto"/>
        <w:rPr>
          <w:rFonts w:ascii="宋体" w:hAnsi="宋体" w:cs="宋体"/>
          <w:bCs/>
          <w:color w:val="auto"/>
          <w:sz w:val="24"/>
          <w:lang w:val="zh-CN"/>
        </w:rPr>
      </w:pPr>
      <w:r>
        <w:rPr>
          <w:rFonts w:hint="eastAsia" w:ascii="宋体" w:hAnsi="宋体" w:cs="宋体"/>
          <w:bCs/>
          <w:color w:val="auto"/>
          <w:sz w:val="24"/>
          <w:lang w:val="zh-CN"/>
        </w:rPr>
        <w:t>供应商全称（公章）：                              日期：</w:t>
      </w:r>
    </w:p>
    <w:p w14:paraId="48DBA5DF">
      <w:pPr>
        <w:spacing w:line="360" w:lineRule="auto"/>
        <w:rPr>
          <w:rFonts w:ascii="宋体" w:hAnsi="宋体" w:cs="宋体"/>
          <w:bCs/>
          <w:color w:val="auto"/>
          <w:sz w:val="24"/>
          <w:lang w:val="zh-CN"/>
        </w:rPr>
      </w:pPr>
    </w:p>
    <w:p w14:paraId="789BF2CB">
      <w:pPr>
        <w:spacing w:line="360" w:lineRule="auto"/>
        <w:rPr>
          <w:b/>
          <w:color w:val="auto"/>
          <w:sz w:val="24"/>
        </w:rPr>
      </w:pPr>
      <w:r>
        <w:rPr>
          <w:rFonts w:hint="eastAsia" w:ascii="宋体"/>
          <w:b/>
          <w:color w:val="auto"/>
          <w:sz w:val="24"/>
        </w:rPr>
        <w:t>附：</w:t>
      </w: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EADE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201F7510">
            <w:pPr>
              <w:spacing w:line="360" w:lineRule="auto"/>
              <w:jc w:val="center"/>
              <w:rPr>
                <w:rFonts w:ascii="宋体"/>
                <w:b/>
                <w:color w:val="auto"/>
                <w:sz w:val="24"/>
              </w:rPr>
            </w:pPr>
            <w:r>
              <w:rPr>
                <w:rFonts w:hint="eastAsia" w:ascii="宋体"/>
                <w:b/>
                <w:color w:val="auto"/>
                <w:sz w:val="24"/>
              </w:rPr>
              <w:t>法定代表身份证复印件粘帖处</w:t>
            </w:r>
          </w:p>
        </w:tc>
      </w:tr>
    </w:tbl>
    <w:p w14:paraId="1171D7F5">
      <w:pPr>
        <w:spacing w:line="360" w:lineRule="auto"/>
        <w:rPr>
          <w:color w:val="auto"/>
          <w:sz w:val="24"/>
        </w:rPr>
      </w:pPr>
      <w:r>
        <w:rPr>
          <w:rFonts w:hint="eastAsia" w:ascii="宋体"/>
          <w:color w:val="auto"/>
          <w:sz w:val="24"/>
        </w:rPr>
        <w:t xml:space="preserve">法定代表人姓名：                                 </w:t>
      </w:r>
    </w:p>
    <w:p w14:paraId="5DF06961">
      <w:pPr>
        <w:spacing w:line="360" w:lineRule="auto"/>
        <w:rPr>
          <w:color w:val="auto"/>
          <w:sz w:val="24"/>
        </w:rPr>
      </w:pPr>
      <w:r>
        <w:rPr>
          <w:rFonts w:hint="eastAsia" w:ascii="宋体"/>
          <w:color w:val="auto"/>
          <w:sz w:val="24"/>
        </w:rPr>
        <w:t>传真：</w:t>
      </w:r>
    </w:p>
    <w:p w14:paraId="2EE5658D">
      <w:pPr>
        <w:spacing w:line="360" w:lineRule="auto"/>
        <w:rPr>
          <w:rFonts w:ascii="宋体"/>
          <w:color w:val="auto"/>
          <w:sz w:val="24"/>
        </w:rPr>
      </w:pPr>
      <w:r>
        <w:rPr>
          <w:rFonts w:hint="eastAsia" w:ascii="宋体"/>
          <w:color w:val="auto"/>
          <w:sz w:val="24"/>
        </w:rPr>
        <w:t>电话：</w:t>
      </w:r>
    </w:p>
    <w:p w14:paraId="27F4E9FD">
      <w:pPr>
        <w:spacing w:line="360" w:lineRule="auto"/>
        <w:rPr>
          <w:color w:val="auto"/>
          <w:sz w:val="24"/>
        </w:rPr>
      </w:pPr>
      <w:r>
        <w:rPr>
          <w:rFonts w:hint="eastAsia" w:ascii="宋体"/>
          <w:color w:val="auto"/>
          <w:sz w:val="24"/>
        </w:rPr>
        <w:t>详细通讯地址：</w:t>
      </w:r>
    </w:p>
    <w:p w14:paraId="499729B2">
      <w:pPr>
        <w:spacing w:line="360" w:lineRule="auto"/>
        <w:rPr>
          <w:rFonts w:ascii="宋体"/>
          <w:color w:val="auto"/>
          <w:sz w:val="24"/>
        </w:rPr>
      </w:pPr>
      <w:r>
        <w:rPr>
          <w:rFonts w:hint="eastAsia" w:ascii="宋体"/>
          <w:color w:val="auto"/>
          <w:sz w:val="24"/>
        </w:rPr>
        <w:t>邮政编码：</w:t>
      </w: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E6C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30C3DECC">
            <w:pPr>
              <w:spacing w:line="360" w:lineRule="auto"/>
              <w:jc w:val="center"/>
              <w:rPr>
                <w:rFonts w:ascii="宋体"/>
                <w:b/>
                <w:color w:val="auto"/>
                <w:sz w:val="24"/>
              </w:rPr>
            </w:pPr>
            <w:r>
              <w:rPr>
                <w:rFonts w:hint="eastAsia" w:ascii="宋体"/>
                <w:b/>
                <w:color w:val="auto"/>
                <w:sz w:val="24"/>
              </w:rPr>
              <w:t>授权委托代理人身份证复印件粘帖处</w:t>
            </w:r>
          </w:p>
        </w:tc>
      </w:tr>
    </w:tbl>
    <w:p w14:paraId="5E9DECA3">
      <w:pPr>
        <w:spacing w:line="360" w:lineRule="auto"/>
        <w:rPr>
          <w:rFonts w:ascii="宋体"/>
          <w:color w:val="auto"/>
          <w:sz w:val="24"/>
        </w:rPr>
      </w:pPr>
    </w:p>
    <w:p w14:paraId="6770B397">
      <w:pPr>
        <w:spacing w:line="360" w:lineRule="auto"/>
        <w:rPr>
          <w:rFonts w:ascii="宋体"/>
          <w:color w:val="auto"/>
          <w:sz w:val="24"/>
        </w:rPr>
      </w:pPr>
      <w:r>
        <w:rPr>
          <w:rFonts w:hint="eastAsia" w:ascii="宋体"/>
          <w:color w:val="auto"/>
          <w:sz w:val="24"/>
        </w:rPr>
        <w:t xml:space="preserve">授权委托代理人姓名：       </w:t>
      </w:r>
    </w:p>
    <w:p w14:paraId="6E8F5D19">
      <w:pPr>
        <w:spacing w:line="360" w:lineRule="auto"/>
        <w:rPr>
          <w:color w:val="auto"/>
          <w:sz w:val="24"/>
        </w:rPr>
      </w:pPr>
      <w:r>
        <w:rPr>
          <w:rFonts w:hint="eastAsia" w:ascii="宋体"/>
          <w:color w:val="auto"/>
          <w:sz w:val="24"/>
        </w:rPr>
        <w:t xml:space="preserve">职务：                           </w:t>
      </w:r>
    </w:p>
    <w:p w14:paraId="2E95470A">
      <w:pPr>
        <w:spacing w:line="360" w:lineRule="auto"/>
        <w:rPr>
          <w:color w:val="auto"/>
          <w:sz w:val="24"/>
        </w:rPr>
      </w:pPr>
      <w:r>
        <w:rPr>
          <w:rFonts w:hint="eastAsia" w:ascii="宋体"/>
          <w:color w:val="auto"/>
          <w:sz w:val="24"/>
        </w:rPr>
        <w:t>传真：</w:t>
      </w:r>
    </w:p>
    <w:p w14:paraId="027CBB67">
      <w:pPr>
        <w:spacing w:line="360" w:lineRule="auto"/>
        <w:rPr>
          <w:rFonts w:ascii="宋体"/>
          <w:color w:val="auto"/>
          <w:sz w:val="24"/>
        </w:rPr>
      </w:pPr>
      <w:r>
        <w:rPr>
          <w:rFonts w:hint="eastAsia" w:ascii="宋体"/>
          <w:color w:val="auto"/>
          <w:sz w:val="24"/>
        </w:rPr>
        <w:t>电话：</w:t>
      </w:r>
    </w:p>
    <w:p w14:paraId="2510332E">
      <w:pPr>
        <w:spacing w:line="360" w:lineRule="auto"/>
        <w:rPr>
          <w:color w:val="auto"/>
          <w:sz w:val="24"/>
        </w:rPr>
      </w:pPr>
      <w:r>
        <w:rPr>
          <w:rFonts w:hint="eastAsia" w:ascii="宋体"/>
          <w:color w:val="auto"/>
          <w:sz w:val="24"/>
        </w:rPr>
        <w:t>详细通讯地址：</w:t>
      </w:r>
    </w:p>
    <w:p w14:paraId="3BE654B0">
      <w:pPr>
        <w:spacing w:line="360" w:lineRule="auto"/>
        <w:rPr>
          <w:rFonts w:hint="eastAsia" w:ascii="宋体"/>
          <w:color w:val="auto"/>
          <w:sz w:val="24"/>
        </w:rPr>
      </w:pPr>
      <w:r>
        <w:rPr>
          <w:rFonts w:hint="eastAsia" w:ascii="宋体"/>
          <w:color w:val="auto"/>
          <w:sz w:val="24"/>
        </w:rPr>
        <w:t>邮政编码：</w:t>
      </w:r>
    </w:p>
    <w:p w14:paraId="45217AF6">
      <w:pPr>
        <w:pStyle w:val="3"/>
        <w:rPr>
          <w:rFonts w:hint="eastAsia" w:ascii="宋体"/>
          <w:color w:val="auto"/>
          <w:sz w:val="24"/>
        </w:rPr>
      </w:pPr>
    </w:p>
    <w:p w14:paraId="0E8452A2">
      <w:pPr>
        <w:pStyle w:val="2"/>
        <w:rPr>
          <w:rFonts w:hint="eastAsia" w:ascii="宋体"/>
          <w:color w:val="auto"/>
          <w:sz w:val="24"/>
        </w:rPr>
      </w:pPr>
    </w:p>
    <w:p w14:paraId="07DD343B"/>
    <w:p w14:paraId="2D63DD14">
      <w:pPr>
        <w:adjustRightInd w:val="0"/>
        <w:snapToGrid w:val="0"/>
        <w:spacing w:line="360" w:lineRule="auto"/>
        <w:ind w:right="480"/>
        <w:rPr>
          <w:rFonts w:ascii="宋体"/>
          <w:b/>
          <w:color w:val="auto"/>
          <w:sz w:val="28"/>
          <w:highlight w:val="none"/>
        </w:rPr>
      </w:pPr>
      <w:r>
        <w:rPr>
          <w:rFonts w:hint="eastAsia" w:ascii="宋体"/>
          <w:b/>
          <w:color w:val="auto"/>
          <w:sz w:val="28"/>
          <w:highlight w:val="none"/>
        </w:rPr>
        <w:t>附件4：</w:t>
      </w:r>
    </w:p>
    <w:p w14:paraId="777B7911">
      <w:pPr>
        <w:jc w:val="center"/>
        <w:rPr>
          <w:rFonts w:ascii="宋体" w:hAnsi="宋体"/>
          <w:b/>
          <w:color w:val="auto"/>
          <w:kern w:val="0"/>
          <w:sz w:val="30"/>
          <w:szCs w:val="30"/>
          <w:highlight w:val="none"/>
        </w:rPr>
      </w:pPr>
    </w:p>
    <w:p w14:paraId="4E307852">
      <w:pPr>
        <w:jc w:val="center"/>
        <w:rPr>
          <w:rFonts w:ascii="宋体" w:hAnsi="宋体"/>
          <w:b/>
          <w:color w:val="auto"/>
          <w:kern w:val="0"/>
          <w:sz w:val="32"/>
          <w:szCs w:val="32"/>
          <w:highlight w:val="none"/>
        </w:rPr>
      </w:pPr>
      <w:r>
        <w:rPr>
          <w:rFonts w:ascii="宋体" w:hAnsi="宋体"/>
          <w:b/>
          <w:color w:val="auto"/>
          <w:kern w:val="0"/>
          <w:sz w:val="30"/>
          <w:szCs w:val="30"/>
          <w:highlight w:val="none"/>
        </w:rPr>
        <w:t>具有良好的商业信誉和健全的财务会计制度的承诺函</w:t>
      </w:r>
    </w:p>
    <w:p w14:paraId="6331CCAB">
      <w:pPr>
        <w:snapToGrid w:val="0"/>
        <w:spacing w:beforeLines="50" w:after="50" w:line="420" w:lineRule="exact"/>
        <w:ind w:firstLine="480" w:firstLineChars="200"/>
        <w:rPr>
          <w:rFonts w:ascii="宋体" w:hAnsi="宋体"/>
          <w:color w:val="auto"/>
          <w:kern w:val="0"/>
          <w:sz w:val="24"/>
          <w:highlight w:val="none"/>
        </w:rPr>
      </w:pPr>
      <w:r>
        <w:rPr>
          <w:rFonts w:hint="eastAsia" w:ascii="宋体" w:hAnsi="宋体"/>
          <w:color w:val="auto"/>
          <w:sz w:val="24"/>
          <w:highlight w:val="none"/>
          <w:u w:val="single"/>
        </w:rPr>
        <w:t>××</w:t>
      </w:r>
      <w:r>
        <w:rPr>
          <w:rFonts w:hint="eastAsia" w:ascii="宋体" w:hAnsi="宋体"/>
          <w:color w:val="auto"/>
          <w:kern w:val="0"/>
          <w:sz w:val="24"/>
          <w:highlight w:val="none"/>
        </w:rPr>
        <w:t>（代理机构/采购代理机构名称）</w:t>
      </w:r>
      <w:r>
        <w:rPr>
          <w:rFonts w:hint="eastAsia" w:ascii="宋体" w:hAnsi="宋体" w:cs="宋体"/>
          <w:color w:val="auto"/>
          <w:kern w:val="0"/>
          <w:sz w:val="24"/>
          <w:highlight w:val="none"/>
        </w:rPr>
        <w:t>：</w:t>
      </w:r>
    </w:p>
    <w:p w14:paraId="0D2D7140">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我单位具有良好的商业信誉和健全的财务会计制度。如本声明失实，我单位自愿承担被取消成交资格等责任。</w:t>
      </w:r>
    </w:p>
    <w:p w14:paraId="0C98FC10">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20FF75B9">
      <w:pPr>
        <w:widowControl/>
        <w:snapToGrid w:val="0"/>
        <w:spacing w:line="360" w:lineRule="auto"/>
        <w:ind w:firstLine="480" w:firstLineChars="200"/>
        <w:jc w:val="left"/>
        <w:rPr>
          <w:rFonts w:ascii="宋体" w:hAnsi="宋体" w:cs="宋体"/>
          <w:color w:val="auto"/>
          <w:kern w:val="0"/>
          <w:sz w:val="24"/>
          <w:highlight w:val="none"/>
        </w:rPr>
      </w:pPr>
    </w:p>
    <w:p w14:paraId="75678C90">
      <w:pPr>
        <w:pStyle w:val="24"/>
        <w:rPr>
          <w:color w:val="auto"/>
          <w:highlight w:val="none"/>
        </w:rPr>
      </w:pPr>
    </w:p>
    <w:p w14:paraId="2705FE91">
      <w:pPr>
        <w:adjustRightInd w:val="0"/>
        <w:snapToGrid w:val="0"/>
        <w:spacing w:line="360" w:lineRule="auto"/>
        <w:ind w:right="480"/>
        <w:rPr>
          <w:rFonts w:ascii="宋体" w:hAnsi="宋体" w:cs="宋体"/>
          <w:b/>
          <w:color w:val="auto"/>
          <w:sz w:val="28"/>
          <w:highlight w:val="none"/>
        </w:rPr>
      </w:pPr>
    </w:p>
    <w:p w14:paraId="145B1EC4">
      <w:pPr>
        <w:spacing w:line="360" w:lineRule="auto"/>
        <w:ind w:left="420"/>
        <w:rPr>
          <w:rFonts w:ascii="宋体" w:hAnsi="宋体"/>
          <w:color w:val="auto"/>
          <w:sz w:val="24"/>
          <w:highlight w:val="none"/>
          <w:u w:val="single"/>
        </w:rPr>
      </w:pPr>
      <w:r>
        <w:rPr>
          <w:rFonts w:ascii="宋体" w:hAnsi="宋体"/>
          <w:color w:val="auto"/>
          <w:sz w:val="24"/>
          <w:highlight w:val="none"/>
        </w:rPr>
        <w:t>磋商供应商名称（公章）：</w:t>
      </w:r>
      <w:r>
        <w:rPr>
          <w:rFonts w:ascii="宋体" w:hAnsi="宋体"/>
          <w:color w:val="auto"/>
          <w:sz w:val="24"/>
          <w:highlight w:val="none"/>
          <w:u w:val="single"/>
        </w:rPr>
        <w:t xml:space="preserve">                      </w:t>
      </w:r>
    </w:p>
    <w:p w14:paraId="54319398">
      <w:pPr>
        <w:spacing w:line="360" w:lineRule="auto"/>
        <w:ind w:left="420"/>
        <w:rPr>
          <w:rFonts w:ascii="宋体" w:hAnsi="宋体"/>
          <w:color w:val="auto"/>
          <w:sz w:val="24"/>
          <w:highlight w:val="none"/>
        </w:rPr>
      </w:pPr>
      <w:r>
        <w:rPr>
          <w:rFonts w:hint="eastAsia" w:ascii="宋体" w:hAnsi="宋体"/>
          <w:color w:val="auto"/>
          <w:sz w:val="24"/>
          <w:highlight w:val="none"/>
          <w:lang w:eastAsia="zh-CN"/>
        </w:rPr>
        <w:t>法定代表人或磋商供应商代表（</w:t>
      </w:r>
      <w:r>
        <w:rPr>
          <w:rFonts w:hint="eastAsia" w:ascii="宋体" w:hAnsi="宋体" w:cs="宋体"/>
          <w:color w:val="auto"/>
          <w:sz w:val="24"/>
          <w:highlight w:val="none"/>
          <w:lang w:eastAsia="zh-CN"/>
        </w:rPr>
        <w:t>签字或盖章</w:t>
      </w:r>
      <w:r>
        <w:rPr>
          <w:rFonts w:hint="eastAsia" w:ascii="宋体" w:hAnsi="宋体"/>
          <w:color w:val="auto"/>
          <w:sz w:val="24"/>
          <w:highlight w:val="none"/>
          <w:lang w:eastAsia="zh-CN"/>
        </w:rPr>
        <w:t>）</w:t>
      </w:r>
      <w:r>
        <w:rPr>
          <w:rFonts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 xml:space="preserve"> </w:t>
      </w:r>
    </w:p>
    <w:p w14:paraId="616449D9">
      <w:pPr>
        <w:spacing w:line="360" w:lineRule="auto"/>
        <w:ind w:left="420"/>
        <w:rPr>
          <w:rFonts w:ascii="宋体" w:hAnsi="宋体"/>
          <w:color w:val="auto"/>
          <w:sz w:val="24"/>
          <w:highlight w:val="none"/>
          <w:u w:val="single"/>
        </w:rPr>
      </w:pPr>
      <w:r>
        <w:rPr>
          <w:rFonts w:ascii="宋体" w:hAnsi="宋体"/>
          <w:color w:val="auto"/>
          <w:sz w:val="24"/>
          <w:highlight w:val="none"/>
        </w:rPr>
        <w:t>职        务：</w:t>
      </w:r>
      <w:r>
        <w:rPr>
          <w:rFonts w:ascii="宋体" w:hAnsi="宋体"/>
          <w:color w:val="auto"/>
          <w:sz w:val="24"/>
          <w:highlight w:val="none"/>
          <w:u w:val="single"/>
        </w:rPr>
        <w:t xml:space="preserve">                            </w:t>
      </w:r>
    </w:p>
    <w:p w14:paraId="11B8034F">
      <w:pPr>
        <w:spacing w:line="360" w:lineRule="auto"/>
        <w:ind w:firstLine="420"/>
        <w:rPr>
          <w:color w:val="auto"/>
          <w:highlight w:val="none"/>
        </w:rPr>
        <w:sectPr>
          <w:pgSz w:w="11906" w:h="16838"/>
          <w:pgMar w:top="1440" w:right="1800" w:bottom="1440" w:left="1800" w:header="851" w:footer="992" w:gutter="0"/>
          <w:pgNumType w:fmt="decimal"/>
          <w:cols w:space="720" w:num="1"/>
          <w:docGrid w:type="lines" w:linePitch="312" w:charSpace="0"/>
        </w:sectPr>
      </w:pPr>
      <w:r>
        <w:rPr>
          <w:rFonts w:ascii="宋体" w:hAnsi="宋体"/>
          <w:color w:val="auto"/>
          <w:sz w:val="24"/>
          <w:highlight w:val="none"/>
        </w:rPr>
        <w:t>日        期：</w:t>
      </w:r>
      <w:r>
        <w:rPr>
          <w:rFonts w:ascii="宋体" w:hAnsi="宋体"/>
          <w:color w:val="auto"/>
          <w:sz w:val="24"/>
          <w:highlight w:val="none"/>
          <w:u w:val="single"/>
        </w:rPr>
        <w:t xml:space="preserve">                            </w:t>
      </w:r>
    </w:p>
    <w:p w14:paraId="76CE4E1E">
      <w:pPr>
        <w:pStyle w:val="19"/>
        <w:spacing w:before="0" w:after="0" w:line="360" w:lineRule="auto"/>
        <w:jc w:val="both"/>
        <w:rPr>
          <w:color w:val="auto"/>
          <w:highlight w:val="none"/>
        </w:rPr>
      </w:pPr>
      <w:r>
        <w:rPr>
          <w:rFonts w:hint="eastAsia" w:ascii="宋体" w:hAnsi="Times New Roman" w:cs="Times New Roman"/>
          <w:bCs w:val="0"/>
          <w:color w:val="auto"/>
          <w:kern w:val="2"/>
          <w:sz w:val="28"/>
          <w:highlight w:val="none"/>
        </w:rPr>
        <w:t>附件5：</w:t>
      </w:r>
    </w:p>
    <w:p w14:paraId="1BC30DC6">
      <w:pPr>
        <w:rPr>
          <w:color w:val="auto"/>
          <w:highlight w:val="none"/>
        </w:rPr>
      </w:pPr>
    </w:p>
    <w:p w14:paraId="27F38999">
      <w:pPr>
        <w:widowControl/>
        <w:adjustRightInd w:val="0"/>
        <w:snapToGrid w:val="0"/>
        <w:jc w:val="center"/>
        <w:rPr>
          <w:rFonts w:ascii="宋体" w:hAnsi="宋体"/>
          <w:b/>
          <w:color w:val="auto"/>
          <w:kern w:val="0"/>
          <w:sz w:val="32"/>
          <w:szCs w:val="32"/>
          <w:highlight w:val="none"/>
        </w:rPr>
      </w:pPr>
      <w:r>
        <w:rPr>
          <w:rFonts w:hint="eastAsia" w:ascii="宋体" w:hAnsi="宋体"/>
          <w:b/>
          <w:color w:val="auto"/>
          <w:kern w:val="0"/>
          <w:sz w:val="30"/>
          <w:szCs w:val="30"/>
          <w:highlight w:val="none"/>
        </w:rPr>
        <w:t>具有</w:t>
      </w:r>
      <w:r>
        <w:rPr>
          <w:rFonts w:ascii="宋体" w:hAnsi="宋体"/>
          <w:b/>
          <w:color w:val="auto"/>
          <w:kern w:val="0"/>
          <w:sz w:val="30"/>
          <w:szCs w:val="30"/>
          <w:highlight w:val="none"/>
        </w:rPr>
        <w:t>依法缴纳税收和</w:t>
      </w:r>
      <w:r>
        <w:rPr>
          <w:rFonts w:hint="eastAsia" w:ascii="宋体" w:hAnsi="宋体"/>
          <w:b/>
          <w:color w:val="auto"/>
          <w:kern w:val="0"/>
          <w:sz w:val="30"/>
          <w:szCs w:val="30"/>
          <w:highlight w:val="none"/>
        </w:rPr>
        <w:t>社会保障资金证明</w:t>
      </w:r>
      <w:r>
        <w:rPr>
          <w:rFonts w:ascii="宋体" w:hAnsi="宋体"/>
          <w:b/>
          <w:color w:val="auto"/>
          <w:kern w:val="0"/>
          <w:sz w:val="30"/>
          <w:szCs w:val="30"/>
          <w:highlight w:val="none"/>
        </w:rPr>
        <w:t>的承诺函</w:t>
      </w:r>
    </w:p>
    <w:p w14:paraId="6F99EB7E">
      <w:pPr>
        <w:snapToGrid w:val="0"/>
        <w:spacing w:beforeLines="50" w:after="50" w:line="420" w:lineRule="exact"/>
        <w:ind w:firstLine="480" w:firstLineChars="200"/>
        <w:rPr>
          <w:rFonts w:ascii="宋体" w:hAnsi="宋体"/>
          <w:color w:val="auto"/>
          <w:kern w:val="0"/>
          <w:sz w:val="24"/>
          <w:highlight w:val="none"/>
        </w:rPr>
      </w:pPr>
      <w:r>
        <w:rPr>
          <w:rFonts w:hint="eastAsia" w:ascii="宋体" w:hAnsi="宋体"/>
          <w:color w:val="auto"/>
          <w:sz w:val="24"/>
          <w:highlight w:val="none"/>
          <w:u w:val="single"/>
        </w:rPr>
        <w:t>××</w:t>
      </w:r>
      <w:r>
        <w:rPr>
          <w:rFonts w:hint="eastAsia" w:ascii="宋体" w:hAnsi="宋体"/>
          <w:color w:val="auto"/>
          <w:kern w:val="0"/>
          <w:sz w:val="24"/>
          <w:highlight w:val="none"/>
        </w:rPr>
        <w:t>（代理机构/采购代理机构名称）</w:t>
      </w:r>
      <w:r>
        <w:rPr>
          <w:rFonts w:hint="eastAsia" w:ascii="宋体" w:hAnsi="宋体" w:cs="宋体"/>
          <w:color w:val="auto"/>
          <w:kern w:val="0"/>
          <w:sz w:val="24"/>
          <w:highlight w:val="none"/>
        </w:rPr>
        <w:t>：</w:t>
      </w:r>
    </w:p>
    <w:p w14:paraId="67DBF50C">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w:t>
      </w:r>
      <w:r>
        <w:rPr>
          <w:rFonts w:hint="eastAsia" w:ascii="宋体" w:hAnsi="宋体"/>
          <w:color w:val="auto"/>
          <w:kern w:val="0"/>
          <w:sz w:val="24"/>
          <w:highlight w:val="none"/>
        </w:rPr>
        <w:t>具有</w:t>
      </w:r>
      <w:r>
        <w:rPr>
          <w:rFonts w:ascii="宋体" w:hAnsi="宋体"/>
          <w:color w:val="auto"/>
          <w:kern w:val="0"/>
          <w:sz w:val="24"/>
          <w:highlight w:val="none"/>
        </w:rPr>
        <w:t>依法缴纳税收和</w:t>
      </w:r>
      <w:r>
        <w:rPr>
          <w:rFonts w:hint="eastAsia" w:ascii="宋体" w:hAnsi="宋体"/>
          <w:color w:val="auto"/>
          <w:kern w:val="0"/>
          <w:sz w:val="24"/>
          <w:highlight w:val="none"/>
        </w:rPr>
        <w:t>社会保障资金</w:t>
      </w:r>
      <w:r>
        <w:rPr>
          <w:rFonts w:ascii="宋体" w:hAnsi="宋体"/>
          <w:color w:val="auto"/>
          <w:kern w:val="0"/>
          <w:sz w:val="24"/>
          <w:highlight w:val="none"/>
        </w:rPr>
        <w:t>。如本声明失实，我单位自愿承担被取消成交资格等责任。</w:t>
      </w:r>
    </w:p>
    <w:p w14:paraId="7DE051DD">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2053DAA7">
      <w:pPr>
        <w:adjustRightInd w:val="0"/>
        <w:snapToGrid w:val="0"/>
        <w:spacing w:line="360" w:lineRule="auto"/>
        <w:rPr>
          <w:rFonts w:ascii="宋体" w:cs="仿宋_GB2312"/>
          <w:color w:val="auto"/>
          <w:kern w:val="0"/>
          <w:sz w:val="24"/>
          <w:highlight w:val="none"/>
          <w:lang w:val="zh-CN"/>
        </w:rPr>
      </w:pPr>
    </w:p>
    <w:p w14:paraId="6EB32156">
      <w:pPr>
        <w:adjustRightInd w:val="0"/>
        <w:snapToGrid w:val="0"/>
        <w:spacing w:line="360" w:lineRule="auto"/>
        <w:rPr>
          <w:rFonts w:ascii="宋体" w:cs="仿宋_GB2312"/>
          <w:color w:val="auto"/>
          <w:kern w:val="0"/>
          <w:sz w:val="24"/>
          <w:highlight w:val="none"/>
          <w:lang w:val="zh-CN"/>
        </w:rPr>
      </w:pPr>
    </w:p>
    <w:p w14:paraId="6E0D67B3">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磋商供应商名称（公章）：</w:t>
      </w:r>
      <w:r>
        <w:rPr>
          <w:rFonts w:hint="eastAsia" w:ascii="宋体" w:hAnsi="宋体" w:cs="宋体"/>
          <w:color w:val="auto"/>
          <w:sz w:val="24"/>
          <w:highlight w:val="none"/>
          <w:u w:val="single"/>
        </w:rPr>
        <w:t xml:space="preserve">                      </w:t>
      </w:r>
    </w:p>
    <w:p w14:paraId="5DAA84F0">
      <w:pPr>
        <w:spacing w:line="360" w:lineRule="auto"/>
        <w:ind w:left="420"/>
        <w:rPr>
          <w:rFonts w:ascii="宋体" w:hAnsi="宋体" w:cs="宋体"/>
          <w:color w:val="auto"/>
          <w:sz w:val="24"/>
          <w:highlight w:val="none"/>
        </w:rPr>
      </w:pPr>
      <w:r>
        <w:rPr>
          <w:rFonts w:hint="eastAsia" w:ascii="宋体" w:hAnsi="宋体" w:cs="宋体"/>
          <w:color w:val="auto"/>
          <w:sz w:val="24"/>
          <w:highlight w:val="none"/>
          <w:lang w:eastAsia="zh-CN"/>
        </w:rPr>
        <w:t>法定代表人或磋商供应商代表（签字或盖章）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A448D81">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0306C0EA">
      <w:pPr>
        <w:spacing w:line="360" w:lineRule="auto"/>
        <w:ind w:left="420"/>
        <w:rPr>
          <w:rFonts w:ascii="宋体" w:hAnsi="宋体" w:cs="宋体"/>
          <w:color w:val="auto"/>
          <w:sz w:val="24"/>
          <w:highlight w:val="none"/>
          <w:u w:val="single"/>
          <w:lang w:val="zh-CN"/>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2F80B23E">
      <w:pPr>
        <w:pStyle w:val="24"/>
        <w:rPr>
          <w:color w:val="auto"/>
          <w:highlight w:val="none"/>
          <w:lang w:val="zh-CN"/>
        </w:rPr>
      </w:pPr>
    </w:p>
    <w:p w14:paraId="74E61DD2">
      <w:pPr>
        <w:rPr>
          <w:color w:val="auto"/>
          <w:highlight w:val="none"/>
          <w:lang w:val="zh-CN"/>
        </w:rPr>
      </w:pPr>
    </w:p>
    <w:p w14:paraId="25EF595C">
      <w:pPr>
        <w:pStyle w:val="25"/>
        <w:tabs>
          <w:tab w:val="left" w:pos="720"/>
          <w:tab w:val="left" w:pos="2160"/>
          <w:tab w:val="left" w:pos="2880"/>
          <w:tab w:val="left" w:pos="3600"/>
          <w:tab w:val="left" w:pos="4320"/>
          <w:tab w:val="left" w:pos="5040"/>
          <w:tab w:val="left" w:pos="5760"/>
          <w:tab w:val="clear" w:pos="0"/>
          <w:tab w:val="clear" w:pos="1365"/>
        </w:tabs>
        <w:spacing w:line="360" w:lineRule="auto"/>
        <w:ind w:left="0" w:leftChars="0" w:firstLine="0" w:firstLineChars="0"/>
        <w:rPr>
          <w:color w:val="auto"/>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hAnsi="宋体"/>
          <w:b/>
          <w:bCs/>
          <w:color w:val="auto"/>
          <w:kern w:val="0"/>
          <w:sz w:val="24"/>
          <w:highlight w:val="none"/>
        </w:rPr>
        <w:t>注：如依法免税的，应提供相应文件证明其依法免税；如依法不需要缴纳社会保障资金的，应提供相应文件证明其依法不需要缴纳社会保障资金</w:t>
      </w:r>
    </w:p>
    <w:p w14:paraId="36B55D3D">
      <w:pPr>
        <w:adjustRightInd w:val="0"/>
        <w:snapToGrid w:val="0"/>
        <w:spacing w:line="360" w:lineRule="auto"/>
        <w:ind w:right="480"/>
        <w:rPr>
          <w:rFonts w:hint="eastAsia" w:ascii="宋体" w:hAnsi="宋体" w:cs="宋体"/>
          <w:b/>
          <w:color w:val="auto"/>
          <w:sz w:val="28"/>
          <w:highlight w:val="none"/>
        </w:rPr>
      </w:pPr>
    </w:p>
    <w:p w14:paraId="2955D981">
      <w:pPr>
        <w:adjustRightInd w:val="0"/>
        <w:snapToGrid w:val="0"/>
        <w:spacing w:line="360" w:lineRule="auto"/>
        <w:ind w:right="480"/>
        <w:rPr>
          <w:rFonts w:ascii="宋体" w:hAnsi="宋体" w:cs="宋体"/>
          <w:b/>
          <w:color w:val="auto"/>
          <w:sz w:val="30"/>
          <w:szCs w:val="30"/>
          <w:highlight w:val="none"/>
        </w:rPr>
      </w:pPr>
      <w:r>
        <w:rPr>
          <w:rFonts w:hint="eastAsia" w:ascii="宋体" w:hAnsi="宋体" w:cs="宋体"/>
          <w:b/>
          <w:color w:val="auto"/>
          <w:sz w:val="28"/>
          <w:highlight w:val="none"/>
        </w:rPr>
        <w:t>附件6：</w:t>
      </w:r>
    </w:p>
    <w:p w14:paraId="1FB7EA7B">
      <w:pPr>
        <w:spacing w:line="360" w:lineRule="auto"/>
        <w:ind w:firstLine="301" w:firstLineChars="100"/>
        <w:jc w:val="center"/>
        <w:rPr>
          <w:rFonts w:ascii="宋体" w:hAnsi="宋体" w:cs="宋体"/>
          <w:b/>
          <w:color w:val="auto"/>
          <w:sz w:val="30"/>
          <w:szCs w:val="30"/>
          <w:highlight w:val="none"/>
        </w:rPr>
      </w:pPr>
      <w:r>
        <w:rPr>
          <w:rFonts w:hint="eastAsia" w:ascii="宋体" w:hAnsi="宋体" w:cs="宋体"/>
          <w:b/>
          <w:color w:val="auto"/>
          <w:sz w:val="30"/>
          <w:szCs w:val="30"/>
          <w:highlight w:val="none"/>
        </w:rPr>
        <w:t>具有履行合同所必需的场地、设备和专业技术能力的承诺函</w:t>
      </w:r>
    </w:p>
    <w:p w14:paraId="08352CA1">
      <w:pPr>
        <w:snapToGrid w:val="0"/>
        <w:spacing w:beforeLines="50" w:after="50" w:line="420" w:lineRule="exact"/>
        <w:ind w:firstLine="480" w:firstLineChars="200"/>
        <w:rPr>
          <w:rFonts w:ascii="宋体" w:hAnsi="宋体" w:cs="宋体"/>
          <w:color w:val="auto"/>
          <w:kern w:val="0"/>
          <w:sz w:val="24"/>
          <w:highlight w:val="none"/>
        </w:rPr>
      </w:pPr>
      <w:r>
        <w:rPr>
          <w:rFonts w:hint="eastAsia" w:ascii="宋体" w:hAnsi="宋体" w:cs="宋体"/>
          <w:color w:val="auto"/>
          <w:sz w:val="24"/>
          <w:highlight w:val="none"/>
          <w:u w:val="single"/>
        </w:rPr>
        <w:t>××</w:t>
      </w:r>
      <w:r>
        <w:rPr>
          <w:rFonts w:hint="eastAsia" w:ascii="宋体" w:hAnsi="宋体" w:cs="宋体"/>
          <w:color w:val="auto"/>
          <w:kern w:val="0"/>
          <w:sz w:val="24"/>
          <w:highlight w:val="none"/>
        </w:rPr>
        <w:t>（代理机构/采购代理机构名称）：</w:t>
      </w:r>
    </w:p>
    <w:p w14:paraId="0C41D38C">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w:t>
      </w:r>
      <w:r>
        <w:rPr>
          <w:rFonts w:hint="eastAsia" w:ascii="宋体" w:hAnsi="宋体" w:cs="宋体"/>
          <w:color w:val="auto"/>
          <w:kern w:val="0"/>
          <w:sz w:val="24"/>
          <w:highlight w:val="none"/>
          <w:u w:val="single"/>
        </w:rPr>
        <w:t xml:space="preserve"> （供应商）</w:t>
      </w:r>
      <w:r>
        <w:rPr>
          <w:rFonts w:hint="eastAsia" w:ascii="宋体" w:hAnsi="宋体" w:cs="宋体"/>
          <w:color w:val="auto"/>
          <w:kern w:val="0"/>
          <w:sz w:val="24"/>
          <w:highlight w:val="none"/>
        </w:rPr>
        <w:t>承诺具有履行合同所必需的场地、设备和专业技术能力。如有虚假，采购人可取消我方任何资格（投标/中标/签订合同），我方对此无任何异议。</w:t>
      </w:r>
    </w:p>
    <w:p w14:paraId="1BA3AED1">
      <w:pPr>
        <w:widowControl/>
        <w:snapToGrid w:val="0"/>
        <w:spacing w:line="360" w:lineRule="auto"/>
        <w:ind w:firstLine="480" w:firstLineChars="200"/>
        <w:jc w:val="left"/>
        <w:rPr>
          <w:rFonts w:ascii="宋体" w:hAnsi="宋体" w:cs="宋体"/>
          <w:color w:val="auto"/>
          <w:kern w:val="0"/>
          <w:sz w:val="24"/>
          <w:highlight w:val="none"/>
        </w:rPr>
      </w:pPr>
    </w:p>
    <w:p w14:paraId="6F19E5B7">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特此承诺！</w:t>
      </w:r>
    </w:p>
    <w:p w14:paraId="0670A136">
      <w:pPr>
        <w:widowControl/>
        <w:snapToGrid w:val="0"/>
        <w:spacing w:line="360" w:lineRule="auto"/>
        <w:ind w:firstLine="480" w:firstLineChars="200"/>
        <w:jc w:val="left"/>
        <w:rPr>
          <w:rFonts w:ascii="宋体" w:hAnsi="宋体" w:cs="宋体"/>
          <w:color w:val="auto"/>
          <w:kern w:val="0"/>
          <w:sz w:val="24"/>
          <w:highlight w:val="none"/>
        </w:rPr>
      </w:pPr>
    </w:p>
    <w:p w14:paraId="515702B1">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磋商供应商名称（公章）：</w:t>
      </w:r>
      <w:r>
        <w:rPr>
          <w:rFonts w:hint="eastAsia" w:ascii="宋体" w:hAnsi="宋体" w:cs="宋体"/>
          <w:color w:val="auto"/>
          <w:sz w:val="24"/>
          <w:highlight w:val="none"/>
          <w:u w:val="single"/>
        </w:rPr>
        <w:t xml:space="preserve">                      </w:t>
      </w:r>
    </w:p>
    <w:p w14:paraId="21A2C49B">
      <w:pPr>
        <w:spacing w:line="360" w:lineRule="auto"/>
        <w:ind w:left="420"/>
        <w:rPr>
          <w:rFonts w:ascii="宋体" w:hAnsi="宋体" w:cs="宋体"/>
          <w:color w:val="auto"/>
          <w:sz w:val="24"/>
          <w:highlight w:val="none"/>
        </w:rPr>
      </w:pPr>
      <w:r>
        <w:rPr>
          <w:rFonts w:hint="eastAsia" w:ascii="宋体" w:hAnsi="宋体" w:cs="宋体"/>
          <w:color w:val="auto"/>
          <w:sz w:val="24"/>
          <w:highlight w:val="none"/>
          <w:lang w:eastAsia="zh-CN"/>
        </w:rPr>
        <w:t>法定代表人或磋商供应商代表（签字或盖章）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49592968">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7C3B3B72">
      <w:pPr>
        <w:spacing w:line="360" w:lineRule="auto"/>
        <w:ind w:firstLine="435"/>
        <w:rPr>
          <w:rFonts w:ascii="宋体" w:hAnsi="宋体" w:cs="宋体"/>
          <w:b/>
          <w:color w:val="auto"/>
          <w:sz w:val="28"/>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7A1E14BC">
      <w:pPr>
        <w:pStyle w:val="43"/>
        <w:shd w:val="clear" w:color="auto" w:fill="FFFFFF"/>
        <w:spacing w:before="0" w:beforeAutospacing="0" w:after="0" w:afterAutospacing="0" w:line="360" w:lineRule="auto"/>
        <w:rPr>
          <w:rFonts w:ascii="宋体" w:hAnsi="宋体" w:cs="宋体"/>
          <w:b/>
          <w:color w:val="auto"/>
          <w:sz w:val="28"/>
          <w:highlight w:val="none"/>
        </w:rPr>
      </w:pPr>
    </w:p>
    <w:p w14:paraId="633CCC7C">
      <w:pPr>
        <w:pStyle w:val="43"/>
        <w:shd w:val="clear" w:color="auto" w:fill="FFFFFF"/>
        <w:spacing w:before="0" w:beforeAutospacing="0" w:after="0" w:afterAutospacing="0" w:line="360" w:lineRule="auto"/>
        <w:rPr>
          <w:rFonts w:ascii="宋体" w:hAnsi="宋体" w:cs="宋体"/>
          <w:b/>
          <w:color w:val="auto"/>
          <w:sz w:val="28"/>
          <w:highlight w:val="none"/>
        </w:rPr>
      </w:pPr>
    </w:p>
    <w:p w14:paraId="7FB07286">
      <w:pPr>
        <w:pStyle w:val="43"/>
        <w:shd w:val="clear" w:color="auto" w:fill="FFFFFF"/>
        <w:spacing w:before="0" w:beforeAutospacing="0" w:after="0" w:afterAutospacing="0" w:line="360" w:lineRule="auto"/>
        <w:rPr>
          <w:rFonts w:ascii="宋体" w:hAnsi="宋体" w:cs="宋体"/>
          <w:b/>
          <w:color w:val="auto"/>
          <w:sz w:val="28"/>
          <w:highlight w:val="none"/>
        </w:rPr>
      </w:pPr>
    </w:p>
    <w:p w14:paraId="62ED8C16">
      <w:pPr>
        <w:pStyle w:val="43"/>
        <w:shd w:val="clear" w:color="auto" w:fill="FFFFFF"/>
        <w:spacing w:before="0" w:beforeAutospacing="0" w:after="0" w:afterAutospacing="0" w:line="360" w:lineRule="auto"/>
        <w:rPr>
          <w:rFonts w:ascii="宋体" w:hAnsi="宋体" w:cs="宋体"/>
          <w:b/>
          <w:color w:val="auto"/>
          <w:sz w:val="28"/>
          <w:highlight w:val="none"/>
        </w:rPr>
      </w:pPr>
    </w:p>
    <w:p w14:paraId="04D3363E">
      <w:pPr>
        <w:pStyle w:val="43"/>
        <w:shd w:val="clear" w:color="auto" w:fill="FFFFFF"/>
        <w:spacing w:before="0" w:beforeAutospacing="0" w:after="0" w:afterAutospacing="0" w:line="360" w:lineRule="auto"/>
        <w:rPr>
          <w:rFonts w:ascii="宋体" w:hAnsi="宋体" w:cs="宋体"/>
          <w:b/>
          <w:color w:val="auto"/>
          <w:sz w:val="28"/>
          <w:highlight w:val="none"/>
        </w:rPr>
      </w:pPr>
    </w:p>
    <w:p w14:paraId="7C9DCB28">
      <w:pPr>
        <w:pStyle w:val="43"/>
        <w:shd w:val="clear" w:color="auto" w:fill="FFFFFF"/>
        <w:spacing w:before="0" w:beforeAutospacing="0" w:after="0" w:afterAutospacing="0" w:line="360" w:lineRule="auto"/>
        <w:rPr>
          <w:rFonts w:ascii="宋体" w:hAnsi="宋体" w:cs="宋体"/>
          <w:b/>
          <w:color w:val="auto"/>
          <w:sz w:val="28"/>
          <w:highlight w:val="none"/>
        </w:rPr>
      </w:pPr>
    </w:p>
    <w:p w14:paraId="5EE99120">
      <w:pPr>
        <w:pStyle w:val="43"/>
        <w:shd w:val="clear" w:color="auto" w:fill="FFFFFF"/>
        <w:spacing w:before="0" w:beforeAutospacing="0" w:after="0" w:afterAutospacing="0" w:line="360" w:lineRule="auto"/>
        <w:rPr>
          <w:rFonts w:ascii="宋体" w:hAnsi="宋体" w:cs="宋体"/>
          <w:b/>
          <w:color w:val="auto"/>
          <w:sz w:val="28"/>
          <w:highlight w:val="none"/>
        </w:rPr>
      </w:pPr>
    </w:p>
    <w:p w14:paraId="22AF1E9F">
      <w:pPr>
        <w:pStyle w:val="43"/>
        <w:shd w:val="clear" w:color="auto" w:fill="FFFFFF"/>
        <w:spacing w:before="0" w:beforeAutospacing="0" w:after="0" w:afterAutospacing="0" w:line="360" w:lineRule="auto"/>
        <w:rPr>
          <w:rFonts w:ascii="宋体" w:hAnsi="宋体" w:cs="宋体"/>
          <w:b/>
          <w:color w:val="auto"/>
          <w:sz w:val="28"/>
          <w:highlight w:val="none"/>
        </w:rPr>
      </w:pPr>
    </w:p>
    <w:p w14:paraId="23DABE7D">
      <w:pPr>
        <w:pStyle w:val="43"/>
        <w:shd w:val="clear" w:color="auto" w:fill="FFFFFF"/>
        <w:spacing w:before="0" w:beforeAutospacing="0" w:after="0" w:afterAutospacing="0" w:line="360" w:lineRule="auto"/>
        <w:rPr>
          <w:rFonts w:ascii="宋体" w:hAnsi="宋体" w:cs="宋体"/>
          <w:b/>
          <w:color w:val="auto"/>
          <w:sz w:val="28"/>
          <w:highlight w:val="none"/>
        </w:rPr>
      </w:pPr>
    </w:p>
    <w:p w14:paraId="56149E72">
      <w:pPr>
        <w:pStyle w:val="43"/>
        <w:shd w:val="clear" w:color="auto" w:fill="FFFFFF"/>
        <w:spacing w:before="0" w:beforeAutospacing="0" w:after="0" w:afterAutospacing="0" w:line="360" w:lineRule="auto"/>
        <w:rPr>
          <w:rFonts w:ascii="宋体" w:hAnsi="宋体" w:cs="宋体"/>
          <w:b/>
          <w:color w:val="auto"/>
          <w:sz w:val="28"/>
          <w:highlight w:val="none"/>
        </w:rPr>
      </w:pPr>
    </w:p>
    <w:p w14:paraId="5C240645">
      <w:pPr>
        <w:pStyle w:val="43"/>
        <w:shd w:val="clear" w:color="auto" w:fill="FFFFFF"/>
        <w:spacing w:before="0" w:beforeAutospacing="0" w:after="0" w:afterAutospacing="0" w:line="360" w:lineRule="auto"/>
        <w:rPr>
          <w:rFonts w:ascii="宋体" w:hAnsi="宋体" w:cs="宋体"/>
          <w:b/>
          <w:color w:val="auto"/>
          <w:sz w:val="28"/>
          <w:highlight w:val="none"/>
        </w:rPr>
      </w:pPr>
    </w:p>
    <w:p w14:paraId="7ECF8BE7">
      <w:pPr>
        <w:pStyle w:val="43"/>
        <w:shd w:val="clear" w:color="auto" w:fill="FFFFFF"/>
        <w:spacing w:before="0" w:beforeAutospacing="0" w:after="0" w:afterAutospacing="0" w:line="360" w:lineRule="auto"/>
        <w:rPr>
          <w:rFonts w:ascii="宋体" w:hAnsi="宋体" w:cs="宋体"/>
          <w:b/>
          <w:color w:val="auto"/>
          <w:sz w:val="28"/>
          <w:highlight w:val="none"/>
        </w:rPr>
      </w:pPr>
    </w:p>
    <w:p w14:paraId="61D50E52">
      <w:pPr>
        <w:pStyle w:val="43"/>
        <w:shd w:val="clear" w:color="auto" w:fill="FFFFFF"/>
        <w:spacing w:before="0" w:beforeAutospacing="0" w:after="0" w:afterAutospacing="0" w:line="360" w:lineRule="auto"/>
        <w:rPr>
          <w:rFonts w:ascii="宋体" w:hAnsi="宋体" w:cs="宋体"/>
          <w:b/>
          <w:color w:val="auto"/>
          <w:sz w:val="28"/>
          <w:highlight w:val="none"/>
        </w:rPr>
      </w:pPr>
    </w:p>
    <w:p w14:paraId="7E5543FB">
      <w:pPr>
        <w:pStyle w:val="43"/>
        <w:shd w:val="clear" w:color="auto" w:fill="FFFFFF"/>
        <w:spacing w:before="0" w:beforeAutospacing="0" w:after="0" w:afterAutospacing="0" w:line="360" w:lineRule="auto"/>
        <w:rPr>
          <w:rFonts w:ascii="宋体" w:hAnsi="宋体" w:cs="宋体"/>
          <w:b/>
          <w:color w:val="auto"/>
          <w:sz w:val="28"/>
          <w:highlight w:val="none"/>
        </w:rPr>
      </w:pPr>
    </w:p>
    <w:p w14:paraId="797A1267">
      <w:pPr>
        <w:pStyle w:val="43"/>
        <w:shd w:val="clear" w:color="auto" w:fill="FFFFFF"/>
        <w:spacing w:before="0" w:beforeAutospacing="0" w:after="0" w:afterAutospacing="0" w:line="360" w:lineRule="auto"/>
        <w:rPr>
          <w:rFonts w:ascii="宋体" w:hAnsi="宋体" w:cs="宋体"/>
          <w:b/>
          <w:color w:val="auto"/>
          <w:sz w:val="28"/>
          <w:highlight w:val="none"/>
        </w:rPr>
      </w:pPr>
    </w:p>
    <w:p w14:paraId="35D35271">
      <w:pPr>
        <w:pStyle w:val="43"/>
        <w:shd w:val="clear" w:color="auto" w:fill="FFFFFF"/>
        <w:spacing w:before="0" w:beforeAutospacing="0" w:after="0" w:afterAutospacing="0" w:line="360" w:lineRule="auto"/>
        <w:rPr>
          <w:rFonts w:ascii="宋体" w:hAnsi="宋体" w:cs="宋体"/>
          <w:b/>
          <w:color w:val="auto"/>
          <w:sz w:val="28"/>
          <w:highlight w:val="none"/>
        </w:rPr>
      </w:pPr>
    </w:p>
    <w:p w14:paraId="6C984257">
      <w:pPr>
        <w:adjustRightInd w:val="0"/>
        <w:snapToGrid w:val="0"/>
        <w:spacing w:line="360" w:lineRule="auto"/>
        <w:ind w:right="480"/>
        <w:rPr>
          <w:rFonts w:ascii="宋体" w:hAnsi="宋体" w:cs="宋体"/>
          <w:b/>
          <w:color w:val="auto"/>
          <w:sz w:val="30"/>
          <w:szCs w:val="30"/>
          <w:highlight w:val="none"/>
        </w:rPr>
      </w:pPr>
      <w:r>
        <w:rPr>
          <w:rFonts w:hint="eastAsia" w:ascii="宋体" w:hAnsi="宋体" w:cs="宋体"/>
          <w:b/>
          <w:color w:val="auto"/>
          <w:sz w:val="28"/>
          <w:highlight w:val="none"/>
        </w:rPr>
        <w:t>附件7：</w:t>
      </w:r>
    </w:p>
    <w:p w14:paraId="63F8C906">
      <w:pPr>
        <w:spacing w:line="360" w:lineRule="auto"/>
        <w:ind w:firstLine="301" w:firstLineChars="100"/>
        <w:jc w:val="center"/>
        <w:rPr>
          <w:rFonts w:ascii="宋体" w:hAnsi="宋体" w:cs="宋体"/>
          <w:b/>
          <w:color w:val="auto"/>
          <w:kern w:val="36"/>
          <w:sz w:val="32"/>
          <w:szCs w:val="28"/>
          <w:highlight w:val="none"/>
        </w:rPr>
      </w:pPr>
      <w:r>
        <w:rPr>
          <w:rFonts w:hint="eastAsia" w:ascii="宋体" w:hAnsi="宋体" w:cs="宋体"/>
          <w:b/>
          <w:color w:val="auto"/>
          <w:sz w:val="30"/>
          <w:szCs w:val="30"/>
          <w:highlight w:val="none"/>
        </w:rPr>
        <w:t>磋商供应商没有失信记录承诺函</w:t>
      </w:r>
    </w:p>
    <w:p w14:paraId="79DD89D5">
      <w:pPr>
        <w:pStyle w:val="8"/>
        <w:tabs>
          <w:tab w:val="left" w:pos="720"/>
          <w:tab w:val="left" w:pos="1260"/>
          <w:tab w:val="left" w:pos="2160"/>
          <w:tab w:val="left" w:pos="2880"/>
          <w:tab w:val="left" w:pos="3600"/>
          <w:tab w:val="left" w:pos="4320"/>
          <w:tab w:val="left" w:pos="5040"/>
          <w:tab w:val="left" w:pos="5760"/>
        </w:tabs>
        <w:rPr>
          <w:rFonts w:ascii="宋体" w:hAnsi="宋体" w:cs="宋体"/>
          <w:color w:val="auto"/>
          <w:highlight w:val="none"/>
        </w:rPr>
      </w:pPr>
    </w:p>
    <w:p w14:paraId="6B40672A">
      <w:pPr>
        <w:spacing w:line="360" w:lineRule="auto"/>
        <w:ind w:firstLine="484" w:firstLineChars="202"/>
        <w:jc w:val="left"/>
        <w:rPr>
          <w:rFonts w:ascii="宋体" w:hAnsi="宋体" w:cs="宋体"/>
          <w:color w:val="auto"/>
          <w:kern w:val="0"/>
          <w:sz w:val="24"/>
          <w:highlight w:val="none"/>
        </w:rPr>
      </w:pPr>
      <w:r>
        <w:rPr>
          <w:rFonts w:hint="eastAsia" w:ascii="宋体" w:hAnsi="宋体" w:cs="宋体"/>
          <w:color w:val="auto"/>
          <w:sz w:val="24"/>
          <w:highlight w:val="none"/>
          <w:u w:val="single"/>
        </w:rPr>
        <w:t>××</w:t>
      </w:r>
      <w:r>
        <w:rPr>
          <w:rFonts w:hint="eastAsia" w:ascii="宋体" w:hAnsi="宋体" w:cs="宋体"/>
          <w:color w:val="auto"/>
          <w:kern w:val="0"/>
          <w:sz w:val="24"/>
          <w:highlight w:val="none"/>
        </w:rPr>
        <w:t xml:space="preserve">（代理机构/采购代理机构名称）： </w:t>
      </w:r>
    </w:p>
    <w:p w14:paraId="5C9AF1E9">
      <w:pPr>
        <w:spacing w:line="360" w:lineRule="auto"/>
        <w:ind w:firstLine="484" w:firstLineChars="202"/>
        <w:jc w:val="left"/>
        <w:rPr>
          <w:rFonts w:ascii="宋体" w:hAnsi="宋体" w:cs="宋体"/>
          <w:color w:val="auto"/>
          <w:kern w:val="0"/>
          <w:sz w:val="24"/>
          <w:highlight w:val="none"/>
        </w:rPr>
      </w:pPr>
      <w:r>
        <w:rPr>
          <w:rFonts w:hint="eastAsia" w:ascii="宋体" w:hAnsi="宋体" w:cs="宋体"/>
          <w:color w:val="auto"/>
          <w:kern w:val="0"/>
          <w:sz w:val="24"/>
          <w:highlight w:val="none"/>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14:paraId="56541130">
      <w:pPr>
        <w:shd w:val="clear" w:color="auto" w:fill="FFFFFF"/>
        <w:snapToGrid w:val="0"/>
        <w:spacing w:line="360" w:lineRule="auto"/>
        <w:rPr>
          <w:rFonts w:ascii="宋体" w:hAnsi="宋体" w:cs="宋体"/>
          <w:color w:val="auto"/>
          <w:sz w:val="24"/>
          <w:highlight w:val="none"/>
        </w:rPr>
      </w:pPr>
    </w:p>
    <w:p w14:paraId="5EB80FF9">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特此承诺！</w:t>
      </w:r>
    </w:p>
    <w:p w14:paraId="1707FC7A">
      <w:pPr>
        <w:pStyle w:val="43"/>
        <w:shd w:val="clear" w:color="auto" w:fill="FFFFFF"/>
        <w:spacing w:before="0" w:beforeAutospacing="0" w:after="0" w:afterAutospacing="0" w:line="360" w:lineRule="auto"/>
        <w:rPr>
          <w:rFonts w:ascii="宋体" w:hAnsi="宋体" w:cs="宋体"/>
          <w:b/>
          <w:color w:val="auto"/>
          <w:sz w:val="28"/>
          <w:highlight w:val="none"/>
        </w:rPr>
      </w:pPr>
    </w:p>
    <w:p w14:paraId="626D169F">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磋商供应商名称（公章）：</w:t>
      </w:r>
      <w:r>
        <w:rPr>
          <w:rFonts w:hint="eastAsia" w:ascii="宋体" w:hAnsi="宋体" w:cs="宋体"/>
          <w:color w:val="auto"/>
          <w:sz w:val="24"/>
          <w:highlight w:val="none"/>
          <w:u w:val="single"/>
        </w:rPr>
        <w:t xml:space="preserve">                      </w:t>
      </w:r>
    </w:p>
    <w:p w14:paraId="0F50F64D">
      <w:pPr>
        <w:spacing w:line="360" w:lineRule="auto"/>
        <w:ind w:left="420"/>
        <w:rPr>
          <w:rFonts w:ascii="宋体" w:hAnsi="宋体" w:cs="宋体"/>
          <w:color w:val="auto"/>
          <w:sz w:val="24"/>
          <w:highlight w:val="none"/>
        </w:rPr>
      </w:pPr>
      <w:r>
        <w:rPr>
          <w:rFonts w:hint="eastAsia" w:ascii="宋体" w:hAnsi="宋体" w:cs="宋体"/>
          <w:color w:val="auto"/>
          <w:sz w:val="24"/>
          <w:highlight w:val="none"/>
          <w:lang w:eastAsia="zh-CN"/>
        </w:rPr>
        <w:t>法定代表人或磋商供应商代表（签字或盖章）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13BCBC98">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3E8DA56C">
      <w:pPr>
        <w:spacing w:line="360" w:lineRule="auto"/>
        <w:ind w:firstLine="435"/>
        <w:rPr>
          <w:rFonts w:hint="eastAsia"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11811643">
      <w:pPr>
        <w:pStyle w:val="24"/>
        <w:rPr>
          <w:rFonts w:hint="eastAsia" w:ascii="宋体" w:hAnsi="宋体" w:cs="宋体"/>
          <w:color w:val="auto"/>
          <w:sz w:val="24"/>
          <w:highlight w:val="none"/>
          <w:u w:val="single"/>
        </w:rPr>
      </w:pPr>
    </w:p>
    <w:p w14:paraId="1FEE2378">
      <w:pPr>
        <w:rPr>
          <w:rFonts w:hint="eastAsia" w:ascii="宋体" w:hAnsi="宋体" w:cs="宋体"/>
          <w:color w:val="auto"/>
          <w:sz w:val="24"/>
          <w:highlight w:val="none"/>
          <w:u w:val="single"/>
        </w:rPr>
      </w:pPr>
    </w:p>
    <w:p w14:paraId="0117E3B0">
      <w:pPr>
        <w:pStyle w:val="24"/>
        <w:rPr>
          <w:rFonts w:hint="eastAsia" w:ascii="宋体" w:hAnsi="宋体" w:cs="宋体"/>
          <w:color w:val="auto"/>
          <w:sz w:val="24"/>
          <w:highlight w:val="none"/>
          <w:u w:val="single"/>
        </w:rPr>
      </w:pPr>
    </w:p>
    <w:p w14:paraId="7B900C4D">
      <w:pPr>
        <w:rPr>
          <w:rFonts w:hint="eastAsia" w:ascii="宋体" w:hAnsi="宋体" w:cs="宋体"/>
          <w:color w:val="auto"/>
          <w:sz w:val="24"/>
          <w:highlight w:val="none"/>
          <w:u w:val="single"/>
        </w:rPr>
      </w:pPr>
    </w:p>
    <w:p w14:paraId="41C61948">
      <w:pPr>
        <w:rPr>
          <w:rFonts w:hint="eastAsia" w:ascii="宋体" w:hAnsi="宋体" w:cs="宋体"/>
          <w:color w:val="auto"/>
          <w:sz w:val="24"/>
          <w:highlight w:val="none"/>
          <w:u w:val="single"/>
        </w:rPr>
      </w:pPr>
    </w:p>
    <w:p w14:paraId="00FC9103">
      <w:pPr>
        <w:rPr>
          <w:rFonts w:hint="eastAsia" w:ascii="宋体" w:hAnsi="宋体" w:cs="宋体"/>
          <w:color w:val="auto"/>
          <w:sz w:val="24"/>
          <w:highlight w:val="none"/>
          <w:u w:val="single"/>
        </w:rPr>
      </w:pPr>
    </w:p>
    <w:p w14:paraId="47280B2B">
      <w:pPr>
        <w:rPr>
          <w:rFonts w:hint="eastAsia" w:ascii="宋体" w:hAnsi="宋体" w:cs="宋体"/>
          <w:color w:val="auto"/>
          <w:sz w:val="24"/>
          <w:highlight w:val="none"/>
          <w:u w:val="single"/>
        </w:rPr>
      </w:pPr>
    </w:p>
    <w:p w14:paraId="7DDB8195">
      <w:pPr>
        <w:rPr>
          <w:rFonts w:hint="eastAsia" w:ascii="宋体" w:hAnsi="宋体" w:cs="宋体"/>
          <w:color w:val="auto"/>
          <w:sz w:val="24"/>
          <w:highlight w:val="none"/>
          <w:u w:val="single"/>
        </w:rPr>
      </w:pPr>
    </w:p>
    <w:p w14:paraId="75DD144D">
      <w:pPr>
        <w:rPr>
          <w:rFonts w:hint="eastAsia" w:ascii="宋体" w:hAnsi="宋体" w:cs="宋体"/>
          <w:color w:val="auto"/>
          <w:sz w:val="24"/>
          <w:highlight w:val="none"/>
          <w:u w:val="single"/>
        </w:rPr>
      </w:pPr>
    </w:p>
    <w:p w14:paraId="47E4E3DA">
      <w:pPr>
        <w:rPr>
          <w:rFonts w:hint="eastAsia" w:ascii="宋体" w:hAnsi="宋体" w:cs="宋体"/>
          <w:color w:val="auto"/>
          <w:sz w:val="24"/>
          <w:highlight w:val="none"/>
          <w:u w:val="single"/>
        </w:rPr>
      </w:pPr>
    </w:p>
    <w:p w14:paraId="79899694">
      <w:pPr>
        <w:rPr>
          <w:rFonts w:hint="eastAsia" w:ascii="宋体" w:hAnsi="宋体" w:cs="宋体"/>
          <w:color w:val="auto"/>
          <w:sz w:val="24"/>
          <w:highlight w:val="none"/>
          <w:u w:val="single"/>
        </w:rPr>
      </w:pPr>
    </w:p>
    <w:p w14:paraId="3E3A995E">
      <w:pPr>
        <w:rPr>
          <w:rFonts w:hint="eastAsia" w:ascii="宋体" w:hAnsi="宋体" w:cs="宋体"/>
          <w:color w:val="auto"/>
          <w:sz w:val="24"/>
          <w:highlight w:val="none"/>
          <w:u w:val="single"/>
        </w:rPr>
      </w:pPr>
    </w:p>
    <w:p w14:paraId="3578046C">
      <w:pPr>
        <w:rPr>
          <w:rFonts w:hint="eastAsia" w:ascii="宋体" w:hAnsi="宋体" w:cs="宋体"/>
          <w:color w:val="auto"/>
          <w:sz w:val="24"/>
          <w:highlight w:val="none"/>
          <w:u w:val="single"/>
        </w:rPr>
      </w:pPr>
    </w:p>
    <w:p w14:paraId="168EBFB6">
      <w:pPr>
        <w:rPr>
          <w:rFonts w:hint="eastAsia" w:ascii="宋体" w:hAnsi="宋体" w:cs="宋体"/>
          <w:color w:val="auto"/>
          <w:sz w:val="24"/>
          <w:highlight w:val="none"/>
          <w:u w:val="single"/>
        </w:rPr>
      </w:pPr>
    </w:p>
    <w:p w14:paraId="1684056C">
      <w:pPr>
        <w:rPr>
          <w:rFonts w:hint="eastAsia" w:ascii="宋体" w:hAnsi="宋体" w:cs="宋体"/>
          <w:color w:val="auto"/>
          <w:sz w:val="24"/>
          <w:highlight w:val="none"/>
          <w:u w:val="single"/>
        </w:rPr>
      </w:pPr>
    </w:p>
    <w:p w14:paraId="6BA0C46A">
      <w:pPr>
        <w:rPr>
          <w:rFonts w:hint="eastAsia" w:ascii="宋体" w:hAnsi="宋体" w:cs="宋体"/>
          <w:color w:val="auto"/>
          <w:sz w:val="24"/>
          <w:highlight w:val="none"/>
          <w:u w:val="single"/>
        </w:rPr>
      </w:pPr>
    </w:p>
    <w:p w14:paraId="5FC67E0F">
      <w:pPr>
        <w:rPr>
          <w:rFonts w:hint="eastAsia" w:ascii="宋体" w:hAnsi="宋体" w:cs="宋体"/>
          <w:color w:val="auto"/>
          <w:sz w:val="24"/>
          <w:highlight w:val="none"/>
          <w:u w:val="single"/>
        </w:rPr>
      </w:pPr>
    </w:p>
    <w:p w14:paraId="1B0A9147">
      <w:pPr>
        <w:rPr>
          <w:rFonts w:hint="eastAsia" w:ascii="宋体" w:hAnsi="宋体" w:cs="宋体"/>
          <w:color w:val="auto"/>
          <w:sz w:val="24"/>
          <w:highlight w:val="none"/>
          <w:u w:val="single"/>
        </w:rPr>
      </w:pPr>
    </w:p>
    <w:p w14:paraId="1070F43B">
      <w:pPr>
        <w:spacing w:line="360" w:lineRule="auto"/>
        <w:rPr>
          <w:rFonts w:ascii="宋体" w:hAnsi="宋体" w:cs="宋体"/>
          <w:b/>
          <w:color w:val="auto"/>
          <w:sz w:val="28"/>
          <w:szCs w:val="28"/>
          <w:lang w:val="zh-CN"/>
        </w:rPr>
      </w:pPr>
    </w:p>
    <w:p w14:paraId="4695A71E">
      <w:pPr>
        <w:spacing w:line="360" w:lineRule="auto"/>
        <w:jc w:val="center"/>
        <w:outlineLvl w:val="0"/>
        <w:rPr>
          <w:rFonts w:hint="eastAsia" w:ascii="宋体" w:hAnsi="宋体" w:cs="宋体"/>
          <w:b/>
          <w:color w:val="auto"/>
          <w:sz w:val="30"/>
          <w:szCs w:val="30"/>
          <w:highlight w:val="none"/>
        </w:rPr>
      </w:pPr>
    </w:p>
    <w:p w14:paraId="7C24D164">
      <w:pPr>
        <w:spacing w:line="360" w:lineRule="auto"/>
        <w:rPr>
          <w:rFonts w:ascii="宋体" w:hAnsi="宋体" w:cs="宋体"/>
          <w:b/>
          <w:color w:val="auto"/>
          <w:sz w:val="28"/>
          <w:szCs w:val="28"/>
          <w:lang w:val="zh-CN"/>
        </w:rPr>
      </w:pPr>
    </w:p>
    <w:p w14:paraId="497B026E">
      <w:pPr>
        <w:pStyle w:val="25"/>
        <w:spacing w:line="240" w:lineRule="auto"/>
        <w:rPr>
          <w:rFonts w:ascii="宋体" w:hAnsi="宋体"/>
          <w:b/>
          <w:color w:val="auto"/>
          <w:sz w:val="28"/>
          <w:szCs w:val="28"/>
          <w:lang w:val="zh-CN"/>
        </w:rPr>
      </w:pPr>
    </w:p>
    <w:p w14:paraId="6AD51D74">
      <w:pPr>
        <w:rPr>
          <w:color w:val="auto"/>
          <w:lang w:val="zh-CN"/>
        </w:rPr>
      </w:pPr>
    </w:p>
    <w:p w14:paraId="22F43284">
      <w:pPr>
        <w:rPr>
          <w:color w:val="auto"/>
        </w:rPr>
      </w:pPr>
    </w:p>
    <w:p w14:paraId="36BCE3AD">
      <w:pPr>
        <w:rPr>
          <w:rFonts w:ascii="宋体" w:hAnsi="宋体" w:cs="宋体"/>
          <w:b/>
          <w:color w:val="auto"/>
          <w:sz w:val="28"/>
          <w:szCs w:val="28"/>
        </w:rPr>
      </w:pPr>
      <w:r>
        <w:rPr>
          <w:rFonts w:hint="eastAsia" w:ascii="宋体" w:hAnsi="宋体" w:cs="宋体"/>
          <w:b/>
          <w:color w:val="auto"/>
          <w:sz w:val="28"/>
          <w:szCs w:val="28"/>
        </w:rPr>
        <w:t xml:space="preserve">附件5 </w:t>
      </w:r>
    </w:p>
    <w:p w14:paraId="728DE693">
      <w:pPr>
        <w:jc w:val="center"/>
        <w:rPr>
          <w:rFonts w:ascii="宋体" w:hAnsi="宋体" w:cs="宋体"/>
          <w:color w:val="auto"/>
          <w:sz w:val="52"/>
          <w:szCs w:val="52"/>
        </w:rPr>
      </w:pPr>
      <w:bookmarkStart w:id="35" w:name="_Toc16825_WPSOffice_Level1"/>
      <w:bookmarkStart w:id="36" w:name="_Toc26389_WPSOffice_Level1"/>
      <w:bookmarkStart w:id="37" w:name="_Toc12331_WPSOffice_Level1"/>
      <w:r>
        <w:rPr>
          <w:rFonts w:hint="eastAsia" w:ascii="宋体" w:hAnsi="宋体" w:cs="宋体"/>
          <w:color w:val="auto"/>
          <w:sz w:val="52"/>
          <w:szCs w:val="52"/>
        </w:rPr>
        <w:t>项目名称</w:t>
      </w:r>
      <w:bookmarkEnd w:id="35"/>
      <w:bookmarkEnd w:id="36"/>
      <w:bookmarkEnd w:id="37"/>
    </w:p>
    <w:p w14:paraId="267CAF33">
      <w:pPr>
        <w:spacing w:before="240" w:beforeLines="100" w:line="360" w:lineRule="auto"/>
        <w:ind w:right="-108"/>
        <w:jc w:val="center"/>
        <w:rPr>
          <w:rFonts w:ascii="宋体" w:hAnsi="宋体" w:cs="宋体"/>
          <w:color w:val="auto"/>
          <w:sz w:val="36"/>
          <w:szCs w:val="36"/>
        </w:rPr>
      </w:pPr>
      <w:r>
        <w:rPr>
          <w:rFonts w:hint="eastAsia" w:ascii="宋体" w:hAnsi="宋体" w:cs="宋体"/>
          <w:color w:val="auto"/>
          <w:sz w:val="36"/>
          <w:szCs w:val="36"/>
        </w:rPr>
        <w:t>项目编号：</w:t>
      </w:r>
    </w:p>
    <w:p w14:paraId="79ED2C31">
      <w:pPr>
        <w:pStyle w:val="25"/>
        <w:rPr>
          <w:rFonts w:ascii="宋体" w:hAnsi="宋体"/>
          <w:color w:val="auto"/>
        </w:rPr>
      </w:pPr>
    </w:p>
    <w:p w14:paraId="55FD0D92">
      <w:pPr>
        <w:jc w:val="center"/>
        <w:rPr>
          <w:rFonts w:hint="eastAsia" w:ascii="宋体" w:hAnsi="宋体" w:cs="宋体"/>
          <w:color w:val="auto"/>
          <w:sz w:val="84"/>
          <w:szCs w:val="84"/>
          <w:lang w:val="en-US" w:eastAsia="zh-CN"/>
        </w:rPr>
      </w:pPr>
      <w:r>
        <w:rPr>
          <w:rFonts w:hint="eastAsia" w:ascii="宋体" w:hAnsi="宋体" w:cs="宋体"/>
          <w:color w:val="auto"/>
          <w:sz w:val="84"/>
          <w:szCs w:val="84"/>
          <w:lang w:val="en-US" w:eastAsia="zh-CN"/>
        </w:rPr>
        <w:t>磋商</w:t>
      </w:r>
    </w:p>
    <w:p w14:paraId="3741E2FB">
      <w:pPr>
        <w:jc w:val="center"/>
        <w:rPr>
          <w:rFonts w:hint="default" w:ascii="宋体" w:hAnsi="宋体" w:eastAsia="宋体" w:cs="宋体"/>
          <w:color w:val="auto"/>
          <w:sz w:val="84"/>
          <w:szCs w:val="84"/>
          <w:lang w:val="en-US" w:eastAsia="zh-CN"/>
        </w:rPr>
      </w:pPr>
      <w:r>
        <w:rPr>
          <w:rFonts w:hint="eastAsia" w:ascii="宋体" w:hAnsi="宋体" w:cs="宋体"/>
          <w:color w:val="auto"/>
          <w:sz w:val="84"/>
          <w:szCs w:val="84"/>
          <w:lang w:val="en-US" w:eastAsia="zh-CN"/>
        </w:rPr>
        <w:t>响应</w:t>
      </w:r>
    </w:p>
    <w:p w14:paraId="67F1D6A9">
      <w:pPr>
        <w:jc w:val="center"/>
        <w:rPr>
          <w:rFonts w:ascii="宋体" w:hAnsi="宋体" w:cs="宋体"/>
          <w:color w:val="auto"/>
          <w:sz w:val="84"/>
          <w:szCs w:val="84"/>
          <w:lang w:val="zh-CN"/>
        </w:rPr>
      </w:pPr>
      <w:r>
        <w:rPr>
          <w:rFonts w:hint="eastAsia" w:ascii="宋体" w:hAnsi="宋体" w:cs="宋体"/>
          <w:color w:val="auto"/>
          <w:sz w:val="84"/>
          <w:szCs w:val="84"/>
          <w:lang w:val="zh-CN"/>
        </w:rPr>
        <w:t>文件</w:t>
      </w:r>
    </w:p>
    <w:p w14:paraId="5CD61A59">
      <w:pPr>
        <w:spacing w:after="100" w:afterAutospacing="1" w:line="360" w:lineRule="auto"/>
        <w:ind w:right="-108"/>
        <w:jc w:val="center"/>
        <w:rPr>
          <w:rFonts w:ascii="宋体" w:hAnsi="宋体" w:cs="宋体"/>
          <w:b/>
          <w:color w:val="auto"/>
          <w:sz w:val="28"/>
          <w:szCs w:val="28"/>
        </w:rPr>
      </w:pPr>
      <w:r>
        <w:rPr>
          <w:rFonts w:hint="eastAsia" w:ascii="宋体" w:hAnsi="宋体" w:cs="宋体"/>
          <w:color w:val="auto"/>
          <w:sz w:val="28"/>
          <w:szCs w:val="28"/>
          <w:lang w:val="zh-CN"/>
        </w:rPr>
        <w:t>（</w:t>
      </w:r>
      <w:r>
        <w:rPr>
          <w:rFonts w:hint="eastAsia" w:ascii="宋体" w:hAnsi="宋体" w:cs="宋体"/>
          <w:bCs/>
          <w:color w:val="auto"/>
          <w:sz w:val="28"/>
          <w:szCs w:val="28"/>
          <w:lang w:val="zh-CN"/>
        </w:rPr>
        <w:t>商务与技术文件</w:t>
      </w:r>
      <w:r>
        <w:rPr>
          <w:rFonts w:hint="eastAsia" w:ascii="宋体" w:hAnsi="宋体" w:cs="宋体"/>
          <w:b/>
          <w:color w:val="auto"/>
          <w:sz w:val="28"/>
          <w:szCs w:val="28"/>
        </w:rPr>
        <w:t>）</w:t>
      </w:r>
    </w:p>
    <w:p w14:paraId="5F583120">
      <w:pPr>
        <w:pStyle w:val="25"/>
        <w:rPr>
          <w:rFonts w:ascii="宋体" w:hAnsi="宋体"/>
          <w:color w:val="auto"/>
        </w:rPr>
      </w:pPr>
    </w:p>
    <w:p w14:paraId="5F50C639">
      <w:pPr>
        <w:spacing w:line="360" w:lineRule="auto"/>
        <w:ind w:right="532" w:firstLine="720" w:firstLineChars="200"/>
        <w:rPr>
          <w:rFonts w:ascii="宋体" w:hAnsi="宋体" w:cs="宋体"/>
          <w:color w:val="auto"/>
          <w:sz w:val="36"/>
          <w:szCs w:val="36"/>
        </w:rPr>
      </w:pPr>
      <w:r>
        <w:rPr>
          <w:rFonts w:hint="eastAsia" w:ascii="宋体" w:hAnsi="宋体" w:cs="宋体"/>
          <w:color w:val="auto"/>
          <w:sz w:val="36"/>
          <w:szCs w:val="36"/>
        </w:rPr>
        <w:t>投标人全称（电子印章）：</w:t>
      </w:r>
    </w:p>
    <w:p w14:paraId="741827C9">
      <w:pPr>
        <w:spacing w:line="360" w:lineRule="auto"/>
        <w:ind w:right="532" w:firstLine="720" w:firstLineChars="200"/>
        <w:rPr>
          <w:rFonts w:ascii="宋体" w:hAnsi="宋体" w:cs="宋体"/>
          <w:color w:val="auto"/>
          <w:sz w:val="36"/>
          <w:szCs w:val="36"/>
        </w:rPr>
      </w:pPr>
      <w:r>
        <w:rPr>
          <w:rFonts w:hint="eastAsia" w:ascii="宋体" w:hAnsi="宋体" w:cs="宋体"/>
          <w:color w:val="auto"/>
          <w:sz w:val="36"/>
          <w:szCs w:val="36"/>
        </w:rPr>
        <w:t>地    址：</w:t>
      </w:r>
    </w:p>
    <w:p w14:paraId="7D02CA32">
      <w:pPr>
        <w:spacing w:line="360" w:lineRule="auto"/>
        <w:ind w:right="532" w:firstLine="720" w:firstLineChars="200"/>
        <w:rPr>
          <w:rFonts w:ascii="宋体" w:hAnsi="宋体" w:cs="宋体"/>
          <w:color w:val="auto"/>
          <w:sz w:val="36"/>
          <w:szCs w:val="36"/>
        </w:rPr>
      </w:pPr>
      <w:r>
        <w:rPr>
          <w:rFonts w:hint="eastAsia" w:ascii="宋体" w:hAnsi="宋体" w:cs="宋体"/>
          <w:color w:val="auto"/>
          <w:sz w:val="36"/>
          <w:szCs w:val="36"/>
        </w:rPr>
        <w:t>时    间：</w:t>
      </w:r>
    </w:p>
    <w:p w14:paraId="35FEE017">
      <w:pPr>
        <w:rPr>
          <w:rFonts w:ascii="宋体" w:hAnsi="宋体" w:cs="宋体"/>
          <w:b/>
          <w:color w:val="auto"/>
          <w:sz w:val="36"/>
          <w:szCs w:val="36"/>
        </w:rPr>
      </w:pPr>
      <w:r>
        <w:rPr>
          <w:rFonts w:hint="eastAsia" w:ascii="宋体" w:hAnsi="宋体" w:cs="宋体"/>
          <w:b/>
          <w:color w:val="auto"/>
          <w:sz w:val="36"/>
          <w:szCs w:val="36"/>
        </w:rPr>
        <w:br w:type="page"/>
      </w:r>
    </w:p>
    <w:p w14:paraId="3CCF4916">
      <w:pPr>
        <w:spacing w:line="360" w:lineRule="auto"/>
        <w:rPr>
          <w:rFonts w:ascii="宋体" w:hAnsi="宋体" w:cs="宋体"/>
          <w:b/>
          <w:color w:val="auto"/>
          <w:sz w:val="28"/>
          <w:szCs w:val="28"/>
          <w:lang w:val="zh-CN"/>
        </w:rPr>
        <w:sectPr>
          <w:headerReference r:id="rId11" w:type="default"/>
          <w:footerReference r:id="rId12" w:type="default"/>
          <w:pgSz w:w="11906" w:h="16838"/>
          <w:pgMar w:top="1474" w:right="1797" w:bottom="1247" w:left="1797" w:header="851" w:footer="851" w:gutter="0"/>
          <w:cols w:space="720" w:num="1"/>
        </w:sectPr>
      </w:pPr>
    </w:p>
    <w:p w14:paraId="39585E88">
      <w:pPr>
        <w:spacing w:line="360" w:lineRule="auto"/>
        <w:jc w:val="center"/>
        <w:rPr>
          <w:rFonts w:ascii="宋体" w:hAnsi="宋体" w:cs="宋体"/>
          <w:color w:val="auto"/>
          <w:sz w:val="28"/>
          <w:szCs w:val="28"/>
        </w:rPr>
      </w:pPr>
      <w:bookmarkStart w:id="38" w:name="_Toc5889_WPSOffice_Level1"/>
      <w:bookmarkStart w:id="39" w:name="_Toc11308_WPSOffice_Level1"/>
      <w:r>
        <w:rPr>
          <w:rFonts w:hint="eastAsia" w:ascii="宋体" w:hAnsi="宋体" w:cs="宋体"/>
          <w:b/>
          <w:bCs/>
          <w:color w:val="auto"/>
          <w:sz w:val="32"/>
          <w:szCs w:val="32"/>
          <w:lang w:val="zh-CN"/>
        </w:rPr>
        <w:t>商务与技术文件</w:t>
      </w:r>
      <w:r>
        <w:rPr>
          <w:rFonts w:hint="eastAsia" w:ascii="宋体" w:hAnsi="宋体" w:cs="宋体"/>
          <w:b/>
          <w:bCs/>
          <w:color w:val="auto"/>
          <w:sz w:val="32"/>
          <w:szCs w:val="32"/>
        </w:rPr>
        <w:t>目录</w:t>
      </w:r>
      <w:bookmarkEnd w:id="38"/>
      <w:bookmarkEnd w:id="39"/>
    </w:p>
    <w:p w14:paraId="0D763F07">
      <w:pPr>
        <w:numPr>
          <w:ilvl w:val="0"/>
          <w:numId w:val="0"/>
        </w:numPr>
        <w:snapToGrid w:val="0"/>
        <w:spacing w:line="360" w:lineRule="auto"/>
        <w:ind w:firstLine="480" w:firstLineChars="200"/>
        <w:jc w:val="left"/>
        <w:rPr>
          <w:color w:val="auto"/>
          <w:lang w:val="zh-CN"/>
        </w:rPr>
      </w:pPr>
      <w:r>
        <w:rPr>
          <w:rFonts w:hint="eastAsia" w:ascii="宋体" w:hAnsi="宋体"/>
          <w:color w:val="auto"/>
          <w:sz w:val="24"/>
          <w:lang w:val="zh-CN"/>
        </w:rPr>
        <w:t>（</w:t>
      </w:r>
      <w:r>
        <w:rPr>
          <w:rFonts w:hint="eastAsia" w:ascii="宋体" w:hAnsi="宋体"/>
          <w:color w:val="auto"/>
          <w:sz w:val="24"/>
          <w:lang w:val="en-US" w:eastAsia="zh-CN"/>
        </w:rPr>
        <w:t>1</w:t>
      </w:r>
      <w:r>
        <w:rPr>
          <w:rFonts w:hint="eastAsia" w:ascii="宋体" w:hAnsi="宋体"/>
          <w:color w:val="auto"/>
          <w:sz w:val="24"/>
          <w:lang w:val="zh-CN"/>
        </w:rPr>
        <w:t>）各投标人根据自身对本项目的解读，按照本招标文件第四章“评标办法及评分标准”中商务技术标的打分内容，并结合第二章“招标需求”，由各投标人自行编制商务技术标；</w:t>
      </w:r>
    </w:p>
    <w:p w14:paraId="1689C2FC">
      <w:pPr>
        <w:numPr>
          <w:ilvl w:val="0"/>
          <w:numId w:val="0"/>
        </w:num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w:t>
      </w:r>
      <w:r>
        <w:rPr>
          <w:rFonts w:hint="eastAsia" w:ascii="宋体" w:hAnsi="宋体"/>
          <w:color w:val="auto"/>
          <w:sz w:val="24"/>
          <w:lang w:val="en-US" w:eastAsia="zh-CN"/>
        </w:rPr>
        <w:t>2</w:t>
      </w:r>
      <w:r>
        <w:rPr>
          <w:rFonts w:hint="eastAsia" w:ascii="宋体" w:hAnsi="宋体"/>
          <w:color w:val="auto"/>
          <w:sz w:val="24"/>
          <w:lang w:val="zh-CN"/>
        </w:rPr>
        <w:t>）供应商基本情况表；</w:t>
      </w:r>
    </w:p>
    <w:p w14:paraId="3AA81FCB">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w:t>
      </w:r>
      <w:r>
        <w:rPr>
          <w:rFonts w:hint="eastAsia" w:ascii="宋体" w:hAnsi="宋体"/>
          <w:color w:val="auto"/>
          <w:sz w:val="24"/>
        </w:rPr>
        <w:t>3</w:t>
      </w:r>
      <w:r>
        <w:rPr>
          <w:rFonts w:hint="eastAsia" w:ascii="宋体" w:hAnsi="宋体"/>
          <w:color w:val="auto"/>
          <w:sz w:val="24"/>
          <w:lang w:val="zh-CN"/>
        </w:rPr>
        <w:t>）需求响应表（格式见附件）</w:t>
      </w:r>
      <w:r>
        <w:rPr>
          <w:rFonts w:hint="eastAsia" w:ascii="宋体" w:hAnsi="宋体"/>
          <w:color w:val="auto"/>
          <w:sz w:val="24"/>
        </w:rPr>
        <w:t>；</w:t>
      </w:r>
    </w:p>
    <w:p w14:paraId="6F1C1616">
      <w:pPr>
        <w:numPr>
          <w:ilvl w:val="0"/>
          <w:numId w:val="0"/>
        </w:numPr>
        <w:snapToGrid w:val="0"/>
        <w:spacing w:line="360" w:lineRule="auto"/>
        <w:ind w:firstLine="480" w:firstLineChars="200"/>
        <w:jc w:val="left"/>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（4）</w:t>
      </w:r>
      <w:r>
        <w:rPr>
          <w:rFonts w:hint="eastAsia" w:ascii="宋体" w:hAnsi="宋体" w:eastAsia="宋体" w:cs="Times New Roman"/>
          <w:color w:val="auto"/>
          <w:sz w:val="24"/>
          <w:lang w:val="en-US" w:eastAsia="zh-CN"/>
        </w:rPr>
        <w:t>投标人</w:t>
      </w:r>
      <w:r>
        <w:rPr>
          <w:rFonts w:hint="eastAsia" w:ascii="宋体" w:hAnsi="宋体" w:eastAsia="宋体" w:cs="Times New Roman"/>
          <w:color w:val="auto"/>
          <w:sz w:val="24"/>
          <w:lang w:val="zh-CN"/>
        </w:rPr>
        <w:t>通过的质量管理和质量保证体系、环保体系、自主创新相关证书、软件著作权证等与本项目相关的认证证书或文件；</w:t>
      </w:r>
    </w:p>
    <w:p w14:paraId="6E4DA018">
      <w:pPr>
        <w:numPr>
          <w:ilvl w:val="0"/>
          <w:numId w:val="0"/>
        </w:numPr>
        <w:snapToGrid w:val="0"/>
        <w:spacing w:line="360" w:lineRule="auto"/>
        <w:ind w:firstLine="480" w:firstLineChars="200"/>
        <w:jc w:val="left"/>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（5）类似项目的成功案例（投标人类似项目实施情况一览表、合同复印件及其相应的发票等</w:t>
      </w:r>
      <w:r>
        <w:rPr>
          <w:rFonts w:hint="eastAsia" w:ascii="宋体" w:hAnsi="宋体" w:eastAsia="宋体" w:cs="Times New Roman"/>
          <w:color w:val="auto"/>
          <w:sz w:val="24"/>
          <w:lang w:val="zh-CN" w:eastAsia="zh-CN"/>
        </w:rPr>
        <w:t>）</w:t>
      </w:r>
      <w:r>
        <w:rPr>
          <w:rFonts w:hint="eastAsia" w:ascii="宋体" w:hAnsi="宋体" w:eastAsia="宋体" w:cs="Times New Roman"/>
          <w:color w:val="auto"/>
          <w:sz w:val="24"/>
          <w:lang w:val="zh-CN"/>
        </w:rPr>
        <w:t>；</w:t>
      </w:r>
    </w:p>
    <w:p w14:paraId="7474BF5E">
      <w:pPr>
        <w:numPr>
          <w:ilvl w:val="0"/>
          <w:numId w:val="0"/>
        </w:numPr>
        <w:snapToGrid w:val="0"/>
        <w:spacing w:line="360" w:lineRule="auto"/>
        <w:ind w:firstLine="480" w:firstLineChars="200"/>
        <w:jc w:val="left"/>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（6）投标人认为需要提供的其他资料（包括可能影响投标人商务与技术文件评分的各类证明材料）。</w:t>
      </w:r>
    </w:p>
    <w:p w14:paraId="0B41AD54">
      <w:pPr>
        <w:numPr>
          <w:ilvl w:val="0"/>
          <w:numId w:val="0"/>
        </w:numPr>
        <w:snapToGrid w:val="0"/>
        <w:spacing w:line="360" w:lineRule="auto"/>
        <w:ind w:firstLine="480" w:firstLineChars="200"/>
        <w:jc w:val="left"/>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（7）售后服务描述及承诺：</w:t>
      </w:r>
    </w:p>
    <w:p w14:paraId="2BC6E207">
      <w:pPr>
        <w:numPr>
          <w:ilvl w:val="0"/>
          <w:numId w:val="0"/>
        </w:numPr>
        <w:snapToGrid w:val="0"/>
        <w:spacing w:line="360" w:lineRule="auto"/>
        <w:jc w:val="left"/>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A.距采购人最近的服务网点详细介绍（包括地理位置、资质资格、技术力量、工作业绩、服务内容及联系电话等）。</w:t>
      </w:r>
    </w:p>
    <w:p w14:paraId="58D454BF">
      <w:pPr>
        <w:numPr>
          <w:ilvl w:val="0"/>
          <w:numId w:val="0"/>
        </w:numPr>
        <w:snapToGrid w:val="0"/>
        <w:spacing w:line="360" w:lineRule="auto"/>
        <w:jc w:val="left"/>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B.针对本项目的售后服务措施及承诺（售后技术服务方案、人员配备、</w:t>
      </w:r>
      <w:r>
        <w:rPr>
          <w:rFonts w:hint="eastAsia" w:ascii="宋体" w:hAnsi="宋体" w:eastAsia="宋体" w:cs="Times New Roman"/>
          <w:color w:val="auto"/>
          <w:sz w:val="24"/>
          <w:lang w:val="en-US" w:eastAsia="zh-CN"/>
        </w:rPr>
        <w:t>服务</w:t>
      </w:r>
      <w:r>
        <w:rPr>
          <w:rFonts w:hint="eastAsia" w:ascii="宋体" w:hAnsi="宋体" w:eastAsia="宋体" w:cs="Times New Roman"/>
          <w:color w:val="auto"/>
          <w:sz w:val="24"/>
          <w:lang w:val="zh-CN"/>
        </w:rPr>
        <w:t>响应时间、技术培训方案等）。以上所有要求提供的相关证明材料均需按评标办法要求提供。</w:t>
      </w:r>
    </w:p>
    <w:p w14:paraId="7A854E80">
      <w:pPr>
        <w:numPr>
          <w:ilvl w:val="0"/>
          <w:numId w:val="0"/>
        </w:numPr>
        <w:snapToGrid w:val="0"/>
        <w:spacing w:line="360" w:lineRule="auto"/>
        <w:jc w:val="left"/>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w:t>
      </w:r>
      <w:r>
        <w:rPr>
          <w:rFonts w:hint="eastAsia" w:ascii="宋体" w:hAnsi="宋体" w:eastAsia="宋体" w:cs="Times New Roman"/>
          <w:color w:val="auto"/>
          <w:sz w:val="24"/>
          <w:lang w:val="en-US" w:eastAsia="zh-CN"/>
        </w:rPr>
        <w:t>8</w:t>
      </w:r>
      <w:r>
        <w:rPr>
          <w:rFonts w:hint="eastAsia" w:ascii="宋体" w:hAnsi="宋体" w:eastAsia="宋体" w:cs="Times New Roman"/>
          <w:color w:val="auto"/>
          <w:sz w:val="24"/>
          <w:lang w:val="zh-CN"/>
        </w:rPr>
        <w:t>）商务技术响应文件内容缺项的，根据评标办法规定，该项得0分。</w:t>
      </w:r>
    </w:p>
    <w:p w14:paraId="78BA4754">
      <w:pPr>
        <w:pStyle w:val="4"/>
        <w:rPr>
          <w:color w:val="auto"/>
        </w:rPr>
      </w:pPr>
    </w:p>
    <w:p w14:paraId="6CD77E99">
      <w:pPr>
        <w:rPr>
          <w:rFonts w:hint="eastAsia" w:ascii="宋体" w:hAnsi="宋体" w:cs="宋体"/>
          <w:b/>
          <w:color w:val="auto"/>
          <w:sz w:val="28"/>
          <w:szCs w:val="28"/>
          <w:lang w:val="zh-CN"/>
        </w:rPr>
      </w:pPr>
    </w:p>
    <w:p w14:paraId="2831279B">
      <w:pPr>
        <w:rPr>
          <w:rFonts w:hint="eastAsia" w:ascii="宋体" w:hAnsi="宋体" w:cs="宋体"/>
          <w:b/>
          <w:color w:val="auto"/>
          <w:sz w:val="28"/>
          <w:szCs w:val="28"/>
          <w:lang w:val="zh-CN"/>
        </w:rPr>
      </w:pPr>
    </w:p>
    <w:p w14:paraId="40E94365">
      <w:pPr>
        <w:rPr>
          <w:rFonts w:hint="eastAsia" w:ascii="宋体" w:hAnsi="宋体" w:cs="宋体"/>
          <w:b/>
          <w:color w:val="auto"/>
          <w:sz w:val="28"/>
          <w:szCs w:val="28"/>
          <w:lang w:val="zh-CN"/>
        </w:rPr>
      </w:pPr>
    </w:p>
    <w:p w14:paraId="4C9ADA12">
      <w:pPr>
        <w:rPr>
          <w:rFonts w:hint="eastAsia" w:ascii="宋体" w:hAnsi="宋体" w:cs="宋体"/>
          <w:b/>
          <w:color w:val="auto"/>
          <w:sz w:val="28"/>
          <w:szCs w:val="28"/>
          <w:lang w:val="zh-CN"/>
        </w:rPr>
      </w:pPr>
    </w:p>
    <w:p w14:paraId="2C90C7AE">
      <w:pPr>
        <w:rPr>
          <w:rFonts w:hint="eastAsia" w:ascii="宋体" w:hAnsi="宋体" w:cs="宋体"/>
          <w:b/>
          <w:color w:val="auto"/>
          <w:sz w:val="28"/>
          <w:szCs w:val="28"/>
          <w:lang w:val="zh-CN"/>
        </w:rPr>
      </w:pPr>
    </w:p>
    <w:p w14:paraId="5D9FC370">
      <w:pPr>
        <w:rPr>
          <w:rFonts w:hint="eastAsia" w:ascii="宋体" w:hAnsi="宋体" w:cs="宋体"/>
          <w:b/>
          <w:color w:val="auto"/>
          <w:sz w:val="28"/>
          <w:szCs w:val="28"/>
          <w:lang w:val="zh-CN"/>
        </w:rPr>
      </w:pPr>
    </w:p>
    <w:p w14:paraId="06761F1E">
      <w:pPr>
        <w:rPr>
          <w:rFonts w:hint="eastAsia" w:ascii="宋体" w:hAnsi="宋体" w:cs="宋体"/>
          <w:b/>
          <w:color w:val="auto"/>
          <w:sz w:val="28"/>
          <w:szCs w:val="28"/>
          <w:lang w:val="zh-CN"/>
        </w:rPr>
      </w:pPr>
    </w:p>
    <w:p w14:paraId="6DBDD92B">
      <w:pPr>
        <w:rPr>
          <w:rFonts w:hint="eastAsia" w:ascii="宋体" w:hAnsi="宋体" w:cs="宋体"/>
          <w:b/>
          <w:color w:val="auto"/>
          <w:sz w:val="28"/>
          <w:szCs w:val="28"/>
          <w:lang w:val="zh-CN"/>
        </w:rPr>
      </w:pPr>
    </w:p>
    <w:p w14:paraId="19567DC6">
      <w:pPr>
        <w:rPr>
          <w:rFonts w:hint="eastAsia" w:ascii="宋体" w:hAnsi="宋体" w:cs="宋体"/>
          <w:b/>
          <w:color w:val="auto"/>
          <w:sz w:val="28"/>
          <w:szCs w:val="28"/>
          <w:lang w:val="zh-CN"/>
        </w:rPr>
      </w:pPr>
    </w:p>
    <w:p w14:paraId="6FE9C036">
      <w:pPr>
        <w:rPr>
          <w:rFonts w:hint="eastAsia" w:ascii="宋体" w:hAnsi="宋体" w:cs="宋体"/>
          <w:b/>
          <w:color w:val="auto"/>
          <w:sz w:val="28"/>
          <w:szCs w:val="28"/>
          <w:lang w:val="zh-CN"/>
        </w:rPr>
      </w:pPr>
    </w:p>
    <w:p w14:paraId="1DF0F6EC">
      <w:pPr>
        <w:rPr>
          <w:rFonts w:hint="eastAsia" w:ascii="宋体" w:hAnsi="宋体" w:cs="宋体"/>
          <w:b/>
          <w:color w:val="auto"/>
          <w:sz w:val="28"/>
          <w:szCs w:val="28"/>
          <w:lang w:val="zh-CN"/>
        </w:rPr>
      </w:pPr>
    </w:p>
    <w:p w14:paraId="5D92379D">
      <w:pPr>
        <w:pStyle w:val="3"/>
        <w:rPr>
          <w:rFonts w:hint="eastAsia" w:ascii="宋体" w:hAnsi="宋体" w:cs="宋体"/>
          <w:b/>
          <w:color w:val="auto"/>
          <w:sz w:val="28"/>
          <w:szCs w:val="28"/>
          <w:lang w:val="zh-CN"/>
        </w:rPr>
      </w:pPr>
    </w:p>
    <w:p w14:paraId="7BB3FD91">
      <w:pPr>
        <w:pStyle w:val="2"/>
        <w:rPr>
          <w:rFonts w:hint="eastAsia"/>
          <w:lang w:val="zh-CN"/>
        </w:rPr>
      </w:pPr>
    </w:p>
    <w:p w14:paraId="7A087227">
      <w:pPr>
        <w:pStyle w:val="2"/>
        <w:ind w:left="0" w:leftChars="0" w:firstLine="0" w:firstLineChars="0"/>
        <w:rPr>
          <w:rFonts w:hint="eastAsia"/>
          <w:lang w:val="zh-CN"/>
        </w:rPr>
      </w:pPr>
    </w:p>
    <w:p w14:paraId="5A27BB32">
      <w:pPr>
        <w:rPr>
          <w:rFonts w:ascii="宋体" w:hAnsi="宋体" w:cs="宋体"/>
          <w:b/>
          <w:color w:val="auto"/>
          <w:sz w:val="28"/>
          <w:szCs w:val="28"/>
          <w:lang w:val="zh-CN"/>
        </w:rPr>
      </w:pPr>
      <w:r>
        <w:rPr>
          <w:rFonts w:hint="eastAsia" w:ascii="宋体" w:hAnsi="宋体" w:cs="宋体"/>
          <w:b/>
          <w:color w:val="auto"/>
          <w:sz w:val="28"/>
          <w:szCs w:val="28"/>
          <w:lang w:val="zh-CN"/>
        </w:rPr>
        <w:t>附件</w:t>
      </w:r>
      <w:r>
        <w:rPr>
          <w:rFonts w:hint="eastAsia" w:ascii="宋体" w:hAnsi="宋体" w:cs="宋体"/>
          <w:b/>
          <w:color w:val="auto"/>
          <w:sz w:val="28"/>
          <w:szCs w:val="28"/>
        </w:rPr>
        <w:t>5</w:t>
      </w:r>
    </w:p>
    <w:p w14:paraId="0F1BA54D">
      <w:pPr>
        <w:jc w:val="center"/>
        <w:rPr>
          <w:rFonts w:ascii="宋体" w:hAnsi="宋体" w:cs="宋体"/>
          <w:b/>
          <w:color w:val="auto"/>
          <w:sz w:val="28"/>
          <w:szCs w:val="28"/>
          <w:lang w:val="zh-CN"/>
        </w:rPr>
      </w:pPr>
      <w:r>
        <w:rPr>
          <w:rFonts w:hint="eastAsia" w:ascii="宋体" w:hAnsi="宋体" w:cs="宋体"/>
          <w:b/>
          <w:color w:val="auto"/>
          <w:sz w:val="28"/>
          <w:szCs w:val="28"/>
          <w:lang w:val="zh-CN"/>
        </w:rPr>
        <w:t>供应商基本情况表</w:t>
      </w:r>
    </w:p>
    <w:tbl>
      <w:tblPr>
        <w:tblStyle w:val="26"/>
        <w:tblW w:w="8951"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701"/>
        <w:gridCol w:w="852"/>
        <w:gridCol w:w="58"/>
        <w:gridCol w:w="1163"/>
        <w:gridCol w:w="112"/>
        <w:gridCol w:w="1093"/>
        <w:gridCol w:w="325"/>
        <w:gridCol w:w="1276"/>
        <w:gridCol w:w="400"/>
        <w:gridCol w:w="1218"/>
        <w:gridCol w:w="933"/>
      </w:tblGrid>
      <w:tr w14:paraId="17CF8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20" w:type="dxa"/>
          </w:tcPr>
          <w:p w14:paraId="60E5835A">
            <w:pPr>
              <w:pStyle w:val="43"/>
              <w:spacing w:before="0" w:beforeAutospacing="0" w:after="0" w:afterAutospacing="0"/>
              <w:rPr>
                <w:bCs/>
                <w:color w:val="auto"/>
                <w:sz w:val="21"/>
                <w:szCs w:val="21"/>
              </w:rPr>
            </w:pPr>
            <w:r>
              <w:rPr>
                <w:rFonts w:hint="eastAsia"/>
                <w:bCs/>
                <w:color w:val="auto"/>
                <w:spacing w:val="27"/>
                <w:sz w:val="21"/>
                <w:szCs w:val="21"/>
              </w:rPr>
              <w:t>企业名称</w:t>
            </w:r>
          </w:p>
        </w:tc>
        <w:tc>
          <w:tcPr>
            <w:tcW w:w="3979" w:type="dxa"/>
            <w:gridSpan w:val="6"/>
          </w:tcPr>
          <w:p w14:paraId="7B37C620">
            <w:pPr>
              <w:pStyle w:val="43"/>
              <w:spacing w:before="0" w:beforeAutospacing="0" w:after="0" w:afterAutospacing="0"/>
              <w:rPr>
                <w:bCs/>
                <w:color w:val="auto"/>
                <w:sz w:val="21"/>
                <w:szCs w:val="21"/>
              </w:rPr>
            </w:pPr>
          </w:p>
        </w:tc>
        <w:tc>
          <w:tcPr>
            <w:tcW w:w="2001" w:type="dxa"/>
            <w:gridSpan w:val="3"/>
          </w:tcPr>
          <w:p w14:paraId="5A57DAE6">
            <w:pPr>
              <w:pStyle w:val="43"/>
              <w:spacing w:before="0" w:beforeAutospacing="0" w:after="0" w:afterAutospacing="0"/>
              <w:rPr>
                <w:bCs/>
                <w:color w:val="auto"/>
                <w:sz w:val="21"/>
                <w:szCs w:val="21"/>
              </w:rPr>
            </w:pPr>
            <w:r>
              <w:rPr>
                <w:rFonts w:hint="eastAsia"/>
                <w:bCs/>
                <w:color w:val="auto"/>
                <w:spacing w:val="16"/>
                <w:sz w:val="21"/>
                <w:szCs w:val="21"/>
              </w:rPr>
              <w:t>法人代表</w:t>
            </w:r>
          </w:p>
        </w:tc>
        <w:tc>
          <w:tcPr>
            <w:tcW w:w="2151" w:type="dxa"/>
            <w:gridSpan w:val="2"/>
          </w:tcPr>
          <w:p w14:paraId="2BB644B5">
            <w:pPr>
              <w:pStyle w:val="43"/>
              <w:spacing w:before="0" w:beforeAutospacing="0" w:after="0" w:afterAutospacing="0"/>
              <w:rPr>
                <w:bCs/>
                <w:color w:val="auto"/>
                <w:sz w:val="21"/>
                <w:szCs w:val="21"/>
              </w:rPr>
            </w:pPr>
          </w:p>
        </w:tc>
      </w:tr>
      <w:tr w14:paraId="0A665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20" w:type="dxa"/>
          </w:tcPr>
          <w:p w14:paraId="7110AD32">
            <w:pPr>
              <w:pStyle w:val="43"/>
              <w:spacing w:before="0" w:beforeAutospacing="0" w:after="0" w:afterAutospacing="0"/>
              <w:rPr>
                <w:bCs/>
                <w:color w:val="auto"/>
                <w:spacing w:val="16"/>
                <w:sz w:val="21"/>
                <w:szCs w:val="21"/>
              </w:rPr>
            </w:pPr>
            <w:r>
              <w:rPr>
                <w:rFonts w:hint="eastAsia"/>
                <w:bCs/>
                <w:color w:val="auto"/>
                <w:spacing w:val="27"/>
                <w:sz w:val="21"/>
                <w:szCs w:val="21"/>
              </w:rPr>
              <w:t>地址</w:t>
            </w:r>
          </w:p>
        </w:tc>
        <w:tc>
          <w:tcPr>
            <w:tcW w:w="3979" w:type="dxa"/>
            <w:gridSpan w:val="6"/>
            <w:tcBorders>
              <w:bottom w:val="single" w:color="auto" w:sz="4" w:space="0"/>
            </w:tcBorders>
          </w:tcPr>
          <w:p w14:paraId="29B23A47">
            <w:pPr>
              <w:pStyle w:val="43"/>
              <w:spacing w:before="0" w:beforeAutospacing="0" w:after="0" w:afterAutospacing="0"/>
              <w:rPr>
                <w:bCs/>
                <w:color w:val="auto"/>
                <w:spacing w:val="16"/>
                <w:sz w:val="21"/>
                <w:szCs w:val="21"/>
              </w:rPr>
            </w:pPr>
          </w:p>
        </w:tc>
        <w:tc>
          <w:tcPr>
            <w:tcW w:w="2001" w:type="dxa"/>
            <w:gridSpan w:val="3"/>
          </w:tcPr>
          <w:p w14:paraId="2E1650F7">
            <w:pPr>
              <w:pStyle w:val="43"/>
              <w:spacing w:before="0" w:beforeAutospacing="0" w:after="0" w:afterAutospacing="0"/>
              <w:rPr>
                <w:bCs/>
                <w:color w:val="auto"/>
                <w:spacing w:val="16"/>
                <w:sz w:val="21"/>
                <w:szCs w:val="21"/>
              </w:rPr>
            </w:pPr>
            <w:r>
              <w:rPr>
                <w:rFonts w:hint="eastAsia"/>
                <w:bCs/>
                <w:color w:val="auto"/>
                <w:spacing w:val="16"/>
                <w:sz w:val="21"/>
                <w:szCs w:val="21"/>
              </w:rPr>
              <w:t>企业性质</w:t>
            </w:r>
          </w:p>
        </w:tc>
        <w:tc>
          <w:tcPr>
            <w:tcW w:w="2151" w:type="dxa"/>
            <w:gridSpan w:val="2"/>
          </w:tcPr>
          <w:p w14:paraId="16007502">
            <w:pPr>
              <w:pStyle w:val="43"/>
              <w:spacing w:before="0" w:beforeAutospacing="0" w:after="0" w:afterAutospacing="0"/>
              <w:rPr>
                <w:bCs/>
                <w:color w:val="auto"/>
                <w:spacing w:val="16"/>
                <w:sz w:val="21"/>
                <w:szCs w:val="21"/>
              </w:rPr>
            </w:pPr>
          </w:p>
        </w:tc>
      </w:tr>
      <w:tr w14:paraId="0CF82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20" w:type="dxa"/>
            <w:tcBorders>
              <w:bottom w:val="single" w:color="auto" w:sz="4" w:space="0"/>
            </w:tcBorders>
          </w:tcPr>
          <w:p w14:paraId="022409E9">
            <w:pPr>
              <w:pStyle w:val="43"/>
              <w:spacing w:before="0" w:beforeAutospacing="0" w:after="0" w:afterAutospacing="0"/>
              <w:rPr>
                <w:bCs/>
                <w:color w:val="auto"/>
                <w:spacing w:val="16"/>
                <w:sz w:val="21"/>
                <w:szCs w:val="21"/>
              </w:rPr>
            </w:pPr>
            <w:r>
              <w:rPr>
                <w:rFonts w:hint="eastAsia"/>
                <w:bCs/>
                <w:color w:val="auto"/>
                <w:spacing w:val="27"/>
                <w:sz w:val="21"/>
                <w:szCs w:val="21"/>
              </w:rPr>
              <w:t>股东姓名</w:t>
            </w:r>
          </w:p>
        </w:tc>
        <w:tc>
          <w:tcPr>
            <w:tcW w:w="701" w:type="dxa"/>
            <w:tcBorders>
              <w:bottom w:val="single" w:color="auto" w:sz="4" w:space="0"/>
            </w:tcBorders>
          </w:tcPr>
          <w:p w14:paraId="5F6DE0E7">
            <w:pPr>
              <w:pStyle w:val="43"/>
              <w:spacing w:before="0" w:beforeAutospacing="0" w:after="0" w:afterAutospacing="0"/>
              <w:rPr>
                <w:bCs/>
                <w:color w:val="auto"/>
                <w:spacing w:val="16"/>
                <w:sz w:val="21"/>
                <w:szCs w:val="21"/>
              </w:rPr>
            </w:pPr>
          </w:p>
        </w:tc>
        <w:tc>
          <w:tcPr>
            <w:tcW w:w="910" w:type="dxa"/>
            <w:gridSpan w:val="2"/>
            <w:tcBorders>
              <w:bottom w:val="single" w:color="auto" w:sz="4" w:space="0"/>
            </w:tcBorders>
          </w:tcPr>
          <w:p w14:paraId="309B1F20">
            <w:pPr>
              <w:pStyle w:val="43"/>
              <w:spacing w:before="0" w:beforeAutospacing="0" w:after="0" w:afterAutospacing="0"/>
              <w:rPr>
                <w:bCs/>
                <w:color w:val="auto"/>
                <w:spacing w:val="16"/>
                <w:sz w:val="21"/>
                <w:szCs w:val="21"/>
              </w:rPr>
            </w:pPr>
            <w:r>
              <w:rPr>
                <w:rFonts w:hint="eastAsia"/>
                <w:bCs/>
                <w:color w:val="auto"/>
                <w:spacing w:val="16"/>
                <w:sz w:val="21"/>
                <w:szCs w:val="21"/>
              </w:rPr>
              <w:t>股权结构（%）</w:t>
            </w:r>
          </w:p>
        </w:tc>
        <w:tc>
          <w:tcPr>
            <w:tcW w:w="2368" w:type="dxa"/>
            <w:gridSpan w:val="3"/>
            <w:tcBorders>
              <w:bottom w:val="single" w:color="auto" w:sz="4" w:space="0"/>
            </w:tcBorders>
          </w:tcPr>
          <w:p w14:paraId="6A7CF576">
            <w:pPr>
              <w:rPr>
                <w:rFonts w:ascii="宋体" w:hAnsi="宋体" w:cs="宋体"/>
                <w:bCs/>
                <w:color w:val="auto"/>
                <w:spacing w:val="16"/>
                <w:szCs w:val="21"/>
              </w:rPr>
            </w:pPr>
          </w:p>
          <w:p w14:paraId="16DE5E8C">
            <w:pPr>
              <w:pStyle w:val="43"/>
              <w:spacing w:before="0" w:beforeAutospacing="0" w:after="0" w:afterAutospacing="0"/>
              <w:rPr>
                <w:bCs/>
                <w:color w:val="auto"/>
                <w:spacing w:val="16"/>
                <w:sz w:val="21"/>
                <w:szCs w:val="21"/>
              </w:rPr>
            </w:pPr>
          </w:p>
        </w:tc>
        <w:tc>
          <w:tcPr>
            <w:tcW w:w="2001" w:type="dxa"/>
            <w:gridSpan w:val="3"/>
          </w:tcPr>
          <w:p w14:paraId="5D6B480C">
            <w:pPr>
              <w:pStyle w:val="43"/>
              <w:spacing w:before="0" w:beforeAutospacing="0" w:after="0" w:afterAutospacing="0"/>
              <w:ind w:left="107"/>
              <w:rPr>
                <w:bCs/>
                <w:color w:val="auto"/>
                <w:spacing w:val="16"/>
                <w:sz w:val="21"/>
                <w:szCs w:val="21"/>
              </w:rPr>
            </w:pPr>
            <w:r>
              <w:rPr>
                <w:rFonts w:hint="eastAsia"/>
                <w:bCs/>
                <w:color w:val="auto"/>
                <w:spacing w:val="16"/>
                <w:sz w:val="21"/>
                <w:szCs w:val="21"/>
              </w:rPr>
              <w:t>股东关系</w:t>
            </w:r>
          </w:p>
        </w:tc>
        <w:tc>
          <w:tcPr>
            <w:tcW w:w="2151" w:type="dxa"/>
            <w:gridSpan w:val="2"/>
          </w:tcPr>
          <w:p w14:paraId="023E8F29">
            <w:pPr>
              <w:pStyle w:val="43"/>
              <w:spacing w:before="0" w:beforeAutospacing="0" w:after="0" w:afterAutospacing="0"/>
              <w:ind w:left="107"/>
              <w:rPr>
                <w:bCs/>
                <w:color w:val="auto"/>
                <w:spacing w:val="16"/>
                <w:sz w:val="21"/>
                <w:szCs w:val="21"/>
              </w:rPr>
            </w:pPr>
          </w:p>
        </w:tc>
      </w:tr>
      <w:tr w14:paraId="4448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0" w:type="dxa"/>
            <w:vMerge w:val="restart"/>
          </w:tcPr>
          <w:p w14:paraId="5222A6E6">
            <w:pPr>
              <w:pStyle w:val="43"/>
              <w:spacing w:before="0" w:beforeAutospacing="0" w:after="0" w:afterAutospacing="0"/>
              <w:rPr>
                <w:bCs/>
                <w:color w:val="auto"/>
                <w:spacing w:val="16"/>
                <w:sz w:val="21"/>
                <w:szCs w:val="21"/>
              </w:rPr>
            </w:pPr>
            <w:r>
              <w:rPr>
                <w:rFonts w:hint="eastAsia"/>
                <w:bCs/>
                <w:color w:val="auto"/>
                <w:spacing w:val="12"/>
                <w:sz w:val="21"/>
                <w:szCs w:val="21"/>
              </w:rPr>
              <w:t>联系人</w:t>
            </w:r>
            <w:r>
              <w:rPr>
                <w:rFonts w:hint="eastAsia"/>
                <w:bCs/>
                <w:color w:val="auto"/>
                <w:spacing w:val="27"/>
                <w:sz w:val="21"/>
                <w:szCs w:val="21"/>
              </w:rPr>
              <w:t>姓名</w:t>
            </w:r>
          </w:p>
        </w:tc>
        <w:tc>
          <w:tcPr>
            <w:tcW w:w="701" w:type="dxa"/>
            <w:vMerge w:val="restart"/>
            <w:tcBorders>
              <w:top w:val="nil"/>
            </w:tcBorders>
          </w:tcPr>
          <w:p w14:paraId="4399D02C">
            <w:pPr>
              <w:pStyle w:val="43"/>
              <w:spacing w:before="0" w:beforeAutospacing="0" w:after="0" w:afterAutospacing="0"/>
              <w:rPr>
                <w:bCs/>
                <w:color w:val="auto"/>
                <w:spacing w:val="16"/>
                <w:sz w:val="21"/>
                <w:szCs w:val="21"/>
              </w:rPr>
            </w:pPr>
          </w:p>
        </w:tc>
        <w:tc>
          <w:tcPr>
            <w:tcW w:w="910" w:type="dxa"/>
            <w:gridSpan w:val="2"/>
            <w:tcBorders>
              <w:top w:val="nil"/>
              <w:bottom w:val="single" w:color="auto" w:sz="4" w:space="0"/>
            </w:tcBorders>
          </w:tcPr>
          <w:p w14:paraId="2AA4E273">
            <w:pPr>
              <w:pStyle w:val="43"/>
              <w:spacing w:before="0" w:beforeAutospacing="0" w:after="0" w:afterAutospacing="0"/>
              <w:rPr>
                <w:bCs/>
                <w:color w:val="auto"/>
                <w:spacing w:val="16"/>
                <w:sz w:val="21"/>
                <w:szCs w:val="21"/>
              </w:rPr>
            </w:pPr>
            <w:r>
              <w:rPr>
                <w:rFonts w:hint="eastAsia"/>
                <w:bCs/>
                <w:color w:val="auto"/>
                <w:spacing w:val="16"/>
                <w:sz w:val="21"/>
                <w:szCs w:val="21"/>
              </w:rPr>
              <w:t>固定电话</w:t>
            </w:r>
          </w:p>
        </w:tc>
        <w:tc>
          <w:tcPr>
            <w:tcW w:w="2368" w:type="dxa"/>
            <w:gridSpan w:val="3"/>
            <w:tcBorders>
              <w:top w:val="nil"/>
              <w:bottom w:val="single" w:color="auto" w:sz="4" w:space="0"/>
            </w:tcBorders>
          </w:tcPr>
          <w:p w14:paraId="3704D4BF">
            <w:pPr>
              <w:rPr>
                <w:rFonts w:ascii="宋体" w:hAnsi="宋体" w:cs="宋体"/>
                <w:bCs/>
                <w:color w:val="auto"/>
                <w:spacing w:val="16"/>
                <w:szCs w:val="21"/>
              </w:rPr>
            </w:pPr>
          </w:p>
          <w:p w14:paraId="1179E00E">
            <w:pPr>
              <w:pStyle w:val="43"/>
              <w:spacing w:before="0" w:beforeAutospacing="0" w:after="0" w:afterAutospacing="0"/>
              <w:rPr>
                <w:bCs/>
                <w:color w:val="auto"/>
                <w:spacing w:val="16"/>
                <w:sz w:val="21"/>
                <w:szCs w:val="21"/>
              </w:rPr>
            </w:pPr>
          </w:p>
        </w:tc>
        <w:tc>
          <w:tcPr>
            <w:tcW w:w="2001" w:type="dxa"/>
            <w:gridSpan w:val="3"/>
            <w:vMerge w:val="restart"/>
          </w:tcPr>
          <w:p w14:paraId="3CE7A780">
            <w:pPr>
              <w:pStyle w:val="43"/>
              <w:spacing w:before="0" w:beforeAutospacing="0" w:after="0" w:afterAutospacing="0"/>
              <w:rPr>
                <w:bCs/>
                <w:color w:val="auto"/>
                <w:spacing w:val="16"/>
                <w:sz w:val="21"/>
                <w:szCs w:val="21"/>
              </w:rPr>
            </w:pPr>
            <w:r>
              <w:rPr>
                <w:rFonts w:hint="eastAsia"/>
                <w:bCs/>
                <w:color w:val="auto"/>
                <w:spacing w:val="16"/>
                <w:sz w:val="21"/>
                <w:szCs w:val="21"/>
              </w:rPr>
              <w:t>传真</w:t>
            </w:r>
          </w:p>
        </w:tc>
        <w:tc>
          <w:tcPr>
            <w:tcW w:w="2151" w:type="dxa"/>
            <w:gridSpan w:val="2"/>
            <w:vMerge w:val="restart"/>
          </w:tcPr>
          <w:p w14:paraId="4143BADE">
            <w:pPr>
              <w:pStyle w:val="43"/>
              <w:spacing w:before="0" w:beforeAutospacing="0" w:after="0" w:afterAutospacing="0"/>
              <w:rPr>
                <w:bCs/>
                <w:color w:val="auto"/>
                <w:spacing w:val="16"/>
                <w:sz w:val="21"/>
                <w:szCs w:val="21"/>
              </w:rPr>
            </w:pPr>
          </w:p>
        </w:tc>
      </w:tr>
      <w:tr w14:paraId="2173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20" w:type="dxa"/>
            <w:vMerge w:val="continue"/>
            <w:tcBorders>
              <w:bottom w:val="single" w:color="auto" w:sz="4" w:space="0"/>
            </w:tcBorders>
          </w:tcPr>
          <w:p w14:paraId="0D807F10">
            <w:pPr>
              <w:pStyle w:val="43"/>
              <w:spacing w:before="0" w:beforeAutospacing="0" w:after="0" w:afterAutospacing="0"/>
              <w:ind w:left="107"/>
              <w:rPr>
                <w:bCs/>
                <w:color w:val="auto"/>
                <w:sz w:val="21"/>
                <w:szCs w:val="21"/>
              </w:rPr>
            </w:pPr>
          </w:p>
        </w:tc>
        <w:tc>
          <w:tcPr>
            <w:tcW w:w="701" w:type="dxa"/>
            <w:vMerge w:val="continue"/>
            <w:tcBorders>
              <w:bottom w:val="single" w:color="auto" w:sz="4" w:space="0"/>
            </w:tcBorders>
          </w:tcPr>
          <w:p w14:paraId="79159BA5">
            <w:pPr>
              <w:pStyle w:val="43"/>
              <w:spacing w:before="0" w:beforeAutospacing="0" w:after="0" w:afterAutospacing="0"/>
              <w:rPr>
                <w:bCs/>
                <w:color w:val="auto"/>
                <w:spacing w:val="16"/>
                <w:sz w:val="21"/>
                <w:szCs w:val="21"/>
              </w:rPr>
            </w:pPr>
          </w:p>
        </w:tc>
        <w:tc>
          <w:tcPr>
            <w:tcW w:w="910" w:type="dxa"/>
            <w:gridSpan w:val="2"/>
            <w:tcBorders>
              <w:bottom w:val="single" w:color="auto" w:sz="4" w:space="0"/>
            </w:tcBorders>
          </w:tcPr>
          <w:p w14:paraId="2FDC2FE1">
            <w:pPr>
              <w:pStyle w:val="43"/>
              <w:spacing w:before="0" w:beforeAutospacing="0" w:after="0" w:afterAutospacing="0"/>
              <w:rPr>
                <w:bCs/>
                <w:color w:val="auto"/>
                <w:spacing w:val="16"/>
                <w:sz w:val="21"/>
                <w:szCs w:val="21"/>
              </w:rPr>
            </w:pPr>
            <w:r>
              <w:rPr>
                <w:rFonts w:hint="eastAsia"/>
                <w:bCs/>
                <w:color w:val="auto"/>
                <w:spacing w:val="27"/>
                <w:sz w:val="21"/>
                <w:szCs w:val="21"/>
              </w:rPr>
              <w:t>手机</w:t>
            </w:r>
          </w:p>
        </w:tc>
        <w:tc>
          <w:tcPr>
            <w:tcW w:w="2368" w:type="dxa"/>
            <w:gridSpan w:val="3"/>
            <w:tcBorders>
              <w:bottom w:val="single" w:color="auto" w:sz="4" w:space="0"/>
            </w:tcBorders>
          </w:tcPr>
          <w:p w14:paraId="7E58A8B0">
            <w:pPr>
              <w:pStyle w:val="43"/>
              <w:spacing w:before="0" w:beforeAutospacing="0" w:after="0" w:afterAutospacing="0"/>
              <w:rPr>
                <w:bCs/>
                <w:color w:val="auto"/>
                <w:spacing w:val="16"/>
                <w:sz w:val="21"/>
                <w:szCs w:val="21"/>
              </w:rPr>
            </w:pPr>
          </w:p>
        </w:tc>
        <w:tc>
          <w:tcPr>
            <w:tcW w:w="2001" w:type="dxa"/>
            <w:gridSpan w:val="3"/>
            <w:vMerge w:val="continue"/>
            <w:tcBorders>
              <w:bottom w:val="single" w:color="auto" w:sz="4" w:space="0"/>
            </w:tcBorders>
          </w:tcPr>
          <w:p w14:paraId="1BD50A2A">
            <w:pPr>
              <w:pStyle w:val="43"/>
              <w:spacing w:before="0" w:beforeAutospacing="0" w:after="0" w:afterAutospacing="0"/>
              <w:rPr>
                <w:bCs/>
                <w:color w:val="auto"/>
                <w:spacing w:val="16"/>
                <w:sz w:val="21"/>
                <w:szCs w:val="21"/>
              </w:rPr>
            </w:pPr>
          </w:p>
        </w:tc>
        <w:tc>
          <w:tcPr>
            <w:tcW w:w="2151" w:type="dxa"/>
            <w:gridSpan w:val="2"/>
            <w:vMerge w:val="continue"/>
            <w:tcBorders>
              <w:bottom w:val="single" w:color="auto" w:sz="4" w:space="0"/>
            </w:tcBorders>
          </w:tcPr>
          <w:p w14:paraId="596FD8AE">
            <w:pPr>
              <w:pStyle w:val="43"/>
              <w:spacing w:before="0" w:beforeAutospacing="0" w:after="0" w:afterAutospacing="0"/>
              <w:rPr>
                <w:bCs/>
                <w:color w:val="auto"/>
                <w:spacing w:val="16"/>
                <w:sz w:val="21"/>
                <w:szCs w:val="21"/>
              </w:rPr>
            </w:pPr>
          </w:p>
        </w:tc>
      </w:tr>
      <w:tr w14:paraId="7EF9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20" w:type="dxa"/>
            <w:vMerge w:val="restart"/>
            <w:tcBorders>
              <w:top w:val="single" w:color="auto" w:sz="4" w:space="0"/>
            </w:tcBorders>
          </w:tcPr>
          <w:p w14:paraId="6CCE1E56">
            <w:pPr>
              <w:pStyle w:val="43"/>
              <w:spacing w:before="0" w:beforeAutospacing="0" w:after="0" w:afterAutospacing="0"/>
              <w:ind w:left="107"/>
              <w:rPr>
                <w:bCs/>
                <w:color w:val="auto"/>
                <w:sz w:val="21"/>
                <w:szCs w:val="21"/>
              </w:rPr>
            </w:pPr>
            <w:r>
              <w:rPr>
                <w:bCs/>
                <w:color w:val="auto"/>
                <w:sz w:val="21"/>
                <w:szCs w:val="21"/>
              </w:rPr>
              <w:t>1</w:t>
            </w:r>
            <w:r>
              <w:rPr>
                <w:rFonts w:hint="eastAsia"/>
                <w:bCs/>
                <w:color w:val="auto"/>
                <w:sz w:val="21"/>
                <w:szCs w:val="21"/>
              </w:rPr>
              <w:t>.</w:t>
            </w:r>
          </w:p>
          <w:p w14:paraId="1863B35A">
            <w:pPr>
              <w:pStyle w:val="43"/>
              <w:spacing w:before="0" w:beforeAutospacing="0" w:after="0" w:afterAutospacing="0"/>
              <w:ind w:left="107"/>
              <w:rPr>
                <w:bCs/>
                <w:color w:val="auto"/>
                <w:sz w:val="21"/>
                <w:szCs w:val="21"/>
              </w:rPr>
            </w:pPr>
            <w:r>
              <w:rPr>
                <w:rFonts w:hint="eastAsia"/>
                <w:bCs/>
                <w:color w:val="auto"/>
                <w:sz w:val="21"/>
                <w:szCs w:val="21"/>
              </w:rPr>
              <w:t>企</w:t>
            </w:r>
          </w:p>
          <w:p w14:paraId="579511B2">
            <w:pPr>
              <w:pStyle w:val="43"/>
              <w:spacing w:before="0" w:beforeAutospacing="0" w:after="0" w:afterAutospacing="0"/>
              <w:ind w:left="107"/>
              <w:rPr>
                <w:bCs/>
                <w:color w:val="auto"/>
                <w:sz w:val="21"/>
                <w:szCs w:val="21"/>
              </w:rPr>
            </w:pPr>
            <w:r>
              <w:rPr>
                <w:rFonts w:hint="eastAsia"/>
                <w:bCs/>
                <w:color w:val="auto"/>
                <w:sz w:val="21"/>
                <w:szCs w:val="21"/>
              </w:rPr>
              <w:t>业</w:t>
            </w:r>
          </w:p>
          <w:p w14:paraId="3DA9ADF4">
            <w:pPr>
              <w:pStyle w:val="43"/>
              <w:spacing w:before="0" w:beforeAutospacing="0" w:after="0" w:afterAutospacing="0"/>
              <w:ind w:left="107"/>
              <w:rPr>
                <w:bCs/>
                <w:color w:val="auto"/>
                <w:spacing w:val="27"/>
                <w:sz w:val="21"/>
                <w:szCs w:val="21"/>
              </w:rPr>
            </w:pPr>
            <w:r>
              <w:rPr>
                <w:rFonts w:hint="eastAsia"/>
                <w:bCs/>
                <w:color w:val="auto"/>
                <w:spacing w:val="27"/>
                <w:sz w:val="21"/>
                <w:szCs w:val="21"/>
              </w:rPr>
              <w:t>概</w:t>
            </w:r>
          </w:p>
          <w:p w14:paraId="4034F95B">
            <w:pPr>
              <w:pStyle w:val="43"/>
              <w:spacing w:before="0" w:beforeAutospacing="0" w:after="0" w:afterAutospacing="0"/>
              <w:ind w:left="107"/>
              <w:rPr>
                <w:bCs/>
                <w:color w:val="auto"/>
                <w:sz w:val="21"/>
                <w:szCs w:val="21"/>
              </w:rPr>
            </w:pPr>
            <w:r>
              <w:rPr>
                <w:rFonts w:hint="eastAsia"/>
                <w:bCs/>
                <w:color w:val="auto"/>
                <w:spacing w:val="27"/>
                <w:sz w:val="21"/>
                <w:szCs w:val="21"/>
              </w:rPr>
              <w:t>况</w:t>
            </w:r>
          </w:p>
        </w:tc>
        <w:tc>
          <w:tcPr>
            <w:tcW w:w="701" w:type="dxa"/>
            <w:tcBorders>
              <w:top w:val="single" w:color="auto" w:sz="4" w:space="0"/>
            </w:tcBorders>
          </w:tcPr>
          <w:p w14:paraId="6782BEE5">
            <w:pPr>
              <w:pStyle w:val="43"/>
              <w:spacing w:before="0" w:beforeAutospacing="0" w:after="0" w:afterAutospacing="0"/>
              <w:rPr>
                <w:bCs/>
                <w:color w:val="auto"/>
                <w:spacing w:val="16"/>
                <w:sz w:val="21"/>
                <w:szCs w:val="21"/>
              </w:rPr>
            </w:pPr>
            <w:r>
              <w:rPr>
                <w:rFonts w:hint="eastAsia"/>
                <w:bCs/>
                <w:color w:val="auto"/>
                <w:spacing w:val="16"/>
                <w:sz w:val="21"/>
                <w:szCs w:val="21"/>
              </w:rPr>
              <w:t>职工人数</w:t>
            </w:r>
          </w:p>
        </w:tc>
        <w:tc>
          <w:tcPr>
            <w:tcW w:w="910" w:type="dxa"/>
            <w:gridSpan w:val="2"/>
            <w:tcBorders>
              <w:top w:val="single" w:color="auto" w:sz="4" w:space="0"/>
            </w:tcBorders>
          </w:tcPr>
          <w:p w14:paraId="5BC7DE31">
            <w:pPr>
              <w:pStyle w:val="43"/>
              <w:spacing w:before="0" w:beforeAutospacing="0" w:after="0" w:afterAutospacing="0"/>
              <w:rPr>
                <w:bCs/>
                <w:color w:val="auto"/>
                <w:spacing w:val="16"/>
                <w:sz w:val="21"/>
                <w:szCs w:val="21"/>
              </w:rPr>
            </w:pPr>
          </w:p>
        </w:tc>
        <w:tc>
          <w:tcPr>
            <w:tcW w:w="1163" w:type="dxa"/>
            <w:tcBorders>
              <w:top w:val="single" w:color="auto" w:sz="4" w:space="0"/>
            </w:tcBorders>
          </w:tcPr>
          <w:p w14:paraId="37B25E25">
            <w:pPr>
              <w:pStyle w:val="43"/>
              <w:spacing w:before="0" w:beforeAutospacing="0" w:after="0" w:afterAutospacing="0"/>
              <w:rPr>
                <w:bCs/>
                <w:color w:val="auto"/>
                <w:sz w:val="21"/>
                <w:szCs w:val="21"/>
              </w:rPr>
            </w:pPr>
            <w:r>
              <w:rPr>
                <w:rFonts w:hint="eastAsia"/>
                <w:bCs/>
                <w:color w:val="auto"/>
                <w:spacing w:val="18"/>
                <w:sz w:val="21"/>
                <w:szCs w:val="21"/>
              </w:rPr>
              <w:t>具备大专以</w:t>
            </w:r>
            <w:r>
              <w:rPr>
                <w:rFonts w:hint="eastAsia"/>
                <w:bCs/>
                <w:color w:val="auto"/>
                <w:spacing w:val="12"/>
                <w:sz w:val="21"/>
                <w:szCs w:val="21"/>
              </w:rPr>
              <w:t>上学历人数</w:t>
            </w:r>
          </w:p>
        </w:tc>
        <w:tc>
          <w:tcPr>
            <w:tcW w:w="1205" w:type="dxa"/>
            <w:gridSpan w:val="2"/>
            <w:tcBorders>
              <w:top w:val="single" w:color="auto" w:sz="4" w:space="0"/>
            </w:tcBorders>
          </w:tcPr>
          <w:p w14:paraId="1CE8AD8D">
            <w:pPr>
              <w:rPr>
                <w:rFonts w:ascii="宋体" w:hAnsi="宋体" w:cs="宋体"/>
                <w:bCs/>
                <w:color w:val="auto"/>
                <w:spacing w:val="16"/>
                <w:szCs w:val="21"/>
              </w:rPr>
            </w:pPr>
          </w:p>
          <w:p w14:paraId="727C8731">
            <w:pPr>
              <w:rPr>
                <w:rFonts w:ascii="宋体" w:hAnsi="宋体" w:cs="宋体"/>
                <w:bCs/>
                <w:color w:val="auto"/>
                <w:spacing w:val="16"/>
                <w:szCs w:val="21"/>
              </w:rPr>
            </w:pPr>
          </w:p>
          <w:p w14:paraId="0097DA1D">
            <w:pPr>
              <w:pStyle w:val="43"/>
              <w:spacing w:before="0" w:beforeAutospacing="0" w:after="0" w:afterAutospacing="0"/>
              <w:rPr>
                <w:bCs/>
                <w:color w:val="auto"/>
                <w:spacing w:val="16"/>
                <w:sz w:val="21"/>
                <w:szCs w:val="21"/>
              </w:rPr>
            </w:pPr>
          </w:p>
        </w:tc>
        <w:tc>
          <w:tcPr>
            <w:tcW w:w="2001" w:type="dxa"/>
            <w:gridSpan w:val="3"/>
            <w:tcBorders>
              <w:top w:val="single" w:color="auto" w:sz="4" w:space="0"/>
            </w:tcBorders>
          </w:tcPr>
          <w:p w14:paraId="7D4B5855">
            <w:pPr>
              <w:pStyle w:val="43"/>
              <w:spacing w:before="0" w:beforeAutospacing="0" w:after="0" w:afterAutospacing="0"/>
              <w:rPr>
                <w:bCs/>
                <w:color w:val="auto"/>
                <w:spacing w:val="16"/>
                <w:sz w:val="21"/>
                <w:szCs w:val="21"/>
              </w:rPr>
            </w:pPr>
            <w:r>
              <w:rPr>
                <w:rFonts w:hint="eastAsia"/>
                <w:bCs/>
                <w:color w:val="auto"/>
                <w:spacing w:val="65"/>
                <w:sz w:val="21"/>
                <w:szCs w:val="21"/>
              </w:rPr>
              <w:t>国家授予技</w:t>
            </w:r>
            <w:r>
              <w:rPr>
                <w:rFonts w:hint="eastAsia"/>
                <w:bCs/>
                <w:color w:val="auto"/>
                <w:spacing w:val="12"/>
                <w:sz w:val="21"/>
                <w:szCs w:val="21"/>
              </w:rPr>
              <w:t>术职称人数</w:t>
            </w:r>
          </w:p>
        </w:tc>
        <w:tc>
          <w:tcPr>
            <w:tcW w:w="2151" w:type="dxa"/>
            <w:gridSpan w:val="2"/>
            <w:tcBorders>
              <w:top w:val="single" w:color="auto" w:sz="4" w:space="0"/>
            </w:tcBorders>
          </w:tcPr>
          <w:p w14:paraId="7218A577">
            <w:pPr>
              <w:rPr>
                <w:rFonts w:ascii="宋体" w:hAnsi="宋体" w:cs="宋体"/>
                <w:bCs/>
                <w:color w:val="auto"/>
                <w:spacing w:val="16"/>
                <w:szCs w:val="21"/>
              </w:rPr>
            </w:pPr>
          </w:p>
          <w:p w14:paraId="4C68A69A">
            <w:pPr>
              <w:pStyle w:val="43"/>
              <w:spacing w:before="0" w:beforeAutospacing="0" w:after="0" w:afterAutospacing="0"/>
              <w:rPr>
                <w:bCs/>
                <w:color w:val="auto"/>
                <w:spacing w:val="16"/>
                <w:sz w:val="21"/>
                <w:szCs w:val="21"/>
              </w:rPr>
            </w:pPr>
          </w:p>
        </w:tc>
      </w:tr>
      <w:tr w14:paraId="17CB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20" w:type="dxa"/>
            <w:vMerge w:val="continue"/>
          </w:tcPr>
          <w:p w14:paraId="30BE2488">
            <w:pPr>
              <w:pStyle w:val="43"/>
              <w:spacing w:before="0" w:beforeAutospacing="0" w:after="0" w:afterAutospacing="0"/>
              <w:ind w:left="107"/>
              <w:rPr>
                <w:bCs/>
                <w:color w:val="auto"/>
                <w:sz w:val="21"/>
                <w:szCs w:val="21"/>
              </w:rPr>
            </w:pPr>
          </w:p>
        </w:tc>
        <w:tc>
          <w:tcPr>
            <w:tcW w:w="701" w:type="dxa"/>
          </w:tcPr>
          <w:p w14:paraId="154ABF7B">
            <w:pPr>
              <w:pStyle w:val="43"/>
              <w:spacing w:before="0" w:beforeAutospacing="0" w:after="0" w:afterAutospacing="0"/>
              <w:rPr>
                <w:bCs/>
                <w:color w:val="auto"/>
                <w:sz w:val="21"/>
                <w:szCs w:val="21"/>
              </w:rPr>
            </w:pPr>
            <w:r>
              <w:rPr>
                <w:rFonts w:hint="eastAsia"/>
                <w:bCs/>
                <w:color w:val="auto"/>
                <w:spacing w:val="16"/>
                <w:sz w:val="21"/>
                <w:szCs w:val="21"/>
              </w:rPr>
              <w:t>占地面积</w:t>
            </w:r>
          </w:p>
        </w:tc>
        <w:tc>
          <w:tcPr>
            <w:tcW w:w="910" w:type="dxa"/>
            <w:gridSpan w:val="2"/>
          </w:tcPr>
          <w:p w14:paraId="02B03476">
            <w:pPr>
              <w:pStyle w:val="43"/>
              <w:spacing w:before="0" w:beforeAutospacing="0" w:after="0" w:afterAutospacing="0"/>
              <w:rPr>
                <w:bCs/>
                <w:color w:val="auto"/>
                <w:sz w:val="21"/>
                <w:szCs w:val="21"/>
              </w:rPr>
            </w:pPr>
          </w:p>
        </w:tc>
        <w:tc>
          <w:tcPr>
            <w:tcW w:w="1163" w:type="dxa"/>
          </w:tcPr>
          <w:p w14:paraId="5098C653">
            <w:pPr>
              <w:pStyle w:val="43"/>
              <w:spacing w:before="0" w:beforeAutospacing="0" w:after="0" w:afterAutospacing="0"/>
              <w:rPr>
                <w:bCs/>
                <w:color w:val="auto"/>
                <w:sz w:val="21"/>
                <w:szCs w:val="21"/>
              </w:rPr>
            </w:pPr>
            <w:r>
              <w:rPr>
                <w:rFonts w:hint="eastAsia"/>
                <w:bCs/>
                <w:color w:val="auto"/>
                <w:spacing w:val="16"/>
                <w:sz w:val="21"/>
                <w:szCs w:val="21"/>
              </w:rPr>
              <w:t>建筑面积</w:t>
            </w:r>
          </w:p>
        </w:tc>
        <w:tc>
          <w:tcPr>
            <w:tcW w:w="1205" w:type="dxa"/>
            <w:gridSpan w:val="2"/>
          </w:tcPr>
          <w:p w14:paraId="6730C581">
            <w:pPr>
              <w:pStyle w:val="43"/>
              <w:spacing w:before="0" w:beforeAutospacing="0" w:after="0" w:afterAutospacing="0"/>
              <w:rPr>
                <w:bCs/>
                <w:color w:val="auto"/>
                <w:sz w:val="21"/>
                <w:szCs w:val="21"/>
              </w:rPr>
            </w:pPr>
            <w:r>
              <w:rPr>
                <w:rFonts w:hint="eastAsia"/>
                <w:bCs/>
                <w:color w:val="auto"/>
                <w:sz w:val="21"/>
                <w:szCs w:val="21"/>
              </w:rPr>
              <w:t xml:space="preserve">平方米 </w:t>
            </w:r>
          </w:p>
          <w:p w14:paraId="1394EA0E">
            <w:pPr>
              <w:pStyle w:val="43"/>
              <w:spacing w:before="0" w:beforeAutospacing="0" w:after="0" w:afterAutospacing="0"/>
              <w:rPr>
                <w:bCs/>
                <w:color w:val="auto"/>
                <w:spacing w:val="16"/>
                <w:sz w:val="21"/>
                <w:szCs w:val="21"/>
              </w:rPr>
            </w:pPr>
            <w:r>
              <w:rPr>
                <w:rFonts w:hint="eastAsia"/>
                <w:bCs/>
                <w:color w:val="auto"/>
                <w:spacing w:val="16"/>
                <w:sz w:val="21"/>
                <w:szCs w:val="21"/>
              </w:rPr>
              <w:t>□自有</w:t>
            </w:r>
          </w:p>
          <w:p w14:paraId="5187A87B">
            <w:pPr>
              <w:pStyle w:val="43"/>
              <w:spacing w:before="0" w:beforeAutospacing="0" w:after="0" w:afterAutospacing="0"/>
              <w:rPr>
                <w:bCs/>
                <w:color w:val="auto"/>
                <w:sz w:val="21"/>
                <w:szCs w:val="21"/>
              </w:rPr>
            </w:pPr>
            <w:r>
              <w:rPr>
                <w:rFonts w:hint="eastAsia"/>
                <w:bCs/>
                <w:color w:val="auto"/>
                <w:spacing w:val="16"/>
                <w:sz w:val="21"/>
                <w:szCs w:val="21"/>
              </w:rPr>
              <w:t>□租賃</w:t>
            </w:r>
          </w:p>
        </w:tc>
        <w:tc>
          <w:tcPr>
            <w:tcW w:w="2001" w:type="dxa"/>
            <w:gridSpan w:val="3"/>
          </w:tcPr>
          <w:p w14:paraId="1B0696C9">
            <w:pPr>
              <w:pStyle w:val="43"/>
              <w:spacing w:before="0" w:beforeAutospacing="0" w:after="0" w:afterAutospacing="0"/>
              <w:rPr>
                <w:bCs/>
                <w:color w:val="auto"/>
                <w:sz w:val="21"/>
                <w:szCs w:val="21"/>
              </w:rPr>
            </w:pPr>
            <w:r>
              <w:rPr>
                <w:rFonts w:hint="eastAsia"/>
                <w:bCs/>
                <w:color w:val="auto"/>
                <w:spacing w:val="16"/>
                <w:sz w:val="21"/>
                <w:szCs w:val="21"/>
              </w:rPr>
              <w:t>生产经营场所及场所的设施与设备</w:t>
            </w:r>
          </w:p>
        </w:tc>
        <w:tc>
          <w:tcPr>
            <w:tcW w:w="2151" w:type="dxa"/>
            <w:gridSpan w:val="2"/>
          </w:tcPr>
          <w:p w14:paraId="6536ECD5">
            <w:pPr>
              <w:pStyle w:val="43"/>
              <w:spacing w:before="0" w:beforeAutospacing="0" w:after="0" w:afterAutospacing="0"/>
              <w:rPr>
                <w:bCs/>
                <w:color w:val="auto"/>
                <w:spacing w:val="16"/>
                <w:sz w:val="21"/>
                <w:szCs w:val="21"/>
              </w:rPr>
            </w:pPr>
          </w:p>
        </w:tc>
      </w:tr>
      <w:tr w14:paraId="55DB8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20" w:type="dxa"/>
            <w:vMerge w:val="continue"/>
          </w:tcPr>
          <w:p w14:paraId="524CD6E6">
            <w:pPr>
              <w:pStyle w:val="43"/>
              <w:spacing w:before="0" w:beforeAutospacing="0" w:after="0" w:afterAutospacing="0"/>
              <w:ind w:left="107"/>
              <w:rPr>
                <w:bCs/>
                <w:color w:val="auto"/>
                <w:sz w:val="21"/>
                <w:szCs w:val="21"/>
              </w:rPr>
            </w:pPr>
          </w:p>
        </w:tc>
        <w:tc>
          <w:tcPr>
            <w:tcW w:w="701" w:type="dxa"/>
          </w:tcPr>
          <w:p w14:paraId="1BC771FA">
            <w:pPr>
              <w:pStyle w:val="43"/>
              <w:spacing w:before="0" w:beforeAutospacing="0" w:after="0" w:afterAutospacing="0"/>
              <w:rPr>
                <w:bCs/>
                <w:color w:val="auto"/>
                <w:sz w:val="21"/>
                <w:szCs w:val="21"/>
              </w:rPr>
            </w:pPr>
            <w:r>
              <w:rPr>
                <w:rFonts w:hint="eastAsia"/>
                <w:bCs/>
                <w:color w:val="auto"/>
                <w:spacing w:val="16"/>
                <w:sz w:val="21"/>
                <w:szCs w:val="21"/>
              </w:rPr>
              <w:t>注册资金</w:t>
            </w:r>
          </w:p>
        </w:tc>
        <w:tc>
          <w:tcPr>
            <w:tcW w:w="910" w:type="dxa"/>
            <w:gridSpan w:val="2"/>
          </w:tcPr>
          <w:p w14:paraId="228545F6">
            <w:pPr>
              <w:pStyle w:val="43"/>
              <w:spacing w:before="0" w:beforeAutospacing="0" w:after="0" w:afterAutospacing="0"/>
              <w:ind w:left="2"/>
              <w:rPr>
                <w:bCs/>
                <w:color w:val="auto"/>
                <w:sz w:val="21"/>
                <w:szCs w:val="21"/>
              </w:rPr>
            </w:pPr>
          </w:p>
        </w:tc>
        <w:tc>
          <w:tcPr>
            <w:tcW w:w="1163" w:type="dxa"/>
          </w:tcPr>
          <w:p w14:paraId="17759CA0">
            <w:pPr>
              <w:pStyle w:val="43"/>
              <w:spacing w:before="0" w:beforeAutospacing="0" w:after="0" w:afterAutospacing="0"/>
              <w:ind w:left="107"/>
              <w:rPr>
                <w:bCs/>
                <w:color w:val="auto"/>
                <w:sz w:val="21"/>
                <w:szCs w:val="21"/>
              </w:rPr>
            </w:pPr>
            <w:r>
              <w:rPr>
                <w:rFonts w:hint="eastAsia"/>
                <w:bCs/>
                <w:color w:val="auto"/>
                <w:spacing w:val="16"/>
                <w:sz w:val="21"/>
                <w:szCs w:val="21"/>
              </w:rPr>
              <w:t>注册发证</w:t>
            </w:r>
            <w:r>
              <w:rPr>
                <w:rFonts w:hint="eastAsia"/>
                <w:bCs/>
                <w:color w:val="auto"/>
                <w:spacing w:val="27"/>
                <w:sz w:val="21"/>
                <w:szCs w:val="21"/>
              </w:rPr>
              <w:t>机关</w:t>
            </w:r>
          </w:p>
        </w:tc>
        <w:tc>
          <w:tcPr>
            <w:tcW w:w="3206" w:type="dxa"/>
            <w:gridSpan w:val="5"/>
          </w:tcPr>
          <w:p w14:paraId="17489D2C">
            <w:pPr>
              <w:rPr>
                <w:rFonts w:ascii="宋体" w:hAnsi="宋体" w:cs="宋体"/>
                <w:bCs/>
                <w:color w:val="auto"/>
                <w:szCs w:val="21"/>
              </w:rPr>
            </w:pPr>
          </w:p>
          <w:p w14:paraId="168432A6">
            <w:pPr>
              <w:pStyle w:val="43"/>
              <w:spacing w:before="0" w:beforeAutospacing="0" w:after="0" w:afterAutospacing="0"/>
              <w:ind w:left="107"/>
              <w:rPr>
                <w:bCs/>
                <w:color w:val="auto"/>
                <w:sz w:val="21"/>
                <w:szCs w:val="21"/>
              </w:rPr>
            </w:pPr>
          </w:p>
        </w:tc>
        <w:tc>
          <w:tcPr>
            <w:tcW w:w="1218" w:type="dxa"/>
          </w:tcPr>
          <w:p w14:paraId="69F50EB2">
            <w:pPr>
              <w:pStyle w:val="43"/>
              <w:spacing w:before="0" w:beforeAutospacing="0" w:after="0" w:afterAutospacing="0"/>
              <w:ind w:left="107"/>
              <w:rPr>
                <w:bCs/>
                <w:color w:val="auto"/>
                <w:sz w:val="21"/>
                <w:szCs w:val="21"/>
              </w:rPr>
            </w:pPr>
            <w:r>
              <w:rPr>
                <w:rFonts w:hint="eastAsia"/>
                <w:bCs/>
                <w:color w:val="auto"/>
                <w:sz w:val="21"/>
                <w:szCs w:val="21"/>
              </w:rPr>
              <w:t>公司成</w:t>
            </w:r>
            <w:r>
              <w:rPr>
                <w:rFonts w:hint="eastAsia"/>
                <w:bCs/>
                <w:color w:val="auto"/>
                <w:spacing w:val="12"/>
                <w:sz w:val="21"/>
                <w:szCs w:val="21"/>
              </w:rPr>
              <w:t>立时间</w:t>
            </w:r>
          </w:p>
        </w:tc>
        <w:tc>
          <w:tcPr>
            <w:tcW w:w="933" w:type="dxa"/>
          </w:tcPr>
          <w:p w14:paraId="2FA0EB31">
            <w:pPr>
              <w:pStyle w:val="43"/>
              <w:spacing w:before="0" w:beforeAutospacing="0" w:after="0" w:afterAutospacing="0"/>
              <w:ind w:left="107"/>
              <w:rPr>
                <w:bCs/>
                <w:color w:val="auto"/>
                <w:sz w:val="21"/>
                <w:szCs w:val="21"/>
              </w:rPr>
            </w:pPr>
          </w:p>
        </w:tc>
      </w:tr>
      <w:tr w14:paraId="4ED3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20" w:type="dxa"/>
            <w:vMerge w:val="continue"/>
          </w:tcPr>
          <w:p w14:paraId="40FC1296">
            <w:pPr>
              <w:pStyle w:val="43"/>
              <w:spacing w:before="0" w:beforeAutospacing="0" w:after="0" w:afterAutospacing="0"/>
              <w:ind w:left="107"/>
              <w:rPr>
                <w:bCs/>
                <w:color w:val="auto"/>
                <w:sz w:val="21"/>
                <w:szCs w:val="21"/>
              </w:rPr>
            </w:pPr>
          </w:p>
        </w:tc>
        <w:tc>
          <w:tcPr>
            <w:tcW w:w="701" w:type="dxa"/>
          </w:tcPr>
          <w:p w14:paraId="5419458F">
            <w:pPr>
              <w:pStyle w:val="43"/>
              <w:spacing w:before="0" w:beforeAutospacing="0" w:after="0" w:afterAutospacing="0"/>
              <w:ind w:left="2"/>
              <w:rPr>
                <w:bCs/>
                <w:color w:val="auto"/>
                <w:sz w:val="21"/>
                <w:szCs w:val="21"/>
              </w:rPr>
            </w:pPr>
            <w:r>
              <w:rPr>
                <w:rFonts w:hint="eastAsia"/>
                <w:bCs/>
                <w:color w:val="auto"/>
                <w:sz w:val="21"/>
                <w:szCs w:val="21"/>
              </w:rPr>
              <w:t>核准经营范围</w:t>
            </w:r>
          </w:p>
        </w:tc>
        <w:tc>
          <w:tcPr>
            <w:tcW w:w="7430" w:type="dxa"/>
            <w:gridSpan w:val="10"/>
          </w:tcPr>
          <w:p w14:paraId="5F9E1B35">
            <w:pPr>
              <w:pStyle w:val="43"/>
              <w:spacing w:before="0" w:beforeAutospacing="0" w:after="0" w:afterAutospacing="0"/>
              <w:ind w:left="107"/>
              <w:rPr>
                <w:bCs/>
                <w:color w:val="auto"/>
                <w:sz w:val="21"/>
                <w:szCs w:val="21"/>
              </w:rPr>
            </w:pPr>
          </w:p>
        </w:tc>
      </w:tr>
      <w:tr w14:paraId="003E0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20" w:type="dxa"/>
            <w:vMerge w:val="continue"/>
          </w:tcPr>
          <w:p w14:paraId="517499B3">
            <w:pPr>
              <w:pStyle w:val="43"/>
              <w:spacing w:before="0" w:beforeAutospacing="0" w:after="0" w:afterAutospacing="0"/>
              <w:ind w:left="107"/>
              <w:rPr>
                <w:bCs/>
                <w:color w:val="auto"/>
                <w:sz w:val="21"/>
                <w:szCs w:val="21"/>
              </w:rPr>
            </w:pPr>
          </w:p>
        </w:tc>
        <w:tc>
          <w:tcPr>
            <w:tcW w:w="8131" w:type="dxa"/>
            <w:gridSpan w:val="11"/>
          </w:tcPr>
          <w:p w14:paraId="772BE841">
            <w:pPr>
              <w:pStyle w:val="43"/>
              <w:spacing w:before="0" w:beforeAutospacing="0" w:after="0" w:afterAutospacing="0"/>
              <w:rPr>
                <w:bCs/>
                <w:color w:val="auto"/>
                <w:spacing w:val="13"/>
                <w:sz w:val="21"/>
                <w:szCs w:val="21"/>
              </w:rPr>
            </w:pPr>
            <w:r>
              <w:rPr>
                <w:rFonts w:hint="eastAsia"/>
                <w:bCs/>
                <w:color w:val="auto"/>
                <w:spacing w:val="13"/>
                <w:sz w:val="21"/>
                <w:szCs w:val="21"/>
              </w:rPr>
              <w:t>发展历程及主要荣誉：</w:t>
            </w:r>
          </w:p>
        </w:tc>
      </w:tr>
      <w:tr w14:paraId="4FD1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20" w:type="dxa"/>
            <w:vMerge w:val="restart"/>
          </w:tcPr>
          <w:p w14:paraId="519805A7">
            <w:pPr>
              <w:pStyle w:val="43"/>
              <w:spacing w:before="0" w:beforeAutospacing="0" w:after="0" w:afterAutospacing="0"/>
              <w:ind w:left="107"/>
              <w:rPr>
                <w:bCs/>
                <w:color w:val="auto"/>
                <w:sz w:val="21"/>
                <w:szCs w:val="21"/>
              </w:rPr>
            </w:pPr>
            <w:r>
              <w:rPr>
                <w:bCs/>
                <w:color w:val="auto"/>
                <w:sz w:val="21"/>
                <w:szCs w:val="21"/>
              </w:rPr>
              <w:t>2</w:t>
            </w:r>
            <w:r>
              <w:rPr>
                <w:rFonts w:hint="eastAsia"/>
                <w:bCs/>
                <w:color w:val="auto"/>
                <w:sz w:val="21"/>
                <w:szCs w:val="21"/>
              </w:rPr>
              <w:t>．</w:t>
            </w:r>
          </w:p>
          <w:p w14:paraId="5A5E2A89">
            <w:pPr>
              <w:pStyle w:val="43"/>
              <w:spacing w:before="0" w:beforeAutospacing="0" w:after="0" w:afterAutospacing="0"/>
              <w:ind w:left="107"/>
              <w:rPr>
                <w:bCs/>
                <w:color w:val="auto"/>
                <w:spacing w:val="16"/>
                <w:sz w:val="21"/>
                <w:szCs w:val="21"/>
              </w:rPr>
            </w:pPr>
            <w:r>
              <w:rPr>
                <w:rFonts w:hint="eastAsia"/>
                <w:bCs/>
                <w:color w:val="auto"/>
                <w:sz w:val="21"/>
                <w:szCs w:val="21"/>
              </w:rPr>
              <w:t>企</w:t>
            </w:r>
            <w:r>
              <w:rPr>
                <w:rFonts w:hint="eastAsia"/>
                <w:bCs/>
                <w:color w:val="auto"/>
                <w:spacing w:val="12"/>
                <w:sz w:val="21"/>
                <w:szCs w:val="21"/>
              </w:rPr>
              <w:t>业有关资质获证情况</w:t>
            </w:r>
          </w:p>
        </w:tc>
        <w:tc>
          <w:tcPr>
            <w:tcW w:w="1553" w:type="dxa"/>
            <w:gridSpan w:val="2"/>
            <w:vMerge w:val="restart"/>
          </w:tcPr>
          <w:p w14:paraId="29A8C897">
            <w:pPr>
              <w:pStyle w:val="43"/>
              <w:spacing w:before="0" w:beforeAutospacing="0" w:after="0" w:afterAutospacing="0"/>
              <w:rPr>
                <w:bCs/>
                <w:color w:val="auto"/>
                <w:spacing w:val="16"/>
                <w:sz w:val="21"/>
                <w:szCs w:val="21"/>
              </w:rPr>
            </w:pPr>
            <w:r>
              <w:rPr>
                <w:rFonts w:hint="eastAsia"/>
                <w:bCs/>
                <w:color w:val="auto"/>
                <w:spacing w:val="12"/>
                <w:sz w:val="21"/>
                <w:szCs w:val="21"/>
              </w:rPr>
              <w:t>产品生产许可证情况</w:t>
            </w:r>
            <w:r>
              <w:rPr>
                <w:rFonts w:hint="eastAsia"/>
                <w:bCs/>
                <w:color w:val="auto"/>
                <w:spacing w:val="41"/>
                <w:sz w:val="21"/>
                <w:szCs w:val="21"/>
              </w:rPr>
              <w:t>（对需获得生产许可证的</w:t>
            </w:r>
            <w:r>
              <w:rPr>
                <w:rFonts w:hint="eastAsia"/>
                <w:bCs/>
                <w:color w:val="auto"/>
                <w:spacing w:val="11"/>
                <w:sz w:val="21"/>
                <w:szCs w:val="21"/>
              </w:rPr>
              <w:t>产品要填写此栏）</w:t>
            </w:r>
          </w:p>
        </w:tc>
        <w:tc>
          <w:tcPr>
            <w:tcW w:w="1333" w:type="dxa"/>
            <w:gridSpan w:val="3"/>
          </w:tcPr>
          <w:p w14:paraId="2ACD8299">
            <w:pPr>
              <w:pStyle w:val="43"/>
              <w:spacing w:before="0" w:beforeAutospacing="0" w:after="0" w:afterAutospacing="0"/>
              <w:ind w:right="-78" w:rightChars="-37"/>
              <w:rPr>
                <w:bCs/>
                <w:color w:val="auto"/>
                <w:spacing w:val="16"/>
                <w:sz w:val="21"/>
                <w:szCs w:val="21"/>
              </w:rPr>
            </w:pPr>
            <w:r>
              <w:rPr>
                <w:rFonts w:hint="eastAsia"/>
                <w:bCs/>
                <w:color w:val="auto"/>
                <w:spacing w:val="16"/>
                <w:sz w:val="21"/>
                <w:szCs w:val="21"/>
              </w:rPr>
              <w:t>产品名称</w:t>
            </w:r>
          </w:p>
        </w:tc>
        <w:tc>
          <w:tcPr>
            <w:tcW w:w="1418" w:type="dxa"/>
            <w:gridSpan w:val="2"/>
          </w:tcPr>
          <w:p w14:paraId="2A8D2F7C">
            <w:pPr>
              <w:pStyle w:val="43"/>
              <w:spacing w:before="0" w:beforeAutospacing="0" w:after="0" w:afterAutospacing="0"/>
              <w:rPr>
                <w:bCs/>
                <w:color w:val="auto"/>
                <w:sz w:val="21"/>
                <w:szCs w:val="21"/>
              </w:rPr>
            </w:pPr>
            <w:r>
              <w:rPr>
                <w:rFonts w:hint="eastAsia"/>
                <w:bCs/>
                <w:color w:val="auto"/>
                <w:spacing w:val="16"/>
                <w:sz w:val="21"/>
                <w:szCs w:val="21"/>
              </w:rPr>
              <w:t>发证机关</w:t>
            </w:r>
          </w:p>
        </w:tc>
        <w:tc>
          <w:tcPr>
            <w:tcW w:w="1276" w:type="dxa"/>
          </w:tcPr>
          <w:p w14:paraId="05348D30">
            <w:pPr>
              <w:pStyle w:val="43"/>
              <w:spacing w:before="0" w:beforeAutospacing="0" w:after="0" w:afterAutospacing="0"/>
              <w:jc w:val="center"/>
              <w:rPr>
                <w:bCs/>
                <w:color w:val="auto"/>
                <w:sz w:val="21"/>
                <w:szCs w:val="21"/>
              </w:rPr>
            </w:pPr>
            <w:r>
              <w:rPr>
                <w:rFonts w:hint="eastAsia"/>
                <w:bCs/>
                <w:color w:val="auto"/>
                <w:spacing w:val="27"/>
                <w:sz w:val="21"/>
                <w:szCs w:val="21"/>
              </w:rPr>
              <w:t>编号</w:t>
            </w:r>
          </w:p>
        </w:tc>
        <w:tc>
          <w:tcPr>
            <w:tcW w:w="1618" w:type="dxa"/>
            <w:gridSpan w:val="2"/>
          </w:tcPr>
          <w:p w14:paraId="54C3C789">
            <w:pPr>
              <w:pStyle w:val="43"/>
              <w:spacing w:before="0" w:beforeAutospacing="0" w:after="0" w:afterAutospacing="0"/>
              <w:jc w:val="center"/>
              <w:rPr>
                <w:bCs/>
                <w:color w:val="auto"/>
                <w:sz w:val="21"/>
                <w:szCs w:val="21"/>
              </w:rPr>
            </w:pPr>
            <w:r>
              <w:rPr>
                <w:rFonts w:hint="eastAsia"/>
                <w:bCs/>
                <w:color w:val="auto"/>
                <w:spacing w:val="16"/>
                <w:sz w:val="21"/>
                <w:szCs w:val="21"/>
              </w:rPr>
              <w:t>发证时间</w:t>
            </w:r>
          </w:p>
        </w:tc>
        <w:tc>
          <w:tcPr>
            <w:tcW w:w="933" w:type="dxa"/>
          </w:tcPr>
          <w:p w14:paraId="326B97D5">
            <w:pPr>
              <w:pStyle w:val="43"/>
              <w:spacing w:before="0" w:beforeAutospacing="0" w:after="0" w:afterAutospacing="0"/>
              <w:jc w:val="center"/>
              <w:rPr>
                <w:bCs/>
                <w:color w:val="auto"/>
                <w:sz w:val="21"/>
                <w:szCs w:val="21"/>
              </w:rPr>
            </w:pPr>
            <w:r>
              <w:rPr>
                <w:rFonts w:hint="eastAsia"/>
                <w:bCs/>
                <w:color w:val="auto"/>
                <w:spacing w:val="27"/>
                <w:sz w:val="21"/>
                <w:szCs w:val="21"/>
              </w:rPr>
              <w:t>期限</w:t>
            </w:r>
          </w:p>
        </w:tc>
      </w:tr>
      <w:tr w14:paraId="61BE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0" w:type="dxa"/>
            <w:vMerge w:val="continue"/>
          </w:tcPr>
          <w:p w14:paraId="5438B1B4">
            <w:pPr>
              <w:pStyle w:val="43"/>
              <w:spacing w:before="0" w:beforeAutospacing="0" w:after="0" w:afterAutospacing="0"/>
              <w:ind w:left="107"/>
              <w:rPr>
                <w:bCs/>
                <w:color w:val="auto"/>
                <w:sz w:val="21"/>
                <w:szCs w:val="21"/>
              </w:rPr>
            </w:pPr>
          </w:p>
        </w:tc>
        <w:tc>
          <w:tcPr>
            <w:tcW w:w="1553" w:type="dxa"/>
            <w:gridSpan w:val="2"/>
            <w:vMerge w:val="continue"/>
          </w:tcPr>
          <w:p w14:paraId="10FC253B">
            <w:pPr>
              <w:pStyle w:val="43"/>
              <w:spacing w:before="0" w:beforeAutospacing="0" w:after="0" w:afterAutospacing="0"/>
              <w:rPr>
                <w:bCs/>
                <w:color w:val="auto"/>
                <w:sz w:val="21"/>
                <w:szCs w:val="21"/>
              </w:rPr>
            </w:pPr>
          </w:p>
        </w:tc>
        <w:tc>
          <w:tcPr>
            <w:tcW w:w="1333" w:type="dxa"/>
            <w:gridSpan w:val="3"/>
          </w:tcPr>
          <w:p w14:paraId="7586FB6E">
            <w:pPr>
              <w:pStyle w:val="43"/>
              <w:spacing w:before="0" w:beforeAutospacing="0" w:after="0" w:afterAutospacing="0"/>
              <w:rPr>
                <w:bCs/>
                <w:color w:val="auto"/>
                <w:sz w:val="21"/>
                <w:szCs w:val="21"/>
              </w:rPr>
            </w:pPr>
          </w:p>
        </w:tc>
        <w:tc>
          <w:tcPr>
            <w:tcW w:w="1418" w:type="dxa"/>
            <w:gridSpan w:val="2"/>
          </w:tcPr>
          <w:p w14:paraId="5263DDB0">
            <w:pPr>
              <w:pStyle w:val="43"/>
              <w:spacing w:before="0" w:beforeAutospacing="0" w:after="0" w:afterAutospacing="0"/>
              <w:rPr>
                <w:bCs/>
                <w:color w:val="auto"/>
                <w:sz w:val="21"/>
                <w:szCs w:val="21"/>
              </w:rPr>
            </w:pPr>
          </w:p>
        </w:tc>
        <w:tc>
          <w:tcPr>
            <w:tcW w:w="1276" w:type="dxa"/>
          </w:tcPr>
          <w:p w14:paraId="031D3B34">
            <w:pPr>
              <w:pStyle w:val="43"/>
              <w:spacing w:before="0" w:beforeAutospacing="0" w:after="0" w:afterAutospacing="0"/>
              <w:rPr>
                <w:bCs/>
                <w:color w:val="auto"/>
                <w:sz w:val="21"/>
                <w:szCs w:val="21"/>
              </w:rPr>
            </w:pPr>
          </w:p>
        </w:tc>
        <w:tc>
          <w:tcPr>
            <w:tcW w:w="2551" w:type="dxa"/>
            <w:gridSpan w:val="3"/>
          </w:tcPr>
          <w:p w14:paraId="3E0D2005">
            <w:pPr>
              <w:pStyle w:val="43"/>
              <w:spacing w:before="0" w:beforeAutospacing="0" w:after="0" w:afterAutospacing="0"/>
              <w:rPr>
                <w:bCs/>
                <w:color w:val="auto"/>
                <w:sz w:val="21"/>
                <w:szCs w:val="21"/>
              </w:rPr>
            </w:pPr>
          </w:p>
        </w:tc>
      </w:tr>
      <w:tr w14:paraId="468AD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20" w:type="dxa"/>
            <w:vMerge w:val="continue"/>
          </w:tcPr>
          <w:p w14:paraId="64887CC0">
            <w:pPr>
              <w:pStyle w:val="43"/>
              <w:spacing w:before="0" w:beforeAutospacing="0" w:after="0" w:afterAutospacing="0"/>
              <w:ind w:left="107"/>
              <w:rPr>
                <w:bCs/>
                <w:color w:val="auto"/>
                <w:spacing w:val="16"/>
                <w:sz w:val="21"/>
                <w:szCs w:val="21"/>
              </w:rPr>
            </w:pPr>
          </w:p>
        </w:tc>
        <w:tc>
          <w:tcPr>
            <w:tcW w:w="1553" w:type="dxa"/>
            <w:gridSpan w:val="2"/>
          </w:tcPr>
          <w:p w14:paraId="1C8E42EC">
            <w:pPr>
              <w:pStyle w:val="43"/>
              <w:spacing w:before="0" w:beforeAutospacing="0" w:after="0" w:afterAutospacing="0"/>
              <w:ind w:right="-107" w:rightChars="-51"/>
              <w:rPr>
                <w:bCs/>
                <w:color w:val="auto"/>
                <w:spacing w:val="41"/>
                <w:sz w:val="21"/>
                <w:szCs w:val="21"/>
              </w:rPr>
            </w:pPr>
            <w:r>
              <w:rPr>
                <w:rFonts w:hint="eastAsia"/>
                <w:bCs/>
                <w:color w:val="auto"/>
                <w:spacing w:val="41"/>
                <w:sz w:val="21"/>
                <w:szCs w:val="21"/>
              </w:rPr>
              <w:t>企业通过质量体系、环保</w:t>
            </w:r>
            <w:r>
              <w:rPr>
                <w:rFonts w:hint="eastAsia"/>
                <w:bCs/>
                <w:color w:val="auto"/>
                <w:spacing w:val="11"/>
                <w:sz w:val="21"/>
                <w:szCs w:val="21"/>
              </w:rPr>
              <w:t>体系、计量等认证情况</w:t>
            </w:r>
          </w:p>
        </w:tc>
        <w:tc>
          <w:tcPr>
            <w:tcW w:w="6578" w:type="dxa"/>
            <w:gridSpan w:val="9"/>
          </w:tcPr>
          <w:p w14:paraId="19FCC5CD">
            <w:pPr>
              <w:pStyle w:val="43"/>
              <w:spacing w:before="0" w:beforeAutospacing="0" w:after="0" w:afterAutospacing="0"/>
              <w:rPr>
                <w:bCs/>
                <w:color w:val="auto"/>
                <w:spacing w:val="16"/>
                <w:sz w:val="21"/>
                <w:szCs w:val="21"/>
              </w:rPr>
            </w:pPr>
          </w:p>
        </w:tc>
      </w:tr>
      <w:tr w14:paraId="4464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20" w:type="dxa"/>
            <w:vMerge w:val="continue"/>
          </w:tcPr>
          <w:p w14:paraId="3515300E">
            <w:pPr>
              <w:pStyle w:val="43"/>
              <w:spacing w:before="0" w:beforeAutospacing="0" w:after="0" w:afterAutospacing="0"/>
              <w:ind w:left="107"/>
              <w:rPr>
                <w:bCs/>
                <w:color w:val="auto"/>
                <w:spacing w:val="27"/>
                <w:sz w:val="21"/>
                <w:szCs w:val="21"/>
              </w:rPr>
            </w:pPr>
          </w:p>
        </w:tc>
        <w:tc>
          <w:tcPr>
            <w:tcW w:w="1553" w:type="dxa"/>
            <w:gridSpan w:val="2"/>
          </w:tcPr>
          <w:p w14:paraId="44D5C085">
            <w:pPr>
              <w:pStyle w:val="43"/>
              <w:spacing w:before="0" w:beforeAutospacing="0" w:after="0" w:afterAutospacing="0"/>
              <w:rPr>
                <w:bCs/>
                <w:color w:val="auto"/>
                <w:spacing w:val="16"/>
                <w:sz w:val="21"/>
                <w:szCs w:val="21"/>
              </w:rPr>
            </w:pPr>
            <w:r>
              <w:rPr>
                <w:rFonts w:hint="eastAsia"/>
                <w:bCs/>
                <w:color w:val="auto"/>
                <w:spacing w:val="10"/>
                <w:sz w:val="21"/>
                <w:szCs w:val="21"/>
              </w:rPr>
              <w:t>企业获得专利情况</w:t>
            </w:r>
          </w:p>
        </w:tc>
        <w:tc>
          <w:tcPr>
            <w:tcW w:w="6578" w:type="dxa"/>
            <w:gridSpan w:val="9"/>
          </w:tcPr>
          <w:p w14:paraId="14E3A001">
            <w:pPr>
              <w:pStyle w:val="43"/>
              <w:spacing w:before="0" w:beforeAutospacing="0" w:after="0" w:afterAutospacing="0"/>
              <w:rPr>
                <w:bCs/>
                <w:color w:val="auto"/>
                <w:spacing w:val="16"/>
                <w:sz w:val="21"/>
                <w:szCs w:val="21"/>
              </w:rPr>
            </w:pPr>
          </w:p>
        </w:tc>
      </w:tr>
    </w:tbl>
    <w:p w14:paraId="2F3A12F7">
      <w:pPr>
        <w:rPr>
          <w:rFonts w:ascii="宋体" w:hAnsi="宋体" w:cs="宋体"/>
          <w:color w:val="auto"/>
          <w:sz w:val="24"/>
          <w:szCs w:val="32"/>
        </w:rPr>
      </w:pPr>
    </w:p>
    <w:p w14:paraId="0DCED18F">
      <w:pPr>
        <w:rPr>
          <w:rFonts w:ascii="宋体" w:hAnsi="宋体"/>
          <w:color w:val="auto"/>
          <w:sz w:val="24"/>
        </w:rPr>
      </w:pPr>
      <w:r>
        <w:rPr>
          <w:rFonts w:hint="eastAsia" w:ascii="宋体" w:hAnsi="宋体"/>
          <w:color w:val="auto"/>
          <w:sz w:val="24"/>
        </w:rPr>
        <w:t>供应商名称（盖章）：</w:t>
      </w:r>
      <w:r>
        <w:rPr>
          <w:rFonts w:hint="eastAsia" w:ascii="宋体" w:hAnsi="宋体"/>
          <w:color w:val="auto"/>
          <w:sz w:val="24"/>
          <w:u w:val="single"/>
        </w:rPr>
        <w:t xml:space="preserve">                      </w:t>
      </w:r>
    </w:p>
    <w:p w14:paraId="161862EB">
      <w:pPr>
        <w:rPr>
          <w:rFonts w:ascii="宋体" w:hAnsi="宋体"/>
          <w:color w:val="auto"/>
          <w:sz w:val="24"/>
        </w:rPr>
      </w:pPr>
      <w:r>
        <w:rPr>
          <w:rFonts w:hint="eastAsia" w:ascii="宋体" w:hAnsi="宋体" w:cs="宋体"/>
          <w:bCs/>
          <w:color w:val="auto"/>
          <w:sz w:val="24"/>
          <w:lang w:val="zh-CN"/>
        </w:rPr>
        <w:t>法定代表人或授权委托人(签字或盖章)</w:t>
      </w:r>
      <w:r>
        <w:rPr>
          <w:rFonts w:hint="eastAsia" w:ascii="宋体" w:hAnsi="宋体"/>
          <w:color w:val="auto"/>
          <w:sz w:val="24"/>
        </w:rPr>
        <w:t>：</w:t>
      </w:r>
      <w:r>
        <w:rPr>
          <w:rFonts w:hint="eastAsia" w:ascii="宋体" w:hAnsi="宋体"/>
          <w:color w:val="auto"/>
          <w:sz w:val="24"/>
          <w:u w:val="single"/>
        </w:rPr>
        <w:t xml:space="preserve">                         </w:t>
      </w:r>
    </w:p>
    <w:p w14:paraId="12C98E14">
      <w:pPr>
        <w:rPr>
          <w:rFonts w:ascii="宋体" w:hAnsi="宋体"/>
          <w:color w:val="auto"/>
          <w:sz w:val="24"/>
        </w:rPr>
      </w:pPr>
      <w:r>
        <w:rPr>
          <w:rFonts w:hint="eastAsia" w:ascii="宋体" w:hAnsi="宋体"/>
          <w:color w:val="auto"/>
          <w:sz w:val="24"/>
        </w:rPr>
        <w:t>日        期：</w:t>
      </w:r>
      <w:r>
        <w:rPr>
          <w:rFonts w:hint="eastAsia" w:ascii="宋体" w:hAnsi="宋体"/>
          <w:color w:val="auto"/>
          <w:sz w:val="24"/>
          <w:u w:val="single"/>
        </w:rPr>
        <w:t xml:space="preserve">                               </w:t>
      </w:r>
    </w:p>
    <w:p w14:paraId="5681FB4A">
      <w:pPr>
        <w:rPr>
          <w:rFonts w:ascii="宋体" w:hAnsi="宋体" w:cs="宋体"/>
          <w:b/>
          <w:color w:val="auto"/>
          <w:sz w:val="28"/>
          <w:szCs w:val="28"/>
        </w:rPr>
        <w:sectPr>
          <w:pgSz w:w="11906" w:h="16838"/>
          <w:pgMar w:top="1474" w:right="1797" w:bottom="1247" w:left="1797" w:header="851" w:footer="851" w:gutter="0"/>
          <w:cols w:space="720" w:num="1"/>
        </w:sectPr>
      </w:pPr>
    </w:p>
    <w:p w14:paraId="40BAD2F0">
      <w:pPr>
        <w:rPr>
          <w:rFonts w:ascii="宋体" w:hAnsi="宋体" w:cs="宋体"/>
          <w:b/>
          <w:color w:val="auto"/>
          <w:sz w:val="28"/>
          <w:szCs w:val="28"/>
        </w:rPr>
      </w:pPr>
      <w:r>
        <w:rPr>
          <w:rFonts w:hint="eastAsia" w:ascii="宋体" w:hAnsi="宋体" w:cs="宋体"/>
          <w:b/>
          <w:color w:val="auto"/>
          <w:sz w:val="28"/>
          <w:szCs w:val="28"/>
        </w:rPr>
        <w:t>附件6</w:t>
      </w:r>
    </w:p>
    <w:p w14:paraId="769D8239">
      <w:pPr>
        <w:snapToGrid w:val="0"/>
        <w:ind w:left="549" w:hanging="549" w:hangingChars="171"/>
        <w:jc w:val="center"/>
        <w:rPr>
          <w:rFonts w:ascii="宋体" w:hAnsi="宋体"/>
          <w:b/>
          <w:color w:val="auto"/>
          <w:sz w:val="32"/>
          <w:szCs w:val="32"/>
        </w:rPr>
      </w:pPr>
      <w:r>
        <w:rPr>
          <w:rFonts w:hint="eastAsia" w:ascii="宋体" w:hAnsi="宋体"/>
          <w:b/>
          <w:color w:val="auto"/>
          <w:sz w:val="32"/>
          <w:szCs w:val="32"/>
        </w:rPr>
        <w:t>需求响应表</w:t>
      </w:r>
    </w:p>
    <w:tbl>
      <w:tblPr>
        <w:tblStyle w:val="26"/>
        <w:tblW w:w="85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429"/>
        <w:gridCol w:w="2237"/>
        <w:gridCol w:w="1402"/>
        <w:gridCol w:w="2696"/>
      </w:tblGrid>
      <w:tr w14:paraId="7AA4B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754" w:type="dxa"/>
            <w:vAlign w:val="center"/>
          </w:tcPr>
          <w:p w14:paraId="36E0ECFD">
            <w:pPr>
              <w:snapToGrid w:val="0"/>
              <w:rPr>
                <w:rFonts w:ascii="宋体" w:hAnsi="宋体"/>
                <w:b/>
                <w:color w:val="auto"/>
                <w:sz w:val="24"/>
              </w:rPr>
            </w:pPr>
            <w:r>
              <w:rPr>
                <w:rFonts w:hint="eastAsia" w:ascii="宋体" w:hAnsi="宋体"/>
                <w:b/>
                <w:color w:val="auto"/>
                <w:sz w:val="24"/>
              </w:rPr>
              <w:t>序号</w:t>
            </w:r>
          </w:p>
        </w:tc>
        <w:tc>
          <w:tcPr>
            <w:tcW w:w="1429" w:type="dxa"/>
            <w:vAlign w:val="center"/>
          </w:tcPr>
          <w:p w14:paraId="4A9499F0">
            <w:pPr>
              <w:snapToGrid w:val="0"/>
              <w:rPr>
                <w:rFonts w:ascii="宋体" w:hAnsi="宋体"/>
                <w:b/>
                <w:color w:val="auto"/>
                <w:sz w:val="24"/>
              </w:rPr>
            </w:pPr>
            <w:r>
              <w:rPr>
                <w:rFonts w:hint="eastAsia" w:ascii="宋体" w:hAnsi="宋体"/>
                <w:b/>
                <w:color w:val="auto"/>
                <w:sz w:val="24"/>
              </w:rPr>
              <w:t xml:space="preserve">   内容</w:t>
            </w:r>
          </w:p>
        </w:tc>
        <w:tc>
          <w:tcPr>
            <w:tcW w:w="2237" w:type="dxa"/>
            <w:vAlign w:val="center"/>
          </w:tcPr>
          <w:p w14:paraId="15A905EE">
            <w:pPr>
              <w:snapToGrid w:val="0"/>
              <w:ind w:left="53" w:leftChars="25" w:firstLine="241" w:firstLineChars="100"/>
              <w:rPr>
                <w:rFonts w:ascii="宋体" w:hAnsi="宋体"/>
                <w:b/>
                <w:color w:val="auto"/>
                <w:sz w:val="24"/>
              </w:rPr>
            </w:pPr>
            <w:r>
              <w:rPr>
                <w:rFonts w:hint="eastAsia" w:ascii="宋体" w:hAnsi="宋体"/>
                <w:b/>
                <w:color w:val="auto"/>
                <w:sz w:val="24"/>
              </w:rPr>
              <w:t>招标需求</w:t>
            </w:r>
          </w:p>
        </w:tc>
        <w:tc>
          <w:tcPr>
            <w:tcW w:w="1402" w:type="dxa"/>
            <w:vAlign w:val="center"/>
          </w:tcPr>
          <w:p w14:paraId="16FF26F9">
            <w:pPr>
              <w:snapToGrid w:val="0"/>
              <w:ind w:left="152"/>
              <w:rPr>
                <w:rFonts w:ascii="宋体" w:hAnsi="宋体"/>
                <w:b/>
                <w:color w:val="auto"/>
                <w:sz w:val="24"/>
              </w:rPr>
            </w:pPr>
            <w:r>
              <w:rPr>
                <w:rFonts w:hint="eastAsia" w:ascii="宋体" w:hAnsi="宋体"/>
                <w:b/>
                <w:color w:val="auto"/>
                <w:sz w:val="24"/>
              </w:rPr>
              <w:t>是否偏离</w:t>
            </w:r>
          </w:p>
        </w:tc>
        <w:tc>
          <w:tcPr>
            <w:tcW w:w="2696" w:type="dxa"/>
            <w:vAlign w:val="center"/>
          </w:tcPr>
          <w:p w14:paraId="028733AC">
            <w:pPr>
              <w:snapToGrid w:val="0"/>
              <w:jc w:val="center"/>
              <w:rPr>
                <w:rFonts w:ascii="宋体" w:hAnsi="宋体"/>
                <w:b/>
                <w:color w:val="auto"/>
                <w:sz w:val="24"/>
              </w:rPr>
            </w:pPr>
            <w:r>
              <w:rPr>
                <w:rFonts w:hint="eastAsia" w:ascii="宋体" w:hAnsi="宋体"/>
                <w:b/>
                <w:color w:val="auto"/>
                <w:sz w:val="24"/>
              </w:rPr>
              <w:t>投标人的承诺或说明</w:t>
            </w:r>
          </w:p>
        </w:tc>
      </w:tr>
      <w:tr w14:paraId="74FB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54" w:type="dxa"/>
            <w:vAlign w:val="center"/>
          </w:tcPr>
          <w:p w14:paraId="42363B0A">
            <w:pPr>
              <w:snapToGrid w:val="0"/>
              <w:rPr>
                <w:rFonts w:ascii="宋体" w:hAnsi="宋体"/>
                <w:color w:val="auto"/>
                <w:sz w:val="24"/>
              </w:rPr>
            </w:pPr>
            <w:r>
              <w:rPr>
                <w:rFonts w:hint="eastAsia" w:ascii="宋体" w:hAnsi="宋体"/>
                <w:color w:val="auto"/>
                <w:sz w:val="24"/>
              </w:rPr>
              <w:t>1</w:t>
            </w:r>
          </w:p>
        </w:tc>
        <w:tc>
          <w:tcPr>
            <w:tcW w:w="1429" w:type="dxa"/>
          </w:tcPr>
          <w:p w14:paraId="7E555A78">
            <w:pPr>
              <w:snapToGrid w:val="0"/>
              <w:rPr>
                <w:rFonts w:ascii="宋体" w:hAnsi="宋体"/>
                <w:color w:val="auto"/>
                <w:sz w:val="24"/>
              </w:rPr>
            </w:pPr>
            <w:r>
              <w:rPr>
                <w:rFonts w:hint="eastAsia" w:ascii="宋体" w:hAnsi="宋体"/>
                <w:color w:val="auto"/>
                <w:sz w:val="24"/>
              </w:rPr>
              <w:t>工期承诺</w:t>
            </w:r>
          </w:p>
        </w:tc>
        <w:tc>
          <w:tcPr>
            <w:tcW w:w="2237" w:type="dxa"/>
            <w:vAlign w:val="center"/>
          </w:tcPr>
          <w:p w14:paraId="6FAC6DD7">
            <w:pPr>
              <w:snapToGrid w:val="0"/>
              <w:rPr>
                <w:rFonts w:ascii="宋体" w:hAnsi="宋体"/>
                <w:color w:val="auto"/>
                <w:sz w:val="24"/>
              </w:rPr>
            </w:pPr>
          </w:p>
        </w:tc>
        <w:tc>
          <w:tcPr>
            <w:tcW w:w="1402" w:type="dxa"/>
            <w:vAlign w:val="center"/>
          </w:tcPr>
          <w:p w14:paraId="52C6686E">
            <w:pPr>
              <w:snapToGrid w:val="0"/>
              <w:rPr>
                <w:rFonts w:ascii="宋体" w:hAnsi="宋体"/>
                <w:color w:val="auto"/>
                <w:sz w:val="24"/>
              </w:rPr>
            </w:pPr>
          </w:p>
        </w:tc>
        <w:tc>
          <w:tcPr>
            <w:tcW w:w="2696" w:type="dxa"/>
            <w:vAlign w:val="center"/>
          </w:tcPr>
          <w:p w14:paraId="44DE25E1">
            <w:pPr>
              <w:snapToGrid w:val="0"/>
              <w:rPr>
                <w:rFonts w:ascii="宋体" w:hAnsi="宋体"/>
                <w:color w:val="auto"/>
                <w:sz w:val="24"/>
              </w:rPr>
            </w:pPr>
          </w:p>
        </w:tc>
      </w:tr>
      <w:tr w14:paraId="2938D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754" w:type="dxa"/>
            <w:vAlign w:val="center"/>
          </w:tcPr>
          <w:p w14:paraId="55EE3BB9">
            <w:pPr>
              <w:snapToGrid w:val="0"/>
              <w:rPr>
                <w:rFonts w:ascii="宋体" w:hAnsi="宋体"/>
                <w:color w:val="auto"/>
                <w:sz w:val="24"/>
              </w:rPr>
            </w:pPr>
            <w:r>
              <w:rPr>
                <w:rFonts w:hint="eastAsia" w:ascii="宋体" w:hAnsi="宋体"/>
                <w:color w:val="auto"/>
                <w:sz w:val="24"/>
              </w:rPr>
              <w:t>2</w:t>
            </w:r>
          </w:p>
        </w:tc>
        <w:tc>
          <w:tcPr>
            <w:tcW w:w="1429" w:type="dxa"/>
          </w:tcPr>
          <w:p w14:paraId="632A814E">
            <w:pPr>
              <w:snapToGrid w:val="0"/>
              <w:rPr>
                <w:rFonts w:ascii="宋体" w:hAnsi="宋体"/>
                <w:color w:val="auto"/>
                <w:sz w:val="24"/>
              </w:rPr>
            </w:pPr>
            <w:r>
              <w:rPr>
                <w:rFonts w:hint="eastAsia" w:ascii="宋体" w:hAnsi="宋体"/>
                <w:color w:val="auto"/>
                <w:sz w:val="24"/>
              </w:rPr>
              <w:t>付款条件</w:t>
            </w:r>
          </w:p>
        </w:tc>
        <w:tc>
          <w:tcPr>
            <w:tcW w:w="2237" w:type="dxa"/>
            <w:vAlign w:val="center"/>
          </w:tcPr>
          <w:p w14:paraId="0D992A8D">
            <w:pPr>
              <w:snapToGrid w:val="0"/>
              <w:rPr>
                <w:rFonts w:ascii="宋体" w:hAnsi="宋体"/>
                <w:color w:val="auto"/>
                <w:sz w:val="24"/>
              </w:rPr>
            </w:pPr>
          </w:p>
        </w:tc>
        <w:tc>
          <w:tcPr>
            <w:tcW w:w="1402" w:type="dxa"/>
            <w:vAlign w:val="center"/>
          </w:tcPr>
          <w:p w14:paraId="4ECE4B27">
            <w:pPr>
              <w:snapToGrid w:val="0"/>
              <w:rPr>
                <w:rFonts w:ascii="宋体" w:hAnsi="宋体"/>
                <w:color w:val="auto"/>
                <w:sz w:val="24"/>
              </w:rPr>
            </w:pPr>
          </w:p>
        </w:tc>
        <w:tc>
          <w:tcPr>
            <w:tcW w:w="2696" w:type="dxa"/>
            <w:vAlign w:val="center"/>
          </w:tcPr>
          <w:p w14:paraId="3226062F">
            <w:pPr>
              <w:snapToGrid w:val="0"/>
              <w:rPr>
                <w:rFonts w:ascii="宋体" w:hAnsi="宋体"/>
                <w:color w:val="auto"/>
                <w:sz w:val="24"/>
              </w:rPr>
            </w:pPr>
          </w:p>
        </w:tc>
      </w:tr>
      <w:tr w14:paraId="07AE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754" w:type="dxa"/>
            <w:vAlign w:val="center"/>
          </w:tcPr>
          <w:p w14:paraId="599242F2">
            <w:pPr>
              <w:snapToGrid w:val="0"/>
              <w:rPr>
                <w:rFonts w:ascii="宋体" w:hAnsi="宋体"/>
                <w:color w:val="auto"/>
                <w:sz w:val="24"/>
              </w:rPr>
            </w:pPr>
            <w:r>
              <w:rPr>
                <w:rFonts w:hint="eastAsia" w:ascii="宋体" w:hAnsi="宋体"/>
                <w:color w:val="auto"/>
                <w:sz w:val="24"/>
              </w:rPr>
              <w:t>3</w:t>
            </w:r>
          </w:p>
        </w:tc>
        <w:tc>
          <w:tcPr>
            <w:tcW w:w="1429" w:type="dxa"/>
          </w:tcPr>
          <w:p w14:paraId="63A9AD56">
            <w:pPr>
              <w:snapToGrid w:val="0"/>
              <w:rPr>
                <w:rFonts w:ascii="宋体" w:hAnsi="宋体"/>
                <w:color w:val="auto"/>
                <w:sz w:val="24"/>
              </w:rPr>
            </w:pPr>
            <w:r>
              <w:rPr>
                <w:rFonts w:hint="eastAsia" w:ascii="宋体" w:hAnsi="宋体"/>
                <w:color w:val="auto"/>
                <w:sz w:val="24"/>
              </w:rPr>
              <w:t>服务响应时间承诺</w:t>
            </w:r>
          </w:p>
        </w:tc>
        <w:tc>
          <w:tcPr>
            <w:tcW w:w="2237" w:type="dxa"/>
            <w:vAlign w:val="center"/>
          </w:tcPr>
          <w:p w14:paraId="67AF2A05">
            <w:pPr>
              <w:snapToGrid w:val="0"/>
              <w:rPr>
                <w:rFonts w:ascii="宋体" w:hAnsi="宋体"/>
                <w:color w:val="auto"/>
                <w:sz w:val="24"/>
              </w:rPr>
            </w:pPr>
          </w:p>
        </w:tc>
        <w:tc>
          <w:tcPr>
            <w:tcW w:w="1402" w:type="dxa"/>
            <w:vAlign w:val="center"/>
          </w:tcPr>
          <w:p w14:paraId="29FBAD8E">
            <w:pPr>
              <w:snapToGrid w:val="0"/>
              <w:rPr>
                <w:rFonts w:ascii="宋体" w:hAnsi="宋体"/>
                <w:color w:val="auto"/>
                <w:sz w:val="24"/>
              </w:rPr>
            </w:pPr>
          </w:p>
        </w:tc>
        <w:tc>
          <w:tcPr>
            <w:tcW w:w="2696" w:type="dxa"/>
            <w:vAlign w:val="center"/>
          </w:tcPr>
          <w:p w14:paraId="629D833C">
            <w:pPr>
              <w:snapToGrid w:val="0"/>
              <w:rPr>
                <w:rFonts w:ascii="宋体" w:hAnsi="宋体"/>
                <w:color w:val="auto"/>
                <w:sz w:val="24"/>
              </w:rPr>
            </w:pPr>
          </w:p>
        </w:tc>
      </w:tr>
      <w:tr w14:paraId="791A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754" w:type="dxa"/>
            <w:vAlign w:val="center"/>
          </w:tcPr>
          <w:p w14:paraId="5C02313E">
            <w:pPr>
              <w:snapToGrid w:val="0"/>
              <w:rPr>
                <w:rFonts w:ascii="宋体" w:hAnsi="宋体"/>
                <w:color w:val="auto"/>
                <w:sz w:val="24"/>
              </w:rPr>
            </w:pPr>
            <w:r>
              <w:rPr>
                <w:rFonts w:hint="eastAsia" w:ascii="宋体" w:hAnsi="宋体"/>
                <w:color w:val="auto"/>
                <w:sz w:val="24"/>
              </w:rPr>
              <w:t>..</w:t>
            </w:r>
          </w:p>
        </w:tc>
        <w:tc>
          <w:tcPr>
            <w:tcW w:w="1429" w:type="dxa"/>
          </w:tcPr>
          <w:p w14:paraId="107F2BFF">
            <w:pPr>
              <w:snapToGrid w:val="0"/>
              <w:rPr>
                <w:rFonts w:ascii="宋体" w:hAnsi="宋体"/>
                <w:color w:val="auto"/>
                <w:sz w:val="24"/>
              </w:rPr>
            </w:pPr>
          </w:p>
        </w:tc>
        <w:tc>
          <w:tcPr>
            <w:tcW w:w="2237" w:type="dxa"/>
            <w:vAlign w:val="center"/>
          </w:tcPr>
          <w:p w14:paraId="6E8451FE">
            <w:pPr>
              <w:snapToGrid w:val="0"/>
              <w:rPr>
                <w:rFonts w:ascii="宋体" w:hAnsi="宋体"/>
                <w:color w:val="auto"/>
                <w:sz w:val="24"/>
              </w:rPr>
            </w:pPr>
          </w:p>
        </w:tc>
        <w:tc>
          <w:tcPr>
            <w:tcW w:w="1402" w:type="dxa"/>
            <w:vAlign w:val="center"/>
          </w:tcPr>
          <w:p w14:paraId="493BFA1B">
            <w:pPr>
              <w:snapToGrid w:val="0"/>
              <w:rPr>
                <w:rFonts w:ascii="宋体" w:hAnsi="宋体"/>
                <w:color w:val="auto"/>
                <w:sz w:val="24"/>
              </w:rPr>
            </w:pPr>
          </w:p>
        </w:tc>
        <w:tc>
          <w:tcPr>
            <w:tcW w:w="2696" w:type="dxa"/>
            <w:vAlign w:val="center"/>
          </w:tcPr>
          <w:p w14:paraId="6D6B255A">
            <w:pPr>
              <w:snapToGrid w:val="0"/>
              <w:rPr>
                <w:rFonts w:ascii="宋体" w:hAnsi="宋体"/>
                <w:color w:val="auto"/>
                <w:sz w:val="24"/>
              </w:rPr>
            </w:pPr>
          </w:p>
        </w:tc>
      </w:tr>
      <w:tr w14:paraId="27C08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54" w:type="dxa"/>
            <w:vAlign w:val="center"/>
          </w:tcPr>
          <w:p w14:paraId="127B7AC7">
            <w:pPr>
              <w:snapToGrid w:val="0"/>
              <w:rPr>
                <w:rFonts w:ascii="宋体" w:hAnsi="宋体"/>
                <w:color w:val="auto"/>
                <w:sz w:val="24"/>
              </w:rPr>
            </w:pPr>
          </w:p>
        </w:tc>
        <w:tc>
          <w:tcPr>
            <w:tcW w:w="1429" w:type="dxa"/>
          </w:tcPr>
          <w:p w14:paraId="08163A2F">
            <w:pPr>
              <w:snapToGrid w:val="0"/>
              <w:rPr>
                <w:rFonts w:ascii="宋体" w:hAnsi="宋体"/>
                <w:color w:val="auto"/>
                <w:sz w:val="24"/>
              </w:rPr>
            </w:pPr>
          </w:p>
        </w:tc>
        <w:tc>
          <w:tcPr>
            <w:tcW w:w="2237" w:type="dxa"/>
            <w:vAlign w:val="center"/>
          </w:tcPr>
          <w:p w14:paraId="56772CA7">
            <w:pPr>
              <w:snapToGrid w:val="0"/>
              <w:rPr>
                <w:rFonts w:ascii="宋体" w:hAnsi="宋体"/>
                <w:color w:val="auto"/>
                <w:sz w:val="24"/>
              </w:rPr>
            </w:pPr>
          </w:p>
        </w:tc>
        <w:tc>
          <w:tcPr>
            <w:tcW w:w="1402" w:type="dxa"/>
            <w:vAlign w:val="center"/>
          </w:tcPr>
          <w:p w14:paraId="79731A12">
            <w:pPr>
              <w:snapToGrid w:val="0"/>
              <w:rPr>
                <w:rFonts w:ascii="宋体" w:hAnsi="宋体"/>
                <w:color w:val="auto"/>
                <w:sz w:val="24"/>
              </w:rPr>
            </w:pPr>
          </w:p>
        </w:tc>
        <w:tc>
          <w:tcPr>
            <w:tcW w:w="2696" w:type="dxa"/>
            <w:vAlign w:val="center"/>
          </w:tcPr>
          <w:p w14:paraId="507B66A9">
            <w:pPr>
              <w:snapToGrid w:val="0"/>
              <w:rPr>
                <w:rFonts w:ascii="宋体" w:hAnsi="宋体"/>
                <w:color w:val="auto"/>
                <w:sz w:val="24"/>
              </w:rPr>
            </w:pPr>
          </w:p>
        </w:tc>
      </w:tr>
      <w:tr w14:paraId="2DE27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754" w:type="dxa"/>
            <w:vAlign w:val="center"/>
          </w:tcPr>
          <w:p w14:paraId="355A98CB">
            <w:pPr>
              <w:snapToGrid w:val="0"/>
              <w:rPr>
                <w:rFonts w:ascii="宋体" w:hAnsi="宋体"/>
                <w:color w:val="auto"/>
                <w:sz w:val="24"/>
              </w:rPr>
            </w:pPr>
          </w:p>
        </w:tc>
        <w:tc>
          <w:tcPr>
            <w:tcW w:w="1429" w:type="dxa"/>
          </w:tcPr>
          <w:p w14:paraId="04B5AF1B">
            <w:pPr>
              <w:snapToGrid w:val="0"/>
              <w:rPr>
                <w:rFonts w:ascii="宋体" w:hAnsi="宋体"/>
                <w:color w:val="auto"/>
                <w:sz w:val="24"/>
              </w:rPr>
            </w:pPr>
          </w:p>
        </w:tc>
        <w:tc>
          <w:tcPr>
            <w:tcW w:w="2237" w:type="dxa"/>
            <w:vAlign w:val="center"/>
          </w:tcPr>
          <w:p w14:paraId="36B10B8F">
            <w:pPr>
              <w:snapToGrid w:val="0"/>
              <w:rPr>
                <w:rFonts w:ascii="宋体" w:hAnsi="宋体"/>
                <w:color w:val="auto"/>
                <w:sz w:val="24"/>
              </w:rPr>
            </w:pPr>
          </w:p>
        </w:tc>
        <w:tc>
          <w:tcPr>
            <w:tcW w:w="1402" w:type="dxa"/>
            <w:vAlign w:val="center"/>
          </w:tcPr>
          <w:p w14:paraId="02AC7D4F">
            <w:pPr>
              <w:snapToGrid w:val="0"/>
              <w:rPr>
                <w:rFonts w:ascii="宋体" w:hAnsi="宋体"/>
                <w:color w:val="auto"/>
                <w:sz w:val="24"/>
              </w:rPr>
            </w:pPr>
          </w:p>
        </w:tc>
        <w:tc>
          <w:tcPr>
            <w:tcW w:w="2696" w:type="dxa"/>
            <w:vAlign w:val="center"/>
          </w:tcPr>
          <w:p w14:paraId="6D080D95">
            <w:pPr>
              <w:snapToGrid w:val="0"/>
              <w:rPr>
                <w:rFonts w:ascii="宋体" w:hAnsi="宋体"/>
                <w:color w:val="auto"/>
                <w:sz w:val="24"/>
              </w:rPr>
            </w:pPr>
          </w:p>
        </w:tc>
      </w:tr>
      <w:tr w14:paraId="324A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754" w:type="dxa"/>
            <w:vAlign w:val="center"/>
          </w:tcPr>
          <w:p w14:paraId="58DB0B68">
            <w:pPr>
              <w:snapToGrid w:val="0"/>
              <w:rPr>
                <w:rFonts w:ascii="宋体" w:hAnsi="宋体"/>
                <w:color w:val="auto"/>
                <w:sz w:val="24"/>
              </w:rPr>
            </w:pPr>
          </w:p>
        </w:tc>
        <w:tc>
          <w:tcPr>
            <w:tcW w:w="1429" w:type="dxa"/>
          </w:tcPr>
          <w:p w14:paraId="5C56B954">
            <w:pPr>
              <w:snapToGrid w:val="0"/>
              <w:rPr>
                <w:rFonts w:ascii="宋体" w:hAnsi="宋体"/>
                <w:color w:val="auto"/>
                <w:sz w:val="24"/>
              </w:rPr>
            </w:pPr>
          </w:p>
        </w:tc>
        <w:tc>
          <w:tcPr>
            <w:tcW w:w="2237" w:type="dxa"/>
            <w:vAlign w:val="center"/>
          </w:tcPr>
          <w:p w14:paraId="418CF32A">
            <w:pPr>
              <w:snapToGrid w:val="0"/>
              <w:rPr>
                <w:rFonts w:ascii="宋体" w:hAnsi="宋体"/>
                <w:color w:val="auto"/>
                <w:sz w:val="24"/>
              </w:rPr>
            </w:pPr>
          </w:p>
        </w:tc>
        <w:tc>
          <w:tcPr>
            <w:tcW w:w="1402" w:type="dxa"/>
            <w:vAlign w:val="center"/>
          </w:tcPr>
          <w:p w14:paraId="50D128F4">
            <w:pPr>
              <w:snapToGrid w:val="0"/>
              <w:rPr>
                <w:rFonts w:ascii="宋体" w:hAnsi="宋体"/>
                <w:color w:val="auto"/>
                <w:sz w:val="24"/>
              </w:rPr>
            </w:pPr>
          </w:p>
        </w:tc>
        <w:tc>
          <w:tcPr>
            <w:tcW w:w="2696" w:type="dxa"/>
            <w:vAlign w:val="center"/>
          </w:tcPr>
          <w:p w14:paraId="086D34B3">
            <w:pPr>
              <w:snapToGrid w:val="0"/>
              <w:rPr>
                <w:rFonts w:ascii="宋体" w:hAnsi="宋体"/>
                <w:color w:val="auto"/>
                <w:sz w:val="24"/>
              </w:rPr>
            </w:pPr>
          </w:p>
        </w:tc>
      </w:tr>
      <w:tr w14:paraId="3E1E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754" w:type="dxa"/>
            <w:vAlign w:val="center"/>
          </w:tcPr>
          <w:p w14:paraId="482278EF">
            <w:pPr>
              <w:snapToGrid w:val="0"/>
              <w:rPr>
                <w:rFonts w:ascii="宋体" w:hAnsi="宋体"/>
                <w:color w:val="auto"/>
                <w:sz w:val="24"/>
              </w:rPr>
            </w:pPr>
          </w:p>
        </w:tc>
        <w:tc>
          <w:tcPr>
            <w:tcW w:w="1429" w:type="dxa"/>
          </w:tcPr>
          <w:p w14:paraId="1A819B93">
            <w:pPr>
              <w:snapToGrid w:val="0"/>
              <w:rPr>
                <w:rFonts w:ascii="宋体" w:hAnsi="宋体"/>
                <w:color w:val="auto"/>
                <w:sz w:val="24"/>
              </w:rPr>
            </w:pPr>
          </w:p>
        </w:tc>
        <w:tc>
          <w:tcPr>
            <w:tcW w:w="2237" w:type="dxa"/>
            <w:vAlign w:val="center"/>
          </w:tcPr>
          <w:p w14:paraId="531D3AFC">
            <w:pPr>
              <w:snapToGrid w:val="0"/>
              <w:rPr>
                <w:rFonts w:ascii="宋体" w:hAnsi="宋体"/>
                <w:color w:val="auto"/>
                <w:sz w:val="24"/>
              </w:rPr>
            </w:pPr>
          </w:p>
        </w:tc>
        <w:tc>
          <w:tcPr>
            <w:tcW w:w="1402" w:type="dxa"/>
            <w:vAlign w:val="center"/>
          </w:tcPr>
          <w:p w14:paraId="79951562">
            <w:pPr>
              <w:snapToGrid w:val="0"/>
              <w:rPr>
                <w:rFonts w:ascii="宋体" w:hAnsi="宋体"/>
                <w:color w:val="auto"/>
                <w:sz w:val="24"/>
              </w:rPr>
            </w:pPr>
          </w:p>
        </w:tc>
        <w:tc>
          <w:tcPr>
            <w:tcW w:w="2696" w:type="dxa"/>
            <w:vAlign w:val="center"/>
          </w:tcPr>
          <w:p w14:paraId="54F0453B">
            <w:pPr>
              <w:snapToGrid w:val="0"/>
              <w:rPr>
                <w:rFonts w:ascii="宋体" w:hAnsi="宋体"/>
                <w:color w:val="auto"/>
                <w:sz w:val="24"/>
              </w:rPr>
            </w:pPr>
          </w:p>
        </w:tc>
      </w:tr>
    </w:tbl>
    <w:p w14:paraId="4A47E8FF">
      <w:pPr>
        <w:pStyle w:val="14"/>
        <w:snapToGrid w:val="0"/>
        <w:spacing w:beforeLines="0" w:afterLines="0" w:line="240" w:lineRule="auto"/>
        <w:ind w:firstLine="241" w:firstLineChars="100"/>
        <w:rPr>
          <w:rFonts w:hint="default" w:hAnsi="宋体"/>
          <w:color w:val="auto"/>
        </w:rPr>
      </w:pPr>
    </w:p>
    <w:p w14:paraId="3D6B5D6E">
      <w:pPr>
        <w:pStyle w:val="14"/>
        <w:snapToGrid w:val="0"/>
        <w:spacing w:beforeLines="0" w:afterLines="0" w:line="240" w:lineRule="auto"/>
        <w:ind w:firstLine="241" w:firstLineChars="100"/>
        <w:rPr>
          <w:rFonts w:hint="default" w:hAnsi="宋体"/>
          <w:color w:val="auto"/>
        </w:rPr>
      </w:pPr>
      <w:r>
        <w:rPr>
          <w:rFonts w:hAnsi="宋体"/>
          <w:color w:val="auto"/>
        </w:rPr>
        <w:t>供应商名称（盖章）</w:t>
      </w:r>
      <w:r>
        <w:rPr>
          <w:rFonts w:hAnsi="宋体"/>
          <w:color w:val="auto"/>
          <w:spacing w:val="20"/>
        </w:rPr>
        <w:t xml:space="preserve">：       </w:t>
      </w:r>
      <w:r>
        <w:rPr>
          <w:rFonts w:hAnsi="宋体" w:cs="宋体"/>
          <w:bCs/>
          <w:color w:val="auto"/>
          <w:lang w:val="zh-CN"/>
        </w:rPr>
        <w:t>法定代表人或授权委托人(签字或盖章)</w:t>
      </w:r>
      <w:r>
        <w:rPr>
          <w:rFonts w:hAnsi="宋体"/>
          <w:color w:val="auto"/>
          <w:spacing w:val="20"/>
        </w:rPr>
        <w:t>：</w:t>
      </w:r>
    </w:p>
    <w:p w14:paraId="03FE82A6">
      <w:pPr>
        <w:widowControl/>
        <w:jc w:val="left"/>
        <w:rPr>
          <w:rFonts w:ascii="宋体" w:hAnsi="宋体"/>
          <w:color w:val="auto"/>
          <w:sz w:val="24"/>
        </w:rPr>
      </w:pPr>
    </w:p>
    <w:p w14:paraId="460EC69A">
      <w:pPr>
        <w:widowControl/>
        <w:jc w:val="left"/>
        <w:rPr>
          <w:rFonts w:ascii="宋体" w:hAnsi="宋体"/>
          <w:color w:val="auto"/>
          <w:sz w:val="24"/>
        </w:rPr>
      </w:pPr>
      <w:r>
        <w:rPr>
          <w:rFonts w:hint="eastAsia" w:ascii="宋体" w:hAnsi="宋体"/>
          <w:color w:val="auto"/>
          <w:sz w:val="24"/>
        </w:rPr>
        <w:t xml:space="preserve">  日期：</w:t>
      </w:r>
    </w:p>
    <w:p w14:paraId="5C941222">
      <w:pPr>
        <w:rPr>
          <w:rFonts w:ascii="宋体" w:hAnsi="宋体" w:cs="宋体"/>
          <w:b/>
          <w:color w:val="auto"/>
          <w:sz w:val="28"/>
          <w:szCs w:val="28"/>
        </w:rPr>
      </w:pPr>
    </w:p>
    <w:p w14:paraId="41DC095C">
      <w:pPr>
        <w:rPr>
          <w:rFonts w:ascii="宋体" w:hAnsi="宋体" w:cs="宋体"/>
          <w:b/>
          <w:color w:val="auto"/>
          <w:sz w:val="28"/>
          <w:szCs w:val="28"/>
        </w:rPr>
      </w:pPr>
    </w:p>
    <w:p w14:paraId="0268BEEF">
      <w:pPr>
        <w:rPr>
          <w:rFonts w:ascii="宋体" w:hAnsi="宋体" w:cs="宋体"/>
          <w:b/>
          <w:color w:val="auto"/>
          <w:sz w:val="28"/>
          <w:szCs w:val="28"/>
        </w:rPr>
      </w:pPr>
    </w:p>
    <w:p w14:paraId="69024737">
      <w:pPr>
        <w:rPr>
          <w:rFonts w:ascii="宋体" w:hAnsi="宋体" w:cs="宋体"/>
          <w:b/>
          <w:color w:val="auto"/>
          <w:sz w:val="28"/>
          <w:szCs w:val="28"/>
        </w:rPr>
      </w:pPr>
    </w:p>
    <w:p w14:paraId="43F0201C">
      <w:pPr>
        <w:rPr>
          <w:rFonts w:ascii="宋体" w:hAnsi="宋体" w:cs="宋体"/>
          <w:b/>
          <w:color w:val="auto"/>
          <w:sz w:val="28"/>
          <w:szCs w:val="28"/>
        </w:rPr>
      </w:pPr>
    </w:p>
    <w:p w14:paraId="3948C930">
      <w:pPr>
        <w:pStyle w:val="8"/>
        <w:rPr>
          <w:rFonts w:hAnsi="宋体" w:cs="宋体"/>
          <w:b/>
          <w:color w:val="auto"/>
          <w:sz w:val="28"/>
          <w:szCs w:val="28"/>
        </w:rPr>
      </w:pPr>
    </w:p>
    <w:p w14:paraId="0BCE7418">
      <w:pPr>
        <w:rPr>
          <w:rFonts w:ascii="宋体" w:hAnsi="宋体" w:cs="宋体"/>
          <w:b/>
          <w:color w:val="auto"/>
          <w:sz w:val="28"/>
          <w:szCs w:val="28"/>
        </w:rPr>
      </w:pPr>
    </w:p>
    <w:p w14:paraId="37A54B61">
      <w:pPr>
        <w:pStyle w:val="8"/>
        <w:rPr>
          <w:rFonts w:hAnsi="宋体" w:cs="宋体"/>
          <w:b/>
          <w:color w:val="auto"/>
          <w:sz w:val="28"/>
          <w:szCs w:val="28"/>
        </w:rPr>
      </w:pPr>
    </w:p>
    <w:p w14:paraId="33BC0FBB">
      <w:pPr>
        <w:rPr>
          <w:color w:val="auto"/>
        </w:rPr>
      </w:pPr>
    </w:p>
    <w:p w14:paraId="3D2E15C7">
      <w:pPr>
        <w:rPr>
          <w:rFonts w:ascii="宋体" w:hAnsi="宋体" w:cs="宋体"/>
          <w:b/>
          <w:color w:val="auto"/>
          <w:sz w:val="28"/>
          <w:szCs w:val="28"/>
        </w:rPr>
      </w:pPr>
    </w:p>
    <w:p w14:paraId="01D11709">
      <w:pPr>
        <w:pStyle w:val="8"/>
        <w:rPr>
          <w:rFonts w:hAnsi="宋体" w:cs="宋体"/>
          <w:b/>
          <w:color w:val="auto"/>
          <w:sz w:val="28"/>
          <w:szCs w:val="28"/>
        </w:rPr>
      </w:pPr>
    </w:p>
    <w:p w14:paraId="197B8E37">
      <w:pPr>
        <w:rPr>
          <w:rFonts w:ascii="宋体" w:hAnsi="宋体" w:cs="宋体"/>
          <w:b/>
          <w:color w:val="auto"/>
          <w:sz w:val="28"/>
          <w:szCs w:val="28"/>
        </w:rPr>
      </w:pPr>
    </w:p>
    <w:p w14:paraId="6C5DAB8B">
      <w:pPr>
        <w:pStyle w:val="8"/>
        <w:rPr>
          <w:rFonts w:hAnsi="宋体" w:cs="宋体"/>
          <w:b/>
          <w:color w:val="auto"/>
          <w:sz w:val="28"/>
          <w:szCs w:val="28"/>
        </w:rPr>
      </w:pPr>
    </w:p>
    <w:p w14:paraId="4AEDDBAF">
      <w:pPr>
        <w:rPr>
          <w:rFonts w:ascii="宋体" w:hAnsi="宋体" w:cs="宋体"/>
          <w:b/>
          <w:color w:val="auto"/>
          <w:sz w:val="28"/>
          <w:szCs w:val="28"/>
        </w:rPr>
      </w:pPr>
    </w:p>
    <w:p w14:paraId="1077F068">
      <w:pPr>
        <w:pStyle w:val="8"/>
        <w:rPr>
          <w:rFonts w:hAnsi="宋体" w:cs="宋体"/>
          <w:b/>
          <w:color w:val="auto"/>
          <w:sz w:val="28"/>
          <w:szCs w:val="28"/>
        </w:rPr>
      </w:pPr>
    </w:p>
    <w:p w14:paraId="0CFEC4B1">
      <w:pPr>
        <w:rPr>
          <w:rFonts w:ascii="宋体" w:hAnsi="宋体" w:cs="宋体"/>
          <w:b/>
          <w:color w:val="auto"/>
          <w:sz w:val="28"/>
          <w:szCs w:val="28"/>
        </w:rPr>
      </w:pPr>
    </w:p>
    <w:p w14:paraId="1EC56673">
      <w:pPr>
        <w:pStyle w:val="8"/>
        <w:rPr>
          <w:color w:val="auto"/>
        </w:rPr>
      </w:pPr>
    </w:p>
    <w:p w14:paraId="5B9CFD57">
      <w:pPr>
        <w:pStyle w:val="8"/>
        <w:rPr>
          <w:color w:val="auto"/>
        </w:rPr>
      </w:pPr>
    </w:p>
    <w:p w14:paraId="372EB373">
      <w:pPr>
        <w:rPr>
          <w:rFonts w:ascii="宋体" w:hAnsi="宋体" w:cs="宋体"/>
          <w:b/>
          <w:color w:val="auto"/>
          <w:sz w:val="28"/>
          <w:szCs w:val="28"/>
        </w:rPr>
      </w:pPr>
    </w:p>
    <w:p w14:paraId="3FC12B66">
      <w:pPr>
        <w:rPr>
          <w:rFonts w:ascii="宋体" w:hAnsi="宋体"/>
          <w:b/>
          <w:color w:val="auto"/>
          <w:sz w:val="28"/>
        </w:rPr>
      </w:pPr>
      <w:r>
        <w:rPr>
          <w:rFonts w:hint="eastAsia" w:ascii="宋体" w:hAnsi="宋体" w:cs="宋体"/>
          <w:b/>
          <w:color w:val="auto"/>
          <w:sz w:val="28"/>
          <w:szCs w:val="28"/>
        </w:rPr>
        <w:br w:type="page"/>
      </w:r>
    </w:p>
    <w:p w14:paraId="633DACD5">
      <w:pPr>
        <w:pStyle w:val="8"/>
        <w:rPr>
          <w:rFonts w:hAnsi="宋体"/>
          <w:b/>
          <w:color w:val="auto"/>
          <w:sz w:val="28"/>
        </w:rPr>
      </w:pPr>
    </w:p>
    <w:p w14:paraId="7C128982">
      <w:pPr>
        <w:rPr>
          <w:rFonts w:ascii="宋体" w:hAnsi="宋体"/>
          <w:b/>
          <w:color w:val="auto"/>
          <w:sz w:val="28"/>
        </w:rPr>
      </w:pPr>
    </w:p>
    <w:p w14:paraId="4EA6F57C">
      <w:pPr>
        <w:pStyle w:val="8"/>
        <w:rPr>
          <w:color w:val="auto"/>
        </w:rPr>
      </w:pPr>
    </w:p>
    <w:p w14:paraId="44409B27">
      <w:pPr>
        <w:rPr>
          <w:rFonts w:hint="eastAsia" w:ascii="宋体" w:hAnsi="宋体" w:eastAsia="宋体"/>
          <w:color w:val="auto"/>
          <w:sz w:val="24"/>
          <w:lang w:eastAsia="zh-CN"/>
        </w:rPr>
      </w:pPr>
      <w:r>
        <w:rPr>
          <w:rFonts w:hint="eastAsia" w:ascii="宋体" w:hAnsi="宋体"/>
          <w:b/>
          <w:color w:val="auto"/>
          <w:sz w:val="28"/>
        </w:rPr>
        <w:t>附件</w:t>
      </w:r>
      <w:r>
        <w:rPr>
          <w:rFonts w:hint="eastAsia" w:ascii="宋体" w:hAnsi="宋体"/>
          <w:b/>
          <w:color w:val="auto"/>
          <w:sz w:val="28"/>
          <w:lang w:val="en-US" w:eastAsia="zh-CN"/>
        </w:rPr>
        <w:t>7</w:t>
      </w:r>
    </w:p>
    <w:p w14:paraId="0860D672">
      <w:pPr>
        <w:snapToGrid w:val="0"/>
        <w:jc w:val="center"/>
        <w:rPr>
          <w:rFonts w:ascii="黑体" w:hAnsi="宋体" w:eastAsia="黑体"/>
          <w:color w:val="auto"/>
          <w:sz w:val="36"/>
        </w:rPr>
      </w:pPr>
      <w:r>
        <w:rPr>
          <w:rFonts w:hint="eastAsia" w:ascii="黑体" w:hAnsi="宋体" w:eastAsia="黑体"/>
          <w:color w:val="auto"/>
          <w:sz w:val="36"/>
        </w:rPr>
        <w:t>项目主要实施人员一览表</w:t>
      </w:r>
    </w:p>
    <w:tbl>
      <w:tblPr>
        <w:tblStyle w:val="26"/>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1392"/>
        <w:gridCol w:w="911"/>
        <w:gridCol w:w="1377"/>
        <w:gridCol w:w="1173"/>
        <w:gridCol w:w="1541"/>
        <w:gridCol w:w="1935"/>
      </w:tblGrid>
      <w:tr w14:paraId="5393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exact"/>
          <w:jc w:val="center"/>
        </w:trPr>
        <w:tc>
          <w:tcPr>
            <w:tcW w:w="1447" w:type="dxa"/>
            <w:noWrap/>
            <w:vAlign w:val="center"/>
          </w:tcPr>
          <w:p w14:paraId="3B0C7DE1">
            <w:pPr>
              <w:snapToGrid w:val="0"/>
              <w:jc w:val="center"/>
              <w:rPr>
                <w:color w:val="auto"/>
                <w:sz w:val="24"/>
              </w:rPr>
            </w:pPr>
            <w:r>
              <w:rPr>
                <w:rFonts w:hint="eastAsia"/>
                <w:color w:val="auto"/>
                <w:sz w:val="24"/>
              </w:rPr>
              <w:t>在本项目中拟任职务</w:t>
            </w:r>
          </w:p>
        </w:tc>
        <w:tc>
          <w:tcPr>
            <w:tcW w:w="1392" w:type="dxa"/>
            <w:noWrap/>
            <w:vAlign w:val="center"/>
          </w:tcPr>
          <w:p w14:paraId="54BA4071">
            <w:pPr>
              <w:snapToGrid w:val="0"/>
              <w:jc w:val="center"/>
              <w:rPr>
                <w:color w:val="auto"/>
                <w:sz w:val="24"/>
              </w:rPr>
            </w:pPr>
            <w:r>
              <w:rPr>
                <w:rFonts w:hint="eastAsia"/>
                <w:color w:val="auto"/>
                <w:sz w:val="24"/>
              </w:rPr>
              <w:t>姓名</w:t>
            </w:r>
          </w:p>
        </w:tc>
        <w:tc>
          <w:tcPr>
            <w:tcW w:w="911" w:type="dxa"/>
            <w:noWrap/>
            <w:vAlign w:val="center"/>
          </w:tcPr>
          <w:p w14:paraId="787905B3">
            <w:pPr>
              <w:snapToGrid w:val="0"/>
              <w:jc w:val="center"/>
              <w:rPr>
                <w:color w:val="auto"/>
                <w:sz w:val="24"/>
              </w:rPr>
            </w:pPr>
            <w:r>
              <w:rPr>
                <w:rFonts w:hint="eastAsia"/>
                <w:color w:val="auto"/>
                <w:sz w:val="24"/>
              </w:rPr>
              <w:t>性别</w:t>
            </w:r>
          </w:p>
        </w:tc>
        <w:tc>
          <w:tcPr>
            <w:tcW w:w="1377" w:type="dxa"/>
            <w:noWrap/>
            <w:vAlign w:val="center"/>
          </w:tcPr>
          <w:p w14:paraId="4167CF5C">
            <w:pPr>
              <w:snapToGrid w:val="0"/>
              <w:jc w:val="center"/>
              <w:rPr>
                <w:color w:val="auto"/>
                <w:sz w:val="24"/>
              </w:rPr>
            </w:pPr>
            <w:r>
              <w:rPr>
                <w:rFonts w:hint="eastAsia"/>
                <w:color w:val="auto"/>
                <w:sz w:val="24"/>
              </w:rPr>
              <w:t>年龄</w:t>
            </w:r>
          </w:p>
        </w:tc>
        <w:tc>
          <w:tcPr>
            <w:tcW w:w="1173" w:type="dxa"/>
            <w:noWrap/>
            <w:vAlign w:val="center"/>
          </w:tcPr>
          <w:p w14:paraId="174DF62A">
            <w:pPr>
              <w:snapToGrid w:val="0"/>
              <w:jc w:val="center"/>
              <w:rPr>
                <w:color w:val="auto"/>
                <w:sz w:val="24"/>
              </w:rPr>
            </w:pPr>
            <w:r>
              <w:rPr>
                <w:rFonts w:hint="eastAsia"/>
                <w:color w:val="auto"/>
                <w:sz w:val="24"/>
              </w:rPr>
              <w:t>职称</w:t>
            </w:r>
          </w:p>
        </w:tc>
        <w:tc>
          <w:tcPr>
            <w:tcW w:w="1541" w:type="dxa"/>
            <w:noWrap/>
            <w:vAlign w:val="center"/>
          </w:tcPr>
          <w:p w14:paraId="3D197D65">
            <w:pPr>
              <w:snapToGrid w:val="0"/>
              <w:jc w:val="center"/>
              <w:rPr>
                <w:color w:val="auto"/>
                <w:sz w:val="24"/>
              </w:rPr>
            </w:pPr>
            <w:r>
              <w:rPr>
                <w:rFonts w:hint="eastAsia"/>
                <w:color w:val="auto"/>
                <w:sz w:val="24"/>
              </w:rPr>
              <w:t>参加本单位工作时间</w:t>
            </w:r>
          </w:p>
        </w:tc>
        <w:tc>
          <w:tcPr>
            <w:tcW w:w="1935" w:type="dxa"/>
            <w:noWrap/>
            <w:vAlign w:val="center"/>
          </w:tcPr>
          <w:p w14:paraId="36CA4112">
            <w:pPr>
              <w:snapToGrid w:val="0"/>
              <w:jc w:val="center"/>
              <w:rPr>
                <w:color w:val="auto"/>
                <w:sz w:val="24"/>
              </w:rPr>
            </w:pPr>
            <w:r>
              <w:rPr>
                <w:rFonts w:hint="eastAsia"/>
                <w:color w:val="auto"/>
                <w:sz w:val="24"/>
              </w:rPr>
              <w:t>工作经验</w:t>
            </w:r>
          </w:p>
        </w:tc>
      </w:tr>
      <w:tr w14:paraId="0803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exact"/>
          <w:jc w:val="center"/>
        </w:trPr>
        <w:tc>
          <w:tcPr>
            <w:tcW w:w="1447" w:type="dxa"/>
            <w:noWrap/>
            <w:vAlign w:val="center"/>
          </w:tcPr>
          <w:p w14:paraId="320A6DC2">
            <w:pPr>
              <w:snapToGrid w:val="0"/>
              <w:rPr>
                <w:color w:val="auto"/>
              </w:rPr>
            </w:pPr>
          </w:p>
        </w:tc>
        <w:tc>
          <w:tcPr>
            <w:tcW w:w="1392" w:type="dxa"/>
            <w:noWrap/>
            <w:vAlign w:val="center"/>
          </w:tcPr>
          <w:p w14:paraId="528F9475">
            <w:pPr>
              <w:snapToGrid w:val="0"/>
              <w:jc w:val="center"/>
              <w:rPr>
                <w:color w:val="auto"/>
              </w:rPr>
            </w:pPr>
          </w:p>
        </w:tc>
        <w:tc>
          <w:tcPr>
            <w:tcW w:w="911" w:type="dxa"/>
            <w:noWrap/>
            <w:vAlign w:val="center"/>
          </w:tcPr>
          <w:p w14:paraId="75BC535F">
            <w:pPr>
              <w:snapToGrid w:val="0"/>
              <w:jc w:val="center"/>
              <w:rPr>
                <w:color w:val="auto"/>
              </w:rPr>
            </w:pPr>
          </w:p>
        </w:tc>
        <w:tc>
          <w:tcPr>
            <w:tcW w:w="1377" w:type="dxa"/>
            <w:noWrap/>
            <w:vAlign w:val="center"/>
          </w:tcPr>
          <w:p w14:paraId="61E0D325">
            <w:pPr>
              <w:snapToGrid w:val="0"/>
              <w:jc w:val="center"/>
              <w:rPr>
                <w:color w:val="auto"/>
              </w:rPr>
            </w:pPr>
          </w:p>
        </w:tc>
        <w:tc>
          <w:tcPr>
            <w:tcW w:w="1173" w:type="dxa"/>
            <w:noWrap/>
            <w:vAlign w:val="center"/>
          </w:tcPr>
          <w:p w14:paraId="6E9BE87A">
            <w:pPr>
              <w:snapToGrid w:val="0"/>
              <w:jc w:val="center"/>
              <w:rPr>
                <w:color w:val="auto"/>
              </w:rPr>
            </w:pPr>
          </w:p>
        </w:tc>
        <w:tc>
          <w:tcPr>
            <w:tcW w:w="1541" w:type="dxa"/>
            <w:noWrap/>
            <w:vAlign w:val="center"/>
          </w:tcPr>
          <w:p w14:paraId="2E55A0E2">
            <w:pPr>
              <w:snapToGrid w:val="0"/>
              <w:jc w:val="center"/>
              <w:rPr>
                <w:color w:val="auto"/>
              </w:rPr>
            </w:pPr>
          </w:p>
        </w:tc>
        <w:tc>
          <w:tcPr>
            <w:tcW w:w="1935" w:type="dxa"/>
            <w:noWrap/>
            <w:vAlign w:val="center"/>
          </w:tcPr>
          <w:p w14:paraId="18563E58">
            <w:pPr>
              <w:snapToGrid w:val="0"/>
              <w:jc w:val="center"/>
              <w:rPr>
                <w:color w:val="auto"/>
              </w:rPr>
            </w:pPr>
          </w:p>
        </w:tc>
      </w:tr>
      <w:tr w14:paraId="3649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exact"/>
          <w:jc w:val="center"/>
        </w:trPr>
        <w:tc>
          <w:tcPr>
            <w:tcW w:w="1447" w:type="dxa"/>
            <w:noWrap/>
            <w:vAlign w:val="center"/>
          </w:tcPr>
          <w:p w14:paraId="2A7645C5">
            <w:pPr>
              <w:snapToGrid w:val="0"/>
              <w:rPr>
                <w:color w:val="auto"/>
              </w:rPr>
            </w:pPr>
          </w:p>
        </w:tc>
        <w:tc>
          <w:tcPr>
            <w:tcW w:w="1392" w:type="dxa"/>
            <w:noWrap/>
            <w:vAlign w:val="center"/>
          </w:tcPr>
          <w:p w14:paraId="2AF076CF">
            <w:pPr>
              <w:snapToGrid w:val="0"/>
              <w:jc w:val="center"/>
              <w:rPr>
                <w:color w:val="auto"/>
              </w:rPr>
            </w:pPr>
          </w:p>
        </w:tc>
        <w:tc>
          <w:tcPr>
            <w:tcW w:w="911" w:type="dxa"/>
            <w:noWrap/>
            <w:vAlign w:val="center"/>
          </w:tcPr>
          <w:p w14:paraId="0C0075C1">
            <w:pPr>
              <w:snapToGrid w:val="0"/>
              <w:jc w:val="center"/>
              <w:rPr>
                <w:color w:val="auto"/>
              </w:rPr>
            </w:pPr>
          </w:p>
        </w:tc>
        <w:tc>
          <w:tcPr>
            <w:tcW w:w="1377" w:type="dxa"/>
            <w:noWrap/>
            <w:vAlign w:val="center"/>
          </w:tcPr>
          <w:p w14:paraId="0960FFDB">
            <w:pPr>
              <w:snapToGrid w:val="0"/>
              <w:jc w:val="center"/>
              <w:rPr>
                <w:color w:val="auto"/>
              </w:rPr>
            </w:pPr>
          </w:p>
        </w:tc>
        <w:tc>
          <w:tcPr>
            <w:tcW w:w="1173" w:type="dxa"/>
            <w:noWrap/>
            <w:vAlign w:val="center"/>
          </w:tcPr>
          <w:p w14:paraId="16D1C7ED">
            <w:pPr>
              <w:snapToGrid w:val="0"/>
              <w:jc w:val="center"/>
              <w:rPr>
                <w:color w:val="auto"/>
              </w:rPr>
            </w:pPr>
          </w:p>
        </w:tc>
        <w:tc>
          <w:tcPr>
            <w:tcW w:w="1541" w:type="dxa"/>
            <w:noWrap/>
            <w:vAlign w:val="center"/>
          </w:tcPr>
          <w:p w14:paraId="014263EC">
            <w:pPr>
              <w:snapToGrid w:val="0"/>
              <w:jc w:val="center"/>
              <w:rPr>
                <w:color w:val="auto"/>
              </w:rPr>
            </w:pPr>
          </w:p>
        </w:tc>
        <w:tc>
          <w:tcPr>
            <w:tcW w:w="1935" w:type="dxa"/>
            <w:noWrap/>
            <w:vAlign w:val="center"/>
          </w:tcPr>
          <w:p w14:paraId="5019BCBB">
            <w:pPr>
              <w:snapToGrid w:val="0"/>
              <w:jc w:val="center"/>
              <w:rPr>
                <w:color w:val="auto"/>
              </w:rPr>
            </w:pPr>
          </w:p>
        </w:tc>
      </w:tr>
      <w:tr w14:paraId="4A3B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exact"/>
          <w:jc w:val="center"/>
        </w:trPr>
        <w:tc>
          <w:tcPr>
            <w:tcW w:w="1447" w:type="dxa"/>
            <w:noWrap/>
            <w:vAlign w:val="center"/>
          </w:tcPr>
          <w:p w14:paraId="3B7366E7">
            <w:pPr>
              <w:snapToGrid w:val="0"/>
              <w:rPr>
                <w:color w:val="auto"/>
              </w:rPr>
            </w:pPr>
          </w:p>
        </w:tc>
        <w:tc>
          <w:tcPr>
            <w:tcW w:w="1392" w:type="dxa"/>
            <w:noWrap/>
            <w:vAlign w:val="center"/>
          </w:tcPr>
          <w:p w14:paraId="378769A4">
            <w:pPr>
              <w:snapToGrid w:val="0"/>
              <w:jc w:val="center"/>
              <w:rPr>
                <w:color w:val="auto"/>
              </w:rPr>
            </w:pPr>
          </w:p>
        </w:tc>
        <w:tc>
          <w:tcPr>
            <w:tcW w:w="911" w:type="dxa"/>
            <w:noWrap/>
            <w:vAlign w:val="center"/>
          </w:tcPr>
          <w:p w14:paraId="552C80FD">
            <w:pPr>
              <w:snapToGrid w:val="0"/>
              <w:jc w:val="center"/>
              <w:rPr>
                <w:color w:val="auto"/>
              </w:rPr>
            </w:pPr>
          </w:p>
        </w:tc>
        <w:tc>
          <w:tcPr>
            <w:tcW w:w="1377" w:type="dxa"/>
            <w:noWrap/>
            <w:vAlign w:val="center"/>
          </w:tcPr>
          <w:p w14:paraId="1AC3B56E">
            <w:pPr>
              <w:snapToGrid w:val="0"/>
              <w:jc w:val="center"/>
              <w:rPr>
                <w:color w:val="auto"/>
              </w:rPr>
            </w:pPr>
          </w:p>
        </w:tc>
        <w:tc>
          <w:tcPr>
            <w:tcW w:w="1173" w:type="dxa"/>
            <w:noWrap/>
            <w:vAlign w:val="center"/>
          </w:tcPr>
          <w:p w14:paraId="7A28105C">
            <w:pPr>
              <w:snapToGrid w:val="0"/>
              <w:jc w:val="center"/>
              <w:rPr>
                <w:color w:val="auto"/>
              </w:rPr>
            </w:pPr>
          </w:p>
        </w:tc>
        <w:tc>
          <w:tcPr>
            <w:tcW w:w="1541" w:type="dxa"/>
            <w:noWrap/>
            <w:vAlign w:val="center"/>
          </w:tcPr>
          <w:p w14:paraId="00A3173F">
            <w:pPr>
              <w:snapToGrid w:val="0"/>
              <w:jc w:val="center"/>
              <w:rPr>
                <w:color w:val="auto"/>
              </w:rPr>
            </w:pPr>
          </w:p>
        </w:tc>
        <w:tc>
          <w:tcPr>
            <w:tcW w:w="1935" w:type="dxa"/>
            <w:noWrap/>
            <w:vAlign w:val="center"/>
          </w:tcPr>
          <w:p w14:paraId="6196E0D3">
            <w:pPr>
              <w:snapToGrid w:val="0"/>
              <w:jc w:val="center"/>
              <w:rPr>
                <w:color w:val="auto"/>
              </w:rPr>
            </w:pPr>
          </w:p>
        </w:tc>
      </w:tr>
      <w:tr w14:paraId="2C669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exact"/>
          <w:jc w:val="center"/>
        </w:trPr>
        <w:tc>
          <w:tcPr>
            <w:tcW w:w="1447" w:type="dxa"/>
            <w:noWrap/>
            <w:vAlign w:val="center"/>
          </w:tcPr>
          <w:p w14:paraId="45469BB5">
            <w:pPr>
              <w:snapToGrid w:val="0"/>
              <w:rPr>
                <w:color w:val="auto"/>
              </w:rPr>
            </w:pPr>
          </w:p>
        </w:tc>
        <w:tc>
          <w:tcPr>
            <w:tcW w:w="1392" w:type="dxa"/>
            <w:noWrap/>
            <w:vAlign w:val="center"/>
          </w:tcPr>
          <w:p w14:paraId="2354419A">
            <w:pPr>
              <w:snapToGrid w:val="0"/>
              <w:jc w:val="center"/>
              <w:rPr>
                <w:color w:val="auto"/>
              </w:rPr>
            </w:pPr>
          </w:p>
        </w:tc>
        <w:tc>
          <w:tcPr>
            <w:tcW w:w="911" w:type="dxa"/>
            <w:noWrap/>
            <w:vAlign w:val="center"/>
          </w:tcPr>
          <w:p w14:paraId="4848387F">
            <w:pPr>
              <w:snapToGrid w:val="0"/>
              <w:jc w:val="center"/>
              <w:rPr>
                <w:color w:val="auto"/>
              </w:rPr>
            </w:pPr>
          </w:p>
        </w:tc>
        <w:tc>
          <w:tcPr>
            <w:tcW w:w="1377" w:type="dxa"/>
            <w:noWrap/>
            <w:vAlign w:val="center"/>
          </w:tcPr>
          <w:p w14:paraId="0A662EA8">
            <w:pPr>
              <w:snapToGrid w:val="0"/>
              <w:jc w:val="center"/>
              <w:rPr>
                <w:color w:val="auto"/>
              </w:rPr>
            </w:pPr>
          </w:p>
        </w:tc>
        <w:tc>
          <w:tcPr>
            <w:tcW w:w="1173" w:type="dxa"/>
            <w:noWrap/>
            <w:vAlign w:val="center"/>
          </w:tcPr>
          <w:p w14:paraId="698F4A8C">
            <w:pPr>
              <w:snapToGrid w:val="0"/>
              <w:jc w:val="center"/>
              <w:rPr>
                <w:color w:val="auto"/>
              </w:rPr>
            </w:pPr>
          </w:p>
        </w:tc>
        <w:tc>
          <w:tcPr>
            <w:tcW w:w="1541" w:type="dxa"/>
            <w:noWrap/>
            <w:vAlign w:val="center"/>
          </w:tcPr>
          <w:p w14:paraId="07DF489B">
            <w:pPr>
              <w:snapToGrid w:val="0"/>
              <w:jc w:val="center"/>
              <w:rPr>
                <w:color w:val="auto"/>
              </w:rPr>
            </w:pPr>
          </w:p>
        </w:tc>
        <w:tc>
          <w:tcPr>
            <w:tcW w:w="1935" w:type="dxa"/>
            <w:noWrap/>
            <w:vAlign w:val="center"/>
          </w:tcPr>
          <w:p w14:paraId="3337AF3E">
            <w:pPr>
              <w:snapToGrid w:val="0"/>
              <w:jc w:val="center"/>
              <w:rPr>
                <w:color w:val="auto"/>
              </w:rPr>
            </w:pPr>
          </w:p>
        </w:tc>
      </w:tr>
      <w:tr w14:paraId="1308D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exact"/>
          <w:jc w:val="center"/>
        </w:trPr>
        <w:tc>
          <w:tcPr>
            <w:tcW w:w="1447" w:type="dxa"/>
            <w:noWrap/>
            <w:vAlign w:val="center"/>
          </w:tcPr>
          <w:p w14:paraId="53871A31">
            <w:pPr>
              <w:snapToGrid w:val="0"/>
              <w:rPr>
                <w:color w:val="auto"/>
              </w:rPr>
            </w:pPr>
          </w:p>
        </w:tc>
        <w:tc>
          <w:tcPr>
            <w:tcW w:w="1392" w:type="dxa"/>
            <w:noWrap/>
            <w:vAlign w:val="center"/>
          </w:tcPr>
          <w:p w14:paraId="017AC9F5">
            <w:pPr>
              <w:snapToGrid w:val="0"/>
              <w:jc w:val="center"/>
              <w:rPr>
                <w:color w:val="auto"/>
              </w:rPr>
            </w:pPr>
          </w:p>
        </w:tc>
        <w:tc>
          <w:tcPr>
            <w:tcW w:w="911" w:type="dxa"/>
            <w:noWrap/>
            <w:vAlign w:val="center"/>
          </w:tcPr>
          <w:p w14:paraId="7DF25994">
            <w:pPr>
              <w:snapToGrid w:val="0"/>
              <w:jc w:val="center"/>
              <w:rPr>
                <w:color w:val="auto"/>
              </w:rPr>
            </w:pPr>
          </w:p>
        </w:tc>
        <w:tc>
          <w:tcPr>
            <w:tcW w:w="1377" w:type="dxa"/>
            <w:noWrap/>
            <w:vAlign w:val="center"/>
          </w:tcPr>
          <w:p w14:paraId="0207D037">
            <w:pPr>
              <w:snapToGrid w:val="0"/>
              <w:jc w:val="center"/>
              <w:rPr>
                <w:color w:val="auto"/>
              </w:rPr>
            </w:pPr>
          </w:p>
        </w:tc>
        <w:tc>
          <w:tcPr>
            <w:tcW w:w="1173" w:type="dxa"/>
            <w:noWrap/>
            <w:vAlign w:val="center"/>
          </w:tcPr>
          <w:p w14:paraId="7BD81B67">
            <w:pPr>
              <w:snapToGrid w:val="0"/>
              <w:jc w:val="center"/>
              <w:rPr>
                <w:color w:val="auto"/>
              </w:rPr>
            </w:pPr>
          </w:p>
        </w:tc>
        <w:tc>
          <w:tcPr>
            <w:tcW w:w="1541" w:type="dxa"/>
            <w:noWrap/>
            <w:vAlign w:val="center"/>
          </w:tcPr>
          <w:p w14:paraId="0356435E">
            <w:pPr>
              <w:snapToGrid w:val="0"/>
              <w:jc w:val="center"/>
              <w:rPr>
                <w:color w:val="auto"/>
              </w:rPr>
            </w:pPr>
          </w:p>
        </w:tc>
        <w:tc>
          <w:tcPr>
            <w:tcW w:w="1935" w:type="dxa"/>
            <w:noWrap/>
            <w:vAlign w:val="center"/>
          </w:tcPr>
          <w:p w14:paraId="6EE18983">
            <w:pPr>
              <w:snapToGrid w:val="0"/>
              <w:jc w:val="center"/>
              <w:rPr>
                <w:color w:val="auto"/>
              </w:rPr>
            </w:pPr>
          </w:p>
        </w:tc>
      </w:tr>
      <w:tr w14:paraId="1EC2E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exact"/>
          <w:jc w:val="center"/>
        </w:trPr>
        <w:tc>
          <w:tcPr>
            <w:tcW w:w="1447" w:type="dxa"/>
            <w:noWrap/>
            <w:vAlign w:val="center"/>
          </w:tcPr>
          <w:p w14:paraId="2F63A96E">
            <w:pPr>
              <w:snapToGrid w:val="0"/>
              <w:rPr>
                <w:color w:val="auto"/>
              </w:rPr>
            </w:pPr>
          </w:p>
        </w:tc>
        <w:tc>
          <w:tcPr>
            <w:tcW w:w="1392" w:type="dxa"/>
            <w:noWrap/>
            <w:vAlign w:val="center"/>
          </w:tcPr>
          <w:p w14:paraId="004642B2">
            <w:pPr>
              <w:snapToGrid w:val="0"/>
              <w:jc w:val="center"/>
              <w:rPr>
                <w:color w:val="auto"/>
              </w:rPr>
            </w:pPr>
          </w:p>
        </w:tc>
        <w:tc>
          <w:tcPr>
            <w:tcW w:w="911" w:type="dxa"/>
            <w:noWrap/>
            <w:vAlign w:val="center"/>
          </w:tcPr>
          <w:p w14:paraId="13749666">
            <w:pPr>
              <w:snapToGrid w:val="0"/>
              <w:jc w:val="center"/>
              <w:rPr>
                <w:color w:val="auto"/>
              </w:rPr>
            </w:pPr>
          </w:p>
        </w:tc>
        <w:tc>
          <w:tcPr>
            <w:tcW w:w="1377" w:type="dxa"/>
            <w:noWrap/>
            <w:vAlign w:val="center"/>
          </w:tcPr>
          <w:p w14:paraId="1A4C3A41">
            <w:pPr>
              <w:snapToGrid w:val="0"/>
              <w:jc w:val="center"/>
              <w:rPr>
                <w:color w:val="auto"/>
              </w:rPr>
            </w:pPr>
          </w:p>
        </w:tc>
        <w:tc>
          <w:tcPr>
            <w:tcW w:w="1173" w:type="dxa"/>
            <w:noWrap/>
            <w:vAlign w:val="center"/>
          </w:tcPr>
          <w:p w14:paraId="026697C8">
            <w:pPr>
              <w:snapToGrid w:val="0"/>
              <w:jc w:val="center"/>
              <w:rPr>
                <w:color w:val="auto"/>
              </w:rPr>
            </w:pPr>
          </w:p>
        </w:tc>
        <w:tc>
          <w:tcPr>
            <w:tcW w:w="1541" w:type="dxa"/>
            <w:noWrap/>
            <w:vAlign w:val="center"/>
          </w:tcPr>
          <w:p w14:paraId="05D9895A">
            <w:pPr>
              <w:snapToGrid w:val="0"/>
              <w:jc w:val="center"/>
              <w:rPr>
                <w:color w:val="auto"/>
              </w:rPr>
            </w:pPr>
          </w:p>
        </w:tc>
        <w:tc>
          <w:tcPr>
            <w:tcW w:w="1935" w:type="dxa"/>
            <w:noWrap/>
            <w:vAlign w:val="center"/>
          </w:tcPr>
          <w:p w14:paraId="0EFC511B">
            <w:pPr>
              <w:snapToGrid w:val="0"/>
              <w:jc w:val="center"/>
              <w:rPr>
                <w:color w:val="auto"/>
              </w:rPr>
            </w:pPr>
          </w:p>
        </w:tc>
      </w:tr>
      <w:tr w14:paraId="5E15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exact"/>
          <w:jc w:val="center"/>
        </w:trPr>
        <w:tc>
          <w:tcPr>
            <w:tcW w:w="1447" w:type="dxa"/>
            <w:noWrap/>
            <w:vAlign w:val="center"/>
          </w:tcPr>
          <w:p w14:paraId="4E13E130">
            <w:pPr>
              <w:snapToGrid w:val="0"/>
              <w:rPr>
                <w:color w:val="auto"/>
              </w:rPr>
            </w:pPr>
          </w:p>
        </w:tc>
        <w:tc>
          <w:tcPr>
            <w:tcW w:w="1392" w:type="dxa"/>
            <w:noWrap/>
            <w:vAlign w:val="center"/>
          </w:tcPr>
          <w:p w14:paraId="510647BE">
            <w:pPr>
              <w:snapToGrid w:val="0"/>
              <w:jc w:val="center"/>
              <w:rPr>
                <w:color w:val="auto"/>
              </w:rPr>
            </w:pPr>
          </w:p>
        </w:tc>
        <w:tc>
          <w:tcPr>
            <w:tcW w:w="911" w:type="dxa"/>
            <w:noWrap/>
            <w:vAlign w:val="center"/>
          </w:tcPr>
          <w:p w14:paraId="307AA754">
            <w:pPr>
              <w:snapToGrid w:val="0"/>
              <w:jc w:val="center"/>
              <w:rPr>
                <w:color w:val="auto"/>
              </w:rPr>
            </w:pPr>
          </w:p>
        </w:tc>
        <w:tc>
          <w:tcPr>
            <w:tcW w:w="1377" w:type="dxa"/>
            <w:noWrap/>
            <w:vAlign w:val="center"/>
          </w:tcPr>
          <w:p w14:paraId="72BBE3A6">
            <w:pPr>
              <w:snapToGrid w:val="0"/>
              <w:jc w:val="center"/>
              <w:rPr>
                <w:color w:val="auto"/>
              </w:rPr>
            </w:pPr>
          </w:p>
        </w:tc>
        <w:tc>
          <w:tcPr>
            <w:tcW w:w="1173" w:type="dxa"/>
            <w:noWrap/>
            <w:vAlign w:val="center"/>
          </w:tcPr>
          <w:p w14:paraId="24CB5C25">
            <w:pPr>
              <w:snapToGrid w:val="0"/>
              <w:jc w:val="center"/>
              <w:rPr>
                <w:color w:val="auto"/>
              </w:rPr>
            </w:pPr>
          </w:p>
        </w:tc>
        <w:tc>
          <w:tcPr>
            <w:tcW w:w="1541" w:type="dxa"/>
            <w:noWrap/>
            <w:vAlign w:val="center"/>
          </w:tcPr>
          <w:p w14:paraId="3A67E87C">
            <w:pPr>
              <w:snapToGrid w:val="0"/>
              <w:jc w:val="center"/>
              <w:rPr>
                <w:color w:val="auto"/>
              </w:rPr>
            </w:pPr>
          </w:p>
        </w:tc>
        <w:tc>
          <w:tcPr>
            <w:tcW w:w="1935" w:type="dxa"/>
            <w:noWrap/>
            <w:vAlign w:val="center"/>
          </w:tcPr>
          <w:p w14:paraId="7F84FDEC">
            <w:pPr>
              <w:snapToGrid w:val="0"/>
              <w:jc w:val="center"/>
              <w:rPr>
                <w:color w:val="auto"/>
              </w:rPr>
            </w:pPr>
          </w:p>
        </w:tc>
      </w:tr>
    </w:tbl>
    <w:p w14:paraId="655A2D96">
      <w:pPr>
        <w:rPr>
          <w:rFonts w:ascii="宋体" w:hAnsi="宋体"/>
          <w:b/>
          <w:color w:val="auto"/>
          <w:sz w:val="24"/>
        </w:rPr>
      </w:pPr>
      <w:r>
        <w:rPr>
          <w:rFonts w:hint="eastAsia" w:ascii="宋体" w:hAnsi="宋体"/>
          <w:b/>
          <w:color w:val="auto"/>
          <w:sz w:val="24"/>
        </w:rPr>
        <w:t>要求：</w:t>
      </w:r>
    </w:p>
    <w:p w14:paraId="3B1A694C">
      <w:pPr>
        <w:ind w:left="437"/>
        <w:rPr>
          <w:rFonts w:ascii="宋体" w:hAnsi="宋体"/>
          <w:bCs/>
          <w:color w:val="auto"/>
          <w:sz w:val="24"/>
        </w:rPr>
      </w:pPr>
      <w:r>
        <w:rPr>
          <w:rFonts w:hint="eastAsia" w:ascii="宋体" w:hAnsi="宋体"/>
          <w:bCs/>
          <w:color w:val="auto"/>
          <w:sz w:val="24"/>
        </w:rPr>
        <w:t>1.在填写时，如本表格不适合供应商的实际情况，可根据本表格式自行划表填写。</w:t>
      </w:r>
    </w:p>
    <w:p w14:paraId="175CF5C4">
      <w:pPr>
        <w:pStyle w:val="44"/>
        <w:ind w:left="424" w:leftChars="202"/>
        <w:rPr>
          <w:rFonts w:ascii="宋体" w:hAnsi="宋体"/>
          <w:color w:val="auto"/>
          <w:sz w:val="24"/>
        </w:rPr>
      </w:pPr>
    </w:p>
    <w:p w14:paraId="610CE771">
      <w:pPr>
        <w:snapToGrid w:val="0"/>
        <w:rPr>
          <w:rFonts w:ascii="宋体" w:hAnsi="宋体"/>
          <w:color w:val="auto"/>
          <w:sz w:val="24"/>
        </w:rPr>
      </w:pPr>
    </w:p>
    <w:p w14:paraId="248C7DFC">
      <w:pPr>
        <w:ind w:left="420"/>
        <w:rPr>
          <w:rFonts w:ascii="宋体" w:hAnsi="宋体"/>
          <w:color w:val="auto"/>
          <w:sz w:val="24"/>
          <w:u w:val="single"/>
        </w:rPr>
      </w:pPr>
      <w:r>
        <w:rPr>
          <w:rFonts w:hint="eastAsia" w:ascii="宋体" w:hAnsi="宋体"/>
          <w:color w:val="auto"/>
          <w:sz w:val="24"/>
        </w:rPr>
        <w:t>供应商名称（盖章）：</w:t>
      </w:r>
      <w:r>
        <w:rPr>
          <w:rFonts w:hint="eastAsia" w:ascii="宋体" w:hAnsi="宋体"/>
          <w:color w:val="auto"/>
          <w:sz w:val="24"/>
          <w:u w:val="single"/>
        </w:rPr>
        <w:t xml:space="preserve">                      </w:t>
      </w:r>
    </w:p>
    <w:p w14:paraId="593C986E">
      <w:pPr>
        <w:ind w:left="420"/>
        <w:rPr>
          <w:rFonts w:ascii="宋体" w:hAnsi="宋体"/>
          <w:color w:val="auto"/>
          <w:sz w:val="24"/>
        </w:rPr>
      </w:pPr>
      <w:r>
        <w:rPr>
          <w:rFonts w:hint="eastAsia" w:ascii="宋体" w:hAnsi="宋体" w:cs="宋体"/>
          <w:bCs/>
          <w:color w:val="auto"/>
          <w:sz w:val="24"/>
          <w:lang w:val="zh-CN"/>
        </w:rPr>
        <w:t>法定代表人或授权委托人(签字或盖章)</w:t>
      </w:r>
      <w:r>
        <w:rPr>
          <w:rFonts w:hint="eastAsia" w:ascii="宋体" w:hAnsi="宋体"/>
          <w:color w:val="auto"/>
          <w:sz w:val="24"/>
        </w:rPr>
        <w:t>：</w:t>
      </w:r>
      <w:r>
        <w:rPr>
          <w:rFonts w:hint="eastAsia" w:ascii="宋体" w:hAnsi="宋体"/>
          <w:color w:val="auto"/>
          <w:sz w:val="24"/>
          <w:u w:val="single"/>
        </w:rPr>
        <w:t xml:space="preserve">                          </w:t>
      </w:r>
    </w:p>
    <w:p w14:paraId="5F1192B0">
      <w:pPr>
        <w:ind w:firstLine="435"/>
        <w:rPr>
          <w:rFonts w:ascii="宋体" w:hAnsi="宋体"/>
          <w:color w:val="auto"/>
          <w:sz w:val="24"/>
        </w:rPr>
      </w:pPr>
      <w:r>
        <w:rPr>
          <w:rFonts w:hint="eastAsia" w:ascii="宋体" w:hAnsi="宋体"/>
          <w:color w:val="auto"/>
          <w:sz w:val="24"/>
        </w:rPr>
        <w:t>职        务：</w:t>
      </w:r>
      <w:r>
        <w:rPr>
          <w:rFonts w:hint="eastAsia" w:ascii="宋体" w:hAnsi="宋体"/>
          <w:color w:val="auto"/>
          <w:sz w:val="24"/>
          <w:u w:val="single"/>
        </w:rPr>
        <w:t xml:space="preserve">                            </w:t>
      </w:r>
    </w:p>
    <w:p w14:paraId="5B6AB30F">
      <w:pPr>
        <w:ind w:firstLine="435"/>
        <w:rPr>
          <w:rFonts w:ascii="宋体" w:hAnsi="宋体"/>
          <w:b/>
          <w:color w:val="auto"/>
          <w:sz w:val="24"/>
        </w:rPr>
      </w:pPr>
      <w:r>
        <w:rPr>
          <w:rFonts w:hint="eastAsia" w:ascii="宋体" w:hAnsi="宋体"/>
          <w:color w:val="auto"/>
          <w:sz w:val="24"/>
        </w:rPr>
        <w:t>日        期：</w:t>
      </w:r>
      <w:r>
        <w:rPr>
          <w:rFonts w:hint="eastAsia" w:ascii="宋体" w:hAnsi="宋体"/>
          <w:color w:val="auto"/>
          <w:sz w:val="24"/>
          <w:u w:val="single"/>
        </w:rPr>
        <w:t xml:space="preserve">                            </w:t>
      </w:r>
    </w:p>
    <w:p w14:paraId="6EA9690B">
      <w:pPr>
        <w:snapToGrid w:val="0"/>
        <w:rPr>
          <w:rFonts w:ascii="宋体" w:hAnsi="宋体"/>
          <w:b/>
          <w:color w:val="auto"/>
          <w:sz w:val="28"/>
        </w:rPr>
      </w:pPr>
    </w:p>
    <w:p w14:paraId="44FC9842">
      <w:pPr>
        <w:snapToGrid w:val="0"/>
        <w:rPr>
          <w:rFonts w:ascii="宋体" w:hAnsi="宋体"/>
          <w:b/>
          <w:color w:val="auto"/>
          <w:sz w:val="28"/>
        </w:rPr>
      </w:pPr>
    </w:p>
    <w:p w14:paraId="5FC778E3">
      <w:pPr>
        <w:pStyle w:val="8"/>
        <w:rPr>
          <w:rFonts w:hAnsi="宋体"/>
          <w:b/>
          <w:color w:val="auto"/>
          <w:sz w:val="28"/>
        </w:rPr>
      </w:pPr>
    </w:p>
    <w:p w14:paraId="3E06D361">
      <w:pPr>
        <w:rPr>
          <w:rFonts w:ascii="宋体" w:hAnsi="宋体"/>
          <w:b/>
          <w:color w:val="auto"/>
          <w:sz w:val="28"/>
        </w:rPr>
      </w:pPr>
    </w:p>
    <w:p w14:paraId="27C6FD1A">
      <w:pPr>
        <w:pStyle w:val="8"/>
        <w:rPr>
          <w:rFonts w:hAnsi="宋体"/>
          <w:b/>
          <w:color w:val="auto"/>
          <w:sz w:val="28"/>
        </w:rPr>
      </w:pPr>
    </w:p>
    <w:p w14:paraId="17D357E8">
      <w:pPr>
        <w:rPr>
          <w:rFonts w:ascii="宋体" w:hAnsi="宋体"/>
          <w:b/>
          <w:color w:val="auto"/>
          <w:sz w:val="28"/>
        </w:rPr>
      </w:pPr>
    </w:p>
    <w:p w14:paraId="3D07E861">
      <w:pPr>
        <w:pStyle w:val="8"/>
        <w:rPr>
          <w:rFonts w:hAnsi="宋体"/>
          <w:b/>
          <w:color w:val="auto"/>
          <w:sz w:val="28"/>
        </w:rPr>
      </w:pPr>
    </w:p>
    <w:p w14:paraId="0627084D"/>
    <w:p w14:paraId="4C9EF843">
      <w:pPr>
        <w:rPr>
          <w:rFonts w:ascii="宋体" w:hAnsi="宋体"/>
          <w:b/>
          <w:color w:val="auto"/>
          <w:sz w:val="28"/>
        </w:rPr>
      </w:pPr>
    </w:p>
    <w:p w14:paraId="7E1C1347">
      <w:pPr>
        <w:pStyle w:val="8"/>
        <w:rPr>
          <w:rFonts w:hAnsi="宋体"/>
          <w:b/>
          <w:color w:val="auto"/>
          <w:sz w:val="28"/>
        </w:rPr>
      </w:pPr>
    </w:p>
    <w:p w14:paraId="3403DDA4">
      <w:pPr>
        <w:rPr>
          <w:rFonts w:ascii="宋体" w:hAnsi="宋体"/>
          <w:b/>
          <w:color w:val="auto"/>
          <w:sz w:val="28"/>
        </w:rPr>
      </w:pPr>
    </w:p>
    <w:p w14:paraId="336B3D61">
      <w:pPr>
        <w:keepNext w:val="0"/>
        <w:keepLines w:val="0"/>
        <w:pageBreakBefore w:val="0"/>
        <w:kinsoku/>
        <w:wordWrap/>
        <w:overflowPunct/>
        <w:topLinePunct w:val="0"/>
        <w:bidi w:val="0"/>
        <w:spacing w:line="360" w:lineRule="auto"/>
        <w:outlineLvl w:val="9"/>
        <w:rPr>
          <w:rFonts w:hint="eastAsia" w:ascii="宋体" w:eastAsia="宋体"/>
          <w:color w:val="auto"/>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8</w:t>
      </w:r>
    </w:p>
    <w:p w14:paraId="54137288">
      <w:pPr>
        <w:keepNext w:val="0"/>
        <w:keepLines w:val="0"/>
        <w:pageBreakBefore w:val="0"/>
        <w:kinsoku/>
        <w:wordWrap/>
        <w:overflowPunct/>
        <w:topLinePunct w:val="0"/>
        <w:bidi w:val="0"/>
        <w:spacing w:before="156" w:beforeLines="50" w:after="156" w:afterLines="50" w:line="360" w:lineRule="auto"/>
        <w:ind w:right="-10"/>
        <w:jc w:val="center"/>
        <w:outlineLvl w:val="9"/>
        <w:rPr>
          <w:rFonts w:ascii="宋体"/>
          <w:b/>
          <w:bCs/>
          <w:color w:val="auto"/>
          <w:szCs w:val="21"/>
          <w:highlight w:val="none"/>
        </w:rPr>
      </w:pPr>
      <w:r>
        <w:rPr>
          <w:rFonts w:hint="eastAsia" w:ascii="宋体" w:hAnsi="宋体"/>
          <w:b/>
          <w:bCs/>
          <w:color w:val="auto"/>
          <w:sz w:val="32"/>
          <w:szCs w:val="32"/>
          <w:highlight w:val="none"/>
        </w:rPr>
        <w:t>项目负责人资格情况表</w:t>
      </w:r>
    </w:p>
    <w:p w14:paraId="71217D53">
      <w:pPr>
        <w:keepNext w:val="0"/>
        <w:keepLines w:val="0"/>
        <w:pageBreakBefore w:val="0"/>
        <w:kinsoku/>
        <w:wordWrap/>
        <w:overflowPunct/>
        <w:topLinePunct w:val="0"/>
        <w:bidi w:val="0"/>
        <w:spacing w:line="360" w:lineRule="auto"/>
        <w:outlineLvl w:val="9"/>
        <w:rPr>
          <w:rFonts w:ascii="宋体"/>
          <w:color w:val="auto"/>
          <w:szCs w:val="21"/>
          <w:highlight w:val="none"/>
        </w:rPr>
      </w:pPr>
      <w:r>
        <w:rPr>
          <w:rFonts w:hint="eastAsia" w:ascii="宋体" w:hAnsi="宋体"/>
          <w:color w:val="auto"/>
          <w:szCs w:val="21"/>
          <w:highlight w:val="none"/>
        </w:rPr>
        <w:t>采购项目：采购编号：</w:t>
      </w:r>
    </w:p>
    <w:tbl>
      <w:tblPr>
        <w:tblStyle w:val="26"/>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25FD3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4A66878E">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Cs w:val="21"/>
                <w:highlight w:val="none"/>
                <w:lang w:val="zh-CN"/>
              </w:rPr>
            </w:pPr>
            <w:r>
              <w:rPr>
                <w:rFonts w:hint="eastAsia" w:ascii="宋体" w:hAnsi="宋体"/>
                <w:b/>
                <w:bCs/>
                <w:color w:val="auto"/>
                <w:szCs w:val="21"/>
                <w:highlight w:val="none"/>
                <w:lang w:val="zh-CN"/>
              </w:rPr>
              <w:t>姓名</w:t>
            </w:r>
          </w:p>
        </w:tc>
        <w:tc>
          <w:tcPr>
            <w:tcW w:w="2967" w:type="dxa"/>
            <w:tcBorders>
              <w:top w:val="single" w:color="auto" w:sz="12" w:space="0"/>
            </w:tcBorders>
            <w:vAlign w:val="center"/>
          </w:tcPr>
          <w:p w14:paraId="23EE629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c>
          <w:tcPr>
            <w:tcW w:w="3685" w:type="dxa"/>
            <w:tcBorders>
              <w:top w:val="single" w:color="auto" w:sz="12" w:space="0"/>
              <w:right w:val="single" w:color="auto" w:sz="12" w:space="0"/>
            </w:tcBorders>
            <w:vAlign w:val="center"/>
          </w:tcPr>
          <w:p w14:paraId="5B93AB26">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Cs w:val="21"/>
                <w:highlight w:val="none"/>
                <w:lang w:val="zh-CN"/>
              </w:rPr>
            </w:pPr>
            <w:r>
              <w:rPr>
                <w:rFonts w:hint="eastAsia" w:ascii="宋体" w:hAnsi="宋体"/>
                <w:b/>
                <w:bCs/>
                <w:color w:val="auto"/>
                <w:szCs w:val="21"/>
                <w:highlight w:val="none"/>
                <w:lang w:val="zh-CN"/>
              </w:rPr>
              <w:t>近年来主要工作业绩</w:t>
            </w:r>
          </w:p>
        </w:tc>
      </w:tr>
      <w:tr w14:paraId="1BAFC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7A701A7">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Cs w:val="21"/>
                <w:highlight w:val="none"/>
                <w:lang w:val="zh-CN"/>
              </w:rPr>
            </w:pPr>
            <w:r>
              <w:rPr>
                <w:rFonts w:hint="eastAsia" w:ascii="宋体" w:hAnsi="宋体"/>
                <w:b/>
                <w:bCs/>
                <w:color w:val="auto"/>
                <w:szCs w:val="21"/>
                <w:highlight w:val="none"/>
                <w:lang w:val="zh-CN"/>
              </w:rPr>
              <w:t>性别</w:t>
            </w:r>
          </w:p>
        </w:tc>
        <w:tc>
          <w:tcPr>
            <w:tcW w:w="2967" w:type="dxa"/>
            <w:vAlign w:val="center"/>
          </w:tcPr>
          <w:p w14:paraId="6CF990A6">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c>
          <w:tcPr>
            <w:tcW w:w="3685" w:type="dxa"/>
            <w:vMerge w:val="restart"/>
            <w:tcBorders>
              <w:right w:val="single" w:color="auto" w:sz="12" w:space="0"/>
            </w:tcBorders>
            <w:vAlign w:val="center"/>
          </w:tcPr>
          <w:p w14:paraId="08FFB26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rPr>
            </w:pPr>
            <w:r>
              <w:rPr>
                <w:rFonts w:hint="eastAsia" w:ascii="宋体" w:hAnsi="宋体"/>
                <w:color w:val="auto"/>
                <w:szCs w:val="21"/>
                <w:highlight w:val="none"/>
              </w:rPr>
              <w:t>注：业绩证明应提供旁证材料</w:t>
            </w:r>
          </w:p>
          <w:p w14:paraId="2B383A64">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r>
              <w:rPr>
                <w:rFonts w:hint="eastAsia" w:ascii="宋体" w:hAnsi="宋体"/>
                <w:color w:val="auto"/>
                <w:szCs w:val="21"/>
                <w:highlight w:val="none"/>
              </w:rPr>
              <w:t>（供货合同或中标通知书）。</w:t>
            </w:r>
          </w:p>
        </w:tc>
      </w:tr>
      <w:tr w14:paraId="1E273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06A477C">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Cs w:val="21"/>
                <w:highlight w:val="none"/>
                <w:lang w:val="zh-CN"/>
              </w:rPr>
            </w:pPr>
            <w:r>
              <w:rPr>
                <w:rFonts w:hint="eastAsia" w:ascii="宋体" w:hAnsi="宋体"/>
                <w:b/>
                <w:bCs/>
                <w:color w:val="auto"/>
                <w:szCs w:val="21"/>
                <w:highlight w:val="none"/>
                <w:lang w:val="zh-CN"/>
              </w:rPr>
              <w:t>年龄</w:t>
            </w:r>
          </w:p>
        </w:tc>
        <w:tc>
          <w:tcPr>
            <w:tcW w:w="2967" w:type="dxa"/>
            <w:vAlign w:val="center"/>
          </w:tcPr>
          <w:p w14:paraId="6DE1A0D5">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c>
          <w:tcPr>
            <w:tcW w:w="3685" w:type="dxa"/>
            <w:vMerge w:val="continue"/>
            <w:tcBorders>
              <w:right w:val="single" w:color="auto" w:sz="12" w:space="0"/>
            </w:tcBorders>
            <w:vAlign w:val="center"/>
          </w:tcPr>
          <w:p w14:paraId="22915C55">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r>
      <w:tr w14:paraId="57FD1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968A86C">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Cs w:val="21"/>
                <w:highlight w:val="none"/>
                <w:lang w:val="zh-CN"/>
              </w:rPr>
            </w:pPr>
            <w:r>
              <w:rPr>
                <w:rFonts w:hint="eastAsia" w:ascii="宋体" w:hAnsi="宋体"/>
                <w:b/>
                <w:bCs/>
                <w:color w:val="auto"/>
                <w:szCs w:val="21"/>
                <w:highlight w:val="none"/>
                <w:lang w:val="zh-CN"/>
              </w:rPr>
              <w:t>职称</w:t>
            </w:r>
          </w:p>
        </w:tc>
        <w:tc>
          <w:tcPr>
            <w:tcW w:w="2967" w:type="dxa"/>
            <w:vAlign w:val="center"/>
          </w:tcPr>
          <w:p w14:paraId="3A695ED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c>
          <w:tcPr>
            <w:tcW w:w="3685" w:type="dxa"/>
            <w:vMerge w:val="continue"/>
            <w:tcBorders>
              <w:right w:val="single" w:color="auto" w:sz="12" w:space="0"/>
            </w:tcBorders>
            <w:vAlign w:val="center"/>
          </w:tcPr>
          <w:p w14:paraId="681116E5">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r>
      <w:tr w14:paraId="4B297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8B76AFF">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Cs w:val="21"/>
                <w:highlight w:val="none"/>
                <w:lang w:val="zh-CN"/>
              </w:rPr>
            </w:pPr>
            <w:r>
              <w:rPr>
                <w:rFonts w:hint="eastAsia" w:ascii="宋体" w:hAnsi="宋体"/>
                <w:b/>
                <w:bCs/>
                <w:color w:val="auto"/>
                <w:szCs w:val="21"/>
                <w:highlight w:val="none"/>
                <w:lang w:val="zh-CN"/>
              </w:rPr>
              <w:t>毕业时间</w:t>
            </w:r>
          </w:p>
        </w:tc>
        <w:tc>
          <w:tcPr>
            <w:tcW w:w="2967" w:type="dxa"/>
            <w:vAlign w:val="center"/>
          </w:tcPr>
          <w:p w14:paraId="7BF0D6D4">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c>
          <w:tcPr>
            <w:tcW w:w="3685" w:type="dxa"/>
            <w:vMerge w:val="continue"/>
            <w:tcBorders>
              <w:right w:val="single" w:color="auto" w:sz="12" w:space="0"/>
            </w:tcBorders>
            <w:vAlign w:val="center"/>
          </w:tcPr>
          <w:p w14:paraId="08D399D0">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r>
      <w:tr w14:paraId="6E870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E42F268">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Cs w:val="21"/>
                <w:highlight w:val="none"/>
                <w:lang w:val="zh-CN"/>
              </w:rPr>
            </w:pPr>
            <w:r>
              <w:rPr>
                <w:rFonts w:hint="eastAsia" w:ascii="宋体" w:hAnsi="宋体"/>
                <w:b/>
                <w:bCs/>
                <w:color w:val="auto"/>
                <w:szCs w:val="21"/>
                <w:highlight w:val="none"/>
                <w:lang w:val="zh-CN"/>
              </w:rPr>
              <w:t>学校专业</w:t>
            </w:r>
          </w:p>
        </w:tc>
        <w:tc>
          <w:tcPr>
            <w:tcW w:w="2967" w:type="dxa"/>
            <w:vAlign w:val="center"/>
          </w:tcPr>
          <w:p w14:paraId="0BA292DE">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c>
          <w:tcPr>
            <w:tcW w:w="3685" w:type="dxa"/>
            <w:vMerge w:val="continue"/>
            <w:tcBorders>
              <w:right w:val="single" w:color="auto" w:sz="12" w:space="0"/>
            </w:tcBorders>
            <w:vAlign w:val="center"/>
          </w:tcPr>
          <w:p w14:paraId="2F4F46B8">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r>
      <w:tr w14:paraId="4CDB3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7B127C4">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Cs w:val="21"/>
                <w:highlight w:val="none"/>
                <w:lang w:val="zh-CN"/>
              </w:rPr>
            </w:pPr>
            <w:r>
              <w:rPr>
                <w:rFonts w:hint="eastAsia" w:ascii="宋体" w:hAnsi="宋体"/>
                <w:b/>
                <w:bCs/>
                <w:color w:val="auto"/>
                <w:szCs w:val="21"/>
                <w:highlight w:val="none"/>
                <w:lang w:val="zh-CN"/>
              </w:rPr>
              <w:t>联系电话</w:t>
            </w:r>
          </w:p>
        </w:tc>
        <w:tc>
          <w:tcPr>
            <w:tcW w:w="2967" w:type="dxa"/>
            <w:vAlign w:val="center"/>
          </w:tcPr>
          <w:p w14:paraId="1D62AB3D">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c>
          <w:tcPr>
            <w:tcW w:w="3685" w:type="dxa"/>
            <w:vMerge w:val="continue"/>
            <w:tcBorders>
              <w:right w:val="single" w:color="auto" w:sz="12" w:space="0"/>
            </w:tcBorders>
            <w:vAlign w:val="center"/>
          </w:tcPr>
          <w:p w14:paraId="23145F85">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r>
      <w:tr w14:paraId="2119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075F49E">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Cs w:val="21"/>
                <w:highlight w:val="none"/>
                <w:lang w:val="zh-CN"/>
              </w:rPr>
            </w:pPr>
            <w:r>
              <w:rPr>
                <w:rFonts w:hint="eastAsia" w:ascii="宋体" w:hAnsi="宋体"/>
                <w:b/>
                <w:bCs/>
                <w:color w:val="auto"/>
                <w:szCs w:val="21"/>
                <w:highlight w:val="none"/>
              </w:rPr>
              <w:t>最近一年工作状况</w:t>
            </w:r>
          </w:p>
        </w:tc>
        <w:tc>
          <w:tcPr>
            <w:tcW w:w="2967" w:type="dxa"/>
            <w:vAlign w:val="center"/>
          </w:tcPr>
          <w:p w14:paraId="0FB5F086">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c>
          <w:tcPr>
            <w:tcW w:w="3685" w:type="dxa"/>
            <w:vMerge w:val="continue"/>
            <w:tcBorders>
              <w:right w:val="single" w:color="auto" w:sz="12" w:space="0"/>
            </w:tcBorders>
            <w:vAlign w:val="center"/>
          </w:tcPr>
          <w:p w14:paraId="001212E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r>
      <w:tr w14:paraId="78FFB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2B2DEF4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Cs w:val="21"/>
                <w:highlight w:val="none"/>
                <w:lang w:val="zh-CN"/>
              </w:rPr>
            </w:pPr>
            <w:r>
              <w:rPr>
                <w:rFonts w:hint="eastAsia" w:ascii="宋体" w:hAnsi="宋体"/>
                <w:b/>
                <w:bCs/>
                <w:color w:val="auto"/>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5C274985">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r>
    </w:tbl>
    <w:p w14:paraId="667C671B">
      <w:pPr>
        <w:keepNext w:val="0"/>
        <w:keepLines w:val="0"/>
        <w:pageBreakBefore w:val="0"/>
        <w:kinsoku/>
        <w:wordWrap/>
        <w:overflowPunct/>
        <w:topLinePunct w:val="0"/>
        <w:bidi w:val="0"/>
        <w:spacing w:line="360" w:lineRule="auto"/>
        <w:ind w:left="420"/>
        <w:outlineLvl w:val="9"/>
        <w:rPr>
          <w:rFonts w:ascii="宋体"/>
          <w:color w:val="auto"/>
          <w:szCs w:val="21"/>
          <w:highlight w:val="none"/>
        </w:rPr>
      </w:pPr>
    </w:p>
    <w:p w14:paraId="74B38ECE">
      <w:pPr>
        <w:keepNext w:val="0"/>
        <w:keepLines w:val="0"/>
        <w:pageBreakBefore w:val="0"/>
        <w:kinsoku/>
        <w:wordWrap/>
        <w:overflowPunct/>
        <w:topLinePunct w:val="0"/>
        <w:bidi w:val="0"/>
        <w:spacing w:line="360" w:lineRule="auto"/>
        <w:ind w:firstLine="420" w:firstLineChars="200"/>
        <w:outlineLvl w:val="9"/>
        <w:rPr>
          <w:rFonts w:ascii="宋体"/>
          <w:color w:val="auto"/>
          <w:szCs w:val="21"/>
          <w:highlight w:val="none"/>
          <w:u w:val="single"/>
        </w:rPr>
      </w:pPr>
      <w:r>
        <w:rPr>
          <w:rFonts w:hint="eastAsia" w:ascii="宋体" w:hAnsi="宋体"/>
          <w:color w:val="auto"/>
          <w:szCs w:val="21"/>
          <w:highlight w:val="none"/>
        </w:rPr>
        <w:t>投标人名称（盖章）：</w:t>
      </w:r>
    </w:p>
    <w:p w14:paraId="539F7A6E">
      <w:pPr>
        <w:keepNext w:val="0"/>
        <w:keepLines w:val="0"/>
        <w:pageBreakBefore w:val="0"/>
        <w:kinsoku/>
        <w:wordWrap/>
        <w:overflowPunct/>
        <w:topLinePunct w:val="0"/>
        <w:bidi w:val="0"/>
        <w:spacing w:line="360" w:lineRule="auto"/>
        <w:ind w:left="420"/>
        <w:outlineLvl w:val="9"/>
        <w:rPr>
          <w:rFonts w:ascii="宋体"/>
          <w:color w:val="auto"/>
          <w:szCs w:val="21"/>
          <w:highlight w:val="none"/>
        </w:rPr>
      </w:pPr>
    </w:p>
    <w:p w14:paraId="4FEAA5DC">
      <w:pPr>
        <w:keepNext w:val="0"/>
        <w:keepLines w:val="0"/>
        <w:pageBreakBefore w:val="0"/>
        <w:kinsoku/>
        <w:wordWrap/>
        <w:overflowPunct/>
        <w:topLinePunct w:val="0"/>
        <w:bidi w:val="0"/>
        <w:spacing w:line="360" w:lineRule="auto"/>
        <w:ind w:firstLine="435"/>
        <w:outlineLvl w:val="9"/>
        <w:rPr>
          <w:rFonts w:ascii="宋体"/>
          <w:color w:val="auto"/>
          <w:szCs w:val="21"/>
          <w:highlight w:val="none"/>
        </w:rPr>
      </w:pPr>
      <w:r>
        <w:rPr>
          <w:rFonts w:hint="eastAsia" w:ascii="宋体" w:hAnsi="宋体"/>
          <w:color w:val="auto"/>
          <w:szCs w:val="21"/>
          <w:highlight w:val="none"/>
        </w:rPr>
        <w:t>法定代表人或授权委托代理人（签字或盖章）：</w:t>
      </w:r>
    </w:p>
    <w:p w14:paraId="6683A7F6">
      <w:pPr>
        <w:keepNext w:val="0"/>
        <w:keepLines w:val="0"/>
        <w:pageBreakBefore w:val="0"/>
        <w:kinsoku/>
        <w:wordWrap/>
        <w:overflowPunct/>
        <w:topLinePunct w:val="0"/>
        <w:bidi w:val="0"/>
        <w:spacing w:line="360" w:lineRule="auto"/>
        <w:outlineLvl w:val="9"/>
        <w:rPr>
          <w:rFonts w:ascii="宋体"/>
          <w:color w:val="auto"/>
          <w:szCs w:val="21"/>
          <w:highlight w:val="none"/>
        </w:rPr>
      </w:pPr>
    </w:p>
    <w:p w14:paraId="316482A6">
      <w:pPr>
        <w:keepNext w:val="0"/>
        <w:keepLines w:val="0"/>
        <w:pageBreakBefore w:val="0"/>
        <w:kinsoku/>
        <w:wordWrap/>
        <w:overflowPunct/>
        <w:topLinePunct w:val="0"/>
        <w:bidi w:val="0"/>
        <w:spacing w:line="360" w:lineRule="auto"/>
        <w:ind w:firstLine="435"/>
        <w:outlineLvl w:val="9"/>
        <w:rPr>
          <w:rFonts w:ascii="宋体"/>
          <w:color w:val="auto"/>
          <w:szCs w:val="21"/>
          <w:highlight w:val="none"/>
        </w:rPr>
      </w:pPr>
      <w:r>
        <w:rPr>
          <w:rFonts w:hint="eastAsia" w:ascii="宋体" w:hAnsi="宋体"/>
          <w:color w:val="auto"/>
          <w:szCs w:val="21"/>
          <w:highlight w:val="none"/>
        </w:rPr>
        <w:t>日期：</w:t>
      </w:r>
    </w:p>
    <w:p w14:paraId="3B1C474A">
      <w:pPr>
        <w:keepNext w:val="0"/>
        <w:keepLines w:val="0"/>
        <w:pageBreakBefore w:val="0"/>
        <w:kinsoku/>
        <w:wordWrap/>
        <w:overflowPunct/>
        <w:topLinePunct w:val="0"/>
        <w:bidi w:val="0"/>
        <w:snapToGrid w:val="0"/>
        <w:spacing w:before="50" w:after="50" w:line="360" w:lineRule="auto"/>
        <w:outlineLvl w:val="9"/>
        <w:rPr>
          <w:rFonts w:ascii="宋体"/>
          <w:b/>
          <w:color w:val="auto"/>
          <w:szCs w:val="21"/>
          <w:highlight w:val="none"/>
        </w:rPr>
      </w:pPr>
    </w:p>
    <w:p w14:paraId="0F11383A">
      <w:pPr>
        <w:pStyle w:val="3"/>
        <w:keepNext w:val="0"/>
        <w:keepLines w:val="0"/>
        <w:pageBreakBefore w:val="0"/>
        <w:kinsoku/>
        <w:wordWrap/>
        <w:overflowPunct/>
        <w:topLinePunct w:val="0"/>
        <w:bidi w:val="0"/>
        <w:outlineLvl w:val="9"/>
        <w:rPr>
          <w:color w:val="auto"/>
          <w:highlight w:val="none"/>
        </w:rPr>
      </w:pPr>
    </w:p>
    <w:p w14:paraId="6C289400">
      <w:pPr>
        <w:pStyle w:val="8"/>
        <w:rPr>
          <w:rFonts w:hAnsi="宋体"/>
          <w:b/>
          <w:color w:val="auto"/>
          <w:sz w:val="28"/>
        </w:rPr>
      </w:pPr>
    </w:p>
    <w:p w14:paraId="5131AF4D">
      <w:pPr>
        <w:rPr>
          <w:rFonts w:ascii="宋体" w:hAnsi="宋体"/>
          <w:b/>
          <w:color w:val="auto"/>
          <w:sz w:val="28"/>
        </w:rPr>
      </w:pPr>
    </w:p>
    <w:p w14:paraId="1A6871ED">
      <w:pPr>
        <w:pStyle w:val="8"/>
        <w:rPr>
          <w:color w:val="auto"/>
        </w:rPr>
      </w:pPr>
    </w:p>
    <w:p w14:paraId="6342B5B1">
      <w:pPr>
        <w:snapToGrid w:val="0"/>
        <w:rPr>
          <w:rFonts w:ascii="宋体" w:hAnsi="宋体"/>
          <w:b/>
          <w:color w:val="auto"/>
          <w:sz w:val="28"/>
        </w:rPr>
      </w:pPr>
    </w:p>
    <w:p w14:paraId="0A60FF34">
      <w:pPr>
        <w:rPr>
          <w:rFonts w:ascii="宋体" w:hAnsi="宋体"/>
          <w:b/>
          <w:color w:val="auto"/>
          <w:sz w:val="28"/>
        </w:rPr>
      </w:pPr>
      <w:bookmarkStart w:id="40" w:name="_Toc21322_WPSOffice_Level1"/>
      <w:bookmarkStart w:id="41" w:name="_Toc4615_WPSOffice_Level1"/>
      <w:bookmarkStart w:id="42" w:name="_Toc30468_WPSOffice_Level1"/>
      <w:r>
        <w:rPr>
          <w:rFonts w:hint="eastAsia" w:ascii="宋体" w:hAnsi="宋体"/>
          <w:b/>
          <w:color w:val="auto"/>
          <w:sz w:val="28"/>
        </w:rPr>
        <w:t>附件9</w:t>
      </w:r>
    </w:p>
    <w:p w14:paraId="419C0F13">
      <w:pPr>
        <w:jc w:val="center"/>
        <w:rPr>
          <w:rFonts w:ascii="宋体" w:hAnsi="宋体" w:cs="宋体"/>
          <w:color w:val="auto"/>
          <w:sz w:val="52"/>
          <w:szCs w:val="52"/>
        </w:rPr>
      </w:pPr>
      <w:r>
        <w:rPr>
          <w:rFonts w:hint="eastAsia" w:ascii="宋体" w:hAnsi="宋体" w:cs="宋体"/>
          <w:color w:val="auto"/>
          <w:sz w:val="52"/>
          <w:szCs w:val="52"/>
        </w:rPr>
        <w:t>项目名称</w:t>
      </w:r>
      <w:bookmarkEnd w:id="40"/>
      <w:bookmarkEnd w:id="41"/>
      <w:bookmarkEnd w:id="42"/>
      <w:r>
        <w:rPr>
          <w:rFonts w:hint="eastAsia" w:ascii="宋体" w:hAnsi="宋体" w:cs="宋体"/>
          <w:color w:val="auto"/>
          <w:sz w:val="52"/>
          <w:szCs w:val="52"/>
        </w:rPr>
        <w:t>：</w:t>
      </w:r>
    </w:p>
    <w:p w14:paraId="3E9C0BFD">
      <w:pPr>
        <w:spacing w:before="240" w:beforeLines="100" w:line="360" w:lineRule="auto"/>
        <w:ind w:right="-108"/>
        <w:jc w:val="center"/>
        <w:rPr>
          <w:rFonts w:ascii="宋体" w:hAnsi="宋体" w:cs="宋体"/>
          <w:color w:val="auto"/>
          <w:sz w:val="36"/>
          <w:szCs w:val="36"/>
        </w:rPr>
      </w:pPr>
      <w:r>
        <w:rPr>
          <w:rFonts w:hint="eastAsia" w:ascii="宋体" w:hAnsi="宋体" w:cs="宋体"/>
          <w:color w:val="auto"/>
          <w:sz w:val="36"/>
          <w:szCs w:val="36"/>
        </w:rPr>
        <w:t>项目编号：</w:t>
      </w:r>
    </w:p>
    <w:p w14:paraId="2589D8B2">
      <w:pPr>
        <w:pStyle w:val="25"/>
        <w:rPr>
          <w:rFonts w:ascii="宋体" w:hAnsi="宋体"/>
          <w:color w:val="auto"/>
        </w:rPr>
      </w:pPr>
    </w:p>
    <w:p w14:paraId="43ABDC7C">
      <w:pPr>
        <w:jc w:val="center"/>
        <w:rPr>
          <w:rFonts w:ascii="宋体" w:hAnsi="宋体" w:cs="宋体"/>
          <w:color w:val="auto"/>
          <w:sz w:val="84"/>
          <w:szCs w:val="84"/>
        </w:rPr>
      </w:pPr>
      <w:bookmarkStart w:id="43" w:name="_Toc8885_WPSOffice_Level1"/>
      <w:bookmarkStart w:id="44" w:name="_Toc9453_WPSOffice_Level1"/>
      <w:r>
        <w:rPr>
          <w:rFonts w:hint="eastAsia" w:ascii="宋体" w:hAnsi="宋体" w:cs="宋体"/>
          <w:color w:val="auto"/>
          <w:sz w:val="84"/>
          <w:szCs w:val="84"/>
        </w:rPr>
        <w:t>报</w:t>
      </w:r>
      <w:bookmarkEnd w:id="43"/>
      <w:bookmarkEnd w:id="44"/>
    </w:p>
    <w:p w14:paraId="6FA5F9B6">
      <w:pPr>
        <w:jc w:val="center"/>
        <w:rPr>
          <w:rFonts w:ascii="宋体" w:hAnsi="宋体" w:cs="宋体"/>
          <w:color w:val="auto"/>
          <w:sz w:val="84"/>
          <w:szCs w:val="84"/>
        </w:rPr>
      </w:pPr>
      <w:bookmarkStart w:id="45" w:name="_Toc7485_WPSOffice_Level1"/>
      <w:bookmarkStart w:id="46" w:name="_Toc10910_WPSOffice_Level1"/>
      <w:r>
        <w:rPr>
          <w:rFonts w:hint="eastAsia" w:ascii="宋体" w:hAnsi="宋体" w:cs="宋体"/>
          <w:color w:val="auto"/>
          <w:sz w:val="84"/>
          <w:szCs w:val="84"/>
        </w:rPr>
        <w:t>价</w:t>
      </w:r>
      <w:bookmarkEnd w:id="45"/>
      <w:bookmarkEnd w:id="46"/>
    </w:p>
    <w:p w14:paraId="75495E19">
      <w:pPr>
        <w:jc w:val="center"/>
        <w:rPr>
          <w:rFonts w:ascii="宋体" w:hAnsi="宋体" w:cs="宋体"/>
          <w:color w:val="auto"/>
          <w:sz w:val="84"/>
          <w:szCs w:val="84"/>
        </w:rPr>
      </w:pPr>
      <w:bookmarkStart w:id="47" w:name="_Toc3932_WPSOffice_Level1"/>
      <w:bookmarkStart w:id="48" w:name="_Toc14572_WPSOffice_Level1"/>
      <w:r>
        <w:rPr>
          <w:rFonts w:hint="eastAsia" w:ascii="宋体" w:hAnsi="宋体" w:cs="宋体"/>
          <w:color w:val="auto"/>
          <w:sz w:val="84"/>
          <w:szCs w:val="84"/>
        </w:rPr>
        <w:t>文</w:t>
      </w:r>
      <w:bookmarkEnd w:id="47"/>
      <w:bookmarkEnd w:id="48"/>
    </w:p>
    <w:p w14:paraId="6885974C">
      <w:pPr>
        <w:jc w:val="center"/>
        <w:rPr>
          <w:rFonts w:ascii="宋体" w:hAnsi="宋体" w:cs="宋体"/>
          <w:color w:val="auto"/>
          <w:sz w:val="84"/>
          <w:szCs w:val="84"/>
        </w:rPr>
      </w:pPr>
      <w:bookmarkStart w:id="49" w:name="_Toc16973_WPSOffice_Level1"/>
      <w:bookmarkStart w:id="50" w:name="_Toc7562_WPSOffice_Level1"/>
      <w:r>
        <w:rPr>
          <w:rFonts w:hint="eastAsia" w:ascii="宋体" w:hAnsi="宋体" w:cs="宋体"/>
          <w:color w:val="auto"/>
          <w:sz w:val="84"/>
          <w:szCs w:val="84"/>
        </w:rPr>
        <w:t>件</w:t>
      </w:r>
      <w:bookmarkEnd w:id="49"/>
      <w:bookmarkEnd w:id="50"/>
    </w:p>
    <w:p w14:paraId="56A442CE">
      <w:pPr>
        <w:spacing w:line="360" w:lineRule="auto"/>
        <w:ind w:right="532"/>
        <w:rPr>
          <w:rFonts w:ascii="宋体" w:hAnsi="宋体" w:cs="宋体"/>
          <w:color w:val="auto"/>
          <w:sz w:val="36"/>
          <w:szCs w:val="36"/>
        </w:rPr>
      </w:pPr>
    </w:p>
    <w:p w14:paraId="5B6A9D4D">
      <w:pPr>
        <w:spacing w:line="360" w:lineRule="auto"/>
        <w:ind w:right="532"/>
        <w:jc w:val="center"/>
        <w:rPr>
          <w:rFonts w:ascii="宋体" w:hAnsi="宋体" w:cs="宋体"/>
          <w:color w:val="auto"/>
          <w:sz w:val="36"/>
          <w:szCs w:val="36"/>
        </w:rPr>
      </w:pPr>
    </w:p>
    <w:p w14:paraId="185FDDB8">
      <w:pPr>
        <w:spacing w:line="360" w:lineRule="auto"/>
        <w:ind w:right="532" w:firstLine="720" w:firstLineChars="200"/>
        <w:rPr>
          <w:rFonts w:ascii="宋体" w:hAnsi="宋体" w:cs="宋体"/>
          <w:color w:val="auto"/>
          <w:sz w:val="36"/>
          <w:szCs w:val="36"/>
        </w:rPr>
      </w:pPr>
      <w:bookmarkStart w:id="51" w:name="_Toc4603_WPSOffice_Level1"/>
      <w:bookmarkStart w:id="52" w:name="_Toc26700_WPSOffice_Level1"/>
      <w:r>
        <w:rPr>
          <w:rFonts w:hint="eastAsia" w:ascii="宋体" w:hAnsi="宋体" w:cs="宋体"/>
          <w:color w:val="auto"/>
          <w:sz w:val="36"/>
          <w:szCs w:val="36"/>
        </w:rPr>
        <w:t>投标人全称（电子印章）：</w:t>
      </w:r>
      <w:bookmarkEnd w:id="51"/>
      <w:bookmarkEnd w:id="52"/>
    </w:p>
    <w:p w14:paraId="0A3F7E3B">
      <w:pPr>
        <w:spacing w:line="360" w:lineRule="auto"/>
        <w:ind w:right="-108" w:firstLine="720" w:firstLineChars="200"/>
        <w:rPr>
          <w:rFonts w:ascii="宋体" w:hAnsi="宋体" w:cs="宋体"/>
          <w:color w:val="auto"/>
          <w:sz w:val="36"/>
          <w:szCs w:val="36"/>
        </w:rPr>
      </w:pPr>
      <w:bookmarkStart w:id="53" w:name="_Toc1391_WPSOffice_Level1"/>
      <w:bookmarkStart w:id="54" w:name="_Toc32593_WPSOffice_Level1"/>
      <w:r>
        <w:rPr>
          <w:rFonts w:hint="eastAsia" w:ascii="宋体" w:hAnsi="宋体" w:cs="宋体"/>
          <w:color w:val="auto"/>
          <w:sz w:val="36"/>
          <w:szCs w:val="36"/>
        </w:rPr>
        <w:t>地    址：</w:t>
      </w:r>
      <w:bookmarkEnd w:id="53"/>
      <w:bookmarkEnd w:id="54"/>
    </w:p>
    <w:p w14:paraId="00181D72">
      <w:pPr>
        <w:spacing w:line="360" w:lineRule="auto"/>
        <w:ind w:right="-108" w:firstLine="720" w:firstLineChars="200"/>
        <w:rPr>
          <w:rFonts w:ascii="宋体" w:hAnsi="宋体" w:cs="宋体"/>
          <w:color w:val="auto"/>
          <w:sz w:val="36"/>
          <w:szCs w:val="36"/>
        </w:rPr>
      </w:pPr>
      <w:bookmarkStart w:id="55" w:name="_Toc3791_WPSOffice_Level1"/>
      <w:bookmarkStart w:id="56" w:name="_Toc20938_WPSOffice_Level1"/>
      <w:r>
        <w:rPr>
          <w:rFonts w:hint="eastAsia" w:ascii="宋体" w:hAnsi="宋体" w:cs="宋体"/>
          <w:color w:val="auto"/>
          <w:sz w:val="36"/>
          <w:szCs w:val="36"/>
        </w:rPr>
        <w:t>时    间：</w:t>
      </w:r>
      <w:bookmarkEnd w:id="55"/>
      <w:bookmarkEnd w:id="56"/>
    </w:p>
    <w:p w14:paraId="6B15E196">
      <w:pPr>
        <w:snapToGrid w:val="0"/>
        <w:rPr>
          <w:rFonts w:ascii="宋体" w:hAnsi="宋体"/>
          <w:b/>
          <w:color w:val="auto"/>
          <w:sz w:val="28"/>
        </w:rPr>
        <w:sectPr>
          <w:pgSz w:w="11906" w:h="16838"/>
          <w:pgMar w:top="1474" w:right="1797" w:bottom="1247" w:left="1797" w:header="851" w:footer="851" w:gutter="0"/>
          <w:cols w:space="720" w:num="1"/>
        </w:sectPr>
      </w:pPr>
    </w:p>
    <w:p w14:paraId="720834D8">
      <w:pPr>
        <w:jc w:val="center"/>
        <w:rPr>
          <w:rFonts w:ascii="宋体" w:hAnsi="宋体" w:cs="宋体"/>
          <w:b/>
          <w:bCs/>
          <w:color w:val="auto"/>
          <w:sz w:val="32"/>
          <w:szCs w:val="40"/>
        </w:rPr>
      </w:pPr>
      <w:r>
        <w:rPr>
          <w:rFonts w:hint="eastAsia" w:ascii="宋体" w:hAnsi="宋体" w:cs="宋体"/>
          <w:b/>
          <w:bCs/>
          <w:color w:val="auto"/>
          <w:sz w:val="32"/>
          <w:szCs w:val="40"/>
        </w:rPr>
        <w:t>报价文件目录</w:t>
      </w:r>
    </w:p>
    <w:p w14:paraId="53B47304">
      <w:pPr>
        <w:snapToGrid w:val="0"/>
        <w:spacing w:line="360" w:lineRule="auto"/>
        <w:ind w:firstLine="480" w:firstLineChars="200"/>
        <w:jc w:val="left"/>
        <w:rPr>
          <w:rFonts w:ascii="宋体" w:hAnsi="宋体"/>
          <w:color w:val="auto"/>
          <w:sz w:val="24"/>
          <w:lang w:val="zh-CN"/>
        </w:rPr>
      </w:pPr>
    </w:p>
    <w:p w14:paraId="4777113E">
      <w:pPr>
        <w:snapToGrid w:val="0"/>
        <w:spacing w:line="360" w:lineRule="auto"/>
        <w:ind w:firstLine="480" w:firstLineChars="200"/>
        <w:jc w:val="left"/>
        <w:rPr>
          <w:rFonts w:ascii="宋体" w:hAnsi="宋体"/>
          <w:color w:val="auto"/>
          <w:sz w:val="24"/>
          <w:lang w:val="zh-CN"/>
        </w:rPr>
      </w:pPr>
    </w:p>
    <w:p w14:paraId="61952688">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（1）</w:t>
      </w:r>
      <w:r>
        <w:rPr>
          <w:rFonts w:hint="eastAsia" w:asciiTheme="minorEastAsia" w:hAnsiTheme="minorEastAsia" w:eastAsiaTheme="minorEastAsia"/>
          <w:color w:val="auto"/>
          <w:kern w:val="0"/>
          <w:sz w:val="24"/>
        </w:rPr>
        <w:t>开标一览表</w:t>
      </w:r>
      <w:r>
        <w:rPr>
          <w:rFonts w:hint="eastAsia" w:ascii="宋体" w:hAnsi="宋体"/>
          <w:color w:val="auto"/>
          <w:sz w:val="24"/>
          <w:lang w:val="zh-CN"/>
        </w:rPr>
        <w:t>（格式见附件），以及供应商认为其他需要说明的内容组成。</w:t>
      </w:r>
    </w:p>
    <w:p w14:paraId="4DE099D5">
      <w:pPr>
        <w:snapToGrid w:val="0"/>
        <w:spacing w:line="360" w:lineRule="auto"/>
        <w:ind w:firstLine="480" w:firstLineChars="200"/>
        <w:jc w:val="left"/>
        <w:rPr>
          <w:rFonts w:ascii="宋体" w:hAnsi="宋体" w:eastAsia="宋体" w:cs="Times New Roman"/>
          <w:color w:val="auto"/>
          <w:sz w:val="24"/>
          <w:lang w:val="zh-CN"/>
        </w:rPr>
      </w:pPr>
      <w:r>
        <w:rPr>
          <w:rFonts w:hint="eastAsia" w:ascii="宋体" w:hAnsi="宋体" w:eastAsia="宋体" w:cs="Times New Roman"/>
          <w:color w:val="auto"/>
          <w:sz w:val="24"/>
          <w:lang w:val="zh-CN" w:eastAsia="zh-CN"/>
        </w:rPr>
        <w:t>（</w:t>
      </w:r>
      <w:r>
        <w:rPr>
          <w:rFonts w:hint="eastAsia" w:ascii="宋体" w:hAnsi="宋体" w:eastAsia="宋体" w:cs="Times New Roman"/>
          <w:color w:val="auto"/>
          <w:sz w:val="24"/>
          <w:lang w:val="zh-CN"/>
        </w:rPr>
        <w:t>2</w:t>
      </w:r>
      <w:r>
        <w:rPr>
          <w:rFonts w:hint="eastAsia" w:ascii="宋体" w:hAnsi="宋体" w:eastAsia="宋体" w:cs="Times New Roman"/>
          <w:color w:val="auto"/>
          <w:sz w:val="24"/>
          <w:lang w:val="zh-CN" w:eastAsia="zh-CN"/>
        </w:rPr>
        <w:t>）</w:t>
      </w:r>
      <w:r>
        <w:rPr>
          <w:rFonts w:hint="eastAsia" w:ascii="宋体" w:hAnsi="宋体" w:eastAsia="宋体" w:cs="Times New Roman"/>
          <w:color w:val="auto"/>
          <w:sz w:val="24"/>
          <w:lang w:val="zh-CN"/>
        </w:rPr>
        <w:t>、针对报价投标人认为其他需要说明的；</w:t>
      </w:r>
    </w:p>
    <w:p w14:paraId="72114A1B">
      <w:pPr>
        <w:snapToGrid w:val="0"/>
        <w:spacing w:line="360" w:lineRule="auto"/>
        <w:ind w:firstLine="480" w:firstLineChars="200"/>
        <w:jc w:val="left"/>
        <w:rPr>
          <w:rFonts w:ascii="宋体" w:hAnsi="宋体" w:eastAsia="宋体" w:cs="Times New Roman"/>
          <w:color w:val="auto"/>
          <w:sz w:val="24"/>
          <w:lang w:val="zh-CN"/>
        </w:rPr>
        <w:sectPr>
          <w:pgSz w:w="11906" w:h="16838"/>
          <w:pgMar w:top="1474" w:right="1797" w:bottom="1247" w:left="1797" w:header="851" w:footer="851" w:gutter="0"/>
          <w:cols w:space="720" w:num="1"/>
        </w:sectPr>
      </w:pPr>
    </w:p>
    <w:p w14:paraId="349B4CA9">
      <w:pPr>
        <w:snapToGrid w:val="0"/>
        <w:rPr>
          <w:rFonts w:ascii="仿宋_GB2312" w:hAnsi="宋体" w:eastAsia="仿宋_GB2312"/>
          <w:b/>
          <w:color w:val="auto"/>
          <w:sz w:val="30"/>
          <w:szCs w:val="30"/>
        </w:rPr>
      </w:pPr>
      <w:r>
        <w:rPr>
          <w:rFonts w:hint="eastAsia" w:ascii="宋体" w:hAnsi="宋体"/>
          <w:b/>
          <w:color w:val="auto"/>
          <w:sz w:val="28"/>
        </w:rPr>
        <w:t>附件10：</w:t>
      </w:r>
      <w:r>
        <w:rPr>
          <w:rFonts w:hint="eastAsia" w:ascii="仿宋_GB2312" w:hAnsi="宋体" w:eastAsia="仿宋_GB2312"/>
          <w:b/>
          <w:color w:val="auto"/>
          <w:sz w:val="30"/>
          <w:szCs w:val="30"/>
        </w:rPr>
        <w:t xml:space="preserve">                                     </w:t>
      </w:r>
    </w:p>
    <w:p w14:paraId="58A14400">
      <w:pPr>
        <w:spacing w:line="360" w:lineRule="auto"/>
        <w:ind w:left="-2" w:hanging="2"/>
        <w:jc w:val="center"/>
        <w:rPr>
          <w:rFonts w:ascii="宋体" w:hAnsi="宋体"/>
          <w:b/>
          <w:color w:val="auto"/>
          <w:sz w:val="32"/>
          <w:szCs w:val="32"/>
        </w:rPr>
      </w:pPr>
      <w:bookmarkStart w:id="57" w:name="_Toc16144_WPSOffice_Level1"/>
      <w:bookmarkStart w:id="58" w:name="_Toc30363_WPSOffice_Level1"/>
      <w:r>
        <w:rPr>
          <w:rFonts w:hint="eastAsia" w:ascii="宋体" w:hAnsi="宋体"/>
          <w:b/>
          <w:color w:val="auto"/>
          <w:sz w:val="32"/>
          <w:szCs w:val="32"/>
          <w:lang w:val="en-US" w:eastAsia="zh-CN"/>
        </w:rPr>
        <w:t>首次报价</w:t>
      </w:r>
      <w:r>
        <w:rPr>
          <w:rFonts w:hint="eastAsia" w:ascii="宋体" w:hAnsi="宋体"/>
          <w:b/>
          <w:color w:val="auto"/>
          <w:sz w:val="32"/>
          <w:szCs w:val="32"/>
        </w:rPr>
        <w:t>一览表</w:t>
      </w:r>
      <w:bookmarkEnd w:id="57"/>
      <w:bookmarkEnd w:id="58"/>
    </w:p>
    <w:p w14:paraId="7117BB12">
      <w:pPr>
        <w:spacing w:line="360" w:lineRule="auto"/>
        <w:ind w:left="-2" w:hanging="2"/>
        <w:jc w:val="center"/>
        <w:rPr>
          <w:rFonts w:ascii="宋体" w:hAnsi="宋体"/>
          <w:b/>
          <w:color w:val="auto"/>
          <w:sz w:val="32"/>
          <w:szCs w:val="32"/>
        </w:rPr>
      </w:pPr>
    </w:p>
    <w:p w14:paraId="2E3E9E38">
      <w:pPr>
        <w:pStyle w:val="14"/>
        <w:spacing w:before="120" w:after="120" w:line="320" w:lineRule="exact"/>
        <w:rPr>
          <w:rFonts w:hint="default" w:hAnsi="宋体"/>
          <w:color w:val="auto"/>
        </w:rPr>
      </w:pPr>
      <w:r>
        <w:rPr>
          <w:rFonts w:hAnsi="宋体"/>
          <w:color w:val="auto"/>
        </w:rPr>
        <w:t>项目编号：</w:t>
      </w:r>
    </w:p>
    <w:p w14:paraId="73E6CDFD">
      <w:pPr>
        <w:pStyle w:val="45"/>
        <w:spacing w:line="360" w:lineRule="auto"/>
        <w:ind w:right="480"/>
        <w:jc w:val="left"/>
        <w:rPr>
          <w:rFonts w:hAnsi="宋体"/>
          <w:color w:val="auto"/>
          <w:sz w:val="24"/>
        </w:rPr>
      </w:pPr>
      <w:r>
        <w:rPr>
          <w:rFonts w:hAnsi="宋体"/>
          <w:b/>
          <w:color w:val="auto"/>
          <w:sz w:val="24"/>
        </w:rPr>
        <w:t>项目名称：</w:t>
      </w:r>
      <w:r>
        <w:rPr>
          <w:rFonts w:hint="eastAsia" w:ascii="宋体" w:hAnsi="宋体"/>
          <w:color w:val="auto"/>
          <w:sz w:val="24"/>
        </w:rPr>
        <w:t xml:space="preserve">                                     [货币单位：人民币元]</w:t>
      </w:r>
    </w:p>
    <w:tbl>
      <w:tblPr>
        <w:tblStyle w:val="26"/>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103E1A3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1D77AEE3">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7FF26CDE">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0D6F1716">
            <w:pPr>
              <w:autoSpaceDE w:val="0"/>
              <w:autoSpaceDN w:val="0"/>
              <w:spacing w:line="450" w:lineRule="exact"/>
              <w:jc w:val="center"/>
              <w:textAlignment w:val="bottom"/>
              <w:rPr>
                <w:rFonts w:ascii="宋体" w:hAnsi="宋体"/>
                <w:color w:val="auto"/>
                <w:sz w:val="24"/>
              </w:rPr>
            </w:pPr>
          </w:p>
        </w:tc>
      </w:tr>
      <w:tr w14:paraId="63B8CB5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26F3BB05">
            <w:pPr>
              <w:rPr>
                <w:rFonts w:ascii="宋体" w:hAnsi="宋体"/>
                <w:color w:val="auto"/>
                <w:sz w:val="24"/>
              </w:rPr>
            </w:pPr>
          </w:p>
        </w:tc>
        <w:tc>
          <w:tcPr>
            <w:tcW w:w="1349" w:type="dxa"/>
            <w:tcBorders>
              <w:top w:val="single" w:color="auto" w:sz="4" w:space="0"/>
              <w:left w:val="single" w:color="auto" w:sz="4" w:space="0"/>
              <w:bottom w:val="single" w:color="auto" w:sz="4" w:space="0"/>
              <w:right w:val="single" w:color="auto" w:sz="4" w:space="0"/>
            </w:tcBorders>
            <w:vAlign w:val="center"/>
          </w:tcPr>
          <w:p w14:paraId="4515C21B">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5138E547">
            <w:pPr>
              <w:autoSpaceDE w:val="0"/>
              <w:autoSpaceDN w:val="0"/>
              <w:spacing w:line="450" w:lineRule="exact"/>
              <w:jc w:val="center"/>
              <w:textAlignment w:val="bottom"/>
              <w:rPr>
                <w:rFonts w:ascii="宋体" w:hAnsi="宋体"/>
                <w:color w:val="auto"/>
                <w:sz w:val="24"/>
              </w:rPr>
            </w:pPr>
          </w:p>
        </w:tc>
      </w:tr>
    </w:tbl>
    <w:p w14:paraId="428E847E">
      <w:pPr>
        <w:spacing w:line="360" w:lineRule="auto"/>
        <w:ind w:left="480"/>
        <w:rPr>
          <w:rFonts w:ascii="宋体" w:hAnsi="宋体"/>
          <w:b/>
          <w:color w:val="auto"/>
          <w:sz w:val="30"/>
        </w:rPr>
      </w:pPr>
    </w:p>
    <w:p w14:paraId="458A22C9">
      <w:pPr>
        <w:spacing w:line="360" w:lineRule="auto"/>
        <w:rPr>
          <w:rFonts w:ascii="宋体" w:hAnsi="宋体"/>
          <w:color w:val="auto"/>
          <w:sz w:val="24"/>
        </w:rPr>
      </w:pPr>
      <w:r>
        <w:rPr>
          <w:rFonts w:hint="eastAsia" w:ascii="宋体" w:hAnsi="宋体"/>
          <w:b/>
          <w:color w:val="auto"/>
          <w:szCs w:val="21"/>
        </w:rPr>
        <w:t>填报要求：</w:t>
      </w:r>
    </w:p>
    <w:p w14:paraId="7EE29487">
      <w:pPr>
        <w:keepNext w:val="0"/>
        <w:keepLines w:val="0"/>
        <w:pageBreakBefore w:val="0"/>
        <w:kinsoku/>
        <w:wordWrap/>
        <w:overflowPunct/>
        <w:topLinePunct w:val="0"/>
        <w:bidi w:val="0"/>
        <w:spacing w:line="360" w:lineRule="auto"/>
        <w:ind w:firstLine="420" w:firstLineChars="200"/>
        <w:outlineLvl w:val="9"/>
        <w:rPr>
          <w:rFonts w:asciiTheme="minorEastAsia" w:hAnsiTheme="minorEastAsia" w:eastAsiaTheme="minorEastAsia" w:cstheme="minorEastAsia"/>
          <w:color w:val="auto"/>
          <w:szCs w:val="21"/>
          <w:highlight w:val="none"/>
        </w:rPr>
      </w:pPr>
      <w:r>
        <w:rPr>
          <w:rFonts w:hint="eastAsia" w:ascii="宋体" w:hAnsi="宋体"/>
          <w:color w:val="auto"/>
          <w:kern w:val="0"/>
          <w:szCs w:val="21"/>
          <w:highlight w:val="none"/>
        </w:rPr>
        <w:t>1</w:t>
      </w:r>
      <w:r>
        <w:rPr>
          <w:rFonts w:hint="eastAsia" w:ascii="宋体" w:hAnsi="宋体"/>
          <w:color w:val="auto"/>
          <w:kern w:val="0"/>
          <w:szCs w:val="21"/>
          <w:highlight w:val="none"/>
          <w:lang w:eastAsia="zh-CN"/>
        </w:rPr>
        <w:t>、</w:t>
      </w:r>
      <w:r>
        <w:rPr>
          <w:rFonts w:hint="eastAsia" w:asciiTheme="minorEastAsia" w:hAnsiTheme="minorEastAsia" w:eastAsiaTheme="minorEastAsia" w:cstheme="minorEastAsia"/>
          <w:color w:val="auto"/>
          <w:szCs w:val="21"/>
          <w:highlight w:val="none"/>
        </w:rPr>
        <w:t>投标报价为完成本项目的所有费用，包含所有人员的人工费、交通费、住宿费、伙食费、办公设施费、管理费、利润、税金及成果鉴定验收会议发生的费用等一切费用，全部费用已包含在开标一览表的投标总报价中。</w:t>
      </w:r>
    </w:p>
    <w:p w14:paraId="522291A5">
      <w:pPr>
        <w:keepNext w:val="0"/>
        <w:keepLines w:val="0"/>
        <w:pageBreakBefore w:val="0"/>
        <w:kinsoku/>
        <w:wordWrap/>
        <w:overflowPunct/>
        <w:topLinePunct w:val="0"/>
        <w:bidi w:val="0"/>
        <w:spacing w:line="360" w:lineRule="auto"/>
        <w:ind w:firstLine="420" w:firstLineChars="200"/>
        <w:outlineLvl w:val="9"/>
        <w:rPr>
          <w:rFonts w:ascii="宋体"/>
          <w:b/>
          <w:i/>
          <w:color w:val="auto"/>
          <w:szCs w:val="21"/>
          <w:highlight w:val="none"/>
          <w:u w:val="single"/>
        </w:rPr>
      </w:pPr>
      <w:r>
        <w:rPr>
          <w:rFonts w:ascii="宋体" w:hAnsi="宋体"/>
          <w:color w:val="auto"/>
          <w:kern w:val="0"/>
          <w:szCs w:val="21"/>
          <w:highlight w:val="none"/>
        </w:rPr>
        <w:t>2</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开标一览表，要求按格式填写，统一规范，不得自行增减内容。</w:t>
      </w:r>
    </w:p>
    <w:p w14:paraId="17A15EFB">
      <w:pPr>
        <w:spacing w:line="360" w:lineRule="auto"/>
        <w:rPr>
          <w:rFonts w:ascii="宋体" w:hAnsi="宋体"/>
          <w:color w:val="auto"/>
          <w:sz w:val="24"/>
        </w:rPr>
      </w:pPr>
    </w:p>
    <w:p w14:paraId="2F7BF728">
      <w:pPr>
        <w:spacing w:line="360" w:lineRule="auto"/>
        <w:ind w:left="420"/>
        <w:rPr>
          <w:rFonts w:ascii="宋体" w:hAnsi="宋体"/>
          <w:color w:val="auto"/>
          <w:sz w:val="24"/>
          <w:u w:val="single"/>
        </w:rPr>
      </w:pPr>
      <w:r>
        <w:rPr>
          <w:rFonts w:hint="eastAsia" w:ascii="宋体" w:hAnsi="宋体"/>
          <w:color w:val="auto"/>
          <w:sz w:val="24"/>
          <w:lang w:val="en-US" w:eastAsia="zh-CN"/>
        </w:rPr>
        <w:t>磋商供应商</w:t>
      </w:r>
      <w:r>
        <w:rPr>
          <w:rFonts w:hint="eastAsia" w:ascii="宋体" w:hAnsi="宋体"/>
          <w:color w:val="auto"/>
          <w:sz w:val="24"/>
        </w:rPr>
        <w:t>名称（电子印章）：</w:t>
      </w:r>
    </w:p>
    <w:p w14:paraId="00E59097">
      <w:pPr>
        <w:spacing w:line="360" w:lineRule="auto"/>
        <w:ind w:left="420"/>
        <w:rPr>
          <w:rFonts w:ascii="宋体" w:hAnsi="宋体"/>
          <w:color w:val="auto"/>
          <w:sz w:val="24"/>
        </w:rPr>
      </w:pPr>
    </w:p>
    <w:p w14:paraId="152CAE2F">
      <w:pPr>
        <w:spacing w:line="360" w:lineRule="auto"/>
        <w:ind w:firstLine="435"/>
        <w:rPr>
          <w:rFonts w:ascii="宋体" w:hAnsi="宋体"/>
          <w:color w:val="auto"/>
          <w:sz w:val="24"/>
        </w:rPr>
      </w:pPr>
      <w:r>
        <w:rPr>
          <w:rFonts w:hint="eastAsia" w:ascii="宋体" w:hAnsi="宋体" w:cs="宋体"/>
          <w:color w:val="auto"/>
          <w:sz w:val="24"/>
          <w:highlight w:val="none"/>
          <w:lang w:eastAsia="zh-CN"/>
        </w:rPr>
        <w:t>法定代表人或磋商供应商代表</w:t>
      </w:r>
      <w:r>
        <w:rPr>
          <w:rFonts w:hint="eastAsia" w:ascii="宋体" w:hAnsi="宋体"/>
          <w:color w:val="auto"/>
          <w:sz w:val="24"/>
        </w:rPr>
        <w:t>签字或电子印章：</w:t>
      </w:r>
    </w:p>
    <w:p w14:paraId="58A40D82">
      <w:pPr>
        <w:spacing w:line="360" w:lineRule="auto"/>
        <w:ind w:firstLine="435"/>
        <w:rPr>
          <w:rFonts w:ascii="宋体" w:hAnsi="宋体"/>
          <w:color w:val="auto"/>
          <w:sz w:val="24"/>
        </w:rPr>
      </w:pPr>
    </w:p>
    <w:p w14:paraId="00576D7C">
      <w:pPr>
        <w:spacing w:line="360" w:lineRule="auto"/>
        <w:ind w:firstLine="435"/>
        <w:rPr>
          <w:rFonts w:ascii="宋体" w:hAnsi="宋体"/>
          <w:color w:val="auto"/>
          <w:sz w:val="24"/>
        </w:rPr>
      </w:pPr>
      <w:r>
        <w:rPr>
          <w:rFonts w:hint="eastAsia" w:ascii="宋体" w:hAnsi="宋体"/>
          <w:color w:val="auto"/>
          <w:sz w:val="24"/>
        </w:rPr>
        <w:t>职        务：</w:t>
      </w:r>
    </w:p>
    <w:p w14:paraId="57BB0791">
      <w:pPr>
        <w:ind w:firstLine="480" w:firstLineChars="200"/>
        <w:rPr>
          <w:rFonts w:hint="eastAsia" w:eastAsia="宋体"/>
          <w:color w:val="auto"/>
          <w:lang w:val="en-US" w:eastAsia="zh-CN"/>
        </w:rPr>
        <w:sectPr>
          <w:pgSz w:w="11906" w:h="16838"/>
          <w:pgMar w:top="1474" w:right="1797" w:bottom="1247" w:left="1797" w:header="851" w:footer="851" w:gutter="0"/>
          <w:cols w:space="720" w:num="1"/>
        </w:sectPr>
      </w:pPr>
      <w:r>
        <w:rPr>
          <w:rFonts w:hint="eastAsia" w:ascii="宋体" w:hAnsi="宋体"/>
          <w:color w:val="auto"/>
          <w:sz w:val="24"/>
        </w:rPr>
        <w:t xml:space="preserve">日        </w:t>
      </w:r>
      <w:r>
        <w:rPr>
          <w:rFonts w:hint="eastAsia" w:ascii="宋体" w:hAnsi="宋体"/>
          <w:color w:val="auto"/>
          <w:sz w:val="24"/>
          <w:lang w:val="en-US" w:eastAsia="zh-CN"/>
        </w:rPr>
        <w:t>期：</w:t>
      </w:r>
    </w:p>
    <w:p w14:paraId="19FE053A">
      <w:pPr>
        <w:snapToGrid/>
        <w:spacing w:line="240" w:lineRule="auto"/>
        <w:jc w:val="left"/>
        <w:rPr>
          <w:rFonts w:hint="eastAsia"/>
          <w:color w:val="auto"/>
          <w:lang w:val="en-US" w:eastAsia="zh-CN"/>
        </w:rPr>
      </w:pPr>
      <w:r>
        <w:rPr>
          <w:rFonts w:hint="eastAsia"/>
          <w:color w:val="auto"/>
          <w:lang w:val="en-US" w:eastAsia="zh-CN"/>
        </w:rPr>
        <w:t>附 件</w:t>
      </w:r>
      <w:bookmarkStart w:id="59" w:name="_Hlk60823488"/>
      <w:r>
        <w:rPr>
          <w:rFonts w:hint="eastAsia"/>
          <w:color w:val="auto"/>
          <w:lang w:val="en-US" w:eastAsia="zh-CN"/>
        </w:rPr>
        <w:t>11</w:t>
      </w:r>
      <w:bookmarkEnd w:id="59"/>
    </w:p>
    <w:p w14:paraId="631CB407">
      <w:pPr>
        <w:snapToGrid/>
        <w:spacing w:line="240" w:lineRule="auto"/>
        <w:jc w:val="center"/>
        <w:rPr>
          <w:rFonts w:ascii="宋体" w:hAnsi="宋体" w:cs="宋体"/>
          <w:b/>
          <w:color w:val="auto"/>
          <w:sz w:val="32"/>
          <w:szCs w:val="32"/>
        </w:rPr>
      </w:pPr>
      <w:r>
        <w:rPr>
          <w:rFonts w:hint="eastAsia" w:ascii="宋体" w:hAnsi="宋体" w:cs="宋体"/>
          <w:b/>
          <w:color w:val="auto"/>
          <w:sz w:val="32"/>
          <w:szCs w:val="32"/>
        </w:rPr>
        <w:t>中小企业声明函（工程、服务）</w:t>
      </w:r>
    </w:p>
    <w:p w14:paraId="3E106BF2">
      <w:pPr>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本公司郑重声明，根据《政府采购促进中小企业发展管理办法》（财库﹝2020﹞46 号）的规定，本公司参加</w:t>
      </w:r>
      <w:r>
        <w:rPr>
          <w:rFonts w:hint="eastAsia" w:ascii="宋体" w:hAnsi="宋体" w:cs="宋体"/>
          <w:bCs/>
          <w:color w:val="auto"/>
          <w:sz w:val="24"/>
          <w:u w:val="single"/>
        </w:rPr>
        <w:t>（单位名称）</w:t>
      </w:r>
      <w:r>
        <w:rPr>
          <w:rFonts w:hint="eastAsia" w:ascii="宋体" w:hAnsi="宋体" w:cs="宋体"/>
          <w:bCs/>
          <w:color w:val="auto"/>
          <w:sz w:val="24"/>
        </w:rPr>
        <w:t>的</w:t>
      </w:r>
      <w:r>
        <w:rPr>
          <w:rFonts w:hint="eastAsia" w:ascii="宋体" w:hAnsi="宋体" w:cs="宋体"/>
          <w:bCs/>
          <w:color w:val="auto"/>
          <w:sz w:val="24"/>
          <w:u w:val="single"/>
        </w:rPr>
        <w:t>（项目名称）</w:t>
      </w:r>
      <w:r>
        <w:rPr>
          <w:rFonts w:hint="eastAsia" w:ascii="宋体" w:hAnsi="宋体" w:cs="宋体"/>
          <w:bCs/>
          <w:color w:val="auto"/>
          <w:sz w:val="24"/>
        </w:rPr>
        <w:t>采购活动，工程的施工单位全部为符合政策要求的中小企业（或者：服务全部由符合政策要求的中小企业承接）。相关企业的具体情况如下：</w:t>
      </w:r>
    </w:p>
    <w:p w14:paraId="2D869DDB">
      <w:pPr>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1.</w:t>
      </w:r>
      <w:r>
        <w:rPr>
          <w:rFonts w:hint="eastAsia" w:ascii="宋体" w:hAnsi="宋体" w:cs="宋体"/>
          <w:bCs/>
          <w:color w:val="auto"/>
          <w:sz w:val="24"/>
          <w:u w:val="single"/>
        </w:rPr>
        <w:t>（标的名称）</w:t>
      </w:r>
      <w:r>
        <w:rPr>
          <w:rFonts w:hint="eastAsia" w:ascii="宋体" w:hAnsi="宋体" w:cs="宋体"/>
          <w:bCs/>
          <w:color w:val="auto"/>
          <w:sz w:val="24"/>
        </w:rPr>
        <w:t>，属于</w:t>
      </w:r>
      <w:r>
        <w:rPr>
          <w:rFonts w:hint="eastAsia" w:ascii="宋体" w:hAnsi="宋体" w:cs="宋体"/>
          <w:bCs/>
          <w:color w:val="auto"/>
          <w:sz w:val="24"/>
          <w:u w:val="single"/>
        </w:rPr>
        <w:t>（采购文件中明确的所属行业）</w:t>
      </w:r>
      <w:r>
        <w:rPr>
          <w:rFonts w:hint="eastAsia" w:ascii="宋体" w:hAnsi="宋体" w:cs="宋体"/>
          <w:bCs/>
          <w:color w:val="auto"/>
          <w:sz w:val="24"/>
        </w:rPr>
        <w:t>；承建（承接）企业为</w:t>
      </w:r>
      <w:r>
        <w:rPr>
          <w:rFonts w:hint="eastAsia" w:ascii="宋体" w:hAnsi="宋体" w:cs="宋体"/>
          <w:bCs/>
          <w:color w:val="auto"/>
          <w:sz w:val="24"/>
          <w:u w:val="single"/>
        </w:rPr>
        <w:t>（企业名称）</w:t>
      </w:r>
      <w:r>
        <w:rPr>
          <w:rFonts w:hint="eastAsia" w:ascii="宋体" w:hAnsi="宋体" w:cs="宋体"/>
          <w:bCs/>
          <w:color w:val="auto"/>
          <w:sz w:val="24"/>
        </w:rPr>
        <w:t>，从业人员</w:t>
      </w:r>
      <w:r>
        <w:rPr>
          <w:rFonts w:hint="eastAsia" w:ascii="宋体" w:hAnsi="宋体" w:cs="宋体"/>
          <w:bCs/>
          <w:color w:val="auto"/>
          <w:sz w:val="24"/>
          <w:u w:val="single"/>
        </w:rPr>
        <w:t xml:space="preserve">    </w:t>
      </w:r>
      <w:r>
        <w:rPr>
          <w:rFonts w:hint="eastAsia" w:ascii="宋体" w:hAnsi="宋体" w:cs="宋体"/>
          <w:bCs/>
          <w:color w:val="auto"/>
          <w:sz w:val="24"/>
        </w:rPr>
        <w:t>人，营业收入为</w:t>
      </w:r>
      <w:r>
        <w:rPr>
          <w:rFonts w:hint="eastAsia" w:ascii="宋体" w:hAnsi="宋体" w:cs="宋体"/>
          <w:bCs/>
          <w:color w:val="auto"/>
          <w:sz w:val="24"/>
          <w:u w:val="single"/>
        </w:rPr>
        <w:t xml:space="preserve">    </w:t>
      </w:r>
      <w:r>
        <w:rPr>
          <w:rFonts w:hint="eastAsia" w:ascii="宋体" w:hAnsi="宋体" w:cs="宋体"/>
          <w:bCs/>
          <w:color w:val="auto"/>
          <w:sz w:val="24"/>
        </w:rPr>
        <w:t>万元，资产总额为</w:t>
      </w:r>
      <w:r>
        <w:rPr>
          <w:rFonts w:hint="eastAsia" w:ascii="宋体" w:hAnsi="宋体" w:cs="宋体"/>
          <w:bCs/>
          <w:color w:val="auto"/>
          <w:sz w:val="24"/>
          <w:u w:val="single"/>
        </w:rPr>
        <w:t xml:space="preserve">    </w:t>
      </w:r>
      <w:r>
        <w:rPr>
          <w:rFonts w:hint="eastAsia" w:ascii="宋体" w:hAnsi="宋体" w:cs="宋体"/>
          <w:bCs/>
          <w:color w:val="auto"/>
          <w:sz w:val="24"/>
        </w:rPr>
        <w:t>万元</w:t>
      </w:r>
      <w:r>
        <w:rPr>
          <w:rStyle w:val="31"/>
          <w:rFonts w:hint="eastAsia" w:ascii="宋体" w:hAnsi="宋体" w:cs="宋体"/>
          <w:bCs/>
          <w:color w:val="auto"/>
          <w:sz w:val="24"/>
        </w:rPr>
        <w:footnoteReference w:id="0"/>
      </w:r>
      <w:r>
        <w:rPr>
          <w:rFonts w:hint="eastAsia" w:ascii="宋体" w:hAnsi="宋体" w:cs="宋体"/>
          <w:bCs/>
          <w:color w:val="auto"/>
          <w:sz w:val="24"/>
        </w:rPr>
        <w:t>，属于</w:t>
      </w:r>
      <w:r>
        <w:rPr>
          <w:rFonts w:hint="eastAsia" w:ascii="宋体" w:hAnsi="宋体" w:cs="宋体"/>
          <w:bCs/>
          <w:color w:val="auto"/>
          <w:sz w:val="24"/>
          <w:u w:val="single"/>
        </w:rPr>
        <w:t>（中型企业、小型企业、微型企业）</w:t>
      </w:r>
      <w:r>
        <w:rPr>
          <w:rFonts w:hint="eastAsia" w:ascii="宋体" w:hAnsi="宋体" w:cs="宋体"/>
          <w:bCs/>
          <w:color w:val="auto"/>
          <w:sz w:val="24"/>
        </w:rPr>
        <w:t>；</w:t>
      </w:r>
    </w:p>
    <w:p w14:paraId="4ECF61D7">
      <w:pPr>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2.</w:t>
      </w:r>
      <w:r>
        <w:rPr>
          <w:rFonts w:hint="eastAsia" w:ascii="宋体" w:hAnsi="宋体" w:cs="宋体"/>
          <w:bCs/>
          <w:color w:val="auto"/>
          <w:sz w:val="24"/>
          <w:u w:val="single"/>
        </w:rPr>
        <w:t>（标的名称）</w:t>
      </w:r>
      <w:r>
        <w:rPr>
          <w:rFonts w:hint="eastAsia" w:ascii="宋体" w:hAnsi="宋体" w:cs="宋体"/>
          <w:bCs/>
          <w:color w:val="auto"/>
          <w:sz w:val="24"/>
        </w:rPr>
        <w:t>，属于</w:t>
      </w:r>
      <w:r>
        <w:rPr>
          <w:rFonts w:hint="eastAsia" w:ascii="宋体" w:hAnsi="宋体" w:cs="宋体"/>
          <w:bCs/>
          <w:color w:val="auto"/>
          <w:sz w:val="24"/>
          <w:u w:val="single"/>
        </w:rPr>
        <w:t>（采购文件中明确的所属行业）</w:t>
      </w:r>
      <w:r>
        <w:rPr>
          <w:rFonts w:hint="eastAsia" w:ascii="宋体" w:hAnsi="宋体" w:cs="宋体"/>
          <w:bCs/>
          <w:color w:val="auto"/>
          <w:sz w:val="24"/>
        </w:rPr>
        <w:t>；承建（承接）企业为</w:t>
      </w:r>
      <w:r>
        <w:rPr>
          <w:rFonts w:hint="eastAsia" w:ascii="宋体" w:hAnsi="宋体" w:cs="宋体"/>
          <w:bCs/>
          <w:color w:val="auto"/>
          <w:sz w:val="24"/>
          <w:u w:val="single"/>
        </w:rPr>
        <w:t>（企业名称）</w:t>
      </w:r>
      <w:r>
        <w:rPr>
          <w:rFonts w:hint="eastAsia" w:ascii="宋体" w:hAnsi="宋体" w:cs="宋体"/>
          <w:bCs/>
          <w:color w:val="auto"/>
          <w:sz w:val="24"/>
        </w:rPr>
        <w:t>，从业人员</w:t>
      </w:r>
      <w:r>
        <w:rPr>
          <w:rFonts w:hint="eastAsia" w:ascii="宋体" w:hAnsi="宋体" w:cs="宋体"/>
          <w:bCs/>
          <w:color w:val="auto"/>
          <w:sz w:val="24"/>
          <w:u w:val="single"/>
        </w:rPr>
        <w:t xml:space="preserve">    </w:t>
      </w:r>
      <w:r>
        <w:rPr>
          <w:rFonts w:hint="eastAsia" w:ascii="宋体" w:hAnsi="宋体" w:cs="宋体"/>
          <w:bCs/>
          <w:color w:val="auto"/>
          <w:sz w:val="24"/>
        </w:rPr>
        <w:t>人，营业收入为</w:t>
      </w:r>
      <w:r>
        <w:rPr>
          <w:rFonts w:hint="eastAsia" w:ascii="宋体" w:hAnsi="宋体" w:cs="宋体"/>
          <w:bCs/>
          <w:color w:val="auto"/>
          <w:sz w:val="24"/>
          <w:u w:val="single"/>
        </w:rPr>
        <w:t xml:space="preserve">    </w:t>
      </w:r>
      <w:r>
        <w:rPr>
          <w:rFonts w:hint="eastAsia" w:ascii="宋体" w:hAnsi="宋体" w:cs="宋体"/>
          <w:bCs/>
          <w:color w:val="auto"/>
          <w:sz w:val="24"/>
        </w:rPr>
        <w:t>万元，资产总额为</w:t>
      </w:r>
      <w:r>
        <w:rPr>
          <w:rFonts w:hint="eastAsia" w:ascii="宋体" w:hAnsi="宋体" w:cs="宋体"/>
          <w:bCs/>
          <w:color w:val="auto"/>
          <w:sz w:val="24"/>
          <w:u w:val="single"/>
        </w:rPr>
        <w:t xml:space="preserve">    </w:t>
      </w:r>
      <w:r>
        <w:rPr>
          <w:rFonts w:hint="eastAsia" w:ascii="宋体" w:hAnsi="宋体" w:cs="宋体"/>
          <w:bCs/>
          <w:color w:val="auto"/>
          <w:sz w:val="24"/>
        </w:rPr>
        <w:t>万元，属于</w:t>
      </w:r>
      <w:r>
        <w:rPr>
          <w:rFonts w:hint="eastAsia" w:ascii="宋体" w:hAnsi="宋体" w:cs="宋体"/>
          <w:bCs/>
          <w:color w:val="auto"/>
          <w:sz w:val="24"/>
          <w:u w:val="single"/>
        </w:rPr>
        <w:t>（中型企业、小型企业、微型企业）</w:t>
      </w:r>
      <w:r>
        <w:rPr>
          <w:rFonts w:hint="eastAsia" w:ascii="宋体" w:hAnsi="宋体" w:cs="宋体"/>
          <w:bCs/>
          <w:color w:val="auto"/>
          <w:sz w:val="24"/>
        </w:rPr>
        <w:t>；</w:t>
      </w:r>
    </w:p>
    <w:p w14:paraId="6C8DA71E">
      <w:pPr>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w:t>
      </w:r>
    </w:p>
    <w:p w14:paraId="4AE4C514">
      <w:pPr>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以上企业，不属于大企业的分支机构，不存在控股股东为大企业的情形，也不存在与大企业的负责人为同一人的情形。</w:t>
      </w:r>
    </w:p>
    <w:p w14:paraId="658C4F2A">
      <w:pPr>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 xml:space="preserve">本企业对上述声明内容的真实性负责。如有虚假，将依法承担相应责任。 </w:t>
      </w:r>
    </w:p>
    <w:p w14:paraId="24B73786">
      <w:pPr>
        <w:spacing w:line="360" w:lineRule="auto"/>
        <w:jc w:val="left"/>
        <w:rPr>
          <w:rFonts w:ascii="宋体" w:hAnsi="宋体" w:cs="宋体"/>
          <w:bCs/>
          <w:color w:val="auto"/>
          <w:sz w:val="24"/>
        </w:rPr>
      </w:pPr>
    </w:p>
    <w:p w14:paraId="30C4EF00">
      <w:pPr>
        <w:spacing w:line="360" w:lineRule="auto"/>
        <w:ind w:firstLine="4800" w:firstLineChars="2000"/>
        <w:jc w:val="left"/>
        <w:rPr>
          <w:rFonts w:ascii="宋体" w:hAnsi="宋体" w:cs="宋体"/>
          <w:bCs/>
          <w:color w:val="auto"/>
          <w:sz w:val="24"/>
        </w:rPr>
      </w:pPr>
      <w:r>
        <w:rPr>
          <w:rFonts w:hint="eastAsia" w:ascii="宋体" w:hAnsi="宋体" w:cs="宋体"/>
          <w:bCs/>
          <w:color w:val="auto"/>
          <w:sz w:val="24"/>
        </w:rPr>
        <w:t>企业名称（盖章）：</w:t>
      </w:r>
    </w:p>
    <w:p w14:paraId="66BFDA9F">
      <w:pPr>
        <w:spacing w:line="360" w:lineRule="auto"/>
        <w:ind w:firstLine="4800" w:firstLineChars="2000"/>
        <w:jc w:val="left"/>
        <w:rPr>
          <w:rFonts w:ascii="宋体" w:hAnsi="宋体" w:cs="宋体"/>
          <w:bCs/>
          <w:color w:val="auto"/>
          <w:sz w:val="24"/>
        </w:rPr>
      </w:pPr>
      <w:r>
        <w:rPr>
          <w:rFonts w:hint="eastAsia" w:ascii="宋体" w:hAnsi="宋体" w:cs="宋体"/>
          <w:bCs/>
          <w:color w:val="auto"/>
          <w:sz w:val="24"/>
        </w:rPr>
        <w:t>日 期：</w:t>
      </w:r>
    </w:p>
    <w:p w14:paraId="0FD15050">
      <w:pPr>
        <w:pStyle w:val="7"/>
        <w:snapToGrid w:val="0"/>
        <w:spacing w:line="360" w:lineRule="auto"/>
        <w:rPr>
          <w:color w:val="auto"/>
        </w:rPr>
      </w:pPr>
    </w:p>
    <w:p w14:paraId="2BB7F0FE">
      <w:pPr>
        <w:pStyle w:val="21"/>
        <w:snapToGrid w:val="0"/>
        <w:rPr>
          <w:color w:val="auto"/>
        </w:rPr>
      </w:pPr>
    </w:p>
    <w:p w14:paraId="1510A655">
      <w:pPr>
        <w:snapToGrid w:val="0"/>
        <w:rPr>
          <w:color w:val="auto"/>
        </w:rPr>
      </w:pPr>
    </w:p>
    <w:p w14:paraId="375F34F5">
      <w:pPr>
        <w:pStyle w:val="3"/>
        <w:snapToGrid w:val="0"/>
        <w:spacing w:after="0"/>
        <w:rPr>
          <w:color w:val="auto"/>
        </w:rPr>
      </w:pPr>
    </w:p>
    <w:p w14:paraId="27B02B8E">
      <w:pPr>
        <w:pStyle w:val="2"/>
        <w:snapToGrid w:val="0"/>
        <w:spacing w:after="0"/>
        <w:ind w:firstLine="280"/>
        <w:rPr>
          <w:color w:val="auto"/>
        </w:rPr>
      </w:pPr>
    </w:p>
    <w:p w14:paraId="1B317C7B">
      <w:pPr>
        <w:pStyle w:val="4"/>
        <w:snapToGrid w:val="0"/>
        <w:rPr>
          <w:color w:val="auto"/>
        </w:rPr>
      </w:pPr>
    </w:p>
    <w:p w14:paraId="5786C0D6">
      <w:pPr>
        <w:snapToGrid w:val="0"/>
        <w:rPr>
          <w:color w:val="auto"/>
        </w:rPr>
      </w:pPr>
    </w:p>
    <w:p w14:paraId="2969816A">
      <w:pPr>
        <w:pStyle w:val="3"/>
        <w:snapToGrid w:val="0"/>
        <w:spacing w:after="0"/>
        <w:rPr>
          <w:color w:val="auto"/>
        </w:rPr>
      </w:pPr>
    </w:p>
    <w:p w14:paraId="4FB35581">
      <w:pPr>
        <w:pStyle w:val="2"/>
        <w:ind w:firstLine="280"/>
        <w:rPr>
          <w:color w:val="auto"/>
        </w:rPr>
      </w:pPr>
    </w:p>
    <w:p w14:paraId="12749DB2">
      <w:pPr>
        <w:pStyle w:val="4"/>
        <w:rPr>
          <w:color w:val="auto"/>
        </w:rPr>
      </w:pPr>
    </w:p>
    <w:p w14:paraId="7F2346C0">
      <w:pPr>
        <w:rPr>
          <w:color w:val="auto"/>
        </w:rPr>
      </w:pPr>
    </w:p>
    <w:p w14:paraId="5BC7564A">
      <w:pPr>
        <w:pStyle w:val="8"/>
        <w:rPr>
          <w:color w:val="auto"/>
        </w:rPr>
      </w:pPr>
    </w:p>
    <w:p w14:paraId="10F8CE90">
      <w:pPr>
        <w:rPr>
          <w:color w:val="auto"/>
        </w:rPr>
      </w:pPr>
    </w:p>
    <w:p w14:paraId="4DAD9141">
      <w:pPr>
        <w:pStyle w:val="8"/>
        <w:rPr>
          <w:color w:val="auto"/>
        </w:rPr>
      </w:pPr>
    </w:p>
    <w:p w14:paraId="7C352677">
      <w:pPr>
        <w:pStyle w:val="38"/>
        <w:rPr>
          <w:rFonts w:hAnsi="宋体"/>
          <w:b/>
          <w:color w:val="auto"/>
          <w:sz w:val="32"/>
          <w:szCs w:val="32"/>
          <w:lang w:val="en-GB"/>
        </w:rPr>
      </w:pPr>
    </w:p>
    <w:p w14:paraId="298B07FE">
      <w:pPr>
        <w:pStyle w:val="14"/>
        <w:spacing w:beforeLines="0" w:afterLines="0" w:line="360" w:lineRule="auto"/>
        <w:jc w:val="center"/>
        <w:outlineLvl w:val="1"/>
        <w:rPr>
          <w:rFonts w:hAnsi="宋体"/>
          <w:color w:val="auto"/>
          <w:sz w:val="32"/>
          <w:szCs w:val="32"/>
          <w:lang w:val="en-GB"/>
        </w:rPr>
      </w:pPr>
    </w:p>
    <w:p w14:paraId="46A9FFB6">
      <w:pPr>
        <w:pStyle w:val="14"/>
        <w:spacing w:beforeLines="0" w:afterLines="0" w:line="360" w:lineRule="auto"/>
        <w:jc w:val="center"/>
        <w:outlineLvl w:val="1"/>
        <w:rPr>
          <w:rFonts w:hint="default" w:hAnsi="宋体"/>
          <w:color w:val="auto"/>
          <w:sz w:val="32"/>
          <w:szCs w:val="32"/>
          <w:lang w:val="en-GB"/>
        </w:rPr>
      </w:pPr>
      <w:r>
        <w:rPr>
          <w:rFonts w:hAnsi="宋体"/>
          <w:color w:val="auto"/>
          <w:sz w:val="32"/>
          <w:szCs w:val="32"/>
          <w:lang w:val="en-GB"/>
        </w:rPr>
        <w:t>残疾人福利性单位声明函</w:t>
      </w:r>
    </w:p>
    <w:p w14:paraId="539B885B">
      <w:pPr>
        <w:spacing w:line="360" w:lineRule="auto"/>
        <w:ind w:firstLine="504" w:firstLineChars="200"/>
        <w:rPr>
          <w:rFonts w:ascii="宋体"/>
          <w:color w:val="auto"/>
          <w:spacing w:val="6"/>
          <w:sz w:val="24"/>
        </w:rPr>
      </w:pPr>
      <w:r>
        <w:rPr>
          <w:rFonts w:hint="eastAsia" w:ascii="宋体" w:hAnsi="宋体"/>
          <w:color w:val="auto"/>
          <w:spacing w:val="6"/>
          <w:sz w:val="24"/>
        </w:rPr>
        <w:t>本单位郑重声明，根据《财政部</w:t>
      </w:r>
      <w:r>
        <w:rPr>
          <w:rFonts w:ascii="宋体" w:hAnsi="宋体"/>
          <w:color w:val="auto"/>
          <w:spacing w:val="6"/>
          <w:sz w:val="24"/>
        </w:rPr>
        <w:t xml:space="preserve"> </w:t>
      </w:r>
      <w:r>
        <w:rPr>
          <w:rFonts w:hint="eastAsia" w:ascii="宋体" w:hAnsi="宋体"/>
          <w:color w:val="auto"/>
          <w:spacing w:val="6"/>
          <w:sz w:val="24"/>
        </w:rPr>
        <w:t>民政部</w:t>
      </w:r>
      <w:r>
        <w:rPr>
          <w:rFonts w:ascii="宋体" w:hAnsi="宋体"/>
          <w:color w:val="auto"/>
          <w:spacing w:val="6"/>
          <w:sz w:val="24"/>
        </w:rPr>
        <w:t xml:space="preserve"> </w:t>
      </w:r>
      <w:r>
        <w:rPr>
          <w:rFonts w:hint="eastAsia" w:ascii="宋体" w:hAnsi="宋体"/>
          <w:color w:val="auto"/>
          <w:spacing w:val="6"/>
          <w:sz w:val="24"/>
        </w:rPr>
        <w:t>中国残疾人联合会关于促进残疾人就业政府采购政策的通知》（财库〔</w:t>
      </w:r>
      <w:r>
        <w:rPr>
          <w:rFonts w:ascii="宋体" w:hAnsi="宋体"/>
          <w:color w:val="auto"/>
          <w:spacing w:val="6"/>
          <w:sz w:val="24"/>
        </w:rPr>
        <w:t>2017</w:t>
      </w:r>
      <w:r>
        <w:rPr>
          <w:rFonts w:hint="eastAsia" w:ascii="宋体" w:hAnsi="宋体"/>
          <w:color w:val="auto"/>
          <w:spacing w:val="6"/>
          <w:sz w:val="24"/>
        </w:rPr>
        <w:t>〕</w:t>
      </w:r>
      <w:r>
        <w:rPr>
          <w:rFonts w:ascii="宋体" w:hAnsi="宋体"/>
          <w:color w:val="auto"/>
          <w:spacing w:val="6"/>
          <w:sz w:val="24"/>
        </w:rPr>
        <w:t xml:space="preserve"> 141</w:t>
      </w:r>
      <w:r>
        <w:rPr>
          <w:rFonts w:hint="eastAsia" w:ascii="宋体" w:hAnsi="宋体"/>
          <w:color w:val="auto"/>
          <w:spacing w:val="6"/>
          <w:sz w:val="24"/>
        </w:rPr>
        <w:t>号）的规定，本单位为符合条件的残疾人福利性单位，且本单位参加单位的项目采购活动提供本单位制造的货物（由本单位承担工程</w:t>
      </w:r>
      <w:r>
        <w:rPr>
          <w:rFonts w:ascii="宋体" w:hAnsi="宋体"/>
          <w:color w:val="auto"/>
          <w:spacing w:val="6"/>
          <w:sz w:val="24"/>
        </w:rPr>
        <w:t>/</w:t>
      </w:r>
      <w:r>
        <w:rPr>
          <w:rFonts w:hint="eastAsia" w:ascii="宋体" w:hAnsi="宋体"/>
          <w:color w:val="auto"/>
          <w:spacing w:val="6"/>
          <w:sz w:val="24"/>
        </w:rPr>
        <w:t>提供服务），或者提供其他残疾人福利性单位制造的货物（不包括使用非残疾人福利性单位注册商标的货物）。</w:t>
      </w:r>
    </w:p>
    <w:p w14:paraId="34BDA5BB">
      <w:pPr>
        <w:spacing w:line="360" w:lineRule="auto"/>
        <w:ind w:firstLine="504" w:firstLineChars="200"/>
        <w:rPr>
          <w:rFonts w:ascii="宋体"/>
          <w:color w:val="auto"/>
          <w:spacing w:val="6"/>
          <w:sz w:val="24"/>
        </w:rPr>
      </w:pPr>
      <w:r>
        <w:rPr>
          <w:rFonts w:hint="eastAsia" w:ascii="宋体" w:hAnsi="宋体"/>
          <w:color w:val="auto"/>
          <w:spacing w:val="6"/>
          <w:sz w:val="24"/>
        </w:rPr>
        <w:t>本单位对上述声明的真实性负责。如有虚假，将依法承担相应责任。</w:t>
      </w:r>
    </w:p>
    <w:p w14:paraId="60760248">
      <w:pPr>
        <w:tabs>
          <w:tab w:val="left" w:pos="4860"/>
        </w:tabs>
        <w:spacing w:line="360" w:lineRule="auto"/>
        <w:ind w:right="1560" w:firstLine="504" w:firstLineChars="200"/>
        <w:jc w:val="center"/>
        <w:rPr>
          <w:rFonts w:ascii="宋体"/>
          <w:color w:val="auto"/>
          <w:spacing w:val="6"/>
          <w:sz w:val="24"/>
        </w:rPr>
      </w:pPr>
    </w:p>
    <w:p w14:paraId="273BA549">
      <w:pPr>
        <w:tabs>
          <w:tab w:val="left" w:pos="4860"/>
        </w:tabs>
        <w:spacing w:line="360" w:lineRule="auto"/>
        <w:ind w:right="1560" w:firstLine="504" w:firstLineChars="200"/>
        <w:jc w:val="center"/>
        <w:rPr>
          <w:rFonts w:ascii="宋体"/>
          <w:color w:val="auto"/>
          <w:spacing w:val="6"/>
          <w:sz w:val="24"/>
        </w:rPr>
      </w:pPr>
      <w:r>
        <w:rPr>
          <w:rFonts w:ascii="宋体" w:hAnsi="宋体"/>
          <w:color w:val="auto"/>
          <w:spacing w:val="6"/>
          <w:sz w:val="24"/>
        </w:rPr>
        <w:t xml:space="preserve">             </w:t>
      </w:r>
      <w:r>
        <w:rPr>
          <w:rFonts w:hint="eastAsia" w:ascii="宋体" w:hAnsi="宋体"/>
          <w:color w:val="auto"/>
          <w:spacing w:val="6"/>
          <w:sz w:val="24"/>
        </w:rPr>
        <w:t>单位名称（盖章）：</w:t>
      </w:r>
    </w:p>
    <w:p w14:paraId="10DF97EA">
      <w:pPr>
        <w:spacing w:line="360" w:lineRule="auto"/>
        <w:jc w:val="center"/>
        <w:rPr>
          <w:color w:val="auto"/>
          <w:sz w:val="24"/>
        </w:rPr>
      </w:pPr>
      <w:r>
        <w:rPr>
          <w:color w:val="auto"/>
          <w:sz w:val="24"/>
        </w:rPr>
        <w:t xml:space="preserve">            </w:t>
      </w:r>
      <w:r>
        <w:rPr>
          <w:rFonts w:hint="eastAsia"/>
          <w:color w:val="auto"/>
          <w:sz w:val="24"/>
        </w:rPr>
        <w:t>日期：</w:t>
      </w:r>
      <w:r>
        <w:rPr>
          <w:color w:val="auto"/>
          <w:sz w:val="24"/>
          <w:u w:val="single"/>
        </w:rPr>
        <w:t xml:space="preserve">      </w:t>
      </w:r>
      <w:r>
        <w:rPr>
          <w:rFonts w:hint="eastAsia"/>
          <w:color w:val="auto"/>
          <w:sz w:val="24"/>
        </w:rPr>
        <w:t>年</w:t>
      </w:r>
      <w:r>
        <w:rPr>
          <w:color w:val="auto"/>
          <w:sz w:val="24"/>
          <w:u w:val="single"/>
        </w:rPr>
        <w:t xml:space="preserve">    </w:t>
      </w:r>
      <w:r>
        <w:rPr>
          <w:rFonts w:hint="eastAsia"/>
          <w:color w:val="auto"/>
          <w:sz w:val="24"/>
        </w:rPr>
        <w:t>月</w:t>
      </w:r>
      <w:r>
        <w:rPr>
          <w:color w:val="auto"/>
          <w:sz w:val="24"/>
          <w:u w:val="single"/>
        </w:rPr>
        <w:t xml:space="preserve">    </w:t>
      </w:r>
      <w:r>
        <w:rPr>
          <w:rFonts w:hint="eastAsia"/>
          <w:color w:val="auto"/>
          <w:sz w:val="24"/>
        </w:rPr>
        <w:t>日</w:t>
      </w:r>
    </w:p>
    <w:p w14:paraId="59B39180">
      <w:pPr>
        <w:pStyle w:val="46"/>
        <w:spacing w:line="360" w:lineRule="auto"/>
        <w:rPr>
          <w:rFonts w:ascii="宋体"/>
          <w:b/>
          <w:color w:val="auto"/>
          <w:sz w:val="28"/>
          <w:szCs w:val="28"/>
        </w:rPr>
      </w:pPr>
    </w:p>
    <w:p w14:paraId="25C45B13">
      <w:pPr>
        <w:pStyle w:val="46"/>
        <w:rPr>
          <w:rFonts w:ascii="宋体"/>
          <w:b/>
          <w:color w:val="auto"/>
          <w:sz w:val="28"/>
          <w:szCs w:val="28"/>
        </w:rPr>
      </w:pPr>
    </w:p>
    <w:p w14:paraId="47BBB635">
      <w:pPr>
        <w:pStyle w:val="46"/>
        <w:rPr>
          <w:rFonts w:ascii="宋体"/>
          <w:b/>
          <w:color w:val="auto"/>
          <w:sz w:val="28"/>
          <w:szCs w:val="28"/>
        </w:rPr>
      </w:pPr>
    </w:p>
    <w:p w14:paraId="20B38D85">
      <w:pPr>
        <w:pStyle w:val="46"/>
        <w:rPr>
          <w:rFonts w:ascii="宋体"/>
          <w:b/>
          <w:color w:val="auto"/>
          <w:sz w:val="28"/>
          <w:szCs w:val="28"/>
        </w:rPr>
      </w:pPr>
    </w:p>
    <w:p w14:paraId="30099B9C">
      <w:pPr>
        <w:pStyle w:val="46"/>
        <w:rPr>
          <w:rFonts w:ascii="宋体"/>
          <w:b/>
          <w:color w:val="auto"/>
          <w:sz w:val="28"/>
          <w:szCs w:val="28"/>
        </w:rPr>
      </w:pPr>
    </w:p>
    <w:p w14:paraId="21019D52">
      <w:pPr>
        <w:pStyle w:val="46"/>
        <w:rPr>
          <w:rFonts w:ascii="宋体"/>
          <w:b/>
          <w:color w:val="auto"/>
          <w:sz w:val="28"/>
          <w:szCs w:val="28"/>
        </w:rPr>
      </w:pPr>
    </w:p>
    <w:p w14:paraId="16FFB160">
      <w:pPr>
        <w:pStyle w:val="46"/>
        <w:rPr>
          <w:rFonts w:ascii="宋体"/>
          <w:b/>
          <w:color w:val="auto"/>
          <w:sz w:val="28"/>
          <w:szCs w:val="28"/>
        </w:rPr>
      </w:pPr>
    </w:p>
    <w:p w14:paraId="705A32ED">
      <w:pPr>
        <w:pStyle w:val="46"/>
        <w:rPr>
          <w:rFonts w:ascii="宋体"/>
          <w:b/>
          <w:color w:val="auto"/>
          <w:sz w:val="28"/>
          <w:szCs w:val="28"/>
        </w:rPr>
      </w:pPr>
    </w:p>
    <w:p w14:paraId="5098F7CD">
      <w:pPr>
        <w:pStyle w:val="46"/>
        <w:rPr>
          <w:rFonts w:ascii="宋体"/>
          <w:b/>
          <w:color w:val="auto"/>
          <w:sz w:val="28"/>
          <w:szCs w:val="28"/>
        </w:rPr>
      </w:pPr>
    </w:p>
    <w:p w14:paraId="3974BD2F">
      <w:pPr>
        <w:pStyle w:val="3"/>
        <w:spacing w:after="0"/>
        <w:rPr>
          <w:rFonts w:ascii="宋体" w:hAnsi="宋体"/>
          <w:color w:val="auto"/>
          <w:u w:val="single"/>
          <w:lang w:val="zh-CN"/>
        </w:rPr>
      </w:pPr>
    </w:p>
    <w:p w14:paraId="19D75106">
      <w:pPr>
        <w:tabs>
          <w:tab w:val="left" w:pos="606"/>
        </w:tabs>
        <w:rPr>
          <w:rFonts w:ascii="宋体" w:hAnsi="宋体"/>
          <w:color w:val="auto"/>
          <w:spacing w:val="20"/>
          <w:sz w:val="24"/>
        </w:rPr>
      </w:pPr>
    </w:p>
    <w:p w14:paraId="5F85C13D">
      <w:pPr>
        <w:rPr>
          <w:color w:val="auto"/>
        </w:rPr>
      </w:pPr>
    </w:p>
    <w:p w14:paraId="0D4C33C7">
      <w:pPr>
        <w:rPr>
          <w:color w:val="auto"/>
        </w:rPr>
      </w:pPr>
    </w:p>
    <w:p w14:paraId="728F529B">
      <w:pPr>
        <w:rPr>
          <w:color w:val="auto"/>
        </w:rPr>
      </w:pPr>
    </w:p>
    <w:p w14:paraId="3AF3A8C0">
      <w:pPr>
        <w:rPr>
          <w:color w:val="auto"/>
        </w:rPr>
      </w:pPr>
    </w:p>
    <w:p w14:paraId="4BA50161"/>
    <w:sectPr>
      <w:pgSz w:w="11906" w:h="16838"/>
      <w:pgMar w:top="1474" w:right="1797" w:bottom="1247" w:left="1797"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方正书宋简体">
    <w:altName w:val="宋体"/>
    <w:panose1 w:val="00000000000000000000"/>
    <w:charset w:val="7A"/>
    <w:family w:val="script"/>
    <w:pitch w:val="default"/>
    <w:sig w:usb0="00000000" w:usb1="00000000" w:usb2="00000010" w:usb3="00000000" w:csb0="00040000" w:csb1="00000000"/>
  </w:font>
  <w:font w:name="方正小标宋简体">
    <w:altName w:val="黑体"/>
    <w:panose1 w:val="02000000000000000000"/>
    <w:charset w:val="86"/>
    <w:family w:val="swiss"/>
    <w:pitch w:val="default"/>
    <w:sig w:usb0="00000000" w:usb1="00000000" w:usb2="00000012" w:usb3="00000000" w:csb0="00040001" w:csb1="00000000"/>
  </w:font>
  <w:font w:name="创艺简标宋">
    <w:altName w:val="黑体"/>
    <w:panose1 w:val="020B0604020202020204"/>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30249">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ED662">
    <w:pPr>
      <w:pStyle w:val="16"/>
      <w:framePr w:wrap="around" w:vAnchor="text" w:hAnchor="margin" w:xAlign="right" w:y="1"/>
      <w:rPr>
        <w:rStyle w:val="29"/>
      </w:rPr>
    </w:pPr>
    <w:r>
      <w:fldChar w:fldCharType="begin"/>
    </w:r>
    <w:r>
      <w:rPr>
        <w:rStyle w:val="29"/>
      </w:rPr>
      <w:instrText xml:space="preserve">PAGE  </w:instrText>
    </w:r>
    <w:r>
      <w:fldChar w:fldCharType="end"/>
    </w:r>
  </w:p>
  <w:p w14:paraId="1C4BFF22">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F6A39">
    <w:pPr>
      <w:ind w:right="360"/>
      <w:jc w:val="center"/>
      <w:rPr>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6738561">
                          <w:pPr>
                            <w:pStyle w:val="16"/>
                            <w:rPr>
                              <w:rStyle w:val="29"/>
                            </w:rPr>
                          </w:pPr>
                          <w:r>
                            <w:fldChar w:fldCharType="begin"/>
                          </w:r>
                          <w:r>
                            <w:rPr>
                              <w:rStyle w:val="29"/>
                            </w:rPr>
                            <w:instrText xml:space="preserve">PAGE  </w:instrText>
                          </w:r>
                          <w:r>
                            <w:fldChar w:fldCharType="separate"/>
                          </w:r>
                          <w:r>
                            <w:rPr>
                              <w:rStyle w:val="29"/>
                            </w:rPr>
                            <w:t>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TuusYBAACb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LZO66xgEAAJsDAAAOAAAAAAAAAAEAIAAAAB4BAABkcnMvZTJvRG9jLnht&#10;bFBLBQYAAAAABgAGAFkBAABWBQAAAAA=&#10;">
              <v:fill on="f" focussize="0,0"/>
              <v:stroke on="f"/>
              <v:imagedata o:title=""/>
              <o:lock v:ext="edit" aspectratio="f"/>
              <v:textbox inset="0mm,0mm,0mm,0mm" style="mso-fit-shape-to-text:t;">
                <w:txbxContent>
                  <w:p w14:paraId="36738561">
                    <w:pPr>
                      <w:pStyle w:val="16"/>
                      <w:rPr>
                        <w:rStyle w:val="29"/>
                      </w:rPr>
                    </w:pPr>
                    <w:r>
                      <w:fldChar w:fldCharType="begin"/>
                    </w:r>
                    <w:r>
                      <w:rPr>
                        <w:rStyle w:val="29"/>
                      </w:rPr>
                      <w:instrText xml:space="preserve">PAGE  </w:instrText>
                    </w:r>
                    <w:r>
                      <w:fldChar w:fldCharType="separate"/>
                    </w:r>
                    <w:r>
                      <w:rPr>
                        <w:rStyle w:val="29"/>
                      </w:rPr>
                      <w:t>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BD20A">
    <w:pPr>
      <w:pStyle w:val="16"/>
      <w:rPr>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BCFD183">
                          <w:pPr>
                            <w:pStyle w:val="16"/>
                            <w:rPr>
                              <w:rStyle w:val="29"/>
                              <w:sz w:val="20"/>
                              <w:szCs w:val="20"/>
                            </w:rPr>
                          </w:pPr>
                          <w:r>
                            <w:rPr>
                              <w:sz w:val="20"/>
                              <w:szCs w:val="20"/>
                            </w:rPr>
                            <w:fldChar w:fldCharType="begin"/>
                          </w:r>
                          <w:r>
                            <w:rPr>
                              <w:rStyle w:val="29"/>
                              <w:sz w:val="20"/>
                              <w:szCs w:val="20"/>
                            </w:rPr>
                            <w:instrText xml:space="preserve">PAGE  </w:instrText>
                          </w:r>
                          <w:r>
                            <w:rPr>
                              <w:sz w:val="20"/>
                              <w:szCs w:val="20"/>
                            </w:rPr>
                            <w:fldChar w:fldCharType="separate"/>
                          </w:r>
                          <w:r>
                            <w:rPr>
                              <w:rStyle w:val="29"/>
                              <w:sz w:val="20"/>
                              <w:szCs w:val="20"/>
                            </w:rPr>
                            <w:t>7</w:t>
                          </w:r>
                          <w:r>
                            <w:rPr>
                              <w:sz w:val="20"/>
                              <w:szCs w:val="20"/>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0BCFD183">
                    <w:pPr>
                      <w:pStyle w:val="16"/>
                      <w:rPr>
                        <w:rStyle w:val="29"/>
                        <w:sz w:val="20"/>
                        <w:szCs w:val="20"/>
                      </w:rPr>
                    </w:pPr>
                    <w:r>
                      <w:rPr>
                        <w:sz w:val="20"/>
                        <w:szCs w:val="20"/>
                      </w:rPr>
                      <w:fldChar w:fldCharType="begin"/>
                    </w:r>
                    <w:r>
                      <w:rPr>
                        <w:rStyle w:val="29"/>
                        <w:sz w:val="20"/>
                        <w:szCs w:val="20"/>
                      </w:rPr>
                      <w:instrText xml:space="preserve">PAGE  </w:instrText>
                    </w:r>
                    <w:r>
                      <w:rPr>
                        <w:sz w:val="20"/>
                        <w:szCs w:val="20"/>
                      </w:rPr>
                      <w:fldChar w:fldCharType="separate"/>
                    </w:r>
                    <w:r>
                      <w:rPr>
                        <w:rStyle w:val="29"/>
                        <w:sz w:val="20"/>
                        <w:szCs w:val="20"/>
                      </w:rPr>
                      <w:t>7</w:t>
                    </w:r>
                    <w:r>
                      <w:rPr>
                        <w:sz w:val="20"/>
                        <w:szCs w:val="20"/>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C2FBE">
    <w:pPr>
      <w:pStyle w:val="16"/>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6F89D65">
                          <w:pPr>
                            <w:pStyle w:val="16"/>
                            <w:rPr>
                              <w:rStyle w:val="29"/>
                            </w:rPr>
                          </w:pPr>
                          <w:r>
                            <w:fldChar w:fldCharType="begin"/>
                          </w:r>
                          <w:r>
                            <w:rPr>
                              <w:rStyle w:val="29"/>
                            </w:rPr>
                            <w:instrText xml:space="preserve">PAGE  </w:instrText>
                          </w:r>
                          <w:r>
                            <w:fldChar w:fldCharType="separate"/>
                          </w:r>
                          <w:r>
                            <w:rPr>
                              <w:rStyle w:val="29"/>
                            </w:rPr>
                            <w:t>52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pQ6mh0QEAAKUDAAAOAAAAAAAAAAEAIAAAACIB&#10;AABkcnMvZTJvRG9jLnhtbFBLBQYAAAAABgAGAFkBAABlBQAAAAA=&#10;">
              <v:fill on="f" focussize="0,0"/>
              <v:stroke on="f" weight="1.25pt"/>
              <v:imagedata o:title=""/>
              <o:lock v:ext="edit" aspectratio="f"/>
              <v:textbox inset="0mm,0mm,0mm,0mm" style="mso-fit-shape-to-text:t;">
                <w:txbxContent>
                  <w:p w14:paraId="46F89D65">
                    <w:pPr>
                      <w:pStyle w:val="16"/>
                      <w:rPr>
                        <w:rStyle w:val="29"/>
                      </w:rPr>
                    </w:pPr>
                    <w:r>
                      <w:fldChar w:fldCharType="begin"/>
                    </w:r>
                    <w:r>
                      <w:rPr>
                        <w:rStyle w:val="29"/>
                      </w:rPr>
                      <w:instrText xml:space="preserve">PAGE  </w:instrText>
                    </w:r>
                    <w:r>
                      <w:fldChar w:fldCharType="separate"/>
                    </w:r>
                    <w:r>
                      <w:rPr>
                        <w:rStyle w:val="29"/>
                      </w:rPr>
                      <w:t>52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7A2416E">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87520">
    <w:pPr>
      <w:pStyle w:val="17"/>
      <w:pBdr>
        <w:bottom w:val="none" w:color="auto" w:sz="0" w:space="0"/>
      </w:pBdr>
      <w:jc w:val="both"/>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42E0">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26D21">
    <w:pPr>
      <w:pStyle w:val="1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97F00">
    <w:pPr>
      <w:pStyle w:val="17"/>
      <w:pBdr>
        <w:bottom w:val="single" w:color="auto" w:sz="4" w:space="1"/>
      </w:pBdr>
      <w:wordWrap w:val="0"/>
      <w:jc w:val="right"/>
    </w:pPr>
    <w:r>
      <w:rPr>
        <w:rFonts w:hint="eastAsia" w:ascii="宋体" w:hAnsi="宋体"/>
        <w:color w:val="000000"/>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431B8"/>
    <w:multiLevelType w:val="singleLevel"/>
    <w:tmpl w:val="ACB431B8"/>
    <w:lvl w:ilvl="0" w:tentative="0">
      <w:start w:val="6"/>
      <w:numFmt w:val="chineseCounting"/>
      <w:suff w:val="space"/>
      <w:lvlText w:val="第%1部分"/>
      <w:lvlJc w:val="left"/>
      <w:rPr>
        <w:rFonts w:hint="eastAsia"/>
      </w:rPr>
    </w:lvl>
  </w:abstractNum>
  <w:abstractNum w:abstractNumId="1">
    <w:nsid w:val="CB53E9DD"/>
    <w:multiLevelType w:val="singleLevel"/>
    <w:tmpl w:val="CB53E9DD"/>
    <w:lvl w:ilvl="0" w:tentative="0">
      <w:start w:val="1"/>
      <w:numFmt w:val="decimal"/>
      <w:suff w:val="nothing"/>
      <w:lvlText w:val="（%1）"/>
      <w:lvlJc w:val="left"/>
    </w:lvl>
  </w:abstractNum>
  <w:abstractNum w:abstractNumId="2">
    <w:nsid w:val="0D222BB1"/>
    <w:multiLevelType w:val="singleLevel"/>
    <w:tmpl w:val="0D222BB1"/>
    <w:lvl w:ilvl="0" w:tentative="0">
      <w:start w:val="1"/>
      <w:numFmt w:val="decimal"/>
      <w:pStyle w:val="10"/>
      <w:lvlText w:val="%1."/>
      <w:lvlJc w:val="left"/>
      <w:pPr>
        <w:tabs>
          <w:tab w:val="left" w:pos="360"/>
        </w:tabs>
        <w:ind w:left="360" w:hanging="360"/>
      </w:pPr>
    </w:lvl>
  </w:abstractNum>
  <w:abstractNum w:abstractNumId="3">
    <w:nsid w:val="36A8164D"/>
    <w:multiLevelType w:val="singleLevel"/>
    <w:tmpl w:val="36A8164D"/>
    <w:lvl w:ilvl="0" w:tentative="0">
      <w:start w:val="4"/>
      <w:numFmt w:val="chineseCounting"/>
      <w:suff w:val="space"/>
      <w:lvlText w:val="第%1部分"/>
      <w:lvlJc w:val="left"/>
      <w:rPr>
        <w:rFonts w:hint="eastAsia"/>
      </w:rPr>
    </w:lvl>
  </w:abstractNum>
  <w:abstractNum w:abstractNumId="4">
    <w:nsid w:val="4969F691"/>
    <w:multiLevelType w:val="singleLevel"/>
    <w:tmpl w:val="4969F691"/>
    <w:lvl w:ilvl="0" w:tentative="0">
      <w:start w:val="2"/>
      <w:numFmt w:val="decimal"/>
      <w:suff w:val="nothing"/>
      <w:lvlText w:val="（%1）"/>
      <w:lvlJc w:val="left"/>
    </w:lvl>
  </w:abstractNum>
  <w:abstractNum w:abstractNumId="5">
    <w:nsid w:val="7744469D"/>
    <w:multiLevelType w:val="multilevel"/>
    <w:tmpl w:val="7744469D"/>
    <w:lvl w:ilvl="0" w:tentative="0">
      <w:start w:val="1"/>
      <w:numFmt w:val="chineseCountingThousand"/>
      <w:suff w:val="nothing"/>
      <w:lvlText w:val="第%1章  "/>
      <w:lvlJc w:val="center"/>
      <w:pPr>
        <w:ind w:left="0" w:firstLine="0"/>
      </w:pPr>
      <w:rPr>
        <w:rFonts w:hint="eastAsia" w:ascii="黑体" w:eastAsia="黑体"/>
        <w:b/>
        <w:i w:val="0"/>
        <w:spacing w:val="20"/>
        <w:w w:val="100"/>
        <w:kern w:val="36"/>
        <w:position w:val="0"/>
        <w:sz w:val="36"/>
      </w:rPr>
    </w:lvl>
    <w:lvl w:ilvl="1" w:tentative="0">
      <w:start w:val="1"/>
      <w:numFmt w:val="chineseCountingThousand"/>
      <w:suff w:val="nothing"/>
      <w:lvlText w:val="第%2节  "/>
      <w:lvlJc w:val="center"/>
      <w:pPr>
        <w:ind w:left="0" w:firstLine="0"/>
      </w:pPr>
      <w:rPr>
        <w:rFonts w:hint="eastAsia" w:ascii="宋体" w:eastAsia="宋体"/>
        <w:b/>
        <w:i w:val="0"/>
        <w:spacing w:val="20"/>
        <w:w w:val="100"/>
        <w:position w:val="0"/>
        <w:sz w:val="30"/>
      </w:rPr>
    </w:lvl>
    <w:lvl w:ilvl="2" w:tentative="0">
      <w:start w:val="1"/>
      <w:numFmt w:val="chineseCountingThousand"/>
      <w:suff w:val="nothing"/>
      <w:lvlText w:val="%3、"/>
      <w:lvlJc w:val="left"/>
      <w:pPr>
        <w:ind w:left="0" w:firstLine="425"/>
      </w:pPr>
      <w:rPr>
        <w:rFonts w:hint="eastAsia" w:ascii="宋体" w:eastAsia="宋体"/>
        <w:b/>
        <w:i w:val="0"/>
        <w:spacing w:val="20"/>
        <w:sz w:val="28"/>
      </w:rPr>
    </w:lvl>
    <w:lvl w:ilvl="3" w:tentative="0">
      <w:start w:val="1"/>
      <w:numFmt w:val="decimal"/>
      <w:suff w:val="nothing"/>
      <w:lvlText w:val="%4. "/>
      <w:lvlJc w:val="left"/>
      <w:pPr>
        <w:ind w:left="0" w:firstLine="425"/>
      </w:pPr>
      <w:rPr>
        <w:rFonts w:hint="eastAsia" w:ascii="宋体" w:eastAsia="宋体"/>
        <w:b/>
        <w:i w:val="0"/>
        <w:spacing w:val="20"/>
        <w:sz w:val="24"/>
      </w:rPr>
    </w:lvl>
    <w:lvl w:ilvl="4" w:tentative="0">
      <w:start w:val="1"/>
      <w:numFmt w:val="none"/>
      <w:pStyle w:val="9"/>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NmFiNTM1OTEwOTc3ZmRiYjMyNmE1NTA3MDFhY2YifQ=="/>
  </w:docVars>
  <w:rsids>
    <w:rsidRoot w:val="00000000"/>
    <w:rsid w:val="021C1157"/>
    <w:rsid w:val="026F4F49"/>
    <w:rsid w:val="02A64CBA"/>
    <w:rsid w:val="04E23328"/>
    <w:rsid w:val="098552F6"/>
    <w:rsid w:val="0A6100FD"/>
    <w:rsid w:val="0AE56831"/>
    <w:rsid w:val="12797AAE"/>
    <w:rsid w:val="15A815B7"/>
    <w:rsid w:val="16314110"/>
    <w:rsid w:val="1BB6324B"/>
    <w:rsid w:val="1C2D1EE0"/>
    <w:rsid w:val="1FAE4D3A"/>
    <w:rsid w:val="265735B0"/>
    <w:rsid w:val="32D560F7"/>
    <w:rsid w:val="32E80D40"/>
    <w:rsid w:val="35E31971"/>
    <w:rsid w:val="46930D17"/>
    <w:rsid w:val="48C84E9B"/>
    <w:rsid w:val="4AD06325"/>
    <w:rsid w:val="529F1573"/>
    <w:rsid w:val="56552F27"/>
    <w:rsid w:val="567E2422"/>
    <w:rsid w:val="58205155"/>
    <w:rsid w:val="58F1624C"/>
    <w:rsid w:val="59B70C47"/>
    <w:rsid w:val="65B764E8"/>
    <w:rsid w:val="6B2324F2"/>
    <w:rsid w:val="73613DC2"/>
    <w:rsid w:val="76AA4771"/>
    <w:rsid w:val="7D094EC6"/>
    <w:rsid w:val="7D3B6123"/>
    <w:rsid w:val="7DFA805D"/>
    <w:rsid w:val="FEFF1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4"/>
    <w:basedOn w:val="1"/>
    <w:next w:val="7"/>
    <w:qFormat/>
    <w:uiPriority w:val="0"/>
    <w:pPr>
      <w:keepLines/>
      <w:widowControl/>
      <w:jc w:val="left"/>
      <w:outlineLvl w:val="3"/>
    </w:pPr>
    <w:rPr>
      <w:rFonts w:eastAsia="楷体_GB2312"/>
      <w:b/>
      <w:snapToGrid w:val="0"/>
    </w:rPr>
  </w:style>
  <w:style w:type="paragraph" w:styleId="9">
    <w:name w:val="heading 5"/>
    <w:basedOn w:val="1"/>
    <w:next w:val="1"/>
    <w:qFormat/>
    <w:uiPriority w:val="0"/>
    <w:pPr>
      <w:keepNext/>
      <w:keepLines/>
      <w:numPr>
        <w:ilvl w:val="4"/>
        <w:numId w:val="1"/>
      </w:numPr>
      <w:spacing w:before="280" w:after="290" w:line="376" w:lineRule="auto"/>
      <w:outlineLvl w:val="4"/>
    </w:pPr>
    <w:rPr>
      <w:b/>
      <w:spacing w:val="20"/>
      <w:sz w:val="28"/>
    </w:rPr>
  </w:style>
  <w:style w:type="character" w:default="1" w:styleId="27">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widowControl/>
      <w:ind w:firstLine="420" w:firstLineChars="100"/>
    </w:pPr>
    <w:rPr>
      <w:szCs w:val="20"/>
    </w:rPr>
  </w:style>
  <w:style w:type="paragraph" w:styleId="3">
    <w:name w:val="Body Text"/>
    <w:basedOn w:val="1"/>
    <w:next w:val="1"/>
    <w:qFormat/>
    <w:uiPriority w:val="0"/>
    <w:pPr>
      <w:spacing w:after="120"/>
    </w:pPr>
    <w:rPr>
      <w:sz w:val="28"/>
    </w:rPr>
  </w:style>
  <w:style w:type="paragraph" w:styleId="4">
    <w:name w:val="toc 6"/>
    <w:basedOn w:val="1"/>
    <w:next w:val="1"/>
    <w:qFormat/>
    <w:uiPriority w:val="99"/>
    <w:pPr>
      <w:ind w:left="1050"/>
      <w:jc w:val="left"/>
    </w:pPr>
    <w:rPr>
      <w:rFonts w:ascii="Calibri" w:hAnsi="Calibri" w:cs="Calibri"/>
      <w:sz w:val="18"/>
      <w:szCs w:val="18"/>
    </w:rPr>
  </w:style>
  <w:style w:type="paragraph" w:styleId="7">
    <w:name w:val="Normal Indent"/>
    <w:basedOn w:val="1"/>
    <w:next w:val="8"/>
    <w:qFormat/>
    <w:uiPriority w:val="0"/>
    <w:pPr>
      <w:ind w:firstLine="420"/>
    </w:pPr>
    <w:rPr>
      <w:szCs w:val="20"/>
    </w:rPr>
  </w:style>
  <w:style w:type="paragraph" w:styleId="8">
    <w:name w:val="Body Text Indent"/>
    <w:basedOn w:val="1"/>
    <w:next w:val="1"/>
    <w:qFormat/>
    <w:uiPriority w:val="0"/>
    <w:pPr>
      <w:spacing w:line="200" w:lineRule="exact"/>
      <w:ind w:firstLine="301"/>
    </w:pPr>
    <w:rPr>
      <w:rFonts w:ascii="宋体" w:hAnsi="Courier New"/>
      <w:spacing w:val="-4"/>
      <w:sz w:val="18"/>
      <w:szCs w:val="20"/>
    </w:rPr>
  </w:style>
  <w:style w:type="paragraph" w:styleId="10">
    <w:name w:val="List Number"/>
    <w:basedOn w:val="1"/>
    <w:qFormat/>
    <w:uiPriority w:val="0"/>
    <w:pPr>
      <w:numPr>
        <w:ilvl w:val="0"/>
        <w:numId w:val="2"/>
      </w:numPr>
    </w:pPr>
  </w:style>
  <w:style w:type="paragraph" w:styleId="11">
    <w:name w:val="annotation text"/>
    <w:basedOn w:val="1"/>
    <w:qFormat/>
    <w:uiPriority w:val="0"/>
    <w:pPr>
      <w:jc w:val="left"/>
    </w:pPr>
    <w:rPr>
      <w:rFonts w:ascii="宋体" w:hAnsi="宋体"/>
    </w:rPr>
  </w:style>
  <w:style w:type="paragraph" w:styleId="12">
    <w:name w:val="Block Text"/>
    <w:basedOn w:val="1"/>
    <w:qFormat/>
    <w:uiPriority w:val="99"/>
    <w:pPr>
      <w:adjustRightInd w:val="0"/>
      <w:snapToGrid w:val="0"/>
      <w:spacing w:line="360" w:lineRule="auto"/>
      <w:ind w:left="540" w:leftChars="270" w:right="-300" w:rightChars="-150" w:firstLine="200" w:firstLineChars="200"/>
    </w:pPr>
    <w:rPr>
      <w:rFonts w:ascii="宋体" w:hAnsi="宋体" w:cs="宋体"/>
      <w:sz w:val="24"/>
      <w:szCs w:val="28"/>
    </w:rPr>
  </w:style>
  <w:style w:type="paragraph" w:styleId="13">
    <w:name w:val="index 4"/>
    <w:basedOn w:val="1"/>
    <w:next w:val="1"/>
    <w:semiHidden/>
    <w:qFormat/>
    <w:uiPriority w:val="0"/>
    <w:pPr>
      <w:ind w:left="600" w:leftChars="600"/>
    </w:pPr>
  </w:style>
  <w:style w:type="paragraph" w:styleId="14">
    <w:name w:val="Plain Text"/>
    <w:basedOn w:val="1"/>
    <w:next w:val="15"/>
    <w:qFormat/>
    <w:uiPriority w:val="0"/>
    <w:pPr>
      <w:spacing w:beforeLines="50" w:afterLines="50" w:line="400" w:lineRule="exact"/>
    </w:pPr>
    <w:rPr>
      <w:rFonts w:hint="eastAsia" w:ascii="宋体" w:hAnsi="Courier New"/>
      <w:b/>
      <w:sz w:val="24"/>
    </w:rPr>
  </w:style>
  <w:style w:type="paragraph" w:styleId="15">
    <w:name w:val="Date"/>
    <w:basedOn w:val="1"/>
    <w:next w:val="1"/>
    <w:qFormat/>
    <w:uiPriority w:val="0"/>
    <w:pPr>
      <w:ind w:left="2500" w:leftChars="2500"/>
    </w:pPr>
    <w:rPr>
      <w:rFonts w:eastAsia="楷体_GB2312"/>
      <w:sz w:val="32"/>
      <w:szCs w:val="20"/>
    </w:rPr>
  </w:style>
  <w:style w:type="paragraph" w:styleId="16">
    <w:name w:val="footer"/>
    <w:basedOn w:val="1"/>
    <w:qFormat/>
    <w:uiPriority w:val="0"/>
    <w:pPr>
      <w:tabs>
        <w:tab w:val="center" w:pos="4153"/>
        <w:tab w:val="right" w:pos="8306"/>
      </w:tabs>
      <w:snapToGrid w:val="0"/>
      <w:jc w:val="left"/>
    </w:pPr>
    <w:rPr>
      <w:rFonts w:eastAsia="黑体"/>
      <w:kern w:val="0"/>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18">
    <w:name w:val="toc 1"/>
    <w:basedOn w:val="1"/>
    <w:next w:val="1"/>
    <w:qFormat/>
    <w:uiPriority w:val="39"/>
    <w:pPr>
      <w:spacing w:before="120" w:after="120"/>
      <w:jc w:val="left"/>
    </w:pPr>
    <w:rPr>
      <w:rFonts w:ascii="Calibri" w:hAnsi="Calibri" w:cs="Calibri"/>
      <w:b/>
      <w:bCs/>
      <w:caps/>
      <w:sz w:val="20"/>
      <w:szCs w:val="20"/>
    </w:rPr>
  </w:style>
  <w:style w:type="paragraph" w:styleId="19">
    <w:name w:val="Subtitle"/>
    <w:basedOn w:val="1"/>
    <w:next w:val="1"/>
    <w:qFormat/>
    <w:uiPriority w:val="0"/>
    <w:pPr>
      <w:spacing w:after="60"/>
      <w:jc w:val="center"/>
      <w:outlineLvl w:val="1"/>
    </w:pPr>
    <w:rPr>
      <w:rFonts w:ascii="Cambria" w:hAnsi="Cambria" w:eastAsia="Cambria"/>
      <w:sz w:val="28"/>
    </w:rPr>
  </w:style>
  <w:style w:type="paragraph" w:styleId="20">
    <w:name w:val="Body Text Indent 3"/>
    <w:basedOn w:val="1"/>
    <w:qFormat/>
    <w:uiPriority w:val="0"/>
    <w:pPr>
      <w:spacing w:after="120" w:afterLines="0"/>
      <w:ind w:left="420" w:leftChars="200"/>
    </w:pPr>
    <w:rPr>
      <w:sz w:val="16"/>
      <w:szCs w:val="16"/>
    </w:rPr>
  </w:style>
  <w:style w:type="paragraph" w:styleId="21">
    <w:name w:val="toc 2"/>
    <w:basedOn w:val="1"/>
    <w:next w:val="1"/>
    <w:qFormat/>
    <w:uiPriority w:val="39"/>
    <w:pPr>
      <w:ind w:left="420" w:leftChars="200"/>
    </w:pPr>
  </w:style>
  <w:style w:type="paragraph" w:styleId="22">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23">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4">
    <w:name w:val="Title"/>
    <w:basedOn w:val="1"/>
    <w:next w:val="1"/>
    <w:qFormat/>
    <w:uiPriority w:val="99"/>
    <w:pPr>
      <w:widowControl/>
      <w:overflowPunct w:val="0"/>
      <w:autoSpaceDE w:val="0"/>
      <w:autoSpaceDN w:val="0"/>
      <w:adjustRightInd w:val="0"/>
      <w:jc w:val="center"/>
      <w:textAlignment w:val="baseline"/>
    </w:pPr>
    <w:rPr>
      <w:b/>
      <w:kern w:val="0"/>
      <w:sz w:val="24"/>
      <w:szCs w:val="20"/>
    </w:rPr>
  </w:style>
  <w:style w:type="paragraph" w:styleId="25">
    <w:name w:val="Body Text First Indent 2"/>
    <w:basedOn w:val="8"/>
    <w:next w:val="1"/>
    <w:qFormat/>
    <w:uiPriority w:val="0"/>
    <w:pPr>
      <w:tabs>
        <w:tab w:val="left" w:pos="0"/>
        <w:tab w:val="left" w:pos="1260"/>
        <w:tab w:val="left" w:pos="1365"/>
      </w:tabs>
      <w:ind w:firstLine="420"/>
    </w:pPr>
    <w:rPr>
      <w:rFonts w:ascii="Times New Roman" w:hAnsi="Times New Roman" w:cs="宋体"/>
      <w:szCs w:val="21"/>
    </w:rPr>
  </w:style>
  <w:style w:type="character" w:styleId="28">
    <w:name w:val="Strong"/>
    <w:qFormat/>
    <w:uiPriority w:val="0"/>
    <w:rPr>
      <w:b/>
      <w:bCs/>
    </w:rPr>
  </w:style>
  <w:style w:type="character" w:styleId="29">
    <w:name w:val="page number"/>
    <w:qFormat/>
    <w:uiPriority w:val="0"/>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paragraph" w:customStyle="1" w:styleId="32">
    <w:name w:val="[Normal]"/>
    <w:qFormat/>
    <w:uiPriority w:val="0"/>
    <w:rPr>
      <w:rFonts w:ascii="宋体" w:hAnsi="宋体" w:eastAsia="宋体" w:cs="Times New Roman"/>
      <w:sz w:val="24"/>
      <w:szCs w:val="22"/>
      <w:lang w:val="zh-CN" w:eastAsia="zh-CN" w:bidi="ar-SA"/>
    </w:rPr>
  </w:style>
  <w:style w:type="paragraph" w:customStyle="1" w:styleId="33">
    <w:name w:val="签发人"/>
    <w:basedOn w:val="1"/>
    <w:qFormat/>
    <w:uiPriority w:val="0"/>
    <w:rPr>
      <w:rFonts w:eastAsia="楷体"/>
      <w:sz w:val="32"/>
    </w:rPr>
  </w:style>
  <w:style w:type="paragraph" w:customStyle="1" w:styleId="34">
    <w:name w:val="表格文字"/>
    <w:basedOn w:val="1"/>
    <w:next w:val="3"/>
    <w:qFormat/>
    <w:uiPriority w:val="0"/>
    <w:pPr>
      <w:adjustRightInd w:val="0"/>
      <w:spacing w:line="420" w:lineRule="atLeast"/>
      <w:jc w:val="left"/>
      <w:textAlignment w:val="baseline"/>
    </w:pPr>
    <w:rPr>
      <w:kern w:val="0"/>
    </w:rPr>
  </w:style>
  <w:style w:type="paragraph" w:customStyle="1" w:styleId="35">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36">
    <w:name w:val="msolistparagraph"/>
    <w:basedOn w:val="1"/>
    <w:qFormat/>
    <w:uiPriority w:val="0"/>
    <w:pPr>
      <w:ind w:firstLine="420" w:firstLineChars="200"/>
    </w:pPr>
    <w:rPr>
      <w:rFonts w:ascii="Calibri" w:hAnsi="Calibri"/>
      <w:sz w:val="28"/>
      <w:szCs w:val="22"/>
    </w:rPr>
  </w:style>
  <w:style w:type="paragraph" w:customStyle="1" w:styleId="37">
    <w:name w:val="正文2"/>
    <w:qFormat/>
    <w:uiPriority w:val="0"/>
    <w:pPr>
      <w:widowControl w:val="0"/>
      <w:spacing w:before="156" w:line="360" w:lineRule="auto"/>
      <w:ind w:firstLine="510"/>
      <w:jc w:val="both"/>
    </w:pPr>
    <w:rPr>
      <w:rFonts w:ascii="Arial Unicode MS" w:hAnsi="Arial Unicode MS" w:eastAsia="Arial Unicode MS" w:cs="Arial Unicode MS"/>
      <w:color w:val="000000"/>
      <w:kern w:val="2"/>
      <w:sz w:val="24"/>
      <w:szCs w:val="24"/>
      <w:u w:color="000000"/>
      <w:lang w:val="en-US" w:eastAsia="zh-CN" w:bidi="ar-SA"/>
    </w:rPr>
  </w:style>
  <w:style w:type="paragraph" w:customStyle="1" w:styleId="38">
    <w:name w:val="正文首行缩进 21"/>
    <w:basedOn w:val="39"/>
    <w:qFormat/>
    <w:uiPriority w:val="0"/>
    <w:pPr>
      <w:ind w:firstLine="420"/>
    </w:pPr>
    <w:rPr>
      <w:rFonts w:cs="宋体"/>
    </w:rPr>
  </w:style>
  <w:style w:type="paragraph" w:customStyle="1" w:styleId="39">
    <w:name w:val="正文文本缩进1"/>
    <w:basedOn w:val="1"/>
    <w:next w:val="1"/>
    <w:qFormat/>
    <w:uiPriority w:val="0"/>
    <w:pPr>
      <w:ind w:left="420" w:leftChars="200"/>
    </w:pPr>
    <w:rPr>
      <w:color w:val="000000"/>
      <w:szCs w:val="21"/>
    </w:rPr>
  </w:style>
  <w:style w:type="paragraph" w:styleId="40">
    <w:name w:val="List Paragraph"/>
    <w:basedOn w:val="1"/>
    <w:qFormat/>
    <w:uiPriority w:val="0"/>
    <w:pPr>
      <w:widowControl/>
      <w:suppressAutoHyphens/>
      <w:spacing w:after="200" w:line="276" w:lineRule="auto"/>
      <w:ind w:left="720"/>
      <w:contextualSpacing/>
      <w:jc w:val="left"/>
    </w:pPr>
    <w:rPr>
      <w:rFonts w:ascii="Calibri" w:hAnsi="Calibri" w:cs="Calibri"/>
      <w:sz w:val="22"/>
      <w:szCs w:val="22"/>
      <w:lang w:bidi="en-US"/>
    </w:rPr>
  </w:style>
  <w:style w:type="character" w:customStyle="1" w:styleId="41">
    <w:name w:val="标题 4 Char Char Char Char"/>
    <w:qFormat/>
    <w:uiPriority w:val="0"/>
    <w:rPr>
      <w:rFonts w:eastAsia="楷体_GB2312"/>
      <w:b/>
      <w:snapToGrid w:val="0"/>
      <w:sz w:val="24"/>
      <w:lang w:val="en-US" w:eastAsia="zh-CN" w:bidi="ar-SA"/>
    </w:rPr>
  </w:style>
  <w:style w:type="paragraph" w:customStyle="1" w:styleId="42">
    <w:name w:val="WW-正文缩进"/>
    <w:basedOn w:val="1"/>
    <w:qFormat/>
    <w:uiPriority w:val="0"/>
    <w:pPr>
      <w:suppressAutoHyphens/>
      <w:ind w:firstLine="488"/>
    </w:pPr>
  </w:style>
  <w:style w:type="paragraph" w:customStyle="1" w:styleId="43">
    <w:name w:val="reader-word-layer"/>
    <w:basedOn w:val="1"/>
    <w:qFormat/>
    <w:uiPriority w:val="0"/>
    <w:pPr>
      <w:spacing w:before="100" w:beforeAutospacing="1" w:after="100" w:afterAutospacing="1"/>
    </w:pPr>
    <w:rPr>
      <w:rFonts w:ascii="宋体" w:hAnsi="宋体" w:cs="宋体"/>
      <w:sz w:val="24"/>
    </w:rPr>
  </w:style>
  <w:style w:type="paragraph" w:customStyle="1" w:styleId="4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zw"/>
    <w:basedOn w:val="1"/>
    <w:qFormat/>
    <w:uiPriority w:val="0"/>
    <w:pPr>
      <w:widowControl/>
      <w:spacing w:before="30"/>
      <w:ind w:left="100" w:right="100"/>
    </w:pPr>
    <w:rPr>
      <w:rFonts w:ascii="方正书宋简体" w:hAnsi="楷体_GB2312" w:eastAsia="方正书宋简体"/>
      <w:color w:val="000000"/>
      <w:kern w:val="0"/>
      <w:szCs w:val="21"/>
    </w:rPr>
  </w:style>
  <w:style w:type="paragraph" w:customStyle="1" w:styleId="48">
    <w:name w:val="Default"/>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customStyle="1" w:styleId="49">
    <w:name w:val="Other|1"/>
    <w:basedOn w:val="1"/>
    <w:qFormat/>
    <w:uiPriority w:val="0"/>
    <w:pPr>
      <w:widowControl w:val="0"/>
      <w:shd w:val="clear" w:color="auto" w:fill="auto"/>
      <w:spacing w:after="80"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50">
    <w:name w:val="正文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4.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4075</Words>
  <Characters>4883</Characters>
  <Lines>0</Lines>
  <Paragraphs>0</Paragraphs>
  <TotalTime>1</TotalTime>
  <ScaleCrop>false</ScaleCrop>
  <LinksUpToDate>false</LinksUpToDate>
  <CharactersWithSpaces>4958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2024-11-18T18:00:00Z</dcterms:created>
  <dc:creator>2023</dc:creator>
  <cp:lastModifiedBy>老马</cp:lastModifiedBy>
  <dcterms:modified xsi:type="dcterms:W3CDTF">2025-02-13T07:07:25Z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7609995F15024C1A897E228A72DC3E10_13</vt:lpwstr>
  </property>
  <property fmtid="{D5CDD505-2E9C-101B-9397-08002B2CF9AE}" pid="4" name="KSOTemplateDocerSaveRecord">
    <vt:lpwstr>eyJoZGlkIjoiYzY0NmFiNTM1OTEwOTc3ZmRiYjMyNmE1NTA3MDFhY2YiLCJ1c2VySWQiOiIxNDA1NDIxNjQ1In0=</vt:lpwstr>
  </property>
</Properties>
</file>