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B5497">
      <w:pPr>
        <w:pStyle w:val="2"/>
        <w:adjustRightInd/>
        <w:ind w:left="431" w:hanging="431"/>
        <w:jc w:val="center"/>
        <w:rPr>
          <w:rStyle w:val="13"/>
          <w:rFonts w:hint="eastAsia" w:ascii="仿宋" w:eastAsia="仿宋" w:cs="仿宋"/>
          <w:b/>
          <w:bCs/>
          <w:color w:val="auto"/>
        </w:rPr>
      </w:pPr>
      <w:bookmarkStart w:id="0" w:name="_Toc12497"/>
      <w:bookmarkStart w:id="1" w:name="_Toc1683"/>
      <w:bookmarkStart w:id="2" w:name="_Toc1792140694"/>
      <w:r>
        <w:rPr>
          <w:rStyle w:val="13"/>
          <w:rFonts w:hint="eastAsia" w:ascii="仿宋" w:eastAsia="仿宋" w:cs="仿宋"/>
          <w:b/>
          <w:bCs/>
          <w:color w:val="auto"/>
        </w:rPr>
        <w:t>第三部分 采购需求</w:t>
      </w:r>
      <w:bookmarkEnd w:id="0"/>
      <w:bookmarkEnd w:id="1"/>
      <w:bookmarkEnd w:id="2"/>
    </w:p>
    <w:p w14:paraId="4063FF12">
      <w:pPr>
        <w:spacing w:line="460" w:lineRule="exact"/>
        <w:ind w:firstLine="440" w:firstLineChars="200"/>
        <w:rPr>
          <w:rFonts w:hint="eastAsia" w:ascii="仿宋" w:hAnsi="仿宋" w:eastAsia="仿宋" w:cs="仿宋"/>
          <w:kern w:val="0"/>
          <w:sz w:val="22"/>
          <w:szCs w:val="22"/>
        </w:rPr>
      </w:pPr>
      <w:bookmarkStart w:id="3" w:name="_Toc932735830"/>
      <w:bookmarkStart w:id="4" w:name="_Toc32107"/>
      <w:bookmarkStart w:id="5" w:name="_Toc3529"/>
    </w:p>
    <w:p w14:paraId="3B216635">
      <w:pPr>
        <w:pStyle w:val="4"/>
        <w:spacing w:line="460" w:lineRule="exact"/>
        <w:ind w:left="425" w:hanging="425"/>
        <w:rPr>
          <w:rFonts w:hint="eastAsia" w:ascii="仿宋" w:hAnsi="仿宋" w:eastAsia="仿宋" w:cs="仿宋"/>
          <w:b/>
          <w:bCs/>
          <w:color w:val="auto"/>
        </w:rPr>
      </w:pPr>
      <w:r>
        <w:rPr>
          <w:rFonts w:hint="eastAsia" w:ascii="仿宋" w:hAnsi="仿宋" w:eastAsia="仿宋" w:cs="仿宋"/>
          <w:b/>
          <w:bCs/>
          <w:color w:val="auto"/>
        </w:rPr>
        <w:t>一、项目概况</w:t>
      </w:r>
    </w:p>
    <w:p w14:paraId="1F895728">
      <w:pPr>
        <w:spacing w:line="460" w:lineRule="exact"/>
        <w:ind w:firstLine="560"/>
        <w:rPr>
          <w:rFonts w:hint="eastAsia" w:ascii="仿宋" w:hAnsi="仿宋" w:eastAsia="仿宋" w:cs="仿宋"/>
          <w:sz w:val="22"/>
          <w:szCs w:val="22"/>
        </w:rPr>
      </w:pPr>
      <w:r>
        <w:rPr>
          <w:rFonts w:hint="eastAsia" w:ascii="仿宋" w:hAnsi="仿宋" w:eastAsia="仿宋" w:cs="仿宋"/>
          <w:sz w:val="22"/>
          <w:szCs w:val="22"/>
        </w:rPr>
        <w:t>依据公安大数据安全技术要求，在确保网络架构稳定、设备可靠、边界清晰，充分考虑现网运行情况下，合理规划网络安全架构、业务安全架构、数据安全架构、云平台安全架构，从而构建内生安全能力，推进公安大数据安全体系“一中心、两体系、两能力”的建设，有力支撑温州市公安大数据智能化建设应用。</w:t>
      </w:r>
    </w:p>
    <w:p w14:paraId="669536E6">
      <w:pPr>
        <w:pStyle w:val="4"/>
        <w:spacing w:line="460" w:lineRule="exact"/>
        <w:ind w:left="425" w:hanging="425"/>
        <w:rPr>
          <w:rFonts w:hint="eastAsia" w:ascii="仿宋" w:hAnsi="仿宋" w:eastAsia="仿宋" w:cs="仿宋"/>
          <w:b/>
          <w:bCs/>
          <w:color w:val="auto"/>
        </w:rPr>
      </w:pPr>
      <w:r>
        <w:rPr>
          <w:rFonts w:hint="eastAsia" w:ascii="仿宋" w:hAnsi="仿宋" w:eastAsia="仿宋" w:cs="仿宋"/>
          <w:b/>
          <w:bCs/>
          <w:color w:val="auto"/>
        </w:rPr>
        <w:t>二、建设目标</w:t>
      </w:r>
    </w:p>
    <w:p w14:paraId="4640E594">
      <w:pPr>
        <w:spacing w:line="460" w:lineRule="exact"/>
        <w:ind w:firstLine="560"/>
        <w:rPr>
          <w:rFonts w:hint="eastAsia" w:ascii="仿宋" w:hAnsi="仿宋" w:eastAsia="仿宋" w:cs="仿宋"/>
          <w:sz w:val="22"/>
          <w:szCs w:val="22"/>
        </w:rPr>
      </w:pPr>
      <w:r>
        <w:rPr>
          <w:rFonts w:hint="eastAsia" w:ascii="仿宋" w:hAnsi="仿宋" w:eastAsia="仿宋" w:cs="仿宋"/>
          <w:sz w:val="22"/>
          <w:szCs w:val="22"/>
        </w:rPr>
        <w:t>根据公安大数据智能化安全体系的指导思想、设计原则、建设思路，构建基于云计算、大数据、新一代公安网的安全、可信、合规的立体化纵深防御体系，形成科学实用的“体系化安全防护能力、规范化安全管理能力、综合化安全运维能力”，重点打造“一个中心（即安全管理中心）、两个体系（即零信任体系、安全防护体系）、两个能力（安全访问能力、数据交换能力），做到全网安全态势敏锐感知，安全威胁快速检测与处置，确保大数据全程可知、可控、可管、可查，变静态为动态，变被动为主动，为公安大数据智能化建设提供严密安全保障。</w:t>
      </w:r>
    </w:p>
    <w:p w14:paraId="1A980B52">
      <w:pPr>
        <w:spacing w:line="460" w:lineRule="exact"/>
        <w:ind w:firstLine="560"/>
        <w:rPr>
          <w:rFonts w:hint="eastAsia" w:ascii="仿宋" w:hAnsi="仿宋" w:eastAsia="仿宋" w:cs="仿宋"/>
          <w:sz w:val="22"/>
          <w:szCs w:val="22"/>
        </w:rPr>
      </w:pPr>
      <w:r>
        <w:rPr>
          <w:rFonts w:hint="eastAsia" w:ascii="仿宋" w:hAnsi="仿宋" w:eastAsia="仿宋" w:cs="仿宋"/>
          <w:sz w:val="22"/>
          <w:szCs w:val="22"/>
        </w:rPr>
        <w:t>本项目建设目标如下：</w:t>
      </w:r>
    </w:p>
    <w:p w14:paraId="2F7E04C9">
      <w:pPr>
        <w:spacing w:line="460" w:lineRule="exact"/>
        <w:ind w:firstLine="560"/>
        <w:rPr>
          <w:rFonts w:hint="eastAsia" w:ascii="仿宋" w:hAnsi="仿宋" w:eastAsia="仿宋" w:cs="仿宋"/>
          <w:sz w:val="22"/>
          <w:szCs w:val="22"/>
        </w:rPr>
      </w:pPr>
      <w:r>
        <w:rPr>
          <w:rFonts w:hint="eastAsia" w:ascii="仿宋" w:hAnsi="仿宋" w:eastAsia="仿宋" w:cs="仿宋"/>
          <w:sz w:val="22"/>
          <w:szCs w:val="22"/>
        </w:rPr>
        <w:t>目标一：建设零信任基础模块。</w:t>
      </w:r>
    </w:p>
    <w:p w14:paraId="5788A38A">
      <w:pPr>
        <w:spacing w:line="460" w:lineRule="exact"/>
        <w:ind w:firstLine="560"/>
        <w:rPr>
          <w:rFonts w:hint="eastAsia" w:ascii="仿宋" w:hAnsi="仿宋" w:eastAsia="仿宋" w:cs="仿宋"/>
          <w:sz w:val="22"/>
          <w:szCs w:val="22"/>
        </w:rPr>
      </w:pPr>
      <w:r>
        <w:rPr>
          <w:rFonts w:hint="eastAsia" w:ascii="仿宋" w:hAnsi="仿宋" w:eastAsia="仿宋" w:cs="仿宋"/>
          <w:sz w:val="22"/>
          <w:szCs w:val="22"/>
        </w:rPr>
        <w:t>建设公安大数据安全保障体系-零信任基础模块，根据公安部“零信任体系”建设要求，建设认证服务、权限服务、业务安全策略控制等服务，实现对人员、设备、应用与服务实现全面数字身份管理，完成省市零信任体系一体化建设。</w:t>
      </w:r>
    </w:p>
    <w:p w14:paraId="21023FD3">
      <w:pPr>
        <w:spacing w:line="460" w:lineRule="exact"/>
        <w:ind w:firstLine="560"/>
        <w:rPr>
          <w:rFonts w:hint="eastAsia" w:ascii="仿宋" w:hAnsi="仿宋" w:eastAsia="仿宋" w:cs="仿宋"/>
          <w:sz w:val="22"/>
          <w:szCs w:val="22"/>
        </w:rPr>
      </w:pPr>
      <w:r>
        <w:rPr>
          <w:rFonts w:hint="eastAsia" w:ascii="仿宋" w:hAnsi="仿宋" w:eastAsia="仿宋" w:cs="仿宋"/>
          <w:sz w:val="22"/>
          <w:szCs w:val="22"/>
        </w:rPr>
        <w:t>目标二：建设公安信息系统大数据安全审计平台。</w:t>
      </w:r>
    </w:p>
    <w:p w14:paraId="2B668C5C">
      <w:pPr>
        <w:spacing w:line="460" w:lineRule="exact"/>
        <w:ind w:firstLine="560"/>
        <w:rPr>
          <w:rFonts w:hint="eastAsia" w:ascii="仿宋" w:hAnsi="仿宋" w:eastAsia="仿宋" w:cs="仿宋"/>
          <w:sz w:val="22"/>
          <w:szCs w:val="22"/>
        </w:rPr>
      </w:pPr>
      <w:r>
        <w:rPr>
          <w:rFonts w:hint="eastAsia" w:ascii="仿宋" w:hAnsi="仿宋" w:eastAsia="仿宋" w:cs="仿宋"/>
          <w:sz w:val="22"/>
          <w:szCs w:val="22"/>
        </w:rPr>
        <w:t>基于</w:t>
      </w:r>
      <w:r>
        <w:rPr>
          <w:rFonts w:hint="default" w:ascii="仿宋" w:hAnsi="仿宋" w:eastAsia="仿宋" w:cs="仿宋"/>
          <w:sz w:val="22"/>
          <w:szCs w:val="22"/>
          <w:woUserID w:val="1"/>
        </w:rPr>
        <w:t>相关</w:t>
      </w:r>
      <w:r>
        <w:rPr>
          <w:rFonts w:hint="eastAsia" w:ascii="仿宋" w:hAnsi="仿宋" w:eastAsia="仿宋" w:cs="仿宋"/>
          <w:sz w:val="22"/>
          <w:szCs w:val="22"/>
        </w:rPr>
        <w:t>规范标准，建设公安信息系统大数据安全审计平台，通过省、市平台之间级联接口，实现不同级别、不同区域、不同类型的应用系统/资源库之间日志信息的互联互通和可控共享。同时明确本级平台运维与管理要求，建立配套工作机制。多源化采集日志数据、流程化处理日志数据、异构化存储日志数据，结合温州公安应用日志数据和应用特点，开展深度挖掘分析，梳理异常行为模型，提升异常行为分析精度。</w:t>
      </w:r>
    </w:p>
    <w:p w14:paraId="7C4E5A20">
      <w:pPr>
        <w:spacing w:line="460" w:lineRule="exact"/>
        <w:ind w:firstLine="560"/>
        <w:rPr>
          <w:rFonts w:hint="eastAsia" w:ascii="仿宋" w:hAnsi="仿宋" w:eastAsia="仿宋" w:cs="仿宋"/>
          <w:sz w:val="22"/>
          <w:szCs w:val="22"/>
        </w:rPr>
      </w:pPr>
      <w:r>
        <w:rPr>
          <w:rFonts w:hint="eastAsia" w:ascii="仿宋" w:hAnsi="仿宋" w:eastAsia="仿宋" w:cs="仿宋"/>
          <w:sz w:val="22"/>
          <w:szCs w:val="22"/>
        </w:rPr>
        <w:t>目标三：开展安全运营服务。</w:t>
      </w:r>
    </w:p>
    <w:p w14:paraId="1BDBED17">
      <w:pPr>
        <w:spacing w:line="460" w:lineRule="exact"/>
        <w:ind w:firstLine="560"/>
        <w:rPr>
          <w:rFonts w:hint="eastAsia" w:ascii="仿宋" w:hAnsi="仿宋" w:eastAsia="仿宋" w:cs="仿宋"/>
          <w:sz w:val="22"/>
          <w:szCs w:val="22"/>
        </w:rPr>
      </w:pPr>
      <w:r>
        <w:rPr>
          <w:rFonts w:hint="eastAsia" w:ascii="仿宋" w:hAnsi="仿宋" w:eastAsia="仿宋" w:cs="仿宋"/>
          <w:sz w:val="22"/>
          <w:szCs w:val="22"/>
        </w:rPr>
        <w:t>如风险评估服务、渗透测试服务、网络和数据安全专项检查服务、安全事件应急响应处置服务、重保服务、总结分析研判服务、安全制度建设、定制化安全培训服务及攻防演练、比武等内容。</w:t>
      </w:r>
    </w:p>
    <w:p w14:paraId="2A1DF31B">
      <w:pPr>
        <w:pStyle w:val="4"/>
        <w:spacing w:line="460" w:lineRule="exact"/>
        <w:ind w:left="425" w:hanging="425"/>
        <w:rPr>
          <w:rFonts w:hint="eastAsia" w:ascii="仿宋" w:hAnsi="仿宋" w:eastAsia="仿宋" w:cs="仿宋"/>
          <w:b/>
          <w:bCs/>
          <w:color w:val="auto"/>
        </w:rPr>
      </w:pPr>
      <w:r>
        <w:rPr>
          <w:rFonts w:hint="eastAsia" w:ascii="仿宋" w:hAnsi="仿宋" w:eastAsia="仿宋" w:cs="仿宋"/>
          <w:b/>
          <w:bCs/>
          <w:color w:val="auto"/>
        </w:rPr>
        <w:t>三、建设内容</w:t>
      </w:r>
    </w:p>
    <w:p w14:paraId="19788E01">
      <w:pPr>
        <w:pStyle w:val="5"/>
        <w:spacing w:line="460" w:lineRule="exact"/>
        <w:ind w:left="425" w:hanging="425"/>
        <w:rPr>
          <w:rFonts w:hint="eastAsia" w:ascii="仿宋" w:hAnsi="仿宋" w:eastAsia="仿宋" w:cs="仿宋"/>
          <w:b/>
          <w:bCs/>
          <w:color w:val="auto"/>
        </w:rPr>
      </w:pPr>
      <w:bookmarkStart w:id="6" w:name="_Toc30762"/>
      <w:r>
        <w:rPr>
          <w:rFonts w:hint="eastAsia" w:ascii="仿宋" w:hAnsi="仿宋" w:eastAsia="仿宋" w:cs="仿宋"/>
          <w:b/>
          <w:bCs/>
          <w:color w:val="auto"/>
        </w:rPr>
        <w:t>1.技术标准、规范</w:t>
      </w:r>
    </w:p>
    <w:p w14:paraId="6D5B4FE8">
      <w:pPr>
        <w:spacing w:line="440" w:lineRule="atLeast"/>
        <w:ind w:firstLine="420" w:firstLineChars="200"/>
        <w:rPr>
          <w:rFonts w:hint="eastAsia" w:ascii="仿宋" w:hAnsi="仿宋" w:eastAsia="仿宋" w:cs="仿宋"/>
        </w:rPr>
      </w:pPr>
      <w:r>
        <w:rPr>
          <w:rFonts w:hint="eastAsia" w:ascii="仿宋" w:hAnsi="仿宋" w:eastAsia="仿宋" w:cs="仿宋"/>
        </w:rPr>
        <w:t>1、国家规定的标准及规范，按最新的标准及规范执行。</w:t>
      </w:r>
    </w:p>
    <w:p w14:paraId="40331EEE">
      <w:pPr>
        <w:spacing w:line="440" w:lineRule="atLeast"/>
        <w:ind w:firstLine="420" w:firstLineChars="200"/>
        <w:rPr>
          <w:rFonts w:hint="eastAsia" w:ascii="仿宋" w:hAnsi="仿宋" w:eastAsia="仿宋" w:cs="仿宋"/>
        </w:rPr>
      </w:pPr>
      <w:r>
        <w:rPr>
          <w:rFonts w:hint="eastAsia" w:ascii="仿宋" w:hAnsi="仿宋" w:eastAsia="仿宋" w:cs="仿宋"/>
        </w:rPr>
        <w:t>2、行业标准及规范，按最新的标准及规范执行。</w:t>
      </w:r>
    </w:p>
    <w:p w14:paraId="2D8CAB2C">
      <w:pPr>
        <w:spacing w:line="440" w:lineRule="atLeast"/>
        <w:ind w:firstLine="420" w:firstLineChars="200"/>
        <w:rPr>
          <w:rFonts w:hint="eastAsia" w:ascii="仿宋" w:hAnsi="仿宋" w:eastAsia="仿宋" w:cs="仿宋"/>
        </w:rPr>
      </w:pPr>
      <w:r>
        <w:rPr>
          <w:rFonts w:hint="eastAsia" w:ascii="仿宋" w:hAnsi="仿宋" w:eastAsia="仿宋" w:cs="仿宋"/>
        </w:rPr>
        <w:t>3、与服务有关的材料设备质量应符合中华人民共和国及产品品牌所在国的有关质量标准，上述标准如有不一致，执行两者中更严格的标准。</w:t>
      </w:r>
    </w:p>
    <w:p w14:paraId="04EDCD8B">
      <w:pPr>
        <w:spacing w:line="440" w:lineRule="atLeast"/>
        <w:ind w:firstLine="420" w:firstLineChars="200"/>
        <w:rPr>
          <w:rFonts w:hint="eastAsia" w:ascii="仿宋" w:hAnsi="仿宋" w:eastAsia="仿宋" w:cs="仿宋"/>
        </w:rPr>
      </w:pPr>
      <w:r>
        <w:rPr>
          <w:rFonts w:hint="eastAsia" w:ascii="仿宋" w:hAnsi="仿宋" w:eastAsia="仿宋" w:cs="仿宋"/>
        </w:rPr>
        <w:t>4、其它相关标准及规范，按最新的标准及规范执行。</w:t>
      </w:r>
    </w:p>
    <w:p w14:paraId="4817B080">
      <w:pPr>
        <w:pStyle w:val="5"/>
        <w:spacing w:line="460" w:lineRule="exact"/>
        <w:ind w:left="425" w:hanging="425"/>
        <w:rPr>
          <w:rFonts w:hint="eastAsia" w:ascii="仿宋" w:hAnsi="仿宋" w:eastAsia="仿宋" w:cs="仿宋"/>
          <w:b/>
          <w:bCs/>
          <w:color w:val="auto"/>
        </w:rPr>
      </w:pPr>
      <w:r>
        <w:rPr>
          <w:rFonts w:hint="eastAsia" w:ascii="仿宋" w:hAnsi="仿宋" w:eastAsia="仿宋" w:cs="仿宋"/>
          <w:b/>
          <w:bCs/>
          <w:color w:val="auto"/>
        </w:rPr>
        <w:t>2.工作范围与服务期要求</w:t>
      </w:r>
    </w:p>
    <w:p w14:paraId="0348CB73">
      <w:pPr>
        <w:spacing w:line="440" w:lineRule="atLeast"/>
        <w:ind w:firstLine="420" w:firstLineChars="200"/>
        <w:rPr>
          <w:rFonts w:hint="eastAsia" w:ascii="仿宋" w:hAnsi="仿宋" w:eastAsia="仿宋" w:cs="仿宋"/>
        </w:rPr>
      </w:pPr>
      <w:r>
        <w:rPr>
          <w:rFonts w:hint="eastAsia" w:ascii="仿宋" w:hAnsi="仿宋" w:eastAsia="仿宋" w:cs="仿宋"/>
        </w:rPr>
        <w:t>各供应商须按国家有关标准及规范完成采购文件规定的所有工作内容：</w:t>
      </w:r>
    </w:p>
    <w:p w14:paraId="44FC6528">
      <w:pPr>
        <w:spacing w:line="440" w:lineRule="atLeast"/>
        <w:ind w:firstLine="420" w:firstLineChars="200"/>
        <w:rPr>
          <w:rFonts w:hint="eastAsia" w:ascii="仿宋" w:hAnsi="仿宋" w:eastAsia="仿宋" w:cs="仿宋"/>
        </w:rPr>
      </w:pPr>
      <w:r>
        <w:rPr>
          <w:rFonts w:hint="eastAsia" w:ascii="仿宋" w:hAnsi="仿宋" w:eastAsia="仿宋" w:cs="仿宋"/>
        </w:rPr>
        <w:t>1、履行所有规定服务。</w:t>
      </w:r>
    </w:p>
    <w:p w14:paraId="567C61B2">
      <w:pPr>
        <w:spacing w:line="440" w:lineRule="atLeast"/>
        <w:ind w:firstLine="420" w:firstLineChars="200"/>
        <w:rPr>
          <w:rFonts w:hint="eastAsia" w:ascii="仿宋" w:hAnsi="仿宋" w:eastAsia="仿宋" w:cs="仿宋"/>
        </w:rPr>
      </w:pPr>
      <w:r>
        <w:rPr>
          <w:rFonts w:hint="eastAsia" w:ascii="仿宋" w:hAnsi="仿宋" w:eastAsia="仿宋" w:cs="仿宋"/>
        </w:rPr>
        <w:t>2、服务须达到采购文件规定的质量标准及使用要求。</w:t>
      </w:r>
    </w:p>
    <w:p w14:paraId="20FD10CF">
      <w:pPr>
        <w:spacing w:line="440" w:lineRule="atLeast"/>
        <w:ind w:firstLine="420" w:firstLineChars="200"/>
        <w:rPr>
          <w:rFonts w:hint="eastAsia" w:ascii="仿宋" w:hAnsi="仿宋" w:eastAsia="仿宋" w:cs="仿宋"/>
        </w:rPr>
      </w:pPr>
      <w:r>
        <w:rPr>
          <w:rFonts w:hint="eastAsia" w:ascii="仿宋" w:hAnsi="仿宋" w:eastAsia="仿宋" w:cs="仿宋"/>
        </w:rPr>
        <w:t>3、本项目要求服务期为18个月。</w:t>
      </w:r>
    </w:p>
    <w:p w14:paraId="45BD1CF4">
      <w:pPr>
        <w:pStyle w:val="5"/>
        <w:spacing w:line="460" w:lineRule="exact"/>
        <w:ind w:left="425" w:hanging="425"/>
        <w:rPr>
          <w:rFonts w:hint="eastAsia" w:ascii="仿宋" w:hAnsi="仿宋" w:eastAsia="仿宋" w:cs="仿宋"/>
          <w:b/>
          <w:bCs/>
          <w:color w:val="auto"/>
        </w:rPr>
      </w:pPr>
      <w:r>
        <w:rPr>
          <w:rFonts w:hint="eastAsia" w:ascii="仿宋" w:hAnsi="仿宋" w:eastAsia="仿宋" w:cs="仿宋"/>
          <w:b/>
          <w:bCs/>
          <w:color w:val="auto"/>
        </w:rPr>
        <w:t>3.服务内容与技术要求</w:t>
      </w:r>
    </w:p>
    <w:p w14:paraId="34E34857">
      <w:pPr>
        <w:pStyle w:val="5"/>
        <w:spacing w:line="460" w:lineRule="exact"/>
        <w:ind w:left="425" w:hanging="425"/>
        <w:rPr>
          <w:rFonts w:hint="eastAsia" w:ascii="仿宋" w:hAnsi="仿宋" w:eastAsia="仿宋" w:cs="仿宋"/>
          <w:b/>
          <w:bCs/>
          <w:color w:val="auto"/>
        </w:rPr>
      </w:pPr>
      <w:r>
        <w:rPr>
          <w:rFonts w:hint="eastAsia" w:ascii="仿宋" w:hAnsi="仿宋" w:eastAsia="仿宋" w:cs="仿宋"/>
          <w:b/>
          <w:bCs/>
          <w:color w:val="auto"/>
        </w:rPr>
        <w:t>（一）安全运营体系服务</w:t>
      </w:r>
    </w:p>
    <w:p w14:paraId="703B80BF">
      <w:pPr>
        <w:pStyle w:val="6"/>
        <w:tabs>
          <w:tab w:val="left" w:pos="864"/>
        </w:tabs>
        <w:spacing w:line="460" w:lineRule="exact"/>
        <w:ind w:left="567"/>
        <w:rPr>
          <w:rFonts w:hint="eastAsia" w:ascii="仿宋" w:hAnsi="仿宋" w:eastAsia="仿宋" w:cs="仿宋"/>
          <w:color w:val="auto"/>
          <w:sz w:val="22"/>
          <w:szCs w:val="22"/>
        </w:rPr>
      </w:pPr>
      <w:r>
        <w:rPr>
          <w:rFonts w:ascii="Calibri" w:hAnsi="Calibri" w:eastAsia="仿宋" w:cs="Calibri"/>
          <w:color w:val="auto"/>
          <w:sz w:val="22"/>
          <w:szCs w:val="22"/>
        </w:rPr>
        <w:t>①</w:t>
      </w:r>
      <w:r>
        <w:rPr>
          <w:rFonts w:hint="eastAsia" w:ascii="Calibri" w:hAnsi="Calibri" w:eastAsia="仿宋" w:cs="Calibri"/>
          <w:color w:val="auto"/>
          <w:sz w:val="22"/>
          <w:szCs w:val="22"/>
        </w:rPr>
        <w:t>服务要求及提交成果物</w:t>
      </w:r>
    </w:p>
    <w:p w14:paraId="1A51CB09">
      <w:pPr>
        <w:pStyle w:val="6"/>
        <w:tabs>
          <w:tab w:val="left" w:pos="864"/>
        </w:tabs>
        <w:spacing w:line="460" w:lineRule="exact"/>
        <w:ind w:left="567"/>
        <w:rPr>
          <w:rFonts w:hint="eastAsia" w:ascii="仿宋" w:hAnsi="仿宋" w:eastAsia="仿宋" w:cs="仿宋"/>
          <w:color w:val="auto"/>
          <w:sz w:val="22"/>
          <w:szCs w:val="22"/>
        </w:rPr>
      </w:pPr>
      <w:r>
        <w:rPr>
          <w:rFonts w:hint="eastAsia" w:ascii="仿宋" w:hAnsi="仿宋" w:eastAsia="仿宋" w:cs="仿宋"/>
          <w:color w:val="auto"/>
          <w:sz w:val="22"/>
          <w:szCs w:val="22"/>
        </w:rPr>
        <w:t>（1）漏洞扫描</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874"/>
      </w:tblGrid>
      <w:tr w14:paraId="4818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4" w:type="dxa"/>
            <w:shd w:val="clear" w:color="auto" w:fill="D8D8D8"/>
            <w:vAlign w:val="center"/>
          </w:tcPr>
          <w:p w14:paraId="2E2D94CA">
            <w:pPr>
              <w:jc w:val="center"/>
              <w:rPr>
                <w:rFonts w:hint="eastAsia" w:ascii="仿宋" w:hAnsi="仿宋" w:eastAsia="仿宋" w:cs="仿宋"/>
                <w:b/>
              </w:rPr>
            </w:pPr>
            <w:r>
              <w:rPr>
                <w:rFonts w:hint="eastAsia" w:ascii="仿宋" w:hAnsi="仿宋" w:eastAsia="仿宋" w:cs="仿宋"/>
                <w:b/>
              </w:rPr>
              <w:t>技术指标</w:t>
            </w:r>
          </w:p>
        </w:tc>
        <w:tc>
          <w:tcPr>
            <w:tcW w:w="7874" w:type="dxa"/>
            <w:shd w:val="clear" w:color="auto" w:fill="D8D8D8"/>
            <w:vAlign w:val="center"/>
          </w:tcPr>
          <w:p w14:paraId="4CAF5D51">
            <w:pPr>
              <w:jc w:val="center"/>
              <w:rPr>
                <w:rFonts w:hint="eastAsia" w:ascii="仿宋" w:hAnsi="仿宋" w:eastAsia="仿宋" w:cs="仿宋"/>
                <w:b/>
              </w:rPr>
            </w:pPr>
            <w:r>
              <w:rPr>
                <w:rFonts w:hint="eastAsia" w:ascii="仿宋" w:hAnsi="仿宋" w:eastAsia="仿宋" w:cs="仿宋"/>
                <w:b/>
              </w:rPr>
              <w:t>指标要求</w:t>
            </w:r>
          </w:p>
        </w:tc>
      </w:tr>
      <w:tr w14:paraId="78B8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54" w:type="dxa"/>
            <w:vAlign w:val="center"/>
          </w:tcPr>
          <w:p w14:paraId="03000099">
            <w:pPr>
              <w:spacing w:line="360" w:lineRule="auto"/>
              <w:jc w:val="center"/>
              <w:rPr>
                <w:rFonts w:hint="eastAsia" w:ascii="仿宋" w:hAnsi="仿宋" w:eastAsia="仿宋" w:cs="仿宋"/>
              </w:rPr>
            </w:pPr>
            <w:r>
              <w:rPr>
                <w:rFonts w:hint="eastAsia" w:ascii="仿宋" w:hAnsi="仿宋" w:eastAsia="仿宋" w:cs="仿宋"/>
              </w:rPr>
              <w:t>服务次数</w:t>
            </w:r>
          </w:p>
        </w:tc>
        <w:tc>
          <w:tcPr>
            <w:tcW w:w="7874" w:type="dxa"/>
            <w:vAlign w:val="center"/>
          </w:tcPr>
          <w:p w14:paraId="6D5B86D1">
            <w:pPr>
              <w:spacing w:line="360" w:lineRule="auto"/>
              <w:rPr>
                <w:rFonts w:hint="eastAsia" w:ascii="仿宋" w:hAnsi="仿宋" w:eastAsia="仿宋" w:cs="仿宋"/>
              </w:rPr>
            </w:pPr>
            <w:r>
              <w:rPr>
                <w:rFonts w:hint="eastAsia" w:ascii="仿宋" w:hAnsi="仿宋" w:eastAsia="仿宋" w:cs="仿宋"/>
              </w:rPr>
              <w:t>服务期内提供不少于12次</w:t>
            </w:r>
          </w:p>
        </w:tc>
      </w:tr>
      <w:tr w14:paraId="4CED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4" w:type="dxa"/>
            <w:vAlign w:val="center"/>
          </w:tcPr>
          <w:p w14:paraId="0D8C8BE1">
            <w:pPr>
              <w:spacing w:line="360" w:lineRule="auto"/>
              <w:jc w:val="center"/>
              <w:rPr>
                <w:rFonts w:hint="eastAsia" w:ascii="仿宋" w:hAnsi="仿宋" w:eastAsia="仿宋" w:cs="仿宋"/>
              </w:rPr>
            </w:pPr>
            <w:r>
              <w:rPr>
                <w:rFonts w:hint="eastAsia" w:ascii="仿宋" w:hAnsi="仿宋" w:eastAsia="仿宋" w:cs="仿宋"/>
              </w:rPr>
              <w:t>服务内容</w:t>
            </w:r>
          </w:p>
        </w:tc>
        <w:tc>
          <w:tcPr>
            <w:tcW w:w="7874" w:type="dxa"/>
            <w:vAlign w:val="center"/>
          </w:tcPr>
          <w:p w14:paraId="35A4B365">
            <w:pPr>
              <w:spacing w:line="360" w:lineRule="auto"/>
              <w:rPr>
                <w:rFonts w:hint="eastAsia" w:ascii="仿宋" w:hAnsi="仿宋" w:eastAsia="仿宋" w:cs="仿宋"/>
              </w:rPr>
            </w:pPr>
            <w:r>
              <w:rPr>
                <w:rFonts w:hint="eastAsia" w:ascii="仿宋" w:hAnsi="仿宋" w:eastAsia="仿宋" w:cs="仿宋"/>
              </w:rPr>
              <w:t>采用业界认可的、专业的扫描工具，通过定制的扫描规则，形成安全扫描策略文档，对用户指定系统进行全面的自动化安全扫描，人工验证扫描结果，并输出安全扫描报告及修复建议。</w:t>
            </w:r>
          </w:p>
        </w:tc>
      </w:tr>
      <w:tr w14:paraId="2BE2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54" w:type="dxa"/>
            <w:vAlign w:val="center"/>
          </w:tcPr>
          <w:p w14:paraId="07AA720E">
            <w:pPr>
              <w:spacing w:line="360" w:lineRule="auto"/>
              <w:jc w:val="center"/>
              <w:rPr>
                <w:rFonts w:hint="eastAsia" w:ascii="仿宋" w:hAnsi="仿宋" w:eastAsia="仿宋" w:cs="仿宋"/>
              </w:rPr>
            </w:pPr>
            <w:r>
              <w:rPr>
                <w:rFonts w:hint="eastAsia" w:ascii="仿宋" w:hAnsi="仿宋" w:eastAsia="仿宋" w:cs="仿宋"/>
              </w:rPr>
              <w:t>输出物</w:t>
            </w:r>
          </w:p>
        </w:tc>
        <w:tc>
          <w:tcPr>
            <w:tcW w:w="7874" w:type="dxa"/>
            <w:vAlign w:val="center"/>
          </w:tcPr>
          <w:p w14:paraId="5369D8BB">
            <w:pPr>
              <w:spacing w:line="360" w:lineRule="auto"/>
              <w:rPr>
                <w:rFonts w:hint="eastAsia" w:ascii="仿宋" w:hAnsi="仿宋" w:eastAsia="仿宋" w:cs="仿宋"/>
              </w:rPr>
            </w:pPr>
            <w:r>
              <w:rPr>
                <w:rFonts w:hint="eastAsia" w:ascii="仿宋" w:hAnsi="仿宋" w:eastAsia="仿宋" w:cs="仿宋"/>
              </w:rPr>
              <w:t>《漏洞扫描报告》</w:t>
            </w:r>
          </w:p>
        </w:tc>
      </w:tr>
    </w:tbl>
    <w:p w14:paraId="02AB74A8">
      <w:pPr>
        <w:pStyle w:val="6"/>
        <w:tabs>
          <w:tab w:val="left" w:pos="864"/>
        </w:tabs>
        <w:spacing w:line="460" w:lineRule="exact"/>
        <w:ind w:left="567"/>
        <w:rPr>
          <w:rFonts w:hint="eastAsia" w:ascii="仿宋" w:hAnsi="仿宋" w:eastAsia="仿宋" w:cs="仿宋"/>
          <w:color w:val="auto"/>
          <w:sz w:val="22"/>
          <w:szCs w:val="22"/>
        </w:rPr>
      </w:pPr>
      <w:r>
        <w:rPr>
          <w:rFonts w:hint="eastAsia" w:ascii="仿宋" w:hAnsi="仿宋" w:eastAsia="仿宋" w:cs="仿宋"/>
          <w:color w:val="auto"/>
          <w:sz w:val="22"/>
          <w:szCs w:val="22"/>
        </w:rPr>
        <w:t>（2）代码检测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7880"/>
      </w:tblGrid>
      <w:tr w14:paraId="18AA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748" w:type="dxa"/>
            <w:shd w:val="clear" w:color="auto" w:fill="D8D8D8"/>
            <w:vAlign w:val="center"/>
          </w:tcPr>
          <w:p w14:paraId="75632740">
            <w:pPr>
              <w:jc w:val="center"/>
              <w:rPr>
                <w:rFonts w:hint="eastAsia" w:ascii="仿宋" w:hAnsi="仿宋" w:eastAsia="仿宋" w:cs="仿宋"/>
                <w:b/>
                <w:szCs w:val="21"/>
              </w:rPr>
            </w:pPr>
            <w:r>
              <w:rPr>
                <w:rFonts w:hint="eastAsia" w:ascii="仿宋" w:hAnsi="仿宋" w:eastAsia="仿宋" w:cs="仿宋"/>
                <w:b/>
                <w:szCs w:val="21"/>
              </w:rPr>
              <w:t>技术指标</w:t>
            </w:r>
          </w:p>
        </w:tc>
        <w:tc>
          <w:tcPr>
            <w:tcW w:w="7880" w:type="dxa"/>
            <w:shd w:val="clear" w:color="auto" w:fill="D8D8D8"/>
            <w:vAlign w:val="center"/>
          </w:tcPr>
          <w:p w14:paraId="65FB2AC7">
            <w:pPr>
              <w:jc w:val="center"/>
              <w:rPr>
                <w:rFonts w:hint="eastAsia" w:ascii="仿宋" w:hAnsi="仿宋" w:eastAsia="仿宋" w:cs="仿宋"/>
                <w:b/>
                <w:szCs w:val="21"/>
              </w:rPr>
            </w:pPr>
            <w:r>
              <w:rPr>
                <w:rFonts w:hint="eastAsia" w:ascii="仿宋" w:hAnsi="仿宋" w:eastAsia="仿宋" w:cs="仿宋"/>
                <w:b/>
                <w:szCs w:val="21"/>
              </w:rPr>
              <w:t>指标要求0</w:t>
            </w:r>
          </w:p>
        </w:tc>
      </w:tr>
      <w:tr w14:paraId="5C32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8" w:type="dxa"/>
            <w:vAlign w:val="center"/>
          </w:tcPr>
          <w:p w14:paraId="305E8D1A">
            <w:pPr>
              <w:spacing w:line="360" w:lineRule="auto"/>
              <w:jc w:val="center"/>
              <w:rPr>
                <w:rFonts w:hint="eastAsia" w:ascii="仿宋" w:hAnsi="仿宋" w:eastAsia="仿宋" w:cs="仿宋"/>
                <w:szCs w:val="21"/>
              </w:rPr>
            </w:pPr>
            <w:r>
              <w:rPr>
                <w:rFonts w:hint="eastAsia" w:ascii="仿宋" w:hAnsi="仿宋" w:eastAsia="仿宋" w:cs="仿宋"/>
                <w:szCs w:val="21"/>
              </w:rPr>
              <w:t>服务次数</w:t>
            </w:r>
          </w:p>
        </w:tc>
        <w:tc>
          <w:tcPr>
            <w:tcW w:w="7880" w:type="dxa"/>
            <w:vAlign w:val="center"/>
          </w:tcPr>
          <w:p w14:paraId="22A958A2">
            <w:pPr>
              <w:spacing w:line="360" w:lineRule="auto"/>
              <w:rPr>
                <w:rFonts w:hint="eastAsia" w:ascii="仿宋" w:hAnsi="仿宋" w:eastAsia="仿宋" w:cs="仿宋"/>
                <w:szCs w:val="21"/>
              </w:rPr>
            </w:pPr>
            <w:r>
              <w:rPr>
                <w:rFonts w:hint="eastAsia" w:ascii="仿宋" w:hAnsi="仿宋" w:eastAsia="仿宋" w:cs="仿宋"/>
                <w:szCs w:val="21"/>
              </w:rPr>
              <w:t>服务期内不少于15个系统</w:t>
            </w:r>
          </w:p>
        </w:tc>
      </w:tr>
      <w:tr w14:paraId="564E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8" w:type="dxa"/>
            <w:vAlign w:val="center"/>
          </w:tcPr>
          <w:p w14:paraId="05A5B179">
            <w:pPr>
              <w:spacing w:line="360" w:lineRule="auto"/>
              <w:jc w:val="center"/>
              <w:rPr>
                <w:rFonts w:hint="eastAsia" w:ascii="仿宋" w:hAnsi="仿宋" w:eastAsia="仿宋" w:cs="仿宋"/>
                <w:szCs w:val="21"/>
              </w:rPr>
            </w:pPr>
            <w:r>
              <w:rPr>
                <w:rFonts w:hint="eastAsia" w:ascii="仿宋" w:hAnsi="仿宋" w:eastAsia="仿宋" w:cs="仿宋"/>
                <w:szCs w:val="21"/>
              </w:rPr>
              <w:t>服务内容</w:t>
            </w:r>
          </w:p>
        </w:tc>
        <w:tc>
          <w:tcPr>
            <w:tcW w:w="7880" w:type="dxa"/>
            <w:vAlign w:val="center"/>
          </w:tcPr>
          <w:p w14:paraId="60E19089">
            <w:pPr>
              <w:spacing w:line="360" w:lineRule="auto"/>
              <w:rPr>
                <w:rFonts w:hint="eastAsia" w:ascii="仿宋" w:hAnsi="仿宋" w:eastAsia="仿宋" w:cs="仿宋"/>
                <w:szCs w:val="21"/>
              </w:rPr>
            </w:pPr>
            <w:r>
              <w:rPr>
                <w:rFonts w:hint="eastAsia" w:ascii="仿宋" w:hAnsi="仿宋" w:eastAsia="仿宋" w:cs="仿宋"/>
                <w:szCs w:val="21"/>
              </w:rPr>
              <w:t>提供开源组件评估服务，提供开源组件评估报告或源代码检测服务。收集当前系统的源代码，在了解业务流和各模块功能和结构的情况下，以OWASP TOP 10为检查依据，检查系统代码在程序编写上的安全性和脆弱性以及结构性安全。</w:t>
            </w:r>
          </w:p>
          <w:p w14:paraId="1D501DF3">
            <w:pPr>
              <w:spacing w:line="360" w:lineRule="auto"/>
              <w:rPr>
                <w:rFonts w:hint="eastAsia" w:ascii="仿宋" w:hAnsi="仿宋" w:eastAsia="仿宋" w:cs="仿宋"/>
                <w:szCs w:val="21"/>
              </w:rPr>
            </w:pPr>
            <w:r>
              <w:rPr>
                <w:rFonts w:hint="eastAsia" w:ascii="仿宋" w:hAnsi="仿宋" w:eastAsia="仿宋" w:cs="仿宋"/>
                <w:szCs w:val="21"/>
              </w:rPr>
              <w:t>源代码安全性审计主要内容应包括：</w:t>
            </w:r>
          </w:p>
          <w:p w14:paraId="22967696">
            <w:pPr>
              <w:pStyle w:val="14"/>
              <w:numPr>
                <w:ilvl w:val="0"/>
                <w:numId w:val="1"/>
              </w:numPr>
              <w:contextualSpacing w:val="0"/>
              <w:rPr>
                <w:rFonts w:hint="eastAsia" w:ascii="仿宋" w:hAnsi="仿宋" w:eastAsia="仿宋" w:cs="仿宋"/>
                <w:szCs w:val="21"/>
              </w:rPr>
            </w:pPr>
            <w:r>
              <w:rPr>
                <w:rFonts w:hint="eastAsia" w:ascii="仿宋" w:hAnsi="仿宋" w:eastAsia="仿宋" w:cs="仿宋"/>
                <w:szCs w:val="21"/>
              </w:rPr>
              <w:t>分析源代码是否能追溯到需求；</w:t>
            </w:r>
          </w:p>
          <w:p w14:paraId="0EC59CC6">
            <w:pPr>
              <w:pStyle w:val="14"/>
              <w:numPr>
                <w:ilvl w:val="0"/>
                <w:numId w:val="1"/>
              </w:numPr>
              <w:contextualSpacing w:val="0"/>
              <w:rPr>
                <w:rFonts w:hint="eastAsia" w:ascii="仿宋" w:hAnsi="仿宋" w:eastAsia="仿宋" w:cs="仿宋"/>
                <w:szCs w:val="21"/>
              </w:rPr>
            </w:pPr>
            <w:r>
              <w:rPr>
                <w:rFonts w:hint="eastAsia" w:ascii="仿宋" w:hAnsi="仿宋" w:eastAsia="仿宋" w:cs="仿宋"/>
                <w:szCs w:val="21"/>
              </w:rPr>
              <w:t>分析源代码是否符合支持工具和编程语言分析；</w:t>
            </w:r>
          </w:p>
          <w:p w14:paraId="08E01061">
            <w:pPr>
              <w:pStyle w:val="14"/>
              <w:numPr>
                <w:ilvl w:val="0"/>
                <w:numId w:val="1"/>
              </w:numPr>
              <w:contextualSpacing w:val="0"/>
              <w:rPr>
                <w:rFonts w:hint="eastAsia" w:ascii="仿宋" w:hAnsi="仿宋" w:eastAsia="仿宋" w:cs="仿宋"/>
                <w:szCs w:val="21"/>
              </w:rPr>
            </w:pPr>
            <w:r>
              <w:rPr>
                <w:rFonts w:hint="eastAsia" w:ascii="仿宋" w:hAnsi="仿宋" w:eastAsia="仿宋" w:cs="仿宋"/>
                <w:szCs w:val="21"/>
              </w:rPr>
              <w:t>分析源代码是否满足模块化、可验证、易安全修改的要求；</w:t>
            </w:r>
          </w:p>
          <w:p w14:paraId="7529A52E">
            <w:pPr>
              <w:pStyle w:val="14"/>
              <w:numPr>
                <w:ilvl w:val="0"/>
                <w:numId w:val="1"/>
              </w:numPr>
              <w:contextualSpacing w:val="0"/>
              <w:rPr>
                <w:rFonts w:hint="eastAsia" w:ascii="仿宋" w:hAnsi="仿宋" w:eastAsia="仿宋" w:cs="仿宋"/>
                <w:szCs w:val="21"/>
              </w:rPr>
            </w:pPr>
            <w:r>
              <w:rPr>
                <w:rFonts w:hint="eastAsia" w:ascii="仿宋" w:hAnsi="仿宋" w:eastAsia="仿宋" w:cs="仿宋"/>
                <w:szCs w:val="21"/>
              </w:rPr>
              <w:t>分析软件编码中所使用技术的安全性和方法的合理性。</w:t>
            </w:r>
          </w:p>
        </w:tc>
      </w:tr>
      <w:tr w14:paraId="5C6D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48" w:type="dxa"/>
            <w:vAlign w:val="center"/>
          </w:tcPr>
          <w:p w14:paraId="1F3EAC10">
            <w:pPr>
              <w:spacing w:line="360" w:lineRule="auto"/>
              <w:jc w:val="center"/>
              <w:rPr>
                <w:rFonts w:hint="eastAsia" w:ascii="仿宋" w:hAnsi="仿宋" w:eastAsia="仿宋" w:cs="仿宋"/>
                <w:szCs w:val="21"/>
              </w:rPr>
            </w:pPr>
            <w:r>
              <w:rPr>
                <w:rFonts w:hint="eastAsia" w:ascii="仿宋" w:hAnsi="仿宋" w:eastAsia="仿宋" w:cs="仿宋"/>
                <w:szCs w:val="21"/>
              </w:rPr>
              <w:t>输出物</w:t>
            </w:r>
          </w:p>
        </w:tc>
        <w:tc>
          <w:tcPr>
            <w:tcW w:w="7880" w:type="dxa"/>
            <w:vAlign w:val="center"/>
          </w:tcPr>
          <w:p w14:paraId="047E16CB">
            <w:pPr>
              <w:spacing w:line="360" w:lineRule="auto"/>
              <w:rPr>
                <w:rFonts w:hint="eastAsia" w:ascii="仿宋" w:hAnsi="仿宋" w:eastAsia="仿宋" w:cs="仿宋"/>
                <w:szCs w:val="21"/>
              </w:rPr>
            </w:pPr>
            <w:r>
              <w:rPr>
                <w:rFonts w:hint="eastAsia" w:ascii="仿宋" w:hAnsi="仿宋" w:eastAsia="仿宋" w:cs="仿宋"/>
                <w:szCs w:val="21"/>
              </w:rPr>
              <w:t>《源代码检测报告》</w:t>
            </w:r>
          </w:p>
        </w:tc>
      </w:tr>
    </w:tbl>
    <w:p w14:paraId="3C724984">
      <w:pPr>
        <w:pStyle w:val="6"/>
        <w:tabs>
          <w:tab w:val="left" w:pos="864"/>
        </w:tabs>
        <w:spacing w:line="460" w:lineRule="exact"/>
        <w:ind w:left="567"/>
        <w:rPr>
          <w:rFonts w:hint="eastAsia" w:ascii="仿宋" w:hAnsi="仿宋" w:eastAsia="仿宋" w:cs="仿宋"/>
          <w:color w:val="auto"/>
          <w:sz w:val="22"/>
          <w:szCs w:val="22"/>
        </w:rPr>
      </w:pPr>
      <w:r>
        <w:rPr>
          <w:rFonts w:hint="eastAsia" w:ascii="仿宋" w:hAnsi="仿宋" w:eastAsia="仿宋" w:cs="仿宋"/>
          <w:color w:val="auto"/>
          <w:sz w:val="22"/>
          <w:szCs w:val="22"/>
        </w:rPr>
        <w:t>（3）渗透测试</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874"/>
      </w:tblGrid>
      <w:tr w14:paraId="470A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754" w:type="dxa"/>
            <w:shd w:val="clear" w:color="auto" w:fill="D8D8D8"/>
            <w:vAlign w:val="center"/>
          </w:tcPr>
          <w:p w14:paraId="63D8204B">
            <w:pPr>
              <w:jc w:val="center"/>
              <w:rPr>
                <w:rFonts w:hint="eastAsia" w:ascii="仿宋" w:hAnsi="仿宋" w:eastAsia="仿宋" w:cs="仿宋"/>
                <w:b/>
              </w:rPr>
            </w:pPr>
            <w:r>
              <w:rPr>
                <w:rFonts w:hint="eastAsia" w:ascii="仿宋" w:hAnsi="仿宋" w:eastAsia="仿宋" w:cs="仿宋"/>
                <w:b/>
              </w:rPr>
              <w:t>技术指标</w:t>
            </w:r>
          </w:p>
        </w:tc>
        <w:tc>
          <w:tcPr>
            <w:tcW w:w="7874" w:type="dxa"/>
            <w:shd w:val="clear" w:color="auto" w:fill="D8D8D8"/>
            <w:vAlign w:val="center"/>
          </w:tcPr>
          <w:p w14:paraId="2C882404">
            <w:pPr>
              <w:jc w:val="center"/>
              <w:rPr>
                <w:rFonts w:hint="eastAsia" w:ascii="仿宋" w:hAnsi="仿宋" w:eastAsia="仿宋" w:cs="仿宋"/>
                <w:b/>
              </w:rPr>
            </w:pPr>
            <w:r>
              <w:rPr>
                <w:rFonts w:hint="eastAsia" w:ascii="仿宋" w:hAnsi="仿宋" w:eastAsia="仿宋" w:cs="仿宋"/>
                <w:b/>
              </w:rPr>
              <w:t>指标要求</w:t>
            </w:r>
          </w:p>
        </w:tc>
      </w:tr>
      <w:tr w14:paraId="09C08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4" w:type="dxa"/>
            <w:vAlign w:val="center"/>
          </w:tcPr>
          <w:p w14:paraId="79916861">
            <w:pPr>
              <w:spacing w:line="360" w:lineRule="auto"/>
              <w:jc w:val="center"/>
              <w:rPr>
                <w:rFonts w:hint="eastAsia" w:ascii="仿宋" w:hAnsi="仿宋" w:eastAsia="仿宋" w:cs="仿宋"/>
              </w:rPr>
            </w:pPr>
            <w:r>
              <w:rPr>
                <w:rFonts w:hint="eastAsia" w:ascii="仿宋" w:hAnsi="仿宋" w:eastAsia="仿宋" w:cs="仿宋"/>
              </w:rPr>
              <w:t>服务次数</w:t>
            </w:r>
          </w:p>
        </w:tc>
        <w:tc>
          <w:tcPr>
            <w:tcW w:w="7874" w:type="dxa"/>
            <w:vAlign w:val="center"/>
          </w:tcPr>
          <w:p w14:paraId="7DBC0F4B">
            <w:pPr>
              <w:spacing w:line="360" w:lineRule="auto"/>
              <w:rPr>
                <w:rFonts w:hint="eastAsia" w:ascii="仿宋" w:hAnsi="仿宋" w:eastAsia="仿宋" w:cs="仿宋"/>
              </w:rPr>
            </w:pPr>
            <w:r>
              <w:rPr>
                <w:rFonts w:hint="eastAsia" w:ascii="仿宋" w:hAnsi="仿宋" w:eastAsia="仿宋" w:cs="仿宋"/>
              </w:rPr>
              <w:t>服务期内不少于20个系统</w:t>
            </w:r>
          </w:p>
        </w:tc>
      </w:tr>
      <w:tr w14:paraId="0B5D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4" w:type="dxa"/>
            <w:vAlign w:val="center"/>
          </w:tcPr>
          <w:p w14:paraId="57774EE0">
            <w:pPr>
              <w:spacing w:line="360" w:lineRule="auto"/>
              <w:jc w:val="center"/>
              <w:rPr>
                <w:rFonts w:hint="eastAsia" w:ascii="仿宋" w:hAnsi="仿宋" w:eastAsia="仿宋" w:cs="仿宋"/>
              </w:rPr>
            </w:pPr>
            <w:r>
              <w:rPr>
                <w:rFonts w:hint="eastAsia" w:ascii="仿宋" w:hAnsi="仿宋" w:eastAsia="仿宋" w:cs="仿宋"/>
              </w:rPr>
              <w:t>服务内容</w:t>
            </w:r>
          </w:p>
        </w:tc>
        <w:tc>
          <w:tcPr>
            <w:tcW w:w="7874" w:type="dxa"/>
            <w:vAlign w:val="center"/>
          </w:tcPr>
          <w:p w14:paraId="09ECCC65">
            <w:pPr>
              <w:spacing w:line="360" w:lineRule="auto"/>
              <w:rPr>
                <w:rFonts w:hint="eastAsia" w:ascii="仿宋" w:hAnsi="仿宋" w:eastAsia="仿宋" w:cs="仿宋"/>
              </w:rPr>
            </w:pPr>
            <w:r>
              <w:rPr>
                <w:rFonts w:hint="eastAsia" w:ascii="仿宋" w:hAnsi="仿宋" w:eastAsia="仿宋" w:cs="仿宋"/>
              </w:rPr>
              <w:t>通过真实模拟黑客使用的工具、分析方法来对信息系统进行模拟攻击，并结合智能工具扫描结果，由工程师进行深入的手工测试和分析，识别工具弱点扫描无法发现的问题。主要分析内容包括逻辑缺陷、上传绕过、输入输出校验绕过、数据篡改、功能绕过、异常错误等以及其他专项内容测试与分析，重点发现信息系统应用层业务流程和逻辑上的安全漏洞和敏感信息泄露的风险，输出渗透测试报告。</w:t>
            </w:r>
          </w:p>
        </w:tc>
      </w:tr>
      <w:tr w14:paraId="5373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4" w:type="dxa"/>
            <w:vAlign w:val="center"/>
          </w:tcPr>
          <w:p w14:paraId="634BD8A7">
            <w:pPr>
              <w:spacing w:line="360" w:lineRule="auto"/>
              <w:jc w:val="center"/>
              <w:rPr>
                <w:rFonts w:hint="eastAsia" w:ascii="仿宋" w:hAnsi="仿宋" w:eastAsia="仿宋" w:cs="仿宋"/>
              </w:rPr>
            </w:pPr>
            <w:r>
              <w:rPr>
                <w:rFonts w:hint="eastAsia" w:ascii="仿宋" w:hAnsi="仿宋" w:eastAsia="仿宋" w:cs="仿宋"/>
              </w:rPr>
              <w:t>输出物</w:t>
            </w:r>
          </w:p>
        </w:tc>
        <w:tc>
          <w:tcPr>
            <w:tcW w:w="7874" w:type="dxa"/>
            <w:vAlign w:val="center"/>
          </w:tcPr>
          <w:p w14:paraId="2BAEF39C">
            <w:pPr>
              <w:spacing w:line="360" w:lineRule="auto"/>
              <w:rPr>
                <w:rFonts w:hint="eastAsia" w:ascii="仿宋" w:hAnsi="仿宋" w:eastAsia="仿宋" w:cs="仿宋"/>
              </w:rPr>
            </w:pPr>
            <w:r>
              <w:rPr>
                <w:rFonts w:hint="eastAsia" w:ascii="仿宋" w:hAnsi="仿宋" w:eastAsia="仿宋" w:cs="仿宋"/>
              </w:rPr>
              <w:t>《渗透测试报告》</w:t>
            </w:r>
          </w:p>
        </w:tc>
      </w:tr>
    </w:tbl>
    <w:p w14:paraId="63EE76BC">
      <w:pPr>
        <w:pStyle w:val="6"/>
        <w:tabs>
          <w:tab w:val="left" w:pos="864"/>
        </w:tabs>
        <w:spacing w:line="460" w:lineRule="exact"/>
        <w:ind w:left="567"/>
        <w:rPr>
          <w:rFonts w:hint="eastAsia" w:ascii="仿宋" w:hAnsi="仿宋" w:eastAsia="仿宋" w:cs="仿宋"/>
          <w:color w:val="auto"/>
          <w:sz w:val="22"/>
          <w:szCs w:val="22"/>
        </w:rPr>
      </w:pPr>
      <w:r>
        <w:rPr>
          <w:rFonts w:hint="eastAsia" w:ascii="仿宋" w:hAnsi="仿宋" w:eastAsia="仿宋" w:cs="仿宋"/>
          <w:color w:val="auto"/>
          <w:sz w:val="22"/>
          <w:szCs w:val="22"/>
        </w:rPr>
        <w:t>（4）应急响应</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7726"/>
      </w:tblGrid>
      <w:tr w14:paraId="5A03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902" w:type="dxa"/>
            <w:shd w:val="clear" w:color="auto" w:fill="D8D8D8"/>
            <w:vAlign w:val="center"/>
          </w:tcPr>
          <w:p w14:paraId="03779B97">
            <w:pPr>
              <w:jc w:val="center"/>
              <w:rPr>
                <w:rFonts w:hint="eastAsia" w:ascii="仿宋" w:hAnsi="仿宋" w:eastAsia="仿宋" w:cs="仿宋"/>
                <w:b/>
                <w:szCs w:val="21"/>
              </w:rPr>
            </w:pPr>
            <w:r>
              <w:rPr>
                <w:rFonts w:hint="eastAsia" w:ascii="仿宋" w:hAnsi="仿宋" w:eastAsia="仿宋" w:cs="仿宋"/>
                <w:b/>
                <w:szCs w:val="21"/>
              </w:rPr>
              <w:t>技术指标</w:t>
            </w:r>
          </w:p>
        </w:tc>
        <w:tc>
          <w:tcPr>
            <w:tcW w:w="7726" w:type="dxa"/>
            <w:shd w:val="clear" w:color="auto" w:fill="D8D8D8"/>
            <w:vAlign w:val="center"/>
          </w:tcPr>
          <w:p w14:paraId="68102C5E">
            <w:pPr>
              <w:jc w:val="center"/>
              <w:rPr>
                <w:rFonts w:hint="eastAsia" w:ascii="仿宋" w:hAnsi="仿宋" w:eastAsia="仿宋" w:cs="仿宋"/>
                <w:b/>
                <w:szCs w:val="21"/>
              </w:rPr>
            </w:pPr>
            <w:r>
              <w:rPr>
                <w:rFonts w:hint="eastAsia" w:ascii="仿宋" w:hAnsi="仿宋" w:eastAsia="仿宋" w:cs="仿宋"/>
                <w:b/>
                <w:szCs w:val="21"/>
              </w:rPr>
              <w:t>指标要求</w:t>
            </w:r>
          </w:p>
        </w:tc>
      </w:tr>
      <w:tr w14:paraId="621A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02" w:type="dxa"/>
            <w:vAlign w:val="center"/>
          </w:tcPr>
          <w:p w14:paraId="36144DC7">
            <w:pPr>
              <w:spacing w:line="360" w:lineRule="auto"/>
              <w:jc w:val="center"/>
              <w:rPr>
                <w:rFonts w:hint="eastAsia" w:ascii="仿宋" w:hAnsi="仿宋" w:eastAsia="仿宋" w:cs="仿宋"/>
                <w:szCs w:val="21"/>
              </w:rPr>
            </w:pPr>
            <w:r>
              <w:rPr>
                <w:rFonts w:hint="eastAsia" w:ascii="仿宋" w:hAnsi="仿宋" w:eastAsia="仿宋" w:cs="仿宋"/>
                <w:szCs w:val="21"/>
              </w:rPr>
              <w:t>服务次数</w:t>
            </w:r>
          </w:p>
        </w:tc>
        <w:tc>
          <w:tcPr>
            <w:tcW w:w="7726" w:type="dxa"/>
            <w:vAlign w:val="center"/>
          </w:tcPr>
          <w:p w14:paraId="57AEAD4C">
            <w:pPr>
              <w:spacing w:line="360" w:lineRule="auto"/>
              <w:rPr>
                <w:rFonts w:hint="eastAsia" w:ascii="仿宋" w:hAnsi="仿宋" w:eastAsia="仿宋" w:cs="仿宋"/>
                <w:szCs w:val="21"/>
              </w:rPr>
            </w:pPr>
            <w:r>
              <w:rPr>
                <w:rFonts w:hint="eastAsia" w:ascii="仿宋" w:hAnsi="仿宋" w:eastAsia="仿宋" w:cs="仿宋"/>
                <w:szCs w:val="21"/>
              </w:rPr>
              <w:t>服务期内不限次数</w:t>
            </w:r>
          </w:p>
        </w:tc>
      </w:tr>
      <w:tr w14:paraId="4DCD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trPr>
        <w:tc>
          <w:tcPr>
            <w:tcW w:w="1902" w:type="dxa"/>
            <w:vAlign w:val="center"/>
          </w:tcPr>
          <w:p w14:paraId="3D7A9E82">
            <w:pPr>
              <w:spacing w:line="360" w:lineRule="auto"/>
              <w:jc w:val="center"/>
              <w:rPr>
                <w:rFonts w:hint="eastAsia" w:ascii="仿宋" w:hAnsi="仿宋" w:eastAsia="仿宋" w:cs="仿宋"/>
                <w:szCs w:val="21"/>
              </w:rPr>
            </w:pPr>
            <w:r>
              <w:rPr>
                <w:rFonts w:hint="eastAsia" w:ascii="仿宋" w:hAnsi="仿宋" w:eastAsia="仿宋" w:cs="仿宋"/>
                <w:szCs w:val="21"/>
              </w:rPr>
              <w:t>服务内容</w:t>
            </w:r>
          </w:p>
        </w:tc>
        <w:tc>
          <w:tcPr>
            <w:tcW w:w="7726" w:type="dxa"/>
            <w:vAlign w:val="center"/>
          </w:tcPr>
          <w:p w14:paraId="474CB61C">
            <w:pPr>
              <w:spacing w:line="360" w:lineRule="auto"/>
              <w:rPr>
                <w:rFonts w:hint="eastAsia" w:ascii="仿宋" w:hAnsi="仿宋" w:eastAsia="仿宋" w:cs="仿宋"/>
              </w:rPr>
            </w:pPr>
            <w:r>
              <w:rPr>
                <w:rFonts w:hint="eastAsia" w:ascii="仿宋" w:hAnsi="仿宋" w:eastAsia="仿宋" w:cs="仿宋"/>
              </w:rPr>
              <w:t>服务期内，通过远程和现场支持的形式协助采购人对遇到的突发性安全事件进行紧急分析和处理。</w:t>
            </w:r>
          </w:p>
          <w:p w14:paraId="26E47A46">
            <w:pPr>
              <w:spacing w:line="360" w:lineRule="auto"/>
              <w:rPr>
                <w:rFonts w:hint="eastAsia" w:ascii="仿宋" w:hAnsi="仿宋" w:eastAsia="仿宋" w:cs="仿宋"/>
              </w:rPr>
            </w:pPr>
            <w:r>
              <w:rPr>
                <w:rFonts w:hint="eastAsia" w:ascii="仿宋" w:hAnsi="仿宋" w:eastAsia="仿宋" w:cs="仿宋"/>
              </w:rPr>
              <w:t>当出现安全事件时，必须及时进行响应，具体要求包括：</w:t>
            </w:r>
          </w:p>
          <w:p w14:paraId="5BCE59CD">
            <w:pPr>
              <w:spacing w:line="360" w:lineRule="auto"/>
              <w:rPr>
                <w:rFonts w:hint="eastAsia" w:ascii="仿宋" w:hAnsi="仿宋" w:eastAsia="仿宋" w:cs="仿宋"/>
              </w:rPr>
            </w:pPr>
            <w:r>
              <w:rPr>
                <w:rFonts w:hint="eastAsia" w:ascii="仿宋" w:hAnsi="仿宋" w:eastAsia="仿宋" w:cs="仿宋"/>
              </w:rPr>
              <w:t>1、技术人员必须在2小时内到达现场；</w:t>
            </w:r>
          </w:p>
          <w:p w14:paraId="46A66898">
            <w:pPr>
              <w:spacing w:line="360" w:lineRule="auto"/>
              <w:rPr>
                <w:rFonts w:hint="eastAsia" w:ascii="仿宋" w:hAnsi="仿宋" w:eastAsia="仿宋" w:cs="仿宋"/>
              </w:rPr>
            </w:pPr>
            <w:r>
              <w:rPr>
                <w:rFonts w:hint="eastAsia" w:ascii="仿宋" w:hAnsi="仿宋" w:eastAsia="仿宋" w:cs="仿宋"/>
              </w:rPr>
              <w:t>2、对入侵事件进行分析，查找原因；</w:t>
            </w:r>
          </w:p>
          <w:p w14:paraId="1A7D994F">
            <w:pPr>
              <w:spacing w:line="360" w:lineRule="auto"/>
              <w:rPr>
                <w:rFonts w:hint="eastAsia" w:ascii="仿宋" w:hAnsi="仿宋" w:eastAsia="仿宋" w:cs="仿宋"/>
              </w:rPr>
            </w:pPr>
            <w:r>
              <w:rPr>
                <w:rFonts w:hint="eastAsia" w:ascii="仿宋" w:hAnsi="仿宋" w:eastAsia="仿宋" w:cs="仿宋"/>
              </w:rPr>
              <w:t>3、抑制入侵事件的进一步发展，将事故的损害降低到最小化；</w:t>
            </w:r>
          </w:p>
          <w:p w14:paraId="601089B4">
            <w:pPr>
              <w:spacing w:line="360" w:lineRule="auto"/>
              <w:rPr>
                <w:rFonts w:hint="eastAsia" w:ascii="仿宋" w:hAnsi="仿宋" w:eastAsia="仿宋" w:cs="仿宋"/>
              </w:rPr>
            </w:pPr>
            <w:r>
              <w:rPr>
                <w:rFonts w:hint="eastAsia" w:ascii="仿宋" w:hAnsi="仿宋" w:eastAsia="仿宋" w:cs="仿宋"/>
              </w:rPr>
              <w:t>4、排除安全隐患，消除安全威胁，协助恢复系统正常运作；</w:t>
            </w:r>
          </w:p>
          <w:p w14:paraId="480EB8E1">
            <w:pPr>
              <w:spacing w:line="360" w:lineRule="auto"/>
              <w:rPr>
                <w:rFonts w:hint="eastAsia" w:ascii="仿宋" w:hAnsi="仿宋" w:eastAsia="仿宋" w:cs="仿宋"/>
                <w:szCs w:val="21"/>
              </w:rPr>
            </w:pPr>
            <w:r>
              <w:rPr>
                <w:rFonts w:hint="eastAsia" w:ascii="仿宋" w:hAnsi="仿宋" w:eastAsia="仿宋" w:cs="仿宋"/>
              </w:rPr>
              <w:t>5、提交应急响应报告及系统安全改进方案。</w:t>
            </w:r>
          </w:p>
        </w:tc>
      </w:tr>
      <w:tr w14:paraId="7E1E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902" w:type="dxa"/>
            <w:vAlign w:val="center"/>
          </w:tcPr>
          <w:p w14:paraId="7B141D71">
            <w:pPr>
              <w:spacing w:line="360" w:lineRule="auto"/>
              <w:jc w:val="center"/>
              <w:rPr>
                <w:rFonts w:hint="eastAsia" w:ascii="仿宋" w:hAnsi="仿宋" w:eastAsia="仿宋" w:cs="仿宋"/>
                <w:szCs w:val="21"/>
              </w:rPr>
            </w:pPr>
            <w:r>
              <w:rPr>
                <w:rFonts w:hint="eastAsia" w:ascii="仿宋" w:hAnsi="仿宋" w:eastAsia="仿宋" w:cs="仿宋"/>
                <w:szCs w:val="21"/>
              </w:rPr>
              <w:t>输出物</w:t>
            </w:r>
          </w:p>
        </w:tc>
        <w:tc>
          <w:tcPr>
            <w:tcW w:w="7726" w:type="dxa"/>
            <w:vAlign w:val="center"/>
          </w:tcPr>
          <w:p w14:paraId="1A1166CB">
            <w:pPr>
              <w:spacing w:line="360" w:lineRule="auto"/>
              <w:rPr>
                <w:rFonts w:hint="eastAsia" w:ascii="仿宋" w:hAnsi="仿宋" w:eastAsia="仿宋" w:cs="仿宋"/>
                <w:szCs w:val="21"/>
              </w:rPr>
            </w:pPr>
            <w:r>
              <w:rPr>
                <w:rFonts w:hint="eastAsia" w:ascii="仿宋" w:hAnsi="仿宋" w:eastAsia="仿宋" w:cs="仿宋"/>
                <w:szCs w:val="21"/>
              </w:rPr>
              <w:t>《应急响应报告》</w:t>
            </w:r>
          </w:p>
        </w:tc>
      </w:tr>
    </w:tbl>
    <w:p w14:paraId="7D1405CC">
      <w:pPr>
        <w:pStyle w:val="6"/>
        <w:tabs>
          <w:tab w:val="left" w:pos="864"/>
        </w:tabs>
        <w:spacing w:line="460" w:lineRule="exact"/>
        <w:ind w:left="567"/>
        <w:rPr>
          <w:rFonts w:hint="eastAsia" w:ascii="仿宋" w:hAnsi="仿宋" w:eastAsia="仿宋" w:cs="仿宋"/>
          <w:color w:val="auto"/>
          <w:sz w:val="22"/>
          <w:szCs w:val="22"/>
        </w:rPr>
      </w:pPr>
      <w:r>
        <w:rPr>
          <w:rFonts w:hint="eastAsia" w:ascii="仿宋" w:hAnsi="仿宋" w:eastAsia="仿宋" w:cs="仿宋"/>
          <w:color w:val="auto"/>
          <w:sz w:val="22"/>
          <w:szCs w:val="22"/>
        </w:rPr>
        <w:t>（5）重点时期保护</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874"/>
      </w:tblGrid>
      <w:tr w14:paraId="0A6D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754" w:type="dxa"/>
            <w:shd w:val="clear" w:color="auto" w:fill="D8D8D8"/>
            <w:vAlign w:val="center"/>
          </w:tcPr>
          <w:p w14:paraId="02837D17">
            <w:pPr>
              <w:jc w:val="center"/>
              <w:rPr>
                <w:rFonts w:hint="eastAsia" w:ascii="仿宋" w:hAnsi="仿宋" w:eastAsia="仿宋" w:cs="仿宋"/>
                <w:b/>
                <w:szCs w:val="21"/>
              </w:rPr>
            </w:pPr>
            <w:r>
              <w:rPr>
                <w:rFonts w:hint="eastAsia" w:ascii="仿宋" w:hAnsi="仿宋" w:eastAsia="仿宋" w:cs="仿宋"/>
                <w:b/>
                <w:szCs w:val="21"/>
              </w:rPr>
              <w:t>技术指标</w:t>
            </w:r>
          </w:p>
        </w:tc>
        <w:tc>
          <w:tcPr>
            <w:tcW w:w="7874" w:type="dxa"/>
            <w:shd w:val="clear" w:color="auto" w:fill="D8D8D8"/>
            <w:vAlign w:val="center"/>
          </w:tcPr>
          <w:p w14:paraId="73F8E8FD">
            <w:pPr>
              <w:jc w:val="center"/>
              <w:rPr>
                <w:rFonts w:hint="eastAsia" w:ascii="仿宋" w:hAnsi="仿宋" w:eastAsia="仿宋" w:cs="仿宋"/>
                <w:b/>
                <w:szCs w:val="21"/>
              </w:rPr>
            </w:pPr>
            <w:r>
              <w:rPr>
                <w:rFonts w:hint="eastAsia" w:ascii="仿宋" w:hAnsi="仿宋" w:eastAsia="仿宋" w:cs="仿宋"/>
                <w:b/>
                <w:szCs w:val="21"/>
              </w:rPr>
              <w:t>指标要求</w:t>
            </w:r>
          </w:p>
        </w:tc>
      </w:tr>
      <w:tr w14:paraId="19B4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4" w:type="dxa"/>
            <w:vAlign w:val="center"/>
          </w:tcPr>
          <w:p w14:paraId="55EC23D8">
            <w:pPr>
              <w:spacing w:line="360" w:lineRule="auto"/>
              <w:jc w:val="center"/>
              <w:rPr>
                <w:rFonts w:hint="eastAsia" w:ascii="仿宋" w:hAnsi="仿宋" w:eastAsia="仿宋" w:cs="仿宋"/>
                <w:szCs w:val="21"/>
              </w:rPr>
            </w:pPr>
            <w:r>
              <w:rPr>
                <w:rFonts w:hint="eastAsia" w:ascii="仿宋" w:hAnsi="仿宋" w:eastAsia="仿宋" w:cs="仿宋"/>
                <w:szCs w:val="21"/>
              </w:rPr>
              <w:t>服务次数</w:t>
            </w:r>
          </w:p>
        </w:tc>
        <w:tc>
          <w:tcPr>
            <w:tcW w:w="7874" w:type="dxa"/>
            <w:vAlign w:val="center"/>
          </w:tcPr>
          <w:p w14:paraId="2A30B162">
            <w:pPr>
              <w:spacing w:line="360" w:lineRule="auto"/>
              <w:rPr>
                <w:rFonts w:hint="eastAsia" w:ascii="仿宋" w:hAnsi="仿宋" w:eastAsia="仿宋" w:cs="仿宋"/>
                <w:szCs w:val="21"/>
              </w:rPr>
            </w:pPr>
            <w:r>
              <w:rPr>
                <w:rFonts w:hint="eastAsia" w:ascii="仿宋" w:hAnsi="仿宋" w:eastAsia="仿宋" w:cs="仿宋"/>
                <w:szCs w:val="21"/>
              </w:rPr>
              <w:t>服务期内提供2次</w:t>
            </w:r>
          </w:p>
        </w:tc>
      </w:tr>
      <w:tr w14:paraId="311F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54" w:type="dxa"/>
            <w:vAlign w:val="center"/>
          </w:tcPr>
          <w:p w14:paraId="02A10EC4">
            <w:pPr>
              <w:spacing w:line="360" w:lineRule="auto"/>
              <w:jc w:val="center"/>
              <w:rPr>
                <w:rFonts w:hint="eastAsia" w:ascii="仿宋" w:hAnsi="仿宋" w:eastAsia="仿宋" w:cs="仿宋"/>
                <w:szCs w:val="21"/>
              </w:rPr>
            </w:pPr>
            <w:r>
              <w:rPr>
                <w:rFonts w:hint="eastAsia" w:ascii="仿宋" w:hAnsi="仿宋" w:eastAsia="仿宋" w:cs="仿宋"/>
                <w:szCs w:val="21"/>
              </w:rPr>
              <w:t>服务内容</w:t>
            </w:r>
          </w:p>
        </w:tc>
        <w:tc>
          <w:tcPr>
            <w:tcW w:w="7874" w:type="dxa"/>
            <w:vAlign w:val="center"/>
          </w:tcPr>
          <w:p w14:paraId="2C31E9FF">
            <w:pPr>
              <w:spacing w:line="360" w:lineRule="auto"/>
              <w:rPr>
                <w:rFonts w:hint="eastAsia" w:ascii="仿宋" w:hAnsi="仿宋" w:eastAsia="仿宋" w:cs="仿宋"/>
                <w:szCs w:val="21"/>
              </w:rPr>
            </w:pPr>
            <w:r>
              <w:rPr>
                <w:rFonts w:hint="eastAsia" w:ascii="仿宋" w:hAnsi="仿宋" w:eastAsia="仿宋" w:cs="仿宋"/>
                <w:szCs w:val="21"/>
              </w:rPr>
              <w:t>重要时期根据要求提供人员远程或现场保障服务，服务期间保障工程师利用人工结合工具等方式对单位信息系统、网站、服务器等资产进行5*8小时/7*8小时/7*24小时等不同形式的实时监测，及时处理发现的系统安全事件。</w:t>
            </w:r>
          </w:p>
          <w:p w14:paraId="74758ECC">
            <w:pPr>
              <w:spacing w:line="360" w:lineRule="auto"/>
              <w:rPr>
                <w:rFonts w:hint="eastAsia" w:ascii="仿宋" w:hAnsi="仿宋" w:eastAsia="仿宋" w:cs="仿宋"/>
                <w:szCs w:val="21"/>
              </w:rPr>
            </w:pPr>
            <w:r>
              <w:rPr>
                <w:rFonts w:hint="eastAsia" w:ascii="仿宋" w:hAnsi="仿宋" w:eastAsia="仿宋" w:cs="仿宋"/>
                <w:szCs w:val="21"/>
              </w:rPr>
              <w:t>保障期间现场工程师应开展包括但不限于以下安全工作：</w:t>
            </w:r>
          </w:p>
          <w:p w14:paraId="6E839203">
            <w:pPr>
              <w:spacing w:line="360" w:lineRule="auto"/>
              <w:rPr>
                <w:rFonts w:hint="eastAsia" w:ascii="仿宋" w:hAnsi="仿宋" w:eastAsia="仿宋" w:cs="仿宋"/>
                <w:szCs w:val="21"/>
              </w:rPr>
            </w:pPr>
            <w:r>
              <w:rPr>
                <w:rFonts w:hint="eastAsia" w:ascii="仿宋" w:hAnsi="仿宋" w:eastAsia="仿宋" w:cs="仿宋"/>
                <w:szCs w:val="21"/>
              </w:rPr>
              <w:t>1、网络安全运行状态监测分析</w:t>
            </w:r>
          </w:p>
          <w:p w14:paraId="21697D55">
            <w:pPr>
              <w:spacing w:line="360" w:lineRule="auto"/>
              <w:rPr>
                <w:rFonts w:hint="eastAsia" w:ascii="仿宋" w:hAnsi="仿宋" w:eastAsia="仿宋" w:cs="仿宋"/>
                <w:szCs w:val="21"/>
              </w:rPr>
            </w:pPr>
            <w:r>
              <w:rPr>
                <w:rFonts w:hint="eastAsia" w:ascii="仿宋" w:hAnsi="仿宋" w:eastAsia="仿宋" w:cs="仿宋"/>
                <w:szCs w:val="21"/>
              </w:rPr>
              <w:t>帮助用户开展安全设备的性能指标、功能指标和硬件状态的巡检。根据巡检记录，针对关键链路和节点设备的CPU、内存、磁盘使用率、网络连通性、网络会话连接数、网络流量等指标设置正常运行区间值、异常运行区间值及告警方式，一旦相关指标发生异常，及时进行安全告警。针对监测指标产生的异常告警进行确认、分析，查找异常原因，提供解决方案，协解采购人完成安全整改和修复。</w:t>
            </w:r>
          </w:p>
          <w:p w14:paraId="6E2F5ADD">
            <w:pPr>
              <w:spacing w:line="360" w:lineRule="auto"/>
              <w:rPr>
                <w:rFonts w:hint="eastAsia" w:ascii="仿宋" w:hAnsi="仿宋" w:eastAsia="仿宋" w:cs="仿宋"/>
                <w:szCs w:val="21"/>
              </w:rPr>
            </w:pPr>
            <w:r>
              <w:rPr>
                <w:rFonts w:hint="eastAsia" w:ascii="仿宋" w:hAnsi="仿宋" w:eastAsia="仿宋" w:cs="仿宋"/>
                <w:szCs w:val="21"/>
              </w:rPr>
              <w:t>2、网络安全告警分析和预警</w:t>
            </w:r>
          </w:p>
          <w:p w14:paraId="458CCF96">
            <w:pPr>
              <w:spacing w:line="360" w:lineRule="auto"/>
              <w:rPr>
                <w:rFonts w:hint="eastAsia" w:ascii="仿宋" w:hAnsi="仿宋" w:eastAsia="仿宋" w:cs="仿宋"/>
                <w:szCs w:val="21"/>
              </w:rPr>
            </w:pPr>
            <w:r>
              <w:rPr>
                <w:rFonts w:hint="eastAsia" w:ascii="仿宋" w:hAnsi="仿宋" w:eastAsia="仿宋" w:cs="仿宋"/>
                <w:szCs w:val="21"/>
              </w:rPr>
              <w:t>梳理网络和业务资产，针对网络收集的流量安全日志进行安全审计和分析，及时发现网络攻击和其它异常行为。对网络安全设备产生的扫描探测、SQL注入、跨站脚本攻击、木马后门上传等各类网络安全告警事件进行溯源分析和风险验证，帮助采购人快速完成安全响应。</w:t>
            </w:r>
          </w:p>
          <w:p w14:paraId="4E67FAEA">
            <w:pPr>
              <w:spacing w:line="360" w:lineRule="auto"/>
              <w:rPr>
                <w:rFonts w:hint="eastAsia" w:ascii="仿宋" w:hAnsi="仿宋" w:eastAsia="仿宋" w:cs="仿宋"/>
                <w:szCs w:val="21"/>
              </w:rPr>
            </w:pPr>
            <w:r>
              <w:rPr>
                <w:rFonts w:hint="eastAsia" w:ascii="仿宋" w:hAnsi="仿宋" w:eastAsia="仿宋" w:cs="仿宋"/>
                <w:szCs w:val="21"/>
              </w:rPr>
              <w:t>3、安全事件应急处置</w:t>
            </w:r>
          </w:p>
          <w:p w14:paraId="6498E633">
            <w:pPr>
              <w:spacing w:line="360" w:lineRule="auto"/>
              <w:rPr>
                <w:rFonts w:hint="eastAsia" w:ascii="仿宋" w:hAnsi="仿宋" w:eastAsia="仿宋" w:cs="仿宋"/>
                <w:szCs w:val="21"/>
              </w:rPr>
            </w:pPr>
            <w:r>
              <w:rPr>
                <w:rFonts w:hint="eastAsia" w:ascii="仿宋" w:hAnsi="仿宋" w:eastAsia="仿宋" w:cs="仿宋"/>
                <w:szCs w:val="21"/>
              </w:rPr>
              <w:t>在发现信息完全威胁后第一时间进行跟进处理，最大限度的降低安全事故带来的危害，减少安全事故带来的影响，将采购人的安全损失降到最低。当入侵或者破坏发生时，对应的处理方法主要的原则是首先保护或恢复计算机、网络服务的正常工作；然后再对入侵者进行追查，并对整个应急响应过程进行记录。</w:t>
            </w:r>
          </w:p>
        </w:tc>
      </w:tr>
      <w:tr w14:paraId="0A26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54" w:type="dxa"/>
            <w:vAlign w:val="center"/>
          </w:tcPr>
          <w:p w14:paraId="60045E67">
            <w:pPr>
              <w:spacing w:line="360" w:lineRule="auto"/>
              <w:jc w:val="center"/>
              <w:rPr>
                <w:rFonts w:hint="eastAsia" w:ascii="仿宋" w:hAnsi="仿宋" w:eastAsia="仿宋" w:cs="仿宋"/>
                <w:szCs w:val="21"/>
              </w:rPr>
            </w:pPr>
            <w:r>
              <w:rPr>
                <w:rFonts w:hint="eastAsia" w:ascii="仿宋" w:hAnsi="仿宋" w:eastAsia="仿宋" w:cs="仿宋"/>
                <w:szCs w:val="21"/>
              </w:rPr>
              <w:t>输出物</w:t>
            </w:r>
          </w:p>
        </w:tc>
        <w:tc>
          <w:tcPr>
            <w:tcW w:w="7874" w:type="dxa"/>
            <w:vAlign w:val="center"/>
          </w:tcPr>
          <w:p w14:paraId="10C8AAAE">
            <w:pPr>
              <w:spacing w:line="360" w:lineRule="auto"/>
              <w:rPr>
                <w:rFonts w:hint="eastAsia" w:ascii="仿宋" w:hAnsi="仿宋" w:eastAsia="仿宋" w:cs="仿宋"/>
                <w:szCs w:val="21"/>
              </w:rPr>
            </w:pPr>
            <w:r>
              <w:rPr>
                <w:rFonts w:hint="eastAsia" w:ascii="仿宋" w:hAnsi="仿宋" w:eastAsia="仿宋" w:cs="仿宋"/>
                <w:szCs w:val="21"/>
              </w:rPr>
              <w:t>《重保服务报告》</w:t>
            </w:r>
          </w:p>
        </w:tc>
      </w:tr>
    </w:tbl>
    <w:p w14:paraId="3ED8AA7D">
      <w:pPr>
        <w:spacing w:line="360" w:lineRule="auto"/>
        <w:rPr>
          <w:rFonts w:hint="eastAsia" w:ascii="仿宋" w:hAnsi="仿宋" w:eastAsia="仿宋" w:cs="仿宋"/>
        </w:rPr>
      </w:pPr>
    </w:p>
    <w:p w14:paraId="31AF4F38">
      <w:pPr>
        <w:pStyle w:val="6"/>
        <w:tabs>
          <w:tab w:val="left" w:pos="864"/>
        </w:tabs>
        <w:spacing w:line="460" w:lineRule="exact"/>
        <w:ind w:left="567"/>
        <w:rPr>
          <w:rFonts w:hint="eastAsia" w:ascii="仿宋" w:hAnsi="仿宋" w:eastAsia="仿宋" w:cs="仿宋"/>
          <w:color w:val="auto"/>
          <w:sz w:val="22"/>
          <w:szCs w:val="22"/>
        </w:rPr>
      </w:pPr>
      <w:r>
        <w:rPr>
          <w:rFonts w:ascii="Calibri" w:hAnsi="Calibri" w:eastAsia="仿宋" w:cs="Calibri"/>
          <w:color w:val="auto"/>
          <w:sz w:val="22"/>
          <w:szCs w:val="22"/>
        </w:rPr>
        <w:t>②</w:t>
      </w:r>
      <w:r>
        <w:rPr>
          <w:rFonts w:hint="eastAsia" w:ascii="Calibri" w:hAnsi="Calibri" w:eastAsia="仿宋" w:cs="Calibri"/>
          <w:color w:val="auto"/>
          <w:sz w:val="22"/>
          <w:szCs w:val="22"/>
        </w:rPr>
        <w:t>特别说明</w:t>
      </w:r>
    </w:p>
    <w:p w14:paraId="10E22970">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在本次安全服务项目中，需要明确的是，所涉及的服务工具并未包含在本次服务的采购范围之内。此外，我方提出的能力要求仅用于参考，旨在为项目的整体方向提供指导性意见，但并不作为实际服务实施过程中的具体执行标准，也不参与最终的服务验收流程。验收以安全运营体系服务招标要求为准。</w:t>
      </w:r>
    </w:p>
    <w:p w14:paraId="02BC4B83">
      <w:pPr>
        <w:pStyle w:val="6"/>
        <w:rPr>
          <w:rFonts w:hint="eastAsia" w:ascii="仿宋" w:hAnsi="仿宋" w:eastAsia="仿宋" w:cs="仿宋"/>
          <w:color w:val="auto"/>
          <w:szCs w:val="21"/>
        </w:rPr>
      </w:pPr>
      <w:r>
        <w:rPr>
          <w:rFonts w:hint="eastAsia" w:ascii="仿宋" w:hAnsi="仿宋" w:eastAsia="仿宋" w:cs="仿宋"/>
          <w:color w:val="auto"/>
          <w:szCs w:val="21"/>
        </w:rPr>
        <w:t>（1）关于漏洞检测，需提供相关工具如漏洞扫描工具，工具类型不限，需具备以下能力要求：</w:t>
      </w:r>
    </w:p>
    <w:p w14:paraId="74ACFAAF">
      <w:pPr>
        <w:spacing w:line="360" w:lineRule="auto"/>
        <w:rPr>
          <w:rFonts w:hint="eastAsia" w:ascii="仿宋" w:hAnsi="仿宋" w:eastAsia="仿宋" w:cs="仿宋"/>
        </w:rPr>
      </w:pPr>
      <w:r>
        <w:rPr>
          <w:rFonts w:hint="eastAsia" w:ascii="仿宋" w:hAnsi="仿宋" w:eastAsia="仿宋" w:cs="仿宋"/>
        </w:rPr>
        <w:t>★1、产品具备《网络关键设备和网络安全专用产品安全认证证书》，提供有效证书复印件；产品符合《GB/T 20278-2022 信息安全技术网络脆弱性扫描产品安全技术要求》增强级的要求，（提供第三方测试报告证明并加盖安服工具原厂公章）；</w:t>
      </w:r>
    </w:p>
    <w:p w14:paraId="3CDD595D">
      <w:pPr>
        <w:spacing w:line="360" w:lineRule="auto"/>
        <w:rPr>
          <w:rFonts w:hint="eastAsia" w:ascii="仿宋" w:hAnsi="仿宋" w:eastAsia="仿宋" w:cs="仿宋"/>
        </w:rPr>
      </w:pPr>
      <w:r>
        <w:rPr>
          <w:rFonts w:hint="eastAsia" w:ascii="仿宋" w:hAnsi="仿宋" w:eastAsia="仿宋" w:cs="仿宋"/>
        </w:rPr>
        <w:t>2、产品具备国家信息安全漏洞库《CNNVD兼容性资质证书》，提供有效证书的复印件；</w:t>
      </w:r>
    </w:p>
    <w:p w14:paraId="66B132F4">
      <w:pPr>
        <w:spacing w:line="360" w:lineRule="auto"/>
        <w:rPr>
          <w:rFonts w:hint="eastAsia" w:ascii="仿宋" w:hAnsi="仿宋" w:eastAsia="仿宋" w:cs="仿宋"/>
        </w:rPr>
      </w:pPr>
      <w:r>
        <w:rPr>
          <w:rFonts w:hint="eastAsia" w:ascii="仿宋" w:hAnsi="仿宋" w:eastAsia="仿宋" w:cs="仿宋"/>
        </w:rPr>
        <w:t>3、漏洞知识库支持自定义编辑，可编辑漏洞描述、修复建议、漏洞等级等内容，在扫描结果和导出报告中应展示编辑后的内容；</w:t>
      </w:r>
    </w:p>
    <w:p w14:paraId="4F87E0AB">
      <w:pPr>
        <w:spacing w:line="360" w:lineRule="auto"/>
        <w:rPr>
          <w:rFonts w:hint="eastAsia" w:ascii="仿宋" w:hAnsi="仿宋" w:eastAsia="仿宋" w:cs="仿宋"/>
        </w:rPr>
      </w:pPr>
      <w:r>
        <w:rPr>
          <w:rFonts w:hint="eastAsia" w:ascii="仿宋" w:hAnsi="仿宋" w:eastAsia="仿宋" w:cs="仿宋"/>
        </w:rPr>
        <w:t>4、支持主机扫描、网站扫描、数据库扫描、基线配置、事件内容、弱口令扫描、存活主机探测、大数据漏洞扫描、物联网漏洞扫描、信创漏洞扫描十种任务类型；</w:t>
      </w:r>
    </w:p>
    <w:p w14:paraId="74B46025">
      <w:pPr>
        <w:spacing w:line="360" w:lineRule="auto"/>
        <w:rPr>
          <w:rFonts w:hint="eastAsia" w:ascii="仿宋" w:hAnsi="仿宋" w:eastAsia="仿宋" w:cs="仿宋"/>
        </w:rPr>
      </w:pPr>
      <w:r>
        <w:rPr>
          <w:rFonts w:hint="eastAsia" w:ascii="仿宋" w:hAnsi="仿宋" w:eastAsia="仿宋" w:cs="仿宋"/>
        </w:rPr>
        <w:t>5、厂商漏洞特征库大于300000条；提供详细的漏洞描述和对应的解决方案描述；漏洞知识库与CVE、CNNVD、Bugtraq、CNCVE、CNVD等国际、国内漏洞库标准兼容；</w:t>
      </w:r>
    </w:p>
    <w:p w14:paraId="089C621D">
      <w:pPr>
        <w:spacing w:line="360" w:lineRule="auto"/>
        <w:rPr>
          <w:rFonts w:hint="eastAsia" w:ascii="仿宋" w:hAnsi="仿宋" w:eastAsia="仿宋" w:cs="仿宋"/>
        </w:rPr>
      </w:pPr>
      <w:r>
        <w:rPr>
          <w:rFonts w:hint="eastAsia" w:ascii="仿宋" w:hAnsi="仿宋" w:eastAsia="仿宋" w:cs="仿宋"/>
        </w:rPr>
        <w:t>6、支持VPN代理扫描，可在产品界面添加代理网络配置，实现公有云、隔离网等特殊网络环境下的漏洞扫描；</w:t>
      </w:r>
    </w:p>
    <w:p w14:paraId="4473A717">
      <w:pPr>
        <w:spacing w:line="360" w:lineRule="auto"/>
        <w:rPr>
          <w:rFonts w:hint="eastAsia" w:ascii="仿宋" w:hAnsi="仿宋" w:eastAsia="仿宋" w:cs="仿宋"/>
        </w:rPr>
      </w:pPr>
      <w:r>
        <w:rPr>
          <w:rFonts w:hint="eastAsia" w:ascii="仿宋" w:hAnsi="仿宋" w:eastAsia="仿宋" w:cs="仿宋"/>
        </w:rPr>
        <w:t>★7、具备弱口令扫描功能，支持弱口令扫描协议数量≥22种，包括FTP、SMB、RDP、SSH、TELNET、SMTP、IMAP、POP3、Oracle、MySQL、MSSQL、DB2、REDIS、MongoDB、Sybase、Rlogin、RTSP、SIP、Onvif、Weblogic、Tomcat、SNMP等协议进行弱口令扫描，允许用户自定义用户、密码字典，（提供功能截图证明并加盖安服工具原厂公章）；</w:t>
      </w:r>
    </w:p>
    <w:p w14:paraId="049ABDAE">
      <w:pPr>
        <w:spacing w:line="360" w:lineRule="auto"/>
        <w:rPr>
          <w:rFonts w:hint="eastAsia" w:ascii="仿宋" w:hAnsi="仿宋" w:eastAsia="仿宋" w:cs="仿宋"/>
        </w:rPr>
      </w:pPr>
      <w:r>
        <w:rPr>
          <w:rFonts w:hint="eastAsia" w:ascii="仿宋" w:hAnsi="仿宋" w:eastAsia="仿宋" w:cs="仿宋"/>
        </w:rPr>
        <w:t>8、扫描结果在产品界面中支持查看目标应用返回的软件版本，可以方便与漏洞描述对比进行漏洞验证；</w:t>
      </w:r>
    </w:p>
    <w:p w14:paraId="3649B523">
      <w:pPr>
        <w:spacing w:line="360" w:lineRule="auto"/>
        <w:rPr>
          <w:rFonts w:hint="eastAsia" w:ascii="仿宋" w:hAnsi="仿宋" w:eastAsia="仿宋" w:cs="仿宋"/>
        </w:rPr>
      </w:pPr>
      <w:r>
        <w:rPr>
          <w:rFonts w:hint="eastAsia" w:ascii="仿宋" w:hAnsi="仿宋" w:eastAsia="仿宋" w:cs="仿宋"/>
        </w:rPr>
        <w:t>9、管理人员可根据系统给出的漏洞参数、HTTP请求/响应数据，快速验证，一键验证漏洞。支持对Struts2远程命令执行漏洞进行命令执行和文件上传的渗透测试验证操作；</w:t>
      </w:r>
    </w:p>
    <w:p w14:paraId="49F5FF83">
      <w:pPr>
        <w:spacing w:line="360" w:lineRule="auto"/>
        <w:rPr>
          <w:rFonts w:hint="eastAsia" w:ascii="仿宋" w:hAnsi="仿宋" w:eastAsia="仿宋" w:cs="仿宋"/>
        </w:rPr>
      </w:pPr>
      <w:r>
        <w:rPr>
          <w:rFonts w:hint="eastAsia" w:ascii="仿宋" w:hAnsi="仿宋" w:eastAsia="仿宋" w:cs="仿宋"/>
        </w:rPr>
        <w:t xml:space="preserve">★10、支持对数据库内核入侵隐藏对象、隐藏用户的探测能力，（提供第三方机构证明材料并加盖安服工具原厂公章）。 </w:t>
      </w:r>
    </w:p>
    <w:p w14:paraId="10177FE2">
      <w:pPr>
        <w:pStyle w:val="6"/>
        <w:rPr>
          <w:rFonts w:hint="eastAsia" w:ascii="仿宋" w:hAnsi="仿宋" w:eastAsia="仿宋" w:cs="仿宋"/>
          <w:color w:val="auto"/>
          <w:szCs w:val="21"/>
        </w:rPr>
      </w:pPr>
      <w:r>
        <w:rPr>
          <w:rFonts w:hint="eastAsia" w:ascii="仿宋" w:hAnsi="仿宋" w:eastAsia="仿宋" w:cs="仿宋"/>
          <w:color w:val="auto"/>
          <w:szCs w:val="21"/>
        </w:rPr>
        <w:t>（2）关于代码检测，需提供相关工具如代码检测工具，工具类型不限，需具备以下能力要求：</w:t>
      </w:r>
    </w:p>
    <w:p w14:paraId="3C5D80D1">
      <w:pPr>
        <w:numPr>
          <w:ilvl w:val="0"/>
          <w:numId w:val="2"/>
        </w:numPr>
        <w:spacing w:line="360" w:lineRule="auto"/>
        <w:rPr>
          <w:rFonts w:hint="eastAsia" w:ascii="仿宋" w:hAnsi="仿宋" w:eastAsia="仿宋" w:cs="仿宋"/>
        </w:rPr>
      </w:pPr>
      <w:r>
        <w:rPr>
          <w:rFonts w:hint="eastAsia" w:ascii="仿宋" w:hAnsi="仿宋" w:eastAsia="仿宋" w:cs="仿宋"/>
        </w:rPr>
        <w:t>★支持代码注入、跨站脚本、输入验证、危险函数、代码质量、API误用、密码管理、异常处理等常见安全缺陷问题的检测，二级缺陷类型不低于2000个。提供功能截图或证明材料</w:t>
      </w:r>
    </w:p>
    <w:p w14:paraId="211B6808">
      <w:pPr>
        <w:numPr>
          <w:ilvl w:val="0"/>
          <w:numId w:val="2"/>
        </w:numPr>
        <w:spacing w:line="360" w:lineRule="auto"/>
        <w:rPr>
          <w:rFonts w:hint="eastAsia" w:ascii="仿宋" w:hAnsi="仿宋" w:eastAsia="仿宋" w:cs="仿宋"/>
        </w:rPr>
      </w:pPr>
      <w:r>
        <w:rPr>
          <w:rFonts w:hint="eastAsia" w:ascii="仿宋" w:hAnsi="仿宋" w:eastAsia="仿宋" w:cs="仿宋"/>
        </w:rPr>
        <w:t>支持根据检测语言类型配置可信数据源，提高检测准确性。可信数据源包括命令行参数、web表单、json字符串等，界面可选可信源配置类型应不少于15种。</w:t>
      </w:r>
    </w:p>
    <w:p w14:paraId="12B0C6FF">
      <w:pPr>
        <w:numPr>
          <w:ilvl w:val="0"/>
          <w:numId w:val="2"/>
        </w:numPr>
        <w:spacing w:line="360" w:lineRule="auto"/>
        <w:rPr>
          <w:rFonts w:hint="eastAsia" w:ascii="仿宋" w:hAnsi="仿宋" w:eastAsia="仿宋" w:cs="仿宋"/>
        </w:rPr>
      </w:pPr>
      <w:r>
        <w:rPr>
          <w:rFonts w:hint="eastAsia" w:ascii="仿宋" w:hAnsi="仿宋" w:eastAsia="仿宋" w:cs="仿宋"/>
        </w:rPr>
        <w:t>能够针对同种类型的安全问题成因路径进行统一展示，便于找到最佳修复节点。</w:t>
      </w:r>
    </w:p>
    <w:p w14:paraId="13D2D922">
      <w:pPr>
        <w:numPr>
          <w:ilvl w:val="0"/>
          <w:numId w:val="2"/>
        </w:numPr>
        <w:spacing w:line="360" w:lineRule="auto"/>
        <w:rPr>
          <w:rFonts w:hint="eastAsia" w:ascii="仿宋" w:hAnsi="仿宋" w:eastAsia="仿宋" w:cs="仿宋"/>
        </w:rPr>
      </w:pPr>
      <w:r>
        <w:rPr>
          <w:rFonts w:hint="eastAsia" w:ascii="仿宋" w:hAnsi="仿宋" w:eastAsia="仿宋" w:cs="仿宋"/>
        </w:rPr>
        <w:t>能够迅速定位某一特定源代码安全问题所在源代码行，对问题产生的整个过程进行跟踪。</w:t>
      </w:r>
    </w:p>
    <w:p w14:paraId="17B6F73B">
      <w:pPr>
        <w:numPr>
          <w:ilvl w:val="0"/>
          <w:numId w:val="2"/>
        </w:numPr>
        <w:spacing w:line="360" w:lineRule="auto"/>
        <w:rPr>
          <w:rFonts w:hint="eastAsia" w:ascii="仿宋" w:hAnsi="仿宋" w:eastAsia="仿宋" w:cs="仿宋"/>
        </w:rPr>
      </w:pPr>
      <w:r>
        <w:rPr>
          <w:rFonts w:hint="eastAsia" w:ascii="仿宋" w:hAnsi="仿宋" w:eastAsia="仿宋" w:cs="仿宋"/>
        </w:rPr>
        <w:t>支持配置自动化检测策略，能够按天或周进行自动化周期性检测</w:t>
      </w:r>
    </w:p>
    <w:p w14:paraId="33FC208E">
      <w:pPr>
        <w:numPr>
          <w:ilvl w:val="0"/>
          <w:numId w:val="2"/>
        </w:numPr>
        <w:spacing w:line="360" w:lineRule="auto"/>
        <w:rPr>
          <w:rFonts w:hint="eastAsia" w:ascii="仿宋" w:hAnsi="仿宋" w:eastAsia="仿宋" w:cs="仿宋"/>
        </w:rPr>
      </w:pPr>
      <w:r>
        <w:rPr>
          <w:rFonts w:hint="eastAsia" w:ascii="仿宋" w:hAnsi="仿宋" w:eastAsia="仿宋" w:cs="仿宋"/>
        </w:rPr>
        <w:t>能够对项目中多次检测的结果进行对比，形成趋势分析</w:t>
      </w:r>
    </w:p>
    <w:p w14:paraId="3B3BE323">
      <w:pPr>
        <w:numPr>
          <w:ilvl w:val="0"/>
          <w:numId w:val="2"/>
        </w:numPr>
        <w:spacing w:line="360" w:lineRule="auto"/>
        <w:rPr>
          <w:rFonts w:hint="eastAsia" w:ascii="仿宋" w:hAnsi="仿宋" w:eastAsia="仿宋" w:cs="仿宋"/>
          <w:sz w:val="22"/>
          <w:szCs w:val="22"/>
        </w:rPr>
      </w:pPr>
      <w:r>
        <w:rPr>
          <w:rFonts w:hint="eastAsia" w:ascii="仿宋" w:hAnsi="仿宋" w:eastAsia="仿宋" w:cs="仿宋"/>
        </w:rPr>
        <w:t>支持本地直接发起检测任务，也可以从SVN、GIT、StarTeam、Azure DevOps、ClearCase 等代码仓库获取代码发起检测任务，同时源代码来源支持FTP和共享目录。</w:t>
      </w:r>
    </w:p>
    <w:p w14:paraId="000FB48F">
      <w:pPr>
        <w:numPr>
          <w:ilvl w:val="0"/>
          <w:numId w:val="2"/>
        </w:numPr>
        <w:spacing w:line="360" w:lineRule="auto"/>
        <w:rPr>
          <w:rFonts w:hint="eastAsia" w:ascii="仿宋" w:hAnsi="仿宋" w:eastAsia="仿宋" w:cs="仿宋"/>
          <w:sz w:val="22"/>
          <w:szCs w:val="22"/>
        </w:rPr>
      </w:pPr>
      <w:r>
        <w:rPr>
          <w:rFonts w:hint="eastAsia" w:ascii="仿宋" w:hAnsi="仿宋" w:eastAsia="仿宋" w:cs="仿宋"/>
        </w:rPr>
        <w:t>★代码审计工具符合中国信息通信研究院的《静态应用程序安全测试工具能力要求》标准。（提供资质证明材料）</w:t>
      </w:r>
    </w:p>
    <w:p w14:paraId="5A601A95">
      <w:pPr>
        <w:pStyle w:val="6"/>
        <w:rPr>
          <w:rFonts w:hint="eastAsia" w:ascii="仿宋" w:hAnsi="仿宋" w:eastAsia="仿宋" w:cs="仿宋"/>
          <w:color w:val="auto"/>
          <w:szCs w:val="21"/>
        </w:rPr>
      </w:pPr>
      <w:r>
        <w:rPr>
          <w:rFonts w:hint="eastAsia" w:ascii="仿宋" w:hAnsi="仿宋" w:eastAsia="仿宋" w:cs="仿宋"/>
          <w:color w:val="auto"/>
          <w:szCs w:val="21"/>
        </w:rPr>
        <w:t>（3）关于web应用，需提供相关工具如web应用检测工具，工具类型不限，需具备以下能力要求：</w:t>
      </w:r>
    </w:p>
    <w:p w14:paraId="27D872F3">
      <w:pPr>
        <w:spacing w:line="360" w:lineRule="auto"/>
        <w:rPr>
          <w:rFonts w:hint="eastAsia" w:ascii="仿宋" w:hAnsi="仿宋" w:eastAsia="仿宋" w:cs="仿宋"/>
        </w:rPr>
      </w:pPr>
      <w:r>
        <w:rPr>
          <w:rFonts w:hint="eastAsia" w:ascii="仿宋" w:hAnsi="仿宋" w:eastAsia="仿宋" w:cs="仿宋"/>
        </w:rPr>
        <w:t>★1、产品具备《网络关键设备和网络安全专用产品安全认证证书》，提供有效证书复印件；产品符合《GB/T 37931-2019 信息安全技术 Web应用安全检测系统安全技术要求和测试评价方法》的要求，（提供第三方测试报告证明并加盖安服工具原厂公章）；</w:t>
      </w:r>
    </w:p>
    <w:p w14:paraId="79ED14D3">
      <w:pPr>
        <w:spacing w:line="360" w:lineRule="auto"/>
        <w:rPr>
          <w:rFonts w:hint="eastAsia" w:ascii="仿宋" w:hAnsi="仿宋" w:eastAsia="仿宋" w:cs="仿宋"/>
        </w:rPr>
      </w:pPr>
      <w:r>
        <w:rPr>
          <w:rFonts w:hint="eastAsia" w:ascii="仿宋" w:hAnsi="仿宋" w:eastAsia="仿宋" w:cs="仿宋"/>
        </w:rPr>
        <w:t>★2、产品通过中国网络安全审查技术与认证中心获得IT产品信息安全认证证书，（提供证书复印件并加盖安服工具原厂公章）；</w:t>
      </w:r>
    </w:p>
    <w:p w14:paraId="5BB1364B">
      <w:pPr>
        <w:spacing w:line="360" w:lineRule="auto"/>
        <w:rPr>
          <w:rFonts w:hint="eastAsia" w:ascii="仿宋" w:hAnsi="仿宋" w:eastAsia="仿宋" w:cs="仿宋"/>
        </w:rPr>
      </w:pPr>
      <w:r>
        <w:rPr>
          <w:rFonts w:hint="eastAsia" w:ascii="仿宋" w:hAnsi="仿宋" w:eastAsia="仿宋" w:cs="仿宋"/>
        </w:rPr>
        <w:t>3、产品具备国家信息安全漏洞库《CNNVD兼容性资质证书》；</w:t>
      </w:r>
    </w:p>
    <w:p w14:paraId="349C7FBA">
      <w:pPr>
        <w:spacing w:line="360" w:lineRule="auto"/>
        <w:rPr>
          <w:rFonts w:hint="eastAsia" w:ascii="仿宋" w:hAnsi="仿宋" w:eastAsia="仿宋" w:cs="仿宋"/>
        </w:rPr>
      </w:pPr>
      <w:r>
        <w:rPr>
          <w:rFonts w:hint="eastAsia" w:ascii="仿宋" w:hAnsi="仿宋" w:eastAsia="仿宋" w:cs="仿宋"/>
        </w:rPr>
        <w:t>4、支持常见的WEB应用弱点检测，支持OWASP TOP 10等主流安全漏洞；</w:t>
      </w:r>
    </w:p>
    <w:p w14:paraId="69315B01">
      <w:pPr>
        <w:spacing w:line="360" w:lineRule="auto"/>
        <w:rPr>
          <w:rFonts w:hint="eastAsia" w:ascii="仿宋" w:hAnsi="仿宋" w:eastAsia="仿宋" w:cs="仿宋"/>
        </w:rPr>
      </w:pPr>
      <w:r>
        <w:rPr>
          <w:rFonts w:hint="eastAsia" w:ascii="仿宋" w:hAnsi="仿宋" w:eastAsia="仿宋" w:cs="仿宋"/>
        </w:rPr>
        <w:t>5、支持在漏洞知识库中单独选择某漏洞直接下发扫描任务以验证是否存在该漏洞；</w:t>
      </w:r>
    </w:p>
    <w:p w14:paraId="626413CE">
      <w:pPr>
        <w:spacing w:line="360" w:lineRule="auto"/>
        <w:rPr>
          <w:rFonts w:hint="eastAsia" w:ascii="仿宋" w:hAnsi="仿宋" w:eastAsia="仿宋" w:cs="仿宋"/>
        </w:rPr>
      </w:pPr>
      <w:r>
        <w:rPr>
          <w:rFonts w:hint="eastAsia" w:ascii="仿宋" w:hAnsi="仿宋" w:eastAsia="仿宋" w:cs="仿宋"/>
        </w:rPr>
        <w:t>6、支持定制扫描：用户可根据；目标扫描网站的特点以及所在网络环境，对扫描过程进行定制，如爬行、检测、过滤、网络环境等；</w:t>
      </w:r>
    </w:p>
    <w:p w14:paraId="520FD341">
      <w:pPr>
        <w:spacing w:line="360" w:lineRule="auto"/>
        <w:rPr>
          <w:rFonts w:hint="eastAsia" w:ascii="仿宋" w:hAnsi="仿宋" w:eastAsia="仿宋" w:cs="仿宋"/>
        </w:rPr>
      </w:pPr>
      <w:r>
        <w:rPr>
          <w:rFonts w:hint="eastAsia" w:ascii="仿宋" w:hAnsi="仿宋" w:eastAsia="仿宋" w:cs="仿宋"/>
        </w:rPr>
        <w:t>7、支持端口扫描和服务的协议及版本识别，支持自定义扫描端口范围；</w:t>
      </w:r>
    </w:p>
    <w:p w14:paraId="584B7FC0">
      <w:pPr>
        <w:spacing w:line="360" w:lineRule="auto"/>
        <w:rPr>
          <w:rFonts w:hint="eastAsia" w:ascii="仿宋" w:hAnsi="仿宋" w:eastAsia="仿宋" w:cs="仿宋"/>
        </w:rPr>
      </w:pPr>
      <w:r>
        <w:rPr>
          <w:rFonts w:hint="eastAsia" w:ascii="仿宋" w:hAnsi="仿宋" w:eastAsia="仿宋" w:cs="仿宋"/>
        </w:rPr>
        <w:t>8、支持IP地址的形式下发扫描任务并自动发现存在的Web资产。</w:t>
      </w:r>
    </w:p>
    <w:p w14:paraId="787EBC24">
      <w:pPr>
        <w:pStyle w:val="6"/>
        <w:rPr>
          <w:rFonts w:hint="eastAsia" w:ascii="仿宋" w:hAnsi="仿宋" w:eastAsia="仿宋" w:cs="仿宋"/>
          <w:color w:val="auto"/>
          <w:szCs w:val="21"/>
        </w:rPr>
      </w:pPr>
      <w:r>
        <w:rPr>
          <w:rFonts w:hint="eastAsia" w:ascii="仿宋" w:hAnsi="仿宋" w:eastAsia="仿宋" w:cs="仿宋"/>
          <w:color w:val="auto"/>
          <w:szCs w:val="21"/>
        </w:rPr>
        <w:t>（4）关于自动渗透，需提供相关工具如自动话渗透工具，工具类型不限，需具备以下能力要求：</w:t>
      </w:r>
    </w:p>
    <w:p w14:paraId="70D172B5">
      <w:pPr>
        <w:spacing w:line="360" w:lineRule="auto"/>
        <w:rPr>
          <w:rFonts w:hint="eastAsia" w:ascii="仿宋" w:hAnsi="仿宋" w:eastAsia="仿宋" w:cs="仿宋"/>
        </w:rPr>
      </w:pPr>
      <w:r>
        <w:rPr>
          <w:rFonts w:hint="eastAsia" w:ascii="仿宋" w:hAnsi="仿宋" w:eastAsia="仿宋" w:cs="仿宋"/>
        </w:rPr>
        <w:t>1、漏洞探测功能支持使用POC对资产进行批量漏洞探测。指纹/POC探测扫描模式支持只识别指纹、识别指纹再进行POC探测、不需要指纹前置直接POC探测三种类型；</w:t>
      </w:r>
    </w:p>
    <w:p w14:paraId="77B724FC">
      <w:pPr>
        <w:spacing w:line="360" w:lineRule="auto"/>
        <w:rPr>
          <w:rFonts w:hint="eastAsia" w:ascii="仿宋" w:hAnsi="仿宋" w:eastAsia="仿宋" w:cs="仿宋"/>
        </w:rPr>
      </w:pPr>
      <w:r>
        <w:rPr>
          <w:rFonts w:hint="eastAsia" w:ascii="仿宋" w:hAnsi="仿宋" w:eastAsia="仿宋" w:cs="仿宋"/>
        </w:rPr>
        <w:t>2、支持对能获取权限的漏洞进行漏洞利用，获取对方的服务器权限，包括但不限于代码执行、命令执行、文件上传、反序列化漏洞等的漏洞利用；漏洞利用功能能对漏洞进行植入webshell、命令执行、反弹shell等操作；</w:t>
      </w:r>
    </w:p>
    <w:p w14:paraId="4519DBE9">
      <w:pPr>
        <w:spacing w:line="360" w:lineRule="auto"/>
        <w:rPr>
          <w:rFonts w:hint="eastAsia" w:ascii="仿宋" w:hAnsi="仿宋" w:eastAsia="仿宋" w:cs="仿宋"/>
          <w:lang w:eastAsia="zh-Hans"/>
        </w:rPr>
      </w:pPr>
      <w:r>
        <w:rPr>
          <w:rFonts w:hint="eastAsia" w:ascii="仿宋" w:hAnsi="仿宋" w:eastAsia="仿宋" w:cs="仿宋"/>
        </w:rPr>
        <w:t>3、</w:t>
      </w:r>
      <w:r>
        <w:rPr>
          <w:rFonts w:hint="eastAsia" w:ascii="仿宋" w:hAnsi="仿宋" w:eastAsia="仿宋" w:cs="仿宋"/>
          <w:lang w:eastAsia="zh-Hans"/>
        </w:rPr>
        <w:t>能够以投递agent的形式对内网进行web漏洞检测、常见服务漏洞、弱口令漏洞、并能通过web页面进行任务下发进行内网的web漏洞探测、服务漏洞、弱口令等进行内网的漏洞检测；</w:t>
      </w:r>
    </w:p>
    <w:p w14:paraId="42FF528D">
      <w:pPr>
        <w:spacing w:line="360" w:lineRule="auto"/>
        <w:rPr>
          <w:rFonts w:hint="eastAsia" w:ascii="仿宋" w:hAnsi="仿宋" w:eastAsia="仿宋" w:cs="仿宋"/>
          <w:lang w:eastAsia="zh-Hans"/>
        </w:rPr>
      </w:pPr>
      <w:r>
        <w:rPr>
          <w:rFonts w:hint="eastAsia" w:ascii="仿宋" w:hAnsi="仿宋" w:eastAsia="仿宋" w:cs="仿宋"/>
          <w:lang w:eastAsia="zh-Hans"/>
        </w:rPr>
        <w:t>★4、支持对跨域资源共享漏洞、子域名劫持漏洞、任意账号密码重置逻辑漏洞的检测发现能力，（提供第三方机构证明材料并加盖安服工具原厂公章）。</w:t>
      </w:r>
    </w:p>
    <w:p w14:paraId="6A16499F">
      <w:pPr>
        <w:spacing w:line="360" w:lineRule="auto"/>
        <w:rPr>
          <w:rFonts w:hint="eastAsia" w:ascii="仿宋" w:hAnsi="仿宋" w:eastAsia="仿宋" w:cs="仿宋"/>
          <w:lang w:eastAsia="zh-Hans"/>
        </w:rPr>
      </w:pPr>
      <w:r>
        <w:rPr>
          <w:rFonts w:hint="eastAsia" w:ascii="仿宋" w:hAnsi="仿宋" w:eastAsia="仿宋" w:cs="仿宋"/>
          <w:lang w:eastAsia="zh-Hans"/>
        </w:rPr>
        <w:t>★</w:t>
      </w:r>
      <w:r>
        <w:rPr>
          <w:rFonts w:hint="eastAsia" w:ascii="仿宋" w:hAnsi="仿宋" w:eastAsia="仿宋" w:cs="仿宋"/>
        </w:rPr>
        <w:t>5、</w:t>
      </w:r>
      <w:r>
        <w:rPr>
          <w:rFonts w:hint="eastAsia" w:ascii="仿宋" w:hAnsi="仿宋" w:eastAsia="仿宋" w:cs="仿宋"/>
          <w:lang w:eastAsia="zh-Hans"/>
        </w:rPr>
        <w:t>为保证服务质量，</w:t>
      </w:r>
      <w:r>
        <w:rPr>
          <w:rFonts w:hint="eastAsia" w:ascii="仿宋" w:hAnsi="仿宋" w:eastAsia="仿宋" w:cs="仿宋"/>
        </w:rPr>
        <w:t>中标单位</w:t>
      </w:r>
      <w:r>
        <w:rPr>
          <w:rFonts w:hint="eastAsia" w:ascii="仿宋" w:hAnsi="仿宋" w:eastAsia="仿宋" w:cs="仿宋"/>
          <w:lang w:eastAsia="zh-Hans"/>
        </w:rPr>
        <w:t>或服务原厂需提供一名渗透测试专家，具备CISP-PTS（渗透测试专家）、CISP-BDSA（大数据安全分析师）、CISAW（渗透测试）、CNVD原创漏洞资质，提供相关证明材料。</w:t>
      </w:r>
    </w:p>
    <w:p w14:paraId="71C966D6">
      <w:pPr>
        <w:pStyle w:val="6"/>
        <w:numPr>
          <w:ilvl w:val="0"/>
          <w:numId w:val="3"/>
        </w:numPr>
        <w:rPr>
          <w:rFonts w:hint="eastAsia" w:ascii="仿宋" w:hAnsi="仿宋" w:eastAsia="仿宋" w:cs="仿宋"/>
          <w:color w:val="auto"/>
          <w:szCs w:val="21"/>
        </w:rPr>
      </w:pPr>
      <w:r>
        <w:rPr>
          <w:rFonts w:hint="eastAsia" w:ascii="仿宋" w:hAnsi="仿宋" w:eastAsia="仿宋" w:cs="仿宋"/>
          <w:color w:val="auto"/>
          <w:szCs w:val="21"/>
        </w:rPr>
        <w:t>关于应急响应，需提供相关工具如应急响应处置工具，工具类型不限，需具备以下能力要求：</w:t>
      </w:r>
    </w:p>
    <w:p w14:paraId="04B09898">
      <w:pPr>
        <w:spacing w:line="360" w:lineRule="auto"/>
        <w:rPr>
          <w:rFonts w:hint="eastAsia" w:ascii="仿宋" w:hAnsi="仿宋" w:eastAsia="仿宋" w:cs="仿宋"/>
        </w:rPr>
      </w:pPr>
      <w:r>
        <w:rPr>
          <w:rFonts w:hint="eastAsia" w:ascii="仿宋" w:hAnsi="仿宋" w:eastAsia="仿宋" w:cs="仿宋"/>
        </w:rPr>
        <w:t>1、产品具备国家信息安全漏洞库《CNNVD兼容性资质证书》，提供有效证书的复印件；</w:t>
      </w:r>
    </w:p>
    <w:p w14:paraId="20A3E163">
      <w:pPr>
        <w:spacing w:line="360" w:lineRule="auto"/>
        <w:rPr>
          <w:rFonts w:hint="eastAsia" w:ascii="仿宋" w:hAnsi="仿宋" w:eastAsia="仿宋" w:cs="仿宋"/>
          <w:szCs w:val="21"/>
        </w:rPr>
      </w:pPr>
      <w:r>
        <w:rPr>
          <w:rFonts w:hint="eastAsia" w:ascii="仿宋" w:hAnsi="仿宋" w:eastAsia="仿宋" w:cs="仿宋"/>
          <w:szCs w:val="21"/>
        </w:rPr>
        <w:t>★2、支持设置线索，发现关键可疑行为，包括IP线索、关键词线索、文件名线索、时间线索的设置，</w:t>
      </w:r>
      <w:r>
        <w:rPr>
          <w:rFonts w:hint="eastAsia" w:ascii="仿宋" w:hAnsi="仿宋" w:eastAsia="仿宋" w:cs="仿宋"/>
        </w:rPr>
        <w:t>（提供功能截图证明并加盖安服工具原厂公章）</w:t>
      </w:r>
      <w:r>
        <w:rPr>
          <w:rFonts w:hint="eastAsia" w:ascii="仿宋" w:hAnsi="仿宋" w:eastAsia="仿宋" w:cs="仿宋"/>
          <w:szCs w:val="21"/>
        </w:rPr>
        <w:t>；</w:t>
      </w:r>
    </w:p>
    <w:p w14:paraId="4D76E14E">
      <w:pPr>
        <w:spacing w:line="360" w:lineRule="auto"/>
        <w:rPr>
          <w:rFonts w:hint="eastAsia" w:ascii="仿宋" w:hAnsi="仿宋" w:eastAsia="仿宋" w:cs="仿宋"/>
          <w:szCs w:val="21"/>
        </w:rPr>
      </w:pPr>
      <w:r>
        <w:rPr>
          <w:rFonts w:hint="eastAsia" w:ascii="仿宋" w:hAnsi="仿宋" w:eastAsia="仿宋" w:cs="仿宋"/>
          <w:szCs w:val="21"/>
        </w:rPr>
        <w:t>3、支持采集日志格式自定义分析，包含Liunx日志、Web日志、数据库日志格式自定义，通过自定义创建日志解析格式；</w:t>
      </w:r>
    </w:p>
    <w:p w14:paraId="7B60DE0E">
      <w:pPr>
        <w:spacing w:line="360" w:lineRule="auto"/>
        <w:rPr>
          <w:rFonts w:hint="eastAsia" w:ascii="仿宋" w:hAnsi="仿宋" w:eastAsia="仿宋" w:cs="仿宋"/>
          <w:szCs w:val="21"/>
        </w:rPr>
      </w:pPr>
      <w:r>
        <w:rPr>
          <w:rFonts w:hint="eastAsia" w:ascii="仿宋" w:hAnsi="仿宋" w:eastAsia="仿宋" w:cs="仿宋"/>
          <w:szCs w:val="21"/>
        </w:rPr>
        <w:t>4、支持对所采集的系统配置数据、使用痕迹数据、运行状态数据、恶意代码情况、系统日志、中间件日志等进行数据分析；</w:t>
      </w:r>
    </w:p>
    <w:p w14:paraId="6F5778F2">
      <w:pPr>
        <w:spacing w:line="360" w:lineRule="auto"/>
        <w:rPr>
          <w:rFonts w:hint="eastAsia" w:ascii="仿宋" w:hAnsi="仿宋" w:eastAsia="仿宋" w:cs="仿宋"/>
          <w:szCs w:val="21"/>
        </w:rPr>
      </w:pPr>
      <w:r>
        <w:rPr>
          <w:rFonts w:hint="eastAsia" w:ascii="仿宋" w:hAnsi="仿宋" w:eastAsia="仿宋" w:cs="仿宋"/>
          <w:szCs w:val="21"/>
        </w:rPr>
        <w:t>5、支持手动分析，支持处置人员查看采集的数据信息，标记关键数据形成可疑行为事件；</w:t>
      </w:r>
    </w:p>
    <w:p w14:paraId="5726C419">
      <w:pPr>
        <w:spacing w:line="360" w:lineRule="auto"/>
        <w:rPr>
          <w:rFonts w:hint="eastAsia" w:ascii="仿宋" w:hAnsi="仿宋" w:eastAsia="仿宋" w:cs="仿宋"/>
          <w:szCs w:val="21"/>
        </w:rPr>
      </w:pPr>
      <w:r>
        <w:rPr>
          <w:rFonts w:hint="eastAsia" w:ascii="仿宋" w:hAnsi="仿宋" w:eastAsia="仿宋" w:cs="仿宋"/>
          <w:szCs w:val="21"/>
        </w:rPr>
        <w:t>6、支持根据所提供的线索自动发现关键可疑行为并进行标记，提供功能截图证明；</w:t>
      </w:r>
    </w:p>
    <w:p w14:paraId="09E34D37">
      <w:pPr>
        <w:spacing w:line="360" w:lineRule="auto"/>
        <w:rPr>
          <w:rFonts w:hint="eastAsia" w:ascii="仿宋" w:hAnsi="仿宋" w:eastAsia="仿宋" w:cs="仿宋"/>
          <w:szCs w:val="21"/>
        </w:rPr>
      </w:pPr>
      <w:r>
        <w:rPr>
          <w:rFonts w:hint="eastAsia" w:ascii="仿宋" w:hAnsi="仿宋" w:eastAsia="仿宋" w:cs="仿宋"/>
          <w:szCs w:val="21"/>
        </w:rPr>
        <w:t>7、支持根据关键字搜索相关知识内容；</w:t>
      </w:r>
    </w:p>
    <w:p w14:paraId="0FBA3ECD">
      <w:pPr>
        <w:spacing w:line="360" w:lineRule="auto"/>
        <w:rPr>
          <w:rFonts w:hint="eastAsia" w:ascii="仿宋" w:hAnsi="仿宋" w:eastAsia="仿宋" w:cs="仿宋"/>
          <w:szCs w:val="21"/>
        </w:rPr>
      </w:pPr>
      <w:r>
        <w:rPr>
          <w:rFonts w:hint="eastAsia" w:ascii="仿宋" w:hAnsi="仿宋" w:eastAsia="仿宋" w:cs="仿宋"/>
          <w:szCs w:val="21"/>
        </w:rPr>
        <w:t>★8、支持根据勒索文件后缀查找对应解密工具，提供解密工具的下载、使用介绍等，</w:t>
      </w:r>
      <w:r>
        <w:rPr>
          <w:rFonts w:hint="eastAsia" w:ascii="仿宋" w:hAnsi="仿宋" w:eastAsia="仿宋" w:cs="仿宋"/>
        </w:rPr>
        <w:t>（提供功能截图证明并加盖安服工具原厂公章）</w:t>
      </w:r>
      <w:r>
        <w:rPr>
          <w:rFonts w:hint="eastAsia" w:ascii="仿宋" w:hAnsi="仿宋" w:eastAsia="仿宋" w:cs="仿宋"/>
          <w:szCs w:val="21"/>
        </w:rPr>
        <w:t>；</w:t>
      </w:r>
    </w:p>
    <w:p w14:paraId="168699F7">
      <w:pPr>
        <w:spacing w:line="360" w:lineRule="auto"/>
        <w:rPr>
          <w:rFonts w:hint="eastAsia" w:ascii="仿宋" w:hAnsi="仿宋" w:eastAsia="仿宋" w:cs="仿宋"/>
          <w:szCs w:val="21"/>
        </w:rPr>
      </w:pPr>
      <w:r>
        <w:rPr>
          <w:rFonts w:hint="eastAsia" w:ascii="仿宋" w:hAnsi="仿宋" w:eastAsia="仿宋" w:cs="仿宋"/>
          <w:szCs w:val="21"/>
        </w:rPr>
        <w:t>9、支持提供IP、域名、文件等威胁情报查询；</w:t>
      </w:r>
    </w:p>
    <w:p w14:paraId="4AAF4E65">
      <w:pPr>
        <w:spacing w:line="360" w:lineRule="auto"/>
        <w:rPr>
          <w:rFonts w:hint="eastAsia" w:ascii="仿宋" w:hAnsi="仿宋" w:eastAsia="仿宋" w:cs="仿宋"/>
          <w:szCs w:val="21"/>
        </w:rPr>
      </w:pPr>
      <w:r>
        <w:rPr>
          <w:rFonts w:hint="eastAsia" w:ascii="仿宋" w:hAnsi="仿宋" w:eastAsia="仿宋" w:cs="仿宋"/>
          <w:szCs w:val="21"/>
        </w:rPr>
        <w:t>10、支持自定义设置策略规则、描述信息、处置建议等内容，可以应对高级事件类型溯源。</w:t>
      </w:r>
    </w:p>
    <w:p w14:paraId="4D6DBF46">
      <w:pPr>
        <w:spacing w:line="360" w:lineRule="auto"/>
        <w:rPr>
          <w:rFonts w:hint="eastAsia" w:ascii="仿宋" w:hAnsi="仿宋" w:eastAsia="仿宋" w:cs="仿宋"/>
          <w:szCs w:val="21"/>
        </w:rPr>
      </w:pPr>
      <w:r>
        <w:rPr>
          <w:rFonts w:hint="eastAsia" w:ascii="仿宋" w:hAnsi="仿宋" w:eastAsia="仿宋" w:cs="仿宋"/>
          <w:szCs w:val="21"/>
        </w:rPr>
        <w:t>11、为保证服务质量，中标单位或原厂需提供一名应急响应专家，具备CISSP（信息系统安全专家）、信息安全工程师、CISP-CISE（注册信息安全工程师）、CISAW（应急服务）资质，提供相关证明材料。</w:t>
      </w:r>
    </w:p>
    <w:p w14:paraId="322B0792">
      <w:pPr>
        <w:pStyle w:val="5"/>
        <w:tabs>
          <w:tab w:val="left" w:pos="312"/>
        </w:tabs>
        <w:rPr>
          <w:rFonts w:hint="eastAsia" w:ascii="仿宋" w:hAnsi="仿宋" w:eastAsia="仿宋" w:cs="仿宋"/>
          <w:b/>
          <w:bCs/>
          <w:color w:val="auto"/>
          <w:sz w:val="32"/>
          <w:szCs w:val="32"/>
        </w:rPr>
      </w:pPr>
      <w:r>
        <w:rPr>
          <w:rFonts w:hint="eastAsia" w:ascii="仿宋" w:hAnsi="仿宋" w:eastAsia="仿宋" w:cs="仿宋"/>
          <w:b/>
          <w:bCs/>
          <w:color w:val="auto"/>
          <w:sz w:val="32"/>
          <w:szCs w:val="32"/>
        </w:rPr>
        <w:t>（二）比武及攻防演练服务</w:t>
      </w:r>
    </w:p>
    <w:p w14:paraId="5F994BF2">
      <w:pPr>
        <w:pStyle w:val="7"/>
        <w:tabs>
          <w:tab w:val="left" w:pos="864"/>
        </w:tabs>
        <w:spacing w:line="460" w:lineRule="exact"/>
        <w:ind w:left="567"/>
        <w:rPr>
          <w:rFonts w:hint="eastAsia" w:ascii="仿宋" w:hAnsi="仿宋" w:eastAsia="仿宋" w:cs="仿宋"/>
          <w:color w:val="auto"/>
          <w:sz w:val="22"/>
          <w:szCs w:val="22"/>
        </w:rPr>
      </w:pPr>
      <w:r>
        <w:rPr>
          <w:rFonts w:ascii="Calibri" w:hAnsi="Calibri" w:eastAsia="仿宋" w:cs="Calibri"/>
          <w:color w:val="auto"/>
          <w:sz w:val="22"/>
          <w:szCs w:val="22"/>
        </w:rPr>
        <w:t>①</w:t>
      </w:r>
      <w:r>
        <w:rPr>
          <w:rFonts w:hint="eastAsia" w:ascii="Calibri" w:hAnsi="Calibri" w:eastAsia="仿宋" w:cs="Calibri"/>
          <w:color w:val="auto"/>
          <w:sz w:val="22"/>
          <w:szCs w:val="22"/>
        </w:rPr>
        <w:t>比武及攻防演练特别说明</w:t>
      </w:r>
    </w:p>
    <w:p w14:paraId="2A53490A"/>
    <w:p w14:paraId="368A20DD">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在比武及攻防演练项目中，需要明确的是，所涉及的服务工具并未包含在本次服务的采购范围之内。此外，我方提出的能力要求仅用于参考，旨在为项目的整体方向提供指导性意见，但并不作为实际服务实施过程中的具体执行标准，也不参与最终的服务验收流程。验收需要输出相关交付文档，包括但不限于：《攻防演练整体方案》、《攻防演练总结报告》《演习重大战果报告》</w:t>
      </w:r>
      <w:bookmarkStart w:id="7" w:name="_Hlk6402539"/>
      <w:bookmarkEnd w:id="7"/>
      <w:r>
        <w:rPr>
          <w:rFonts w:hint="eastAsia" w:ascii="仿宋" w:hAnsi="仿宋" w:eastAsia="仿宋" w:cs="仿宋"/>
          <w:szCs w:val="21"/>
        </w:rPr>
        <w:t>以及各类攻防演练涉及材料等，需要服务工程师签字、服务原厂盖章、业务签字或盖章。</w:t>
      </w:r>
    </w:p>
    <w:p w14:paraId="6A853E3F">
      <w:pPr>
        <w:pStyle w:val="7"/>
        <w:tabs>
          <w:tab w:val="left" w:pos="864"/>
        </w:tabs>
        <w:spacing w:line="460" w:lineRule="exact"/>
        <w:ind w:left="567"/>
        <w:rPr>
          <w:rFonts w:hint="eastAsia" w:ascii="仿宋" w:hAnsi="仿宋" w:eastAsia="仿宋" w:cs="仿宋"/>
          <w:color w:val="auto"/>
          <w:sz w:val="22"/>
          <w:szCs w:val="22"/>
        </w:rPr>
      </w:pPr>
      <w:r>
        <w:rPr>
          <w:rFonts w:hint="eastAsia" w:ascii="仿宋" w:hAnsi="仿宋" w:eastAsia="仿宋" w:cs="仿宋"/>
          <w:color w:val="auto"/>
          <w:sz w:val="22"/>
          <w:szCs w:val="22"/>
        </w:rPr>
        <w:t>（1）攻防比武大赛</w:t>
      </w:r>
    </w:p>
    <w:p w14:paraId="09486565">
      <w:pPr>
        <w:spacing w:line="440" w:lineRule="atLeast"/>
        <w:ind w:firstLine="420" w:firstLineChars="200"/>
        <w:rPr>
          <w:rFonts w:hint="eastAsia" w:ascii="仿宋" w:hAnsi="仿宋" w:eastAsia="仿宋" w:cs="仿宋"/>
        </w:rPr>
      </w:pPr>
      <w:r>
        <w:rPr>
          <w:rFonts w:hint="eastAsia" w:ascii="仿宋" w:hAnsi="仿宋" w:eastAsia="仿宋" w:cs="仿宋"/>
        </w:rPr>
        <w:t>提供至少一次10人以上的比武大赛服务。</w:t>
      </w:r>
    </w:p>
    <w:p w14:paraId="1FC80ADC">
      <w:pPr>
        <w:spacing w:line="440" w:lineRule="atLeast"/>
        <w:ind w:firstLine="420" w:firstLineChars="200"/>
        <w:rPr>
          <w:rFonts w:hint="eastAsia" w:ascii="仿宋" w:hAnsi="仿宋" w:eastAsia="仿宋" w:cs="仿宋"/>
        </w:rPr>
      </w:pPr>
      <w:r>
        <w:rPr>
          <w:rFonts w:hint="eastAsia" w:ascii="仿宋" w:hAnsi="仿宋" w:eastAsia="仿宋" w:cs="仿宋"/>
        </w:rPr>
        <w:t>比武大赛形式根据我局要求确定，不限于以下几种：</w:t>
      </w:r>
    </w:p>
    <w:p w14:paraId="394CE9E4">
      <w:pPr>
        <w:spacing w:line="440" w:lineRule="atLeast"/>
        <w:ind w:firstLine="420" w:firstLineChars="200"/>
        <w:rPr>
          <w:rFonts w:hint="eastAsia" w:ascii="仿宋" w:hAnsi="仿宋" w:eastAsia="仿宋" w:cs="仿宋"/>
        </w:rPr>
      </w:pPr>
      <w:r>
        <w:rPr>
          <w:rFonts w:hint="eastAsia" w:ascii="仿宋" w:hAnsi="仿宋" w:eastAsia="仿宋" w:cs="仿宋"/>
        </w:rPr>
        <w:t>1、CTF夺旗赛：CTF夺旗赛模式提供若干不同类型的赛题，题目通过靶机或附件形式下发，参赛者需要运用相关网络安全技术对靶机或附件进行攻击、破解，在相应题目中获得的Flag（旗标文件）提交至评分系统，评分系统审核Flag正确后，参赛者将获得对应的分值。</w:t>
      </w:r>
    </w:p>
    <w:p w14:paraId="3206E8A2">
      <w:pPr>
        <w:spacing w:line="440" w:lineRule="atLeast"/>
        <w:ind w:firstLine="420" w:firstLineChars="200"/>
        <w:rPr>
          <w:rFonts w:hint="eastAsia" w:ascii="仿宋" w:hAnsi="仿宋" w:eastAsia="仿宋" w:cs="仿宋"/>
        </w:rPr>
      </w:pPr>
      <w:r>
        <w:rPr>
          <w:rFonts w:hint="eastAsia" w:ascii="仿宋" w:hAnsi="仿宋" w:eastAsia="仿宋" w:cs="仿宋"/>
        </w:rPr>
        <w:t>2、AWD攻防对抗赛：AWD攻防赛模式中，各参赛者互为攻击方和防守方，实现真正的网络攻防对抗（Attack With Defence，攻防兼备）。参赛者在AWD攻防赛模式中，既要防守自己服务器，也要攻击其他参赛队伍的服务器。此模式既考查选手的攻击能力，也锻炼选手防御能力。</w:t>
      </w:r>
    </w:p>
    <w:p w14:paraId="790C8ED7">
      <w:pPr>
        <w:spacing w:line="440" w:lineRule="atLeast"/>
        <w:ind w:firstLine="420" w:firstLineChars="200"/>
        <w:rPr>
          <w:rFonts w:hint="eastAsia" w:ascii="仿宋" w:hAnsi="仿宋" w:eastAsia="仿宋" w:cs="仿宋"/>
        </w:rPr>
      </w:pPr>
      <w:r>
        <w:rPr>
          <w:rFonts w:hint="eastAsia" w:ascii="仿宋" w:hAnsi="仿宋" w:eastAsia="仿宋" w:cs="仿宋"/>
        </w:rPr>
        <w:t>3、Break&amp;Fix攻防赛：Break&amp;Fix攻防赛既考查选手的攻击能力，也锻炼选手防御能力。比赛期间，选手只能访问自己的靶机，并对靶机进行攻击或修复操作。在Break（攻击、检测）环节攻击成功即可得分。在Fix（修复）环节由平台按轮次对选手靶机发起攻击，检测修复是否成功。与传统AWD攻防对抗赛不同的是，Break&amp;Fix模式可避免其他参赛人员对己方靶机的干扰操作，可让参赛人员更加专注解题。</w:t>
      </w:r>
    </w:p>
    <w:p w14:paraId="60115CA9">
      <w:pPr>
        <w:spacing w:line="440" w:lineRule="atLeast"/>
        <w:ind w:firstLine="420" w:firstLineChars="200"/>
        <w:rPr>
          <w:rFonts w:hint="eastAsia" w:ascii="仿宋" w:hAnsi="仿宋" w:eastAsia="仿宋" w:cs="仿宋"/>
        </w:rPr>
      </w:pPr>
      <w:r>
        <w:rPr>
          <w:rFonts w:hint="eastAsia" w:ascii="仿宋" w:hAnsi="仿宋" w:eastAsia="仿宋" w:cs="仿宋"/>
        </w:rPr>
        <w:t>4、靶场综合渗透赛：靶场综合渗透涉及多层网络，可模拟真实网络生产环境。参赛者通过外部入口逐层渗透获取内网靶机相应权限，从而读取相应的Flag（旗标文件）。涉及的知识点有内网安全、反向代理、内网穿透、服务器提权、中间件安全、数据库安全等。综合渗透赛模式提供以下竞赛模拟环境：参赛选手以攻击者的身份对模拟的内网进行内网渗透、内网穿透等操作；该竞赛单元主要考察选手对内网知识、渗透知识的了解，例如信息收集、漏洞挖掘、主机探测、服务器权限提升等。</w:t>
      </w:r>
    </w:p>
    <w:p w14:paraId="3B6D46A0">
      <w:pPr>
        <w:pStyle w:val="7"/>
        <w:tabs>
          <w:tab w:val="left" w:pos="864"/>
        </w:tabs>
        <w:spacing w:line="460" w:lineRule="exact"/>
        <w:ind w:left="567"/>
        <w:rPr>
          <w:rFonts w:hint="eastAsia" w:ascii="仿宋" w:hAnsi="仿宋" w:eastAsia="仿宋" w:cs="仿宋"/>
          <w:color w:val="auto"/>
          <w:sz w:val="22"/>
          <w:szCs w:val="22"/>
        </w:rPr>
      </w:pPr>
      <w:r>
        <w:rPr>
          <w:rFonts w:hint="eastAsia" w:ascii="仿宋" w:hAnsi="仿宋" w:eastAsia="仿宋" w:cs="仿宋"/>
          <w:color w:val="auto"/>
          <w:sz w:val="22"/>
          <w:szCs w:val="22"/>
        </w:rPr>
        <w:t>（2）攻防比武工具提供</w:t>
      </w:r>
    </w:p>
    <w:p w14:paraId="4B8D5444">
      <w:pPr>
        <w:spacing w:line="440" w:lineRule="atLeast"/>
        <w:ind w:firstLine="420" w:firstLineChars="200"/>
        <w:rPr>
          <w:rFonts w:hint="eastAsia" w:ascii="仿宋" w:hAnsi="仿宋" w:eastAsia="仿宋" w:cs="仿宋"/>
        </w:rPr>
      </w:pPr>
      <w:r>
        <w:rPr>
          <w:rFonts w:hint="eastAsia" w:ascii="仿宋" w:hAnsi="仿宋" w:eastAsia="仿宋" w:cs="仿宋"/>
        </w:rPr>
        <w:t>提供一次攻防比武大赛并提供所需平台。</w:t>
      </w:r>
    </w:p>
    <w:p w14:paraId="6A7F670D">
      <w:pPr>
        <w:spacing w:line="440" w:lineRule="atLeast"/>
        <w:ind w:firstLine="420" w:firstLineChars="200"/>
        <w:rPr>
          <w:rFonts w:hint="eastAsia" w:ascii="仿宋" w:hAnsi="仿宋" w:eastAsia="仿宋" w:cs="仿宋"/>
        </w:rPr>
      </w:pPr>
      <w:r>
        <w:rPr>
          <w:rFonts w:hint="eastAsia" w:ascii="仿宋" w:hAnsi="仿宋" w:eastAsia="仿宋" w:cs="仿宋"/>
        </w:rPr>
        <w:t>1、比武平台包含后台管理系统、攻击行为分析系统、可视化系统、审计流量存储系统等；</w:t>
      </w:r>
    </w:p>
    <w:p w14:paraId="57F3AE37">
      <w:pPr>
        <w:spacing w:line="440" w:lineRule="atLeast"/>
        <w:ind w:firstLine="420" w:firstLineChars="200"/>
        <w:rPr>
          <w:rFonts w:hint="eastAsia" w:ascii="仿宋" w:hAnsi="仿宋" w:eastAsia="仿宋" w:cs="仿宋"/>
        </w:rPr>
      </w:pPr>
      <w:r>
        <w:rPr>
          <w:rFonts w:hint="eastAsia" w:ascii="仿宋" w:hAnsi="仿宋" w:eastAsia="仿宋" w:cs="仿宋"/>
        </w:rPr>
        <w:t>2、攻防比武平台能够进行攻防的演习全生命周期管理，演习前期通过平台初始化平台，初始创建账号，录入资源。演练中进行攻击过程审计，攻击成果管理，成果评审流程，攻击流量审计，可视化呈现。演习后数据报告汇总，数据导出。</w:t>
      </w:r>
    </w:p>
    <w:p w14:paraId="07CEB1A0">
      <w:pPr>
        <w:spacing w:line="440" w:lineRule="atLeast"/>
        <w:ind w:firstLine="420" w:firstLineChars="200"/>
        <w:rPr>
          <w:rFonts w:hint="eastAsia" w:ascii="仿宋" w:hAnsi="仿宋" w:eastAsia="仿宋" w:cs="仿宋"/>
        </w:rPr>
      </w:pPr>
      <w:r>
        <w:rPr>
          <w:rFonts w:hint="eastAsia" w:ascii="仿宋" w:hAnsi="仿宋" w:eastAsia="仿宋" w:cs="仿宋"/>
        </w:rPr>
        <w:t>★3、支持日志的汇集，要求具备在应用安全系统中进行精确风险检测的功能，（提供第三方机构证明材料并加盖安服工具原厂公章）；</w:t>
      </w:r>
    </w:p>
    <w:p w14:paraId="2A070A9D">
      <w:pPr>
        <w:spacing w:line="440" w:lineRule="atLeast"/>
        <w:ind w:firstLine="420" w:firstLineChars="200"/>
        <w:rPr>
          <w:rFonts w:hint="eastAsia" w:ascii="仿宋" w:hAnsi="仿宋" w:eastAsia="仿宋" w:cs="仿宋"/>
        </w:rPr>
      </w:pPr>
      <w:r>
        <w:rPr>
          <w:rFonts w:hint="eastAsia" w:ascii="仿宋" w:hAnsi="仿宋" w:eastAsia="仿宋" w:cs="仿宋"/>
        </w:rPr>
        <w:t>★4、支持对攻击异常的检测，要求具备支持CC攻击的检测功能，（提供第三方机构证明材料并加盖安服工具原厂公章）。</w:t>
      </w:r>
    </w:p>
    <w:p w14:paraId="2732F0A4">
      <w:pPr>
        <w:pStyle w:val="7"/>
        <w:tabs>
          <w:tab w:val="left" w:pos="864"/>
        </w:tabs>
        <w:spacing w:line="460" w:lineRule="exact"/>
        <w:ind w:left="567"/>
        <w:rPr>
          <w:rFonts w:hint="eastAsia" w:ascii="仿宋" w:hAnsi="仿宋" w:eastAsia="仿宋" w:cs="仿宋"/>
          <w:color w:val="auto"/>
          <w:sz w:val="22"/>
          <w:szCs w:val="22"/>
        </w:rPr>
      </w:pPr>
      <w:r>
        <w:rPr>
          <w:rFonts w:hint="eastAsia" w:ascii="仿宋" w:hAnsi="仿宋" w:eastAsia="仿宋" w:cs="仿宋"/>
          <w:color w:val="auto"/>
          <w:sz w:val="22"/>
          <w:szCs w:val="22"/>
        </w:rPr>
        <w:t>（3）攻防演练</w:t>
      </w:r>
    </w:p>
    <w:p w14:paraId="0F6EF931">
      <w:pPr>
        <w:spacing w:line="440" w:lineRule="atLeast"/>
        <w:ind w:firstLine="420" w:firstLineChars="200"/>
        <w:rPr>
          <w:rFonts w:hint="eastAsia" w:ascii="仿宋" w:hAnsi="仿宋" w:eastAsia="仿宋" w:cs="仿宋"/>
        </w:rPr>
      </w:pPr>
      <w:r>
        <w:rPr>
          <w:rFonts w:hint="eastAsia" w:ascii="仿宋" w:hAnsi="仿宋" w:eastAsia="仿宋" w:cs="仿宋"/>
        </w:rPr>
        <w:t>提供四次进行为期1周的攻防演练服务，提供专业的安全服务人员，配合我局民警进行攻防演练，从安全技术、管理和运营等多个维度着手，发现参演系统安全防御能力的问题和缺陷，帮助参演单位不断完善安全体系的建设，提升对抗新兴威胁的能力。</w:t>
      </w:r>
    </w:p>
    <w:p w14:paraId="4FBF7433">
      <w:pPr>
        <w:spacing w:line="440" w:lineRule="atLeast"/>
        <w:ind w:firstLine="42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szCs w:val="21"/>
        </w:rPr>
        <w:t>为保证服务质量，中标单位或原厂在2023年1月以来获得省级及以上单位举办的攻防演练攻击组一等奖荣誉，提供证明材料。</w:t>
      </w:r>
    </w:p>
    <w:p w14:paraId="63D4D2D1">
      <w:pPr>
        <w:pStyle w:val="7"/>
        <w:tabs>
          <w:tab w:val="left" w:pos="864"/>
        </w:tabs>
        <w:spacing w:line="460" w:lineRule="exact"/>
        <w:ind w:left="567"/>
        <w:rPr>
          <w:rFonts w:hint="eastAsia" w:ascii="仿宋" w:hAnsi="仿宋" w:eastAsia="仿宋" w:cs="仿宋"/>
          <w:color w:val="auto"/>
          <w:sz w:val="22"/>
          <w:szCs w:val="22"/>
        </w:rPr>
      </w:pPr>
      <w:r>
        <w:rPr>
          <w:rFonts w:hint="eastAsia" w:ascii="仿宋" w:hAnsi="仿宋" w:eastAsia="仿宋" w:cs="仿宋"/>
          <w:color w:val="auto"/>
          <w:sz w:val="22"/>
          <w:szCs w:val="22"/>
        </w:rPr>
        <w:t>（4）攻防演练培训</w:t>
      </w:r>
    </w:p>
    <w:p w14:paraId="1EB326A7">
      <w:pPr>
        <w:spacing w:line="440" w:lineRule="atLeast"/>
        <w:ind w:firstLine="420" w:firstLineChars="200"/>
        <w:rPr>
          <w:rFonts w:hint="eastAsia" w:ascii="仿宋" w:hAnsi="仿宋" w:eastAsia="仿宋" w:cs="仿宋"/>
        </w:rPr>
      </w:pPr>
      <w:r>
        <w:rPr>
          <w:rFonts w:hint="eastAsia" w:ascii="仿宋" w:hAnsi="仿宋" w:eastAsia="仿宋" w:cs="仿宋"/>
        </w:rPr>
        <w:t>在每次攻防演戏服务后对本次攻防演习内容和历史攻防演练培训，通过理论讲解、案例分析、视频演示以及上机实操等丰富多样的授课方法，根据实际需求灵活定制课程并通过实战测试选拔出一批精干高效的信息安全网络技能精英。</w:t>
      </w:r>
    </w:p>
    <w:p w14:paraId="48D3B3D0">
      <w:pPr>
        <w:spacing w:line="440" w:lineRule="atLeast"/>
        <w:ind w:firstLine="42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szCs w:val="21"/>
        </w:rPr>
        <w:t>为保证服务质量，中标单位或原厂需提供一名培训专家，具备信息系统项目管理师、ISO27001主任审核员、CISAW（风险管理）、CISAW（安全运维）、CISI（注册信息安全讲师）资质。</w:t>
      </w:r>
    </w:p>
    <w:bookmarkEnd w:id="6"/>
    <w:p w14:paraId="0A61FBAD">
      <w:pPr>
        <w:pStyle w:val="10"/>
        <w:ind w:firstLine="0"/>
        <w:rPr>
          <w:rFonts w:hint="eastAsia" w:ascii="仿宋" w:hAnsi="仿宋" w:eastAsia="仿宋" w:cs="仿宋"/>
          <w:sz w:val="22"/>
          <w:szCs w:val="22"/>
          <w:lang w:val="en-US"/>
        </w:rPr>
      </w:pPr>
    </w:p>
    <w:p w14:paraId="38CE45B8">
      <w:pPr>
        <w:pStyle w:val="5"/>
        <w:ind w:firstLine="321" w:firstLineChars="1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（三）审计服务中心级联</w:t>
      </w:r>
    </w:p>
    <w:tbl>
      <w:tblPr>
        <w:tblStyle w:val="11"/>
        <w:tblW w:w="9459" w:type="dxa"/>
        <w:tblInd w:w="93" w:type="dxa"/>
        <w:tblLayout w:type="fixed"/>
        <w:tblCellMar>
          <w:top w:w="0" w:type="dxa"/>
          <w:left w:w="108" w:type="dxa"/>
          <w:bottom w:w="0" w:type="dxa"/>
          <w:right w:w="108" w:type="dxa"/>
        </w:tblCellMar>
      </w:tblPr>
      <w:tblGrid>
        <w:gridCol w:w="696"/>
        <w:gridCol w:w="1654"/>
        <w:gridCol w:w="3374"/>
        <w:gridCol w:w="3735"/>
      </w:tblGrid>
      <w:tr w14:paraId="0AFF602F">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1BF0">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序号</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8869">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模块</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4FD4">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子模块</w:t>
            </w:r>
          </w:p>
        </w:tc>
        <w:tc>
          <w:tcPr>
            <w:tcW w:w="3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0DFD">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功能描述</w:t>
            </w:r>
          </w:p>
        </w:tc>
      </w:tr>
      <w:tr w14:paraId="4C9F0229">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A1B5">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1</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0049F">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审计服务中心级联</w:t>
            </w: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C9C9">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温州市本级应用系统日志采集</w:t>
            </w:r>
          </w:p>
        </w:tc>
        <w:tc>
          <w:tcPr>
            <w:tcW w:w="3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708662">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完成上下级级联接入，接入124个应用系统，省厅回流85个，其中警务通APP9个，温州本地应用系统39个，市本级29个，鹿城区2个，瓯海区1个，平阳县2个，乐清市3个，温州交警1个、永嘉1个</w:t>
            </w:r>
          </w:p>
        </w:tc>
      </w:tr>
      <w:tr w14:paraId="5E5DD8CA">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39B3">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2</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EDBEC">
            <w:pPr>
              <w:spacing w:line="460" w:lineRule="exact"/>
              <w:jc w:val="center"/>
              <w:rPr>
                <w:rFonts w:hint="eastAsia" w:ascii="仿宋" w:hAnsi="仿宋" w:eastAsia="仿宋" w:cs="仿宋"/>
                <w:sz w:val="22"/>
                <w:szCs w:val="22"/>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7A19">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鹿城区应用系统日志采集</w:t>
            </w: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3D093">
            <w:pPr>
              <w:jc w:val="center"/>
              <w:rPr>
                <w:rFonts w:hint="eastAsia" w:ascii="等线" w:hAnsi="等线" w:eastAsia="等线" w:cs="等线"/>
                <w:sz w:val="18"/>
                <w:szCs w:val="18"/>
              </w:rPr>
            </w:pPr>
          </w:p>
        </w:tc>
      </w:tr>
      <w:tr w14:paraId="00B89F0B">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13ED">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3</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4D7C7">
            <w:pPr>
              <w:spacing w:line="460" w:lineRule="exact"/>
              <w:jc w:val="center"/>
              <w:rPr>
                <w:rFonts w:hint="eastAsia" w:ascii="仿宋" w:hAnsi="仿宋" w:eastAsia="仿宋" w:cs="仿宋"/>
                <w:sz w:val="22"/>
                <w:szCs w:val="22"/>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6EF4">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龙湾区应用系统日志采集</w:t>
            </w: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77BBB">
            <w:pPr>
              <w:jc w:val="center"/>
              <w:rPr>
                <w:rFonts w:hint="eastAsia" w:ascii="等线" w:hAnsi="等线" w:eastAsia="等线" w:cs="等线"/>
                <w:sz w:val="18"/>
                <w:szCs w:val="18"/>
              </w:rPr>
            </w:pPr>
          </w:p>
        </w:tc>
      </w:tr>
      <w:tr w14:paraId="6F568396">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1CF2">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4</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8317B">
            <w:pPr>
              <w:spacing w:line="460" w:lineRule="exact"/>
              <w:jc w:val="center"/>
              <w:rPr>
                <w:rFonts w:hint="eastAsia" w:ascii="仿宋" w:hAnsi="仿宋" w:eastAsia="仿宋" w:cs="仿宋"/>
                <w:sz w:val="22"/>
                <w:szCs w:val="22"/>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F2DE">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瓯海区应用系统日志采集</w:t>
            </w: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79119">
            <w:pPr>
              <w:jc w:val="center"/>
              <w:rPr>
                <w:rFonts w:hint="eastAsia" w:ascii="等线" w:hAnsi="等线" w:eastAsia="等线" w:cs="等线"/>
                <w:sz w:val="18"/>
                <w:szCs w:val="18"/>
              </w:rPr>
            </w:pPr>
          </w:p>
        </w:tc>
      </w:tr>
      <w:tr w14:paraId="79DFE159">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A786">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5</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76F15">
            <w:pPr>
              <w:spacing w:line="460" w:lineRule="exact"/>
              <w:jc w:val="center"/>
              <w:rPr>
                <w:rFonts w:hint="eastAsia" w:ascii="仿宋" w:hAnsi="仿宋" w:eastAsia="仿宋" w:cs="仿宋"/>
                <w:sz w:val="22"/>
                <w:szCs w:val="22"/>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C42F">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洞头区应用系统日志采集</w:t>
            </w: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63CED">
            <w:pPr>
              <w:jc w:val="center"/>
              <w:rPr>
                <w:rFonts w:hint="eastAsia" w:ascii="等线" w:hAnsi="等线" w:eastAsia="等线" w:cs="等线"/>
                <w:sz w:val="18"/>
                <w:szCs w:val="18"/>
              </w:rPr>
            </w:pPr>
          </w:p>
        </w:tc>
      </w:tr>
      <w:tr w14:paraId="3B96F078">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32FA">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6</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E7E7A">
            <w:pPr>
              <w:spacing w:line="460" w:lineRule="exact"/>
              <w:jc w:val="center"/>
              <w:rPr>
                <w:rFonts w:hint="eastAsia" w:ascii="仿宋" w:hAnsi="仿宋" w:eastAsia="仿宋" w:cs="仿宋"/>
                <w:sz w:val="22"/>
                <w:szCs w:val="22"/>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08DA">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永嘉县应用系统日志采集</w:t>
            </w: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61CB5">
            <w:pPr>
              <w:jc w:val="center"/>
              <w:rPr>
                <w:rFonts w:hint="eastAsia" w:ascii="等线" w:hAnsi="等线" w:eastAsia="等线" w:cs="等线"/>
                <w:sz w:val="18"/>
                <w:szCs w:val="18"/>
              </w:rPr>
            </w:pPr>
          </w:p>
        </w:tc>
      </w:tr>
      <w:tr w14:paraId="3B6AD241">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B1BD">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7</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DA2E8">
            <w:pPr>
              <w:spacing w:line="460" w:lineRule="exact"/>
              <w:jc w:val="center"/>
              <w:rPr>
                <w:rFonts w:hint="eastAsia" w:ascii="仿宋" w:hAnsi="仿宋" w:eastAsia="仿宋" w:cs="仿宋"/>
                <w:sz w:val="22"/>
                <w:szCs w:val="22"/>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5E3E">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平阳县应用系统日志采集</w:t>
            </w: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E8688">
            <w:pPr>
              <w:jc w:val="center"/>
              <w:rPr>
                <w:rFonts w:hint="eastAsia" w:ascii="等线" w:hAnsi="等线" w:eastAsia="等线" w:cs="等线"/>
                <w:sz w:val="18"/>
                <w:szCs w:val="18"/>
              </w:rPr>
            </w:pPr>
          </w:p>
        </w:tc>
      </w:tr>
      <w:tr w14:paraId="2F71A815">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9E20">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8</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3995E">
            <w:pPr>
              <w:spacing w:line="460" w:lineRule="exact"/>
              <w:jc w:val="center"/>
              <w:rPr>
                <w:rFonts w:hint="eastAsia" w:ascii="仿宋" w:hAnsi="仿宋" w:eastAsia="仿宋" w:cs="仿宋"/>
                <w:sz w:val="22"/>
                <w:szCs w:val="22"/>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B2A7">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苍南县应用系统日志采集</w:t>
            </w: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2F3F2">
            <w:pPr>
              <w:jc w:val="center"/>
              <w:rPr>
                <w:rFonts w:hint="eastAsia" w:ascii="等线" w:hAnsi="等线" w:eastAsia="等线" w:cs="等线"/>
                <w:sz w:val="18"/>
                <w:szCs w:val="18"/>
              </w:rPr>
            </w:pPr>
          </w:p>
        </w:tc>
      </w:tr>
      <w:tr w14:paraId="55979DDD">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9C8C">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9</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9FE8B">
            <w:pPr>
              <w:spacing w:line="460" w:lineRule="exact"/>
              <w:jc w:val="center"/>
              <w:rPr>
                <w:rFonts w:hint="eastAsia" w:ascii="仿宋" w:hAnsi="仿宋" w:eastAsia="仿宋" w:cs="仿宋"/>
                <w:sz w:val="22"/>
                <w:szCs w:val="22"/>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D61D">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文成县应用系统日志采集</w:t>
            </w: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5BC6E">
            <w:pPr>
              <w:jc w:val="center"/>
              <w:rPr>
                <w:rFonts w:hint="eastAsia" w:ascii="等线" w:hAnsi="等线" w:eastAsia="等线" w:cs="等线"/>
                <w:sz w:val="18"/>
                <w:szCs w:val="18"/>
              </w:rPr>
            </w:pPr>
          </w:p>
        </w:tc>
      </w:tr>
      <w:tr w14:paraId="3B772AC8">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C5EE">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10</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2829B">
            <w:pPr>
              <w:spacing w:line="460" w:lineRule="exact"/>
              <w:jc w:val="center"/>
              <w:rPr>
                <w:rFonts w:hint="eastAsia" w:ascii="仿宋" w:hAnsi="仿宋" w:eastAsia="仿宋" w:cs="仿宋"/>
                <w:sz w:val="22"/>
                <w:szCs w:val="22"/>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39EA">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泰顺县应用系统日志采集</w:t>
            </w: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73CE6">
            <w:pPr>
              <w:jc w:val="center"/>
              <w:rPr>
                <w:rFonts w:hint="eastAsia" w:ascii="等线" w:hAnsi="等线" w:eastAsia="等线" w:cs="等线"/>
                <w:sz w:val="18"/>
                <w:szCs w:val="18"/>
              </w:rPr>
            </w:pPr>
          </w:p>
        </w:tc>
      </w:tr>
      <w:tr w14:paraId="530FBFCC">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4F31">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11</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4129D">
            <w:pPr>
              <w:spacing w:line="460" w:lineRule="exact"/>
              <w:jc w:val="center"/>
              <w:rPr>
                <w:rFonts w:hint="eastAsia" w:ascii="仿宋" w:hAnsi="仿宋" w:eastAsia="仿宋" w:cs="仿宋"/>
                <w:sz w:val="22"/>
                <w:szCs w:val="22"/>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A528">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瑞安市应用系统日志采集</w:t>
            </w: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02751">
            <w:pPr>
              <w:jc w:val="center"/>
              <w:rPr>
                <w:rFonts w:hint="eastAsia" w:ascii="等线" w:hAnsi="等线" w:eastAsia="等线" w:cs="等线"/>
                <w:sz w:val="18"/>
                <w:szCs w:val="18"/>
              </w:rPr>
            </w:pPr>
          </w:p>
        </w:tc>
      </w:tr>
      <w:tr w14:paraId="69F87B03">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2BF0">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12</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5E66E">
            <w:pPr>
              <w:spacing w:line="460" w:lineRule="exact"/>
              <w:jc w:val="center"/>
              <w:rPr>
                <w:rFonts w:hint="eastAsia" w:ascii="仿宋" w:hAnsi="仿宋" w:eastAsia="仿宋" w:cs="仿宋"/>
                <w:sz w:val="22"/>
                <w:szCs w:val="22"/>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1665">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乐清市应用系统日志采集</w:t>
            </w: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BA5FE">
            <w:pPr>
              <w:jc w:val="center"/>
              <w:rPr>
                <w:rFonts w:hint="eastAsia" w:ascii="等线" w:hAnsi="等线" w:eastAsia="等线" w:cs="等线"/>
                <w:sz w:val="18"/>
                <w:szCs w:val="18"/>
              </w:rPr>
            </w:pPr>
          </w:p>
        </w:tc>
      </w:tr>
      <w:tr w14:paraId="19F89A10">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EC2F">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13</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27B38">
            <w:pPr>
              <w:spacing w:line="460" w:lineRule="exact"/>
              <w:jc w:val="center"/>
              <w:rPr>
                <w:rFonts w:hint="eastAsia" w:ascii="仿宋" w:hAnsi="仿宋" w:eastAsia="仿宋" w:cs="仿宋"/>
                <w:sz w:val="22"/>
                <w:szCs w:val="22"/>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1577">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龙港市应用系统日志采集</w:t>
            </w: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D35E5">
            <w:pPr>
              <w:jc w:val="center"/>
              <w:rPr>
                <w:rFonts w:hint="eastAsia" w:ascii="等线" w:hAnsi="等线" w:eastAsia="等线" w:cs="等线"/>
                <w:sz w:val="18"/>
                <w:szCs w:val="18"/>
              </w:rPr>
            </w:pPr>
          </w:p>
        </w:tc>
      </w:tr>
      <w:tr w14:paraId="77972BC6">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8B06">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14</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F6B73">
            <w:pPr>
              <w:spacing w:line="460" w:lineRule="exact"/>
              <w:jc w:val="center"/>
              <w:rPr>
                <w:rFonts w:hint="eastAsia" w:ascii="仿宋" w:hAnsi="仿宋" w:eastAsia="仿宋" w:cs="仿宋"/>
                <w:sz w:val="22"/>
                <w:szCs w:val="22"/>
              </w:rPr>
            </w:pPr>
          </w:p>
        </w:tc>
        <w:tc>
          <w:tcPr>
            <w:tcW w:w="3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262C">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交警应用系统日志采集</w:t>
            </w:r>
          </w:p>
        </w:tc>
        <w:tc>
          <w:tcPr>
            <w:tcW w:w="3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FCC65">
            <w:pPr>
              <w:jc w:val="center"/>
              <w:rPr>
                <w:rFonts w:hint="eastAsia" w:ascii="等线" w:hAnsi="等线" w:eastAsia="等线" w:cs="等线"/>
                <w:sz w:val="18"/>
                <w:szCs w:val="18"/>
              </w:rPr>
            </w:pPr>
          </w:p>
        </w:tc>
      </w:tr>
    </w:tbl>
    <w:p w14:paraId="1054B0D7">
      <w:pPr>
        <w:pStyle w:val="10"/>
        <w:ind w:firstLine="221" w:firstLineChars="100"/>
        <w:rPr>
          <w:rFonts w:hint="eastAsia" w:ascii="仿宋" w:hAnsi="仿宋" w:eastAsia="仿宋" w:cs="仿宋"/>
          <w:b/>
          <w:bCs/>
          <w:sz w:val="22"/>
          <w:szCs w:val="22"/>
          <w:lang w:val="en-US"/>
        </w:rPr>
      </w:pPr>
    </w:p>
    <w:p w14:paraId="754C641C">
      <w:pPr>
        <w:pStyle w:val="5"/>
        <w:ind w:firstLine="321" w:firstLineChars="1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（四）审计服务中心对接</w:t>
      </w:r>
    </w:p>
    <w:tbl>
      <w:tblPr>
        <w:tblStyle w:val="11"/>
        <w:tblW w:w="9489" w:type="dxa"/>
        <w:tblInd w:w="93" w:type="dxa"/>
        <w:tblLayout w:type="fixed"/>
        <w:tblCellMar>
          <w:top w:w="0" w:type="dxa"/>
          <w:left w:w="108" w:type="dxa"/>
          <w:bottom w:w="0" w:type="dxa"/>
          <w:right w:w="108" w:type="dxa"/>
        </w:tblCellMar>
      </w:tblPr>
      <w:tblGrid>
        <w:gridCol w:w="696"/>
        <w:gridCol w:w="1654"/>
        <w:gridCol w:w="3359"/>
        <w:gridCol w:w="3780"/>
      </w:tblGrid>
      <w:tr w14:paraId="449B52A8">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A1D7">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序号</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8DA0">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模块</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5EFD">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子模块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4A11">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功能描述</w:t>
            </w:r>
          </w:p>
        </w:tc>
      </w:tr>
      <w:tr w14:paraId="302A99AE">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4317">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1</w:t>
            </w: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0A284">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审计服务中心对接</w:t>
            </w: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9FC2">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省厅审计平台对接及日志回流采集、接入</w:t>
            </w:r>
          </w:p>
        </w:tc>
        <w:tc>
          <w:tcPr>
            <w:tcW w:w="3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14316">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完成对接上报任务管理，支持新增上报任务，包括上报名称、上报时间、上报周期、上报地址、上报类型、上报方式、状态、操作等内容。</w:t>
            </w:r>
          </w:p>
        </w:tc>
      </w:tr>
      <w:tr w14:paraId="63825371">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3DC4">
            <w:pPr>
              <w:widowControl/>
              <w:jc w:val="center"/>
              <w:textAlignment w:val="center"/>
              <w:rPr>
                <w:rFonts w:hint="eastAsia" w:ascii="等线" w:hAnsi="等线" w:eastAsia="等线" w:cs="等线"/>
                <w:sz w:val="18"/>
                <w:szCs w:val="18"/>
              </w:rPr>
            </w:pPr>
            <w:r>
              <w:rPr>
                <w:rFonts w:hint="eastAsia" w:ascii="仿宋" w:hAnsi="仿宋" w:eastAsia="仿宋" w:cs="仿宋"/>
                <w:sz w:val="22"/>
                <w:szCs w:val="22"/>
              </w:rPr>
              <w:t>2</w:t>
            </w: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E2E1F">
            <w:pPr>
              <w:jc w:val="center"/>
              <w:rPr>
                <w:rFonts w:hint="eastAsia" w:ascii="等线" w:hAnsi="等线" w:eastAsia="等线" w:cs="等线"/>
                <w:sz w:val="18"/>
                <w:szCs w:val="18"/>
              </w:rPr>
            </w:pPr>
          </w:p>
        </w:tc>
        <w:tc>
          <w:tcPr>
            <w:tcW w:w="3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33D1">
            <w:pPr>
              <w:widowControl/>
              <w:jc w:val="center"/>
              <w:textAlignment w:val="center"/>
              <w:rPr>
                <w:rFonts w:hint="eastAsia" w:ascii="等线" w:hAnsi="等线" w:eastAsia="等线" w:cs="等线"/>
                <w:sz w:val="18"/>
                <w:szCs w:val="18"/>
              </w:rPr>
            </w:pPr>
            <w:r>
              <w:rPr>
                <w:rFonts w:hint="eastAsia" w:ascii="仿宋" w:hAnsi="仿宋" w:eastAsia="仿宋" w:cs="仿宋"/>
                <w:sz w:val="22"/>
                <w:szCs w:val="22"/>
              </w:rPr>
              <w:t>温州审计平台日志归集、数据治理及日志上报</w:t>
            </w:r>
          </w:p>
        </w:tc>
        <w:tc>
          <w:tcPr>
            <w:tcW w:w="3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ADD42">
            <w:pPr>
              <w:jc w:val="center"/>
              <w:rPr>
                <w:rFonts w:hint="eastAsia" w:ascii="等线" w:hAnsi="等线" w:eastAsia="等线" w:cs="等线"/>
                <w:sz w:val="18"/>
                <w:szCs w:val="18"/>
              </w:rPr>
            </w:pPr>
          </w:p>
        </w:tc>
      </w:tr>
    </w:tbl>
    <w:p w14:paraId="740BF8F0">
      <w:pPr>
        <w:pStyle w:val="10"/>
        <w:ind w:firstLine="221" w:firstLineChars="100"/>
        <w:rPr>
          <w:rFonts w:hint="eastAsia" w:ascii="仿宋" w:hAnsi="仿宋" w:eastAsia="仿宋" w:cs="仿宋"/>
          <w:b/>
          <w:bCs/>
          <w:sz w:val="22"/>
          <w:szCs w:val="22"/>
          <w:lang w:val="en-US"/>
        </w:rPr>
      </w:pPr>
    </w:p>
    <w:p w14:paraId="52F60356">
      <w:pPr>
        <w:pStyle w:val="5"/>
        <w:ind w:firstLine="321" w:firstLineChars="1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（五）认证服务中心级联</w:t>
      </w:r>
    </w:p>
    <w:tbl>
      <w:tblPr>
        <w:tblStyle w:val="11"/>
        <w:tblW w:w="9504" w:type="dxa"/>
        <w:tblInd w:w="93" w:type="dxa"/>
        <w:tblLayout w:type="fixed"/>
        <w:tblCellMar>
          <w:top w:w="0" w:type="dxa"/>
          <w:left w:w="108" w:type="dxa"/>
          <w:bottom w:w="0" w:type="dxa"/>
          <w:right w:w="108" w:type="dxa"/>
        </w:tblCellMar>
      </w:tblPr>
      <w:tblGrid>
        <w:gridCol w:w="696"/>
        <w:gridCol w:w="1654"/>
        <w:gridCol w:w="1654"/>
        <w:gridCol w:w="5500"/>
      </w:tblGrid>
      <w:tr w14:paraId="5FE16FA4">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4CB2">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序号</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8BDD">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模块</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A492">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子模块</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1746">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功能描述</w:t>
            </w:r>
          </w:p>
        </w:tc>
      </w:tr>
      <w:tr w14:paraId="5BD3B65E">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6C1D">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F250">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认证服务中心级联</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F0E9">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认证服务级联接口</w:t>
            </w:r>
          </w:p>
        </w:tc>
        <w:tc>
          <w:tcPr>
            <w:tcW w:w="5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E4BB">
            <w:pPr>
              <w:spacing w:line="460" w:lineRule="exact"/>
              <w:rPr>
                <w:rFonts w:hint="eastAsia" w:ascii="仿宋" w:hAnsi="仿宋" w:eastAsia="仿宋" w:cs="仿宋"/>
                <w:sz w:val="22"/>
                <w:szCs w:val="22"/>
              </w:rPr>
            </w:pPr>
            <w:r>
              <w:rPr>
                <w:rFonts w:hint="eastAsia" w:ascii="仿宋" w:hAnsi="仿宋" w:eastAsia="仿宋" w:cs="仿宋"/>
                <w:sz w:val="22"/>
                <w:szCs w:val="22"/>
              </w:rPr>
              <w:t>级联内容门户级联、基础要素数据同步、应用互认、服务互认、终端环境感知互认和零信任体系统一认证服务级联等，具体包括以下级联服务接口：</w:t>
            </w:r>
            <w:r>
              <w:rPr>
                <w:rFonts w:hint="eastAsia" w:ascii="仿宋" w:hAnsi="仿宋" w:eastAsia="仿宋" w:cs="仿宋"/>
                <w:sz w:val="22"/>
                <w:szCs w:val="22"/>
              </w:rPr>
              <w:br w:type="textWrapping"/>
            </w:r>
            <w:r>
              <w:rPr>
                <w:rFonts w:hint="eastAsia" w:ascii="仿宋" w:hAnsi="仿宋" w:eastAsia="仿宋" w:cs="仿宋"/>
                <w:sz w:val="22"/>
                <w:szCs w:val="22"/>
              </w:rPr>
              <w:t>(1)应用目录级联</w:t>
            </w:r>
            <w:r>
              <w:rPr>
                <w:rFonts w:hint="eastAsia" w:ascii="仿宋" w:hAnsi="仿宋" w:eastAsia="仿宋" w:cs="仿宋"/>
                <w:sz w:val="22"/>
                <w:szCs w:val="22"/>
              </w:rPr>
              <w:br w:type="textWrapping"/>
            </w:r>
            <w:r>
              <w:rPr>
                <w:rFonts w:hint="eastAsia" w:ascii="仿宋" w:hAnsi="仿宋" w:eastAsia="仿宋" w:cs="仿宋"/>
                <w:sz w:val="22"/>
                <w:szCs w:val="22"/>
              </w:rPr>
              <w:t>(2)系统认证级联</w:t>
            </w:r>
            <w:r>
              <w:rPr>
                <w:rFonts w:hint="eastAsia" w:ascii="仿宋" w:hAnsi="仿宋" w:eastAsia="仿宋" w:cs="仿宋"/>
                <w:sz w:val="22"/>
                <w:szCs w:val="22"/>
              </w:rPr>
              <w:br w:type="textWrapping"/>
            </w:r>
            <w:r>
              <w:rPr>
                <w:rFonts w:hint="eastAsia" w:ascii="仿宋" w:hAnsi="仿宋" w:eastAsia="仿宋" w:cs="仿宋"/>
                <w:sz w:val="22"/>
                <w:szCs w:val="22"/>
              </w:rPr>
              <w:t>(3)用户目录级联</w:t>
            </w:r>
            <w:r>
              <w:rPr>
                <w:rFonts w:hint="eastAsia" w:ascii="仿宋" w:hAnsi="仿宋" w:eastAsia="仿宋" w:cs="仿宋"/>
                <w:sz w:val="22"/>
                <w:szCs w:val="22"/>
              </w:rPr>
              <w:br w:type="textWrapping"/>
            </w:r>
            <w:r>
              <w:rPr>
                <w:rFonts w:hint="eastAsia" w:ascii="仿宋" w:hAnsi="仿宋" w:eastAsia="仿宋" w:cs="仿宋"/>
                <w:sz w:val="22"/>
                <w:szCs w:val="22"/>
              </w:rPr>
              <w:t>(4)机构目录级联</w:t>
            </w:r>
            <w:r>
              <w:rPr>
                <w:rFonts w:hint="eastAsia" w:ascii="仿宋" w:hAnsi="仿宋" w:eastAsia="仿宋" w:cs="仿宋"/>
                <w:sz w:val="22"/>
                <w:szCs w:val="22"/>
              </w:rPr>
              <w:br w:type="textWrapping"/>
            </w:r>
            <w:r>
              <w:rPr>
                <w:rFonts w:hint="eastAsia" w:ascii="仿宋" w:hAnsi="仿宋" w:eastAsia="仿宋" w:cs="仿宋"/>
                <w:sz w:val="22"/>
                <w:szCs w:val="22"/>
              </w:rPr>
              <w:t>(5)服务目录级联</w:t>
            </w:r>
            <w:r>
              <w:rPr>
                <w:rFonts w:hint="eastAsia" w:ascii="仿宋" w:hAnsi="仿宋" w:eastAsia="仿宋" w:cs="仿宋"/>
                <w:sz w:val="22"/>
                <w:szCs w:val="22"/>
              </w:rPr>
              <w:br w:type="textWrapping"/>
            </w:r>
            <w:r>
              <w:rPr>
                <w:rFonts w:hint="eastAsia" w:ascii="仿宋" w:hAnsi="仿宋" w:eastAsia="仿宋" w:cs="仿宋"/>
                <w:sz w:val="22"/>
                <w:szCs w:val="22"/>
              </w:rPr>
              <w:t>(6)数据目录级联</w:t>
            </w:r>
            <w:r>
              <w:rPr>
                <w:rFonts w:hint="eastAsia" w:ascii="仿宋" w:hAnsi="仿宋" w:eastAsia="仿宋" w:cs="仿宋"/>
                <w:sz w:val="22"/>
                <w:szCs w:val="22"/>
              </w:rPr>
              <w:br w:type="textWrapping"/>
            </w:r>
            <w:r>
              <w:rPr>
                <w:rFonts w:hint="eastAsia" w:ascii="仿宋" w:hAnsi="仿宋" w:eastAsia="仿宋" w:cs="仿宋"/>
                <w:sz w:val="22"/>
                <w:szCs w:val="22"/>
              </w:rPr>
              <w:t>(7)权限映射关系目录级联</w:t>
            </w:r>
            <w:r>
              <w:rPr>
                <w:rFonts w:hint="eastAsia" w:ascii="仿宋" w:hAnsi="仿宋" w:eastAsia="仿宋" w:cs="仿宋"/>
                <w:sz w:val="22"/>
                <w:szCs w:val="22"/>
              </w:rPr>
              <w:br w:type="textWrapping"/>
            </w:r>
            <w:r>
              <w:rPr>
                <w:rFonts w:hint="eastAsia" w:ascii="仿宋" w:hAnsi="仿宋" w:eastAsia="仿宋" w:cs="仿宋"/>
                <w:sz w:val="22"/>
                <w:szCs w:val="22"/>
              </w:rPr>
              <w:t>(8)认证服务级联</w:t>
            </w:r>
            <w:r>
              <w:rPr>
                <w:rFonts w:hint="eastAsia" w:ascii="仿宋" w:hAnsi="仿宋" w:eastAsia="仿宋" w:cs="仿宋"/>
                <w:sz w:val="22"/>
                <w:szCs w:val="22"/>
              </w:rPr>
              <w:br w:type="textWrapping"/>
            </w:r>
            <w:r>
              <w:rPr>
                <w:rFonts w:hint="eastAsia" w:ascii="仿宋" w:hAnsi="仿宋" w:eastAsia="仿宋" w:cs="仿宋"/>
                <w:sz w:val="22"/>
                <w:szCs w:val="22"/>
              </w:rPr>
              <w:t>(9)实现省市两级认证服务级联</w:t>
            </w:r>
          </w:p>
        </w:tc>
      </w:tr>
    </w:tbl>
    <w:p w14:paraId="31FF2E9F">
      <w:pPr>
        <w:pStyle w:val="10"/>
        <w:ind w:firstLine="221" w:firstLineChars="100"/>
        <w:rPr>
          <w:rFonts w:hint="eastAsia" w:ascii="仿宋" w:hAnsi="仿宋" w:eastAsia="仿宋" w:cs="仿宋"/>
          <w:b/>
          <w:bCs/>
          <w:sz w:val="22"/>
          <w:szCs w:val="22"/>
          <w:lang w:val="en-US"/>
        </w:rPr>
      </w:pPr>
    </w:p>
    <w:p w14:paraId="579E1E77">
      <w:pPr>
        <w:pStyle w:val="5"/>
        <w:ind w:firstLine="321" w:firstLineChars="100"/>
        <w:rPr>
          <w:rFonts w:hint="eastAsia" w:ascii="仿宋" w:hAnsi="仿宋" w:eastAsia="仿宋" w:cs="仿宋"/>
          <w:b/>
          <w:bCs/>
          <w:color w:val="auto"/>
          <w:sz w:val="32"/>
          <w:szCs w:val="32"/>
        </w:rPr>
      </w:pPr>
      <w:r>
        <w:rPr>
          <w:rFonts w:hint="eastAsia" w:ascii="仿宋" w:hAnsi="仿宋" w:eastAsia="仿宋" w:cs="仿宋"/>
          <w:b/>
          <w:bCs/>
          <w:color w:val="auto"/>
          <w:sz w:val="32"/>
          <w:szCs w:val="32"/>
        </w:rPr>
        <w:t>（六）零信任体系接入验证服务</w:t>
      </w:r>
    </w:p>
    <w:tbl>
      <w:tblPr>
        <w:tblStyle w:val="11"/>
        <w:tblW w:w="9534" w:type="dxa"/>
        <w:tblInd w:w="93" w:type="dxa"/>
        <w:tblLayout w:type="fixed"/>
        <w:tblCellMar>
          <w:top w:w="0" w:type="dxa"/>
          <w:left w:w="108" w:type="dxa"/>
          <w:bottom w:w="0" w:type="dxa"/>
          <w:right w:w="108" w:type="dxa"/>
        </w:tblCellMar>
      </w:tblPr>
      <w:tblGrid>
        <w:gridCol w:w="696"/>
        <w:gridCol w:w="1654"/>
        <w:gridCol w:w="1654"/>
        <w:gridCol w:w="5530"/>
      </w:tblGrid>
      <w:tr w14:paraId="4C7FE0FD">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C06B">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序号</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0F65">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模块</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F6B5">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子模块</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A4E4">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功能描述</w:t>
            </w:r>
          </w:p>
        </w:tc>
      </w:tr>
      <w:tr w14:paraId="7334BE8F">
        <w:tblPrEx>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23F5">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1</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5F9E">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零信任体系接入验证服务</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FBAE">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零信任体系接入验证服务</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8B55">
            <w:pPr>
              <w:spacing w:line="460" w:lineRule="exact"/>
              <w:jc w:val="center"/>
              <w:rPr>
                <w:rFonts w:hint="eastAsia" w:ascii="仿宋" w:hAnsi="仿宋" w:eastAsia="仿宋" w:cs="仿宋"/>
                <w:sz w:val="22"/>
                <w:szCs w:val="22"/>
              </w:rPr>
            </w:pPr>
            <w:r>
              <w:rPr>
                <w:rFonts w:hint="eastAsia" w:ascii="仿宋" w:hAnsi="仿宋" w:eastAsia="仿宋" w:cs="仿宋"/>
                <w:sz w:val="22"/>
                <w:szCs w:val="22"/>
              </w:rPr>
              <w:t>对接其他业务部门开发技术人员，指导开发技术人员针对业务系统进行改造，并提供验证业务系统对接完成接入服务，保障业务系统顺利对接“零信任”体系并接入温州市新一代公安信息网。</w:t>
            </w:r>
          </w:p>
        </w:tc>
      </w:tr>
    </w:tbl>
    <w:p w14:paraId="17FDD833">
      <w:pPr>
        <w:pStyle w:val="10"/>
        <w:ind w:firstLine="221" w:firstLineChars="100"/>
        <w:rPr>
          <w:rFonts w:hint="eastAsia" w:ascii="仿宋" w:hAnsi="仿宋" w:eastAsia="仿宋" w:cs="仿宋"/>
          <w:b/>
          <w:bCs/>
          <w:sz w:val="22"/>
          <w:szCs w:val="22"/>
          <w:lang w:val="en-US"/>
        </w:rPr>
      </w:pPr>
    </w:p>
    <w:p w14:paraId="1ECC603F">
      <w:pPr>
        <w:rPr>
          <w:rFonts w:hint="eastAsia" w:ascii="仿宋" w:hAnsi="仿宋" w:eastAsia="仿宋" w:cs="仿宋"/>
          <w:b/>
          <w:bCs/>
          <w:sz w:val="22"/>
          <w:szCs w:val="22"/>
        </w:rPr>
      </w:pPr>
    </w:p>
    <w:p w14:paraId="09B8F6F9">
      <w:pPr>
        <w:pStyle w:val="5"/>
        <w:ind w:firstLine="321" w:firstLineChars="100"/>
        <w:rPr>
          <w:rFonts w:hint="eastAsia" w:ascii="仿宋" w:hAnsi="仿宋" w:eastAsia="仿宋" w:cs="仿宋"/>
          <w:b/>
          <w:bCs/>
          <w:color w:val="auto"/>
          <w:sz w:val="32"/>
          <w:szCs w:val="32"/>
        </w:rPr>
      </w:pPr>
      <w:r>
        <w:rPr>
          <w:rFonts w:hint="eastAsia" w:ascii="仿宋" w:hAnsi="仿宋" w:eastAsia="仿宋" w:cs="仿宋"/>
          <w:b/>
          <w:bCs/>
          <w:color w:val="auto"/>
          <w:sz w:val="32"/>
          <w:szCs w:val="32"/>
        </w:rPr>
        <w:t>（七）环境感知服务中心级联</w:t>
      </w:r>
    </w:p>
    <w:tbl>
      <w:tblPr>
        <w:tblStyle w:val="11"/>
        <w:tblW w:w="9287" w:type="dxa"/>
        <w:tblInd w:w="0" w:type="dxa"/>
        <w:tblLayout w:type="fixed"/>
        <w:tblCellMar>
          <w:top w:w="0" w:type="dxa"/>
          <w:left w:w="108" w:type="dxa"/>
          <w:bottom w:w="0" w:type="dxa"/>
          <w:right w:w="108" w:type="dxa"/>
        </w:tblCellMar>
      </w:tblPr>
      <w:tblGrid>
        <w:gridCol w:w="1599"/>
        <w:gridCol w:w="7688"/>
      </w:tblGrid>
      <w:tr w14:paraId="2E347079">
        <w:tblPrEx>
          <w:tblCellMar>
            <w:top w:w="0" w:type="dxa"/>
            <w:left w:w="108" w:type="dxa"/>
            <w:bottom w:w="0" w:type="dxa"/>
            <w:right w:w="108" w:type="dxa"/>
          </w:tblCellMar>
        </w:tblPrEx>
        <w:trPr>
          <w:trHeight w:val="40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162D">
            <w:pPr>
              <w:spacing w:line="460" w:lineRule="exact"/>
              <w:jc w:val="center"/>
              <w:rPr>
                <w:rFonts w:hint="eastAsia" w:ascii="仿宋" w:hAnsi="仿宋" w:eastAsia="仿宋" w:cs="仿宋"/>
                <w:sz w:val="22"/>
                <w:szCs w:val="22"/>
              </w:rPr>
            </w:pPr>
            <w:r>
              <w:rPr>
                <w:rFonts w:hint="eastAsia" w:ascii="仿宋" w:hAnsi="仿宋" w:eastAsia="仿宋" w:cs="仿宋"/>
                <w:b/>
                <w:bCs/>
                <w:sz w:val="22"/>
                <w:szCs w:val="22"/>
              </w:rPr>
              <w:t>指标项</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3C34">
            <w:pPr>
              <w:spacing w:line="460" w:lineRule="exact"/>
              <w:jc w:val="center"/>
              <w:rPr>
                <w:rFonts w:hint="eastAsia" w:ascii="仿宋" w:hAnsi="仿宋" w:eastAsia="仿宋" w:cs="仿宋"/>
                <w:sz w:val="22"/>
                <w:szCs w:val="22"/>
              </w:rPr>
            </w:pPr>
            <w:r>
              <w:rPr>
                <w:rFonts w:hint="eastAsia" w:ascii="仿宋" w:hAnsi="仿宋" w:eastAsia="仿宋" w:cs="仿宋"/>
                <w:b/>
                <w:sz w:val="22"/>
                <w:szCs w:val="22"/>
              </w:rPr>
              <w:t>技术规格要求</w:t>
            </w:r>
          </w:p>
        </w:tc>
      </w:tr>
      <w:tr w14:paraId="2FE53E9A">
        <w:tblPrEx>
          <w:tblCellMar>
            <w:top w:w="0" w:type="dxa"/>
            <w:left w:w="108" w:type="dxa"/>
            <w:bottom w:w="0" w:type="dxa"/>
            <w:right w:w="108" w:type="dxa"/>
          </w:tblCellMar>
        </w:tblPrEx>
        <w:trPr>
          <w:trHeight w:val="40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2234">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环境感知分数同步</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AE43">
            <w:pPr>
              <w:widowControl/>
              <w:spacing w:line="460" w:lineRule="exact"/>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对接省厅环境感知，将终端感知分数进行同步省市两级平台，确保业务及终端的正常访问查询。</w:t>
            </w:r>
          </w:p>
        </w:tc>
      </w:tr>
      <w:tr w14:paraId="3875BA61">
        <w:tblPrEx>
          <w:tblCellMar>
            <w:top w:w="0" w:type="dxa"/>
            <w:left w:w="108" w:type="dxa"/>
            <w:bottom w:w="0" w:type="dxa"/>
            <w:right w:w="108" w:type="dxa"/>
          </w:tblCellMar>
        </w:tblPrEx>
        <w:trPr>
          <w:trHeight w:val="40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E514">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终端标识同步</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E35F">
            <w:pPr>
              <w:widowControl/>
              <w:spacing w:line="460" w:lineRule="exact"/>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对接省厅环境感知，将终端感知唯一标识进行同步省市两级平台，确保业务及终端的正常访问查询。</w:t>
            </w:r>
          </w:p>
        </w:tc>
      </w:tr>
      <w:tr w14:paraId="73BB8435">
        <w:tblPrEx>
          <w:tblCellMar>
            <w:top w:w="0" w:type="dxa"/>
            <w:left w:w="108" w:type="dxa"/>
            <w:bottom w:w="0" w:type="dxa"/>
            <w:right w:w="108" w:type="dxa"/>
          </w:tblCellMar>
        </w:tblPrEx>
        <w:trPr>
          <w:trHeight w:val="400" w:hRule="atLeast"/>
        </w:trPr>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9490">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信息查询</w:t>
            </w:r>
          </w:p>
        </w:tc>
        <w:tc>
          <w:tcPr>
            <w:tcW w:w="7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B079">
            <w:pPr>
              <w:widowControl/>
              <w:spacing w:line="460" w:lineRule="exact"/>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对接省厅环境感知，省厅能够接收并处理市级的终端感知情况查询请求。</w:t>
            </w:r>
          </w:p>
        </w:tc>
      </w:tr>
    </w:tbl>
    <w:p w14:paraId="04796E04">
      <w:pPr>
        <w:pStyle w:val="10"/>
        <w:ind w:firstLine="220" w:firstLineChars="100"/>
        <w:rPr>
          <w:rFonts w:hint="eastAsia" w:ascii="仿宋" w:hAnsi="仿宋" w:eastAsia="仿宋" w:cs="仿宋"/>
          <w:sz w:val="22"/>
          <w:szCs w:val="22"/>
          <w:lang w:val="en-US"/>
        </w:rPr>
      </w:pPr>
    </w:p>
    <w:p w14:paraId="4DF4F30D">
      <w:pPr>
        <w:pStyle w:val="5"/>
        <w:ind w:firstLine="321" w:firstLineChars="100"/>
        <w:rPr>
          <w:rFonts w:hint="eastAsia" w:ascii="仿宋" w:hAnsi="仿宋" w:eastAsia="仿宋" w:cs="仿宋"/>
          <w:b/>
          <w:bCs/>
          <w:color w:val="auto"/>
          <w:sz w:val="32"/>
          <w:szCs w:val="32"/>
        </w:rPr>
      </w:pPr>
      <w:r>
        <w:rPr>
          <w:rFonts w:hint="eastAsia" w:ascii="仿宋" w:hAnsi="仿宋" w:eastAsia="仿宋" w:cs="仿宋"/>
          <w:b/>
          <w:bCs/>
          <w:color w:val="auto"/>
          <w:sz w:val="32"/>
          <w:szCs w:val="32"/>
        </w:rPr>
        <w:t>（八）环境感知服务中心对接</w:t>
      </w:r>
    </w:p>
    <w:tbl>
      <w:tblPr>
        <w:tblStyle w:val="11"/>
        <w:tblW w:w="9345" w:type="dxa"/>
        <w:tblInd w:w="0" w:type="dxa"/>
        <w:tblLayout w:type="fixed"/>
        <w:tblCellMar>
          <w:top w:w="0" w:type="dxa"/>
          <w:left w:w="108" w:type="dxa"/>
          <w:bottom w:w="0" w:type="dxa"/>
          <w:right w:w="108" w:type="dxa"/>
        </w:tblCellMar>
      </w:tblPr>
      <w:tblGrid>
        <w:gridCol w:w="1581"/>
        <w:gridCol w:w="7764"/>
      </w:tblGrid>
      <w:tr w14:paraId="01A4BBD8">
        <w:tblPrEx>
          <w:tblCellMar>
            <w:top w:w="0" w:type="dxa"/>
            <w:left w:w="108" w:type="dxa"/>
            <w:bottom w:w="0" w:type="dxa"/>
            <w:right w:w="108" w:type="dxa"/>
          </w:tblCellMar>
        </w:tblPrEx>
        <w:trPr>
          <w:trHeight w:val="40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E339">
            <w:pPr>
              <w:spacing w:line="460" w:lineRule="exact"/>
              <w:jc w:val="center"/>
              <w:rPr>
                <w:rFonts w:hint="eastAsia" w:ascii="仿宋" w:hAnsi="仿宋" w:eastAsia="仿宋" w:cs="仿宋"/>
                <w:sz w:val="22"/>
                <w:szCs w:val="22"/>
              </w:rPr>
            </w:pPr>
            <w:r>
              <w:rPr>
                <w:rFonts w:hint="eastAsia" w:ascii="仿宋" w:hAnsi="仿宋" w:eastAsia="仿宋" w:cs="仿宋"/>
                <w:b/>
                <w:bCs/>
                <w:sz w:val="22"/>
                <w:szCs w:val="22"/>
              </w:rPr>
              <w:t>指标项</w:t>
            </w:r>
          </w:p>
        </w:tc>
        <w:tc>
          <w:tcPr>
            <w:tcW w:w="7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133E">
            <w:pPr>
              <w:spacing w:line="460" w:lineRule="exact"/>
              <w:jc w:val="center"/>
              <w:rPr>
                <w:rFonts w:hint="eastAsia" w:ascii="仿宋" w:hAnsi="仿宋" w:eastAsia="仿宋" w:cs="仿宋"/>
                <w:sz w:val="22"/>
                <w:szCs w:val="22"/>
              </w:rPr>
            </w:pPr>
            <w:r>
              <w:rPr>
                <w:rFonts w:hint="eastAsia" w:ascii="仿宋" w:hAnsi="仿宋" w:eastAsia="仿宋" w:cs="仿宋"/>
                <w:b/>
                <w:sz w:val="22"/>
                <w:szCs w:val="22"/>
              </w:rPr>
              <w:t>技术规格要求</w:t>
            </w:r>
          </w:p>
        </w:tc>
      </w:tr>
      <w:tr w14:paraId="1551DB49">
        <w:tblPrEx>
          <w:tblCellMar>
            <w:top w:w="0" w:type="dxa"/>
            <w:left w:w="108" w:type="dxa"/>
            <w:bottom w:w="0" w:type="dxa"/>
            <w:right w:w="108" w:type="dxa"/>
          </w:tblCellMar>
        </w:tblPrEx>
        <w:trPr>
          <w:trHeight w:val="40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42B9">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对接审计服务中心</w:t>
            </w:r>
          </w:p>
        </w:tc>
        <w:tc>
          <w:tcPr>
            <w:tcW w:w="7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010D">
            <w:pPr>
              <w:widowControl/>
              <w:spacing w:line="460" w:lineRule="exact"/>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向审计服务提供环境感知的各类日志信息。</w:t>
            </w:r>
          </w:p>
        </w:tc>
      </w:tr>
      <w:tr w14:paraId="1580CB6C">
        <w:tblPrEx>
          <w:tblCellMar>
            <w:top w:w="0" w:type="dxa"/>
            <w:left w:w="108" w:type="dxa"/>
            <w:bottom w:w="0" w:type="dxa"/>
            <w:right w:w="108" w:type="dxa"/>
          </w:tblCellMar>
        </w:tblPrEx>
        <w:trPr>
          <w:trHeight w:val="40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8F89">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对接业务安全策略控制中心</w:t>
            </w:r>
          </w:p>
        </w:tc>
        <w:tc>
          <w:tcPr>
            <w:tcW w:w="7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335A">
            <w:pPr>
              <w:widowControl/>
              <w:spacing w:line="460" w:lineRule="exact"/>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环境感知服务感知到环境变更后，会将环境变更通知主动推送给业务安全策略控制服务作为决策依据</w:t>
            </w:r>
          </w:p>
        </w:tc>
      </w:tr>
      <w:tr w14:paraId="1BFBB3C1">
        <w:tblPrEx>
          <w:tblCellMar>
            <w:top w:w="0" w:type="dxa"/>
            <w:left w:w="108" w:type="dxa"/>
            <w:bottom w:w="0" w:type="dxa"/>
            <w:right w:w="108" w:type="dxa"/>
          </w:tblCellMar>
        </w:tblPrEx>
        <w:trPr>
          <w:trHeight w:val="40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AEA8">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对接云桌面</w:t>
            </w:r>
          </w:p>
        </w:tc>
        <w:tc>
          <w:tcPr>
            <w:tcW w:w="7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913F">
            <w:pPr>
              <w:widowControl/>
              <w:spacing w:line="460" w:lineRule="exact"/>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能关联同一个访问中所使用的云桌面和物理终端上的身份标识，具备联动感知能力</w:t>
            </w:r>
          </w:p>
        </w:tc>
      </w:tr>
      <w:tr w14:paraId="57A3FE0D">
        <w:tblPrEx>
          <w:tblCellMar>
            <w:top w:w="0" w:type="dxa"/>
            <w:left w:w="108" w:type="dxa"/>
            <w:bottom w:w="0" w:type="dxa"/>
            <w:right w:w="108" w:type="dxa"/>
          </w:tblCellMar>
        </w:tblPrEx>
        <w:trPr>
          <w:trHeight w:val="40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1EBD">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云桌面基础安全感知</w:t>
            </w:r>
          </w:p>
        </w:tc>
        <w:tc>
          <w:tcPr>
            <w:tcW w:w="7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A8E2">
            <w:pPr>
              <w:widowControl/>
              <w:spacing w:line="460" w:lineRule="exact"/>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感知终端上是否安装了防病毒软件</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感知终端上是否存在病毒</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感知终端上的病毒库是否及时更新</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感知终端上是否存在高危系统漏洞</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感知终端上的漏洞库是否及时更新</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感知当前系统是否加入域</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感知当前登录的用户是否是域帐户</w:t>
            </w:r>
          </w:p>
        </w:tc>
      </w:tr>
      <w:tr w14:paraId="4DA113CC">
        <w:tblPrEx>
          <w:tblCellMar>
            <w:top w:w="0" w:type="dxa"/>
            <w:left w:w="108" w:type="dxa"/>
            <w:bottom w:w="0" w:type="dxa"/>
            <w:right w:w="108" w:type="dxa"/>
          </w:tblCellMar>
        </w:tblPrEx>
        <w:trPr>
          <w:trHeight w:val="40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890D">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云桌面软件环境感知</w:t>
            </w:r>
          </w:p>
        </w:tc>
        <w:tc>
          <w:tcPr>
            <w:tcW w:w="7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25C3">
            <w:pPr>
              <w:widowControl/>
              <w:spacing w:line="460" w:lineRule="exact"/>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支持按黑名单检测</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 xml:space="preserve">支持按白名单检测 </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支持设置红名单</w:t>
            </w:r>
          </w:p>
        </w:tc>
      </w:tr>
      <w:tr w14:paraId="4049AA09">
        <w:tblPrEx>
          <w:tblCellMar>
            <w:top w:w="0" w:type="dxa"/>
            <w:left w:w="108" w:type="dxa"/>
            <w:bottom w:w="0" w:type="dxa"/>
            <w:right w:w="108" w:type="dxa"/>
          </w:tblCellMar>
        </w:tblPrEx>
        <w:trPr>
          <w:trHeight w:val="40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412D">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云桌面服务环境感知</w:t>
            </w:r>
          </w:p>
        </w:tc>
        <w:tc>
          <w:tcPr>
            <w:tcW w:w="7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AB0A">
            <w:pPr>
              <w:widowControl/>
              <w:spacing w:line="460" w:lineRule="exact"/>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支持按黑名单检测</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 xml:space="preserve">支持按白名单检测 </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支持设置红名单</w:t>
            </w:r>
          </w:p>
        </w:tc>
      </w:tr>
      <w:tr w14:paraId="340410F1">
        <w:tblPrEx>
          <w:tblCellMar>
            <w:top w:w="0" w:type="dxa"/>
            <w:left w:w="108" w:type="dxa"/>
            <w:bottom w:w="0" w:type="dxa"/>
            <w:right w:w="108" w:type="dxa"/>
          </w:tblCellMar>
        </w:tblPrEx>
        <w:trPr>
          <w:trHeight w:val="40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6F26">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云桌面高危端口合规</w:t>
            </w:r>
          </w:p>
        </w:tc>
        <w:tc>
          <w:tcPr>
            <w:tcW w:w="7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8165">
            <w:pPr>
              <w:widowControl/>
              <w:spacing w:line="460" w:lineRule="exact"/>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支持按黑名单检测</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支持设置红名单</w:t>
            </w:r>
          </w:p>
        </w:tc>
      </w:tr>
      <w:tr w14:paraId="03D44280">
        <w:tblPrEx>
          <w:tblCellMar>
            <w:top w:w="0" w:type="dxa"/>
            <w:left w:w="108" w:type="dxa"/>
            <w:bottom w:w="0" w:type="dxa"/>
            <w:right w:w="108" w:type="dxa"/>
          </w:tblCellMar>
        </w:tblPrEx>
        <w:trPr>
          <w:trHeight w:val="40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EDDE">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密码维护要求感知</w:t>
            </w:r>
          </w:p>
        </w:tc>
        <w:tc>
          <w:tcPr>
            <w:tcW w:w="7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3E5E">
            <w:pPr>
              <w:widowControl/>
              <w:spacing w:line="460" w:lineRule="exact"/>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密码策略：密码长度最小值</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密码策略：密码最短使用期限</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密码策略：密码最长使用期限</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密码策略：强制密码历史</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密码策略：密码必须符合复杂性要求</w:t>
            </w:r>
            <w:r>
              <w:rPr>
                <w:rFonts w:hint="eastAsia" w:ascii="仿宋" w:hAnsi="仿宋" w:eastAsia="仿宋" w:cs="仿宋"/>
                <w:kern w:val="0"/>
                <w:sz w:val="22"/>
                <w:szCs w:val="22"/>
                <w:lang w:bidi="ar"/>
              </w:rPr>
              <w:br w:type="textWrapping"/>
            </w:r>
            <w:r>
              <w:rPr>
                <w:rFonts w:hint="eastAsia" w:ascii="仿宋" w:hAnsi="仿宋" w:eastAsia="仿宋" w:cs="仿宋"/>
                <w:kern w:val="0"/>
                <w:sz w:val="22"/>
                <w:szCs w:val="22"/>
                <w:lang w:bidi="ar"/>
              </w:rPr>
              <w:t>密码策略：使用可还原的加密来存储密码</w:t>
            </w:r>
          </w:p>
        </w:tc>
      </w:tr>
      <w:tr w14:paraId="1B4403E5">
        <w:tblPrEx>
          <w:tblCellMar>
            <w:top w:w="0" w:type="dxa"/>
            <w:left w:w="108" w:type="dxa"/>
            <w:bottom w:w="0" w:type="dxa"/>
            <w:right w:w="108" w:type="dxa"/>
          </w:tblCellMar>
        </w:tblPrEx>
        <w:trPr>
          <w:trHeight w:val="400" w:hRule="atLeast"/>
        </w:trPr>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7AA6">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windows防火墙控制感知</w:t>
            </w:r>
          </w:p>
        </w:tc>
        <w:tc>
          <w:tcPr>
            <w:tcW w:w="7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351D">
            <w:pPr>
              <w:widowControl/>
              <w:spacing w:line="460" w:lineRule="exact"/>
              <w:jc w:val="lef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感知Windows防火墙是否开启</w:t>
            </w:r>
          </w:p>
        </w:tc>
      </w:tr>
    </w:tbl>
    <w:p w14:paraId="2C0ADB0A">
      <w:pPr>
        <w:pStyle w:val="10"/>
        <w:ind w:firstLine="221" w:firstLineChars="100"/>
        <w:rPr>
          <w:rFonts w:hint="eastAsia" w:ascii="仿宋" w:hAnsi="仿宋" w:eastAsia="仿宋" w:cs="仿宋"/>
          <w:b/>
          <w:bCs/>
          <w:sz w:val="22"/>
          <w:szCs w:val="22"/>
          <w:lang w:val="en-US"/>
        </w:rPr>
      </w:pPr>
    </w:p>
    <w:p w14:paraId="5F2F3A7F">
      <w:pPr>
        <w:pStyle w:val="5"/>
        <w:rPr>
          <w:rFonts w:hint="eastAsia" w:ascii="仿宋" w:hAnsi="仿宋" w:eastAsia="仿宋" w:cs="仿宋"/>
          <w:b/>
          <w:bCs/>
          <w:color w:val="auto"/>
          <w:sz w:val="32"/>
          <w:szCs w:val="32"/>
        </w:rPr>
      </w:pPr>
      <w:r>
        <w:rPr>
          <w:rFonts w:hint="eastAsia" w:ascii="仿宋" w:hAnsi="仿宋" w:eastAsia="仿宋" w:cs="仿宋"/>
          <w:b/>
          <w:bCs/>
          <w:color w:val="auto"/>
          <w:sz w:val="32"/>
          <w:szCs w:val="32"/>
        </w:rPr>
        <w:t>（九）服务器安全加固软件</w:t>
      </w:r>
    </w:p>
    <w:tbl>
      <w:tblPr>
        <w:tblStyle w:val="11"/>
        <w:tblW w:w="9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7687"/>
      </w:tblGrid>
      <w:tr w14:paraId="64D2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660" w:type="dxa"/>
            <w:vAlign w:val="center"/>
          </w:tcPr>
          <w:p w14:paraId="331F5D47">
            <w:pPr>
              <w:spacing w:line="460" w:lineRule="exact"/>
              <w:jc w:val="center"/>
              <w:rPr>
                <w:rFonts w:hint="eastAsia" w:ascii="仿宋" w:hAnsi="仿宋" w:eastAsia="仿宋" w:cs="仿宋"/>
                <w:sz w:val="22"/>
                <w:szCs w:val="22"/>
              </w:rPr>
            </w:pPr>
            <w:r>
              <w:rPr>
                <w:rFonts w:hint="eastAsia" w:ascii="仿宋" w:hAnsi="仿宋" w:eastAsia="仿宋" w:cs="仿宋"/>
                <w:b/>
                <w:bCs/>
                <w:sz w:val="22"/>
                <w:szCs w:val="22"/>
              </w:rPr>
              <w:t>指标项</w:t>
            </w:r>
          </w:p>
        </w:tc>
        <w:tc>
          <w:tcPr>
            <w:tcW w:w="7687" w:type="dxa"/>
            <w:vAlign w:val="center"/>
          </w:tcPr>
          <w:p w14:paraId="0DE724C6">
            <w:pPr>
              <w:spacing w:line="460" w:lineRule="exact"/>
              <w:jc w:val="center"/>
              <w:rPr>
                <w:rFonts w:hint="eastAsia" w:ascii="仿宋" w:hAnsi="仿宋" w:eastAsia="仿宋" w:cs="仿宋"/>
                <w:sz w:val="22"/>
                <w:szCs w:val="22"/>
              </w:rPr>
            </w:pPr>
            <w:r>
              <w:rPr>
                <w:rFonts w:hint="eastAsia" w:ascii="仿宋" w:hAnsi="仿宋" w:eastAsia="仿宋" w:cs="仿宋"/>
                <w:b/>
                <w:sz w:val="22"/>
                <w:szCs w:val="22"/>
              </w:rPr>
              <w:t>技术规格要求</w:t>
            </w:r>
          </w:p>
        </w:tc>
      </w:tr>
      <w:tr w14:paraId="514F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60" w:type="dxa"/>
            <w:vAlign w:val="center"/>
          </w:tcPr>
          <w:p w14:paraId="6CD02670">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产品配置</w:t>
            </w:r>
          </w:p>
        </w:tc>
        <w:tc>
          <w:tcPr>
            <w:tcW w:w="7687" w:type="dxa"/>
            <w:vAlign w:val="center"/>
          </w:tcPr>
          <w:p w14:paraId="32C137EC">
            <w:pPr>
              <w:spacing w:line="460" w:lineRule="exact"/>
              <w:textAlignment w:val="center"/>
              <w:rPr>
                <w:rFonts w:hint="eastAsia" w:ascii="仿宋" w:hAnsi="仿宋" w:eastAsia="仿宋" w:cs="仿宋"/>
                <w:sz w:val="22"/>
                <w:szCs w:val="22"/>
              </w:rPr>
            </w:pPr>
            <w:r>
              <w:rPr>
                <w:rFonts w:hint="eastAsia" w:ascii="仿宋" w:hAnsi="仿宋" w:eastAsia="仿宋" w:cs="仿宋"/>
                <w:kern w:val="0"/>
                <w:sz w:val="22"/>
                <w:szCs w:val="22"/>
                <w:lang w:bidi="ar"/>
              </w:rPr>
              <w:t>为服务器提供安全安全防护，新建≥50个服务器安全防护授权。</w:t>
            </w:r>
          </w:p>
        </w:tc>
      </w:tr>
      <w:tr w14:paraId="7580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660" w:type="dxa"/>
            <w:vAlign w:val="center"/>
          </w:tcPr>
          <w:p w14:paraId="1E1B6445">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主机资产清点</w:t>
            </w:r>
          </w:p>
        </w:tc>
        <w:tc>
          <w:tcPr>
            <w:tcW w:w="7687" w:type="dxa"/>
            <w:vAlign w:val="center"/>
          </w:tcPr>
          <w:p w14:paraId="038D7255">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 xml:space="preserve">可以展示当前服务器、进程、账户、软件应用、Web资产、Web服务、Web框架、数据库、端口、网络连接、启动服务、安装包、计划任务、环境变量、内核模块等分类资产数量统计， </w:t>
            </w:r>
          </w:p>
        </w:tc>
      </w:tr>
      <w:tr w14:paraId="3627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0" w:type="dxa"/>
            <w:vAlign w:val="center"/>
          </w:tcPr>
          <w:p w14:paraId="74137938">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行为管理</w:t>
            </w:r>
          </w:p>
        </w:tc>
        <w:tc>
          <w:tcPr>
            <w:tcW w:w="7687" w:type="dxa"/>
            <w:vAlign w:val="center"/>
          </w:tcPr>
          <w:p w14:paraId="70FA709F">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 xml:space="preserve">所投产品需支持对一台或一组服务器进行白名单学习策略，并可设置学习时长，学习后可形成应用列表及HASH值，对偏离学习列表以外的应用进行告警和拦截。 </w:t>
            </w:r>
          </w:p>
        </w:tc>
      </w:tr>
      <w:tr w14:paraId="14802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660" w:type="dxa"/>
            <w:vAlign w:val="center"/>
          </w:tcPr>
          <w:p w14:paraId="6AD07A10">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风险发现</w:t>
            </w:r>
          </w:p>
        </w:tc>
        <w:tc>
          <w:tcPr>
            <w:tcW w:w="7687" w:type="dxa"/>
            <w:vAlign w:val="center"/>
          </w:tcPr>
          <w:p w14:paraId="7C11DBCF">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对服务器系统级、数据库、中间件、应用级的弱口令、口令复用扫描，并可对扫描的结果进行修复验证，还可对口令风险的扫描任务进行设置，包括任务名称、目标服务器、扫描类型、扫描所用字典、执行周期等方式。</w:t>
            </w:r>
          </w:p>
        </w:tc>
      </w:tr>
      <w:tr w14:paraId="3D9C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660" w:type="dxa"/>
            <w:vAlign w:val="center"/>
          </w:tcPr>
          <w:p w14:paraId="11D7FC9D">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软件漏洞检测</w:t>
            </w:r>
          </w:p>
        </w:tc>
        <w:tc>
          <w:tcPr>
            <w:tcW w:w="7687" w:type="dxa"/>
            <w:vAlign w:val="center"/>
          </w:tcPr>
          <w:p w14:paraId="45DD8AB8">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可对服务器的软件漏洞进行综合扫描，并可对扫描方式、扫描周期进行设置，并以报告的形式展示软件漏洞扫描结果，包括：问题机器TOP5、影响最多漏洞TOP5、漏洞发现趋势等。软件厂商具备漏洞响应平台，平台在线白帽子数量大于8W，已发现漏洞数大于60W，（提供官网截图、软件著作权证书、并包含平台链接）。</w:t>
            </w:r>
          </w:p>
        </w:tc>
      </w:tr>
      <w:tr w14:paraId="0647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0" w:type="dxa"/>
            <w:vAlign w:val="center"/>
          </w:tcPr>
          <w:p w14:paraId="5A7EB4E9">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基线检查</w:t>
            </w:r>
          </w:p>
        </w:tc>
        <w:tc>
          <w:tcPr>
            <w:tcW w:w="7687" w:type="dxa"/>
            <w:vAlign w:val="center"/>
          </w:tcPr>
          <w:p w14:paraId="099A4079">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可支持等级保护2.0的二级、三级检查、测评、整改的业务检查。</w:t>
            </w:r>
          </w:p>
        </w:tc>
      </w:tr>
      <w:tr w14:paraId="0EED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660" w:type="dxa"/>
            <w:vAlign w:val="center"/>
          </w:tcPr>
          <w:p w14:paraId="45836931">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病毒查杀</w:t>
            </w:r>
          </w:p>
        </w:tc>
        <w:tc>
          <w:tcPr>
            <w:tcW w:w="7687" w:type="dxa"/>
            <w:vAlign w:val="center"/>
          </w:tcPr>
          <w:p w14:paraId="11B7FFDE">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 xml:space="preserve">采用主动的方式进行自动化病毒查杀，可支持Bitdefender、ClamAV、Qowl等多引擎技术识别并查杀最新病毒。 </w:t>
            </w:r>
          </w:p>
        </w:tc>
      </w:tr>
      <w:tr w14:paraId="4E60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0" w:type="dxa"/>
            <w:vAlign w:val="center"/>
          </w:tcPr>
          <w:p w14:paraId="3491A482">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威胁总览</w:t>
            </w:r>
          </w:p>
        </w:tc>
        <w:tc>
          <w:tcPr>
            <w:tcW w:w="7687" w:type="dxa"/>
            <w:vAlign w:val="center"/>
          </w:tcPr>
          <w:p w14:paraId="4A1EF2C2">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支持统计并展示服务器的可疑威胁及告警信息，能够同时处理大量威胁事件，具备一种大规模事件处理的方法。</w:t>
            </w:r>
          </w:p>
        </w:tc>
      </w:tr>
      <w:tr w14:paraId="2FE8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60" w:type="dxa"/>
            <w:vAlign w:val="center"/>
          </w:tcPr>
          <w:p w14:paraId="08A53B10">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防恶意扫描</w:t>
            </w:r>
          </w:p>
        </w:tc>
        <w:tc>
          <w:tcPr>
            <w:tcW w:w="7687" w:type="dxa"/>
            <w:vAlign w:val="center"/>
          </w:tcPr>
          <w:p w14:paraId="4AEA35D3">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以攻击者视角、受害者视角展示恶意扫描的事件。</w:t>
            </w:r>
          </w:p>
        </w:tc>
      </w:tr>
      <w:tr w14:paraId="4E23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660" w:type="dxa"/>
            <w:vAlign w:val="center"/>
          </w:tcPr>
          <w:p w14:paraId="1603DB9E">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暴力破解检测</w:t>
            </w:r>
          </w:p>
        </w:tc>
        <w:tc>
          <w:tcPr>
            <w:tcW w:w="7687" w:type="dxa"/>
            <w:vAlign w:val="center"/>
          </w:tcPr>
          <w:p w14:paraId="2C8B9D9E">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对暴力登录系统的账号和IP进行自动发现并上报暴力破解入侵事件。</w:t>
            </w:r>
          </w:p>
        </w:tc>
      </w:tr>
      <w:tr w14:paraId="7660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660" w:type="dxa"/>
            <w:vAlign w:val="center"/>
          </w:tcPr>
          <w:p w14:paraId="2F176E43">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后门检测</w:t>
            </w:r>
          </w:p>
        </w:tc>
        <w:tc>
          <w:tcPr>
            <w:tcW w:w="7687" w:type="dxa"/>
            <w:vAlign w:val="center"/>
          </w:tcPr>
          <w:p w14:paraId="0C7DDB98">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可以对操作系统、文件、软件中存在的后门进行检测。</w:t>
            </w:r>
          </w:p>
        </w:tc>
      </w:tr>
      <w:tr w14:paraId="39E4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660" w:type="dxa"/>
            <w:vAlign w:val="center"/>
          </w:tcPr>
          <w:p w14:paraId="4DC0A473">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Webshell检测</w:t>
            </w:r>
          </w:p>
        </w:tc>
        <w:tc>
          <w:tcPr>
            <w:tcW w:w="7687" w:type="dxa"/>
            <w:vAlign w:val="center"/>
          </w:tcPr>
          <w:p w14:paraId="5AB7E7C5">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自动识别web服务目录，并实时进行webshell后门的扫描</w:t>
            </w:r>
          </w:p>
        </w:tc>
      </w:tr>
      <w:tr w14:paraId="182C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660" w:type="dxa"/>
            <w:vAlign w:val="center"/>
          </w:tcPr>
          <w:p w14:paraId="2D996857">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攻击溯源分析</w:t>
            </w:r>
          </w:p>
        </w:tc>
        <w:tc>
          <w:tcPr>
            <w:tcW w:w="7687" w:type="dxa"/>
            <w:vAlign w:val="center"/>
          </w:tcPr>
          <w:p w14:paraId="4C296C48">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支持记录当前所有服务器产生的事件日志，并提供筛选的功能和自定义时间段筛选查询，用户可通过安全日志快速锁定问题服务器，并进行相应处理。同时支持对安全事件进行溯源分析，对安全事件的等级、攻击类型、ATT&amp;CK ID、ATT攻击阶段进行匹配。</w:t>
            </w:r>
          </w:p>
        </w:tc>
      </w:tr>
      <w:tr w14:paraId="3D3A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660" w:type="dxa"/>
            <w:vAlign w:val="center"/>
          </w:tcPr>
          <w:p w14:paraId="18FD6AE4">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无文件攻击</w:t>
            </w:r>
          </w:p>
        </w:tc>
        <w:tc>
          <w:tcPr>
            <w:tcW w:w="7687" w:type="dxa"/>
            <w:vAlign w:val="center"/>
          </w:tcPr>
          <w:p w14:paraId="4616A9D7">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可通过无文件攻击检测引擎，对多种系统高危应用进行实时监控，实时监控服务器上发生的无文件攻击事件。及时告警，以便用户快速处置。</w:t>
            </w:r>
          </w:p>
        </w:tc>
      </w:tr>
      <w:tr w14:paraId="0F25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660" w:type="dxa"/>
            <w:vMerge w:val="restart"/>
            <w:vAlign w:val="center"/>
          </w:tcPr>
          <w:p w14:paraId="11BE06CD">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应用防护</w:t>
            </w:r>
          </w:p>
        </w:tc>
        <w:tc>
          <w:tcPr>
            <w:tcW w:w="7687" w:type="dxa"/>
            <w:vAlign w:val="center"/>
          </w:tcPr>
          <w:p w14:paraId="38F78BA2">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支持通过插件的方式，工作于IIS、Apache、Nginx等web中间件内部，通过判断流量特征和WAF规则引擎，对访问流量进行监控或防护，阻断SQL注入、XSS、漏洞利用等Web攻击。</w:t>
            </w:r>
          </w:p>
        </w:tc>
      </w:tr>
      <w:tr w14:paraId="5EEB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660" w:type="dxa"/>
            <w:vMerge w:val="continue"/>
            <w:vAlign w:val="center"/>
          </w:tcPr>
          <w:p w14:paraId="4B651F1E">
            <w:pPr>
              <w:spacing w:line="460" w:lineRule="exact"/>
              <w:jc w:val="center"/>
              <w:rPr>
                <w:rFonts w:hint="eastAsia" w:ascii="仿宋" w:hAnsi="仿宋" w:eastAsia="仿宋" w:cs="仿宋"/>
                <w:sz w:val="22"/>
                <w:szCs w:val="22"/>
              </w:rPr>
            </w:pPr>
          </w:p>
        </w:tc>
        <w:tc>
          <w:tcPr>
            <w:tcW w:w="7687" w:type="dxa"/>
            <w:vAlign w:val="center"/>
          </w:tcPr>
          <w:p w14:paraId="3C290B06">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支持提供运行时应用自我保护功能（RASP）；可提供SQL注入防护能力、XSS防护能力且可自定义防护规则。（提供产品截图）</w:t>
            </w:r>
          </w:p>
        </w:tc>
      </w:tr>
      <w:tr w14:paraId="6A8A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660" w:type="dxa"/>
            <w:vAlign w:val="center"/>
          </w:tcPr>
          <w:p w14:paraId="57A9D200">
            <w:pPr>
              <w:widowControl/>
              <w:spacing w:line="460" w:lineRule="exact"/>
              <w:jc w:val="center"/>
              <w:textAlignment w:val="center"/>
              <w:rPr>
                <w:rFonts w:hint="eastAsia" w:ascii="仿宋" w:hAnsi="仿宋" w:eastAsia="仿宋" w:cs="仿宋"/>
                <w:sz w:val="22"/>
                <w:szCs w:val="22"/>
              </w:rPr>
            </w:pPr>
            <w:r>
              <w:rPr>
                <w:rFonts w:hint="eastAsia" w:ascii="仿宋" w:hAnsi="仿宋" w:eastAsia="仿宋" w:cs="仿宋"/>
                <w:kern w:val="0"/>
                <w:sz w:val="22"/>
                <w:szCs w:val="22"/>
                <w:lang w:bidi="ar"/>
              </w:rPr>
              <w:t>系统防护</w:t>
            </w:r>
          </w:p>
        </w:tc>
        <w:tc>
          <w:tcPr>
            <w:tcW w:w="7687" w:type="dxa"/>
            <w:vAlign w:val="center"/>
          </w:tcPr>
          <w:p w14:paraId="0606D148">
            <w:pPr>
              <w:widowControl/>
              <w:spacing w:line="460" w:lineRule="exact"/>
              <w:textAlignment w:val="top"/>
              <w:rPr>
                <w:rFonts w:hint="eastAsia" w:ascii="仿宋" w:hAnsi="仿宋" w:eastAsia="仿宋" w:cs="仿宋"/>
                <w:sz w:val="22"/>
                <w:szCs w:val="22"/>
              </w:rPr>
            </w:pPr>
            <w:r>
              <w:rPr>
                <w:rFonts w:hint="eastAsia" w:ascii="仿宋" w:hAnsi="仿宋" w:eastAsia="仿宋" w:cs="仿宋"/>
                <w:kern w:val="0"/>
                <w:sz w:val="22"/>
                <w:szCs w:val="22"/>
                <w:lang w:bidi="ar"/>
              </w:rPr>
              <w:t>可以提供文件监控与防护功能，且支持防护模式和监控模式进行切换，需支持指定受保护路径以及例外路径的设置；支持对保护路径内的文件提供文件的读取、写入、重命名、链接、删除、执行、创建等权限控制功能，支持对保护路径内提供例外进程功能；（提供产品截图）</w:t>
            </w:r>
          </w:p>
        </w:tc>
      </w:tr>
      <w:tr w14:paraId="2935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660" w:type="dxa"/>
            <w:vAlign w:val="center"/>
          </w:tcPr>
          <w:p w14:paraId="03DD909D">
            <w:pPr>
              <w:widowControl/>
              <w:spacing w:line="460" w:lineRule="exact"/>
              <w:jc w:val="center"/>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网络防护</w:t>
            </w:r>
          </w:p>
        </w:tc>
        <w:tc>
          <w:tcPr>
            <w:tcW w:w="7687" w:type="dxa"/>
          </w:tcPr>
          <w:p w14:paraId="6BFF6126">
            <w:pPr>
              <w:spacing w:line="460" w:lineRule="exact"/>
              <w:rPr>
                <w:rFonts w:hint="eastAsia" w:ascii="仿宋" w:hAnsi="仿宋" w:eastAsia="仿宋" w:cs="仿宋"/>
                <w:sz w:val="22"/>
                <w:szCs w:val="22"/>
              </w:rPr>
            </w:pPr>
            <w:r>
              <w:rPr>
                <w:rFonts w:hint="eastAsia" w:ascii="仿宋" w:hAnsi="仿宋" w:eastAsia="仿宋" w:cs="仿宋"/>
                <w:kern w:val="0"/>
                <w:sz w:val="22"/>
                <w:szCs w:val="22"/>
              </w:rPr>
              <w:t>支持防端口扫描功能，且可设置单个IP请求时间范围、最大扫描端口数量、IP锁定事件等信息；所投产品需支持微蜜罐功能，且可设置返回文本信息以及监听端口。</w:t>
            </w:r>
            <w:r>
              <w:rPr>
                <w:rFonts w:hint="eastAsia" w:ascii="仿宋" w:hAnsi="仿宋" w:eastAsia="仿宋" w:cs="仿宋"/>
                <w:kern w:val="0"/>
                <w:sz w:val="22"/>
                <w:szCs w:val="22"/>
                <w:lang w:bidi="ar"/>
              </w:rPr>
              <w:t>（提供产品截图）</w:t>
            </w:r>
          </w:p>
        </w:tc>
      </w:tr>
      <w:tr w14:paraId="5ABB0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60" w:type="dxa"/>
            <w:vAlign w:val="center"/>
          </w:tcPr>
          <w:p w14:paraId="39244374">
            <w:pPr>
              <w:widowControl/>
              <w:spacing w:line="460" w:lineRule="exact"/>
              <w:jc w:val="center"/>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安全防护</w:t>
            </w:r>
          </w:p>
        </w:tc>
        <w:tc>
          <w:tcPr>
            <w:tcW w:w="7687" w:type="dxa"/>
          </w:tcPr>
          <w:p w14:paraId="368F6308">
            <w:pPr>
              <w:spacing w:line="460" w:lineRule="exact"/>
              <w:rPr>
                <w:rFonts w:hint="eastAsia" w:ascii="仿宋" w:hAnsi="仿宋" w:eastAsia="仿宋" w:cs="仿宋"/>
                <w:sz w:val="22"/>
                <w:szCs w:val="22"/>
              </w:rPr>
            </w:pPr>
            <w:r>
              <w:rPr>
                <w:rFonts w:hint="eastAsia" w:ascii="仿宋" w:hAnsi="仿宋" w:eastAsia="仿宋" w:cs="仿宋"/>
                <w:kern w:val="0"/>
                <w:sz w:val="22"/>
                <w:szCs w:val="22"/>
              </w:rPr>
              <w:t>支持对Agent进行统一管理，包括：Agent降级，Agent暂停，Agent异常重启，Agent安装的版本、可升级的版本占比情况进行统计，并可对Agent版本进行更新和同步，Agent性能保护。</w:t>
            </w:r>
            <w:r>
              <w:rPr>
                <w:rFonts w:hint="eastAsia" w:ascii="仿宋" w:hAnsi="仿宋" w:eastAsia="仿宋" w:cs="仿宋"/>
                <w:kern w:val="0"/>
                <w:sz w:val="22"/>
                <w:szCs w:val="22"/>
                <w:lang w:bidi="ar"/>
              </w:rPr>
              <w:t>（提供产品截图）</w:t>
            </w:r>
          </w:p>
        </w:tc>
      </w:tr>
      <w:tr w14:paraId="6991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60" w:type="dxa"/>
            <w:vMerge w:val="restart"/>
            <w:vAlign w:val="center"/>
          </w:tcPr>
          <w:p w14:paraId="304DDF4D">
            <w:pPr>
              <w:widowControl/>
              <w:spacing w:line="460" w:lineRule="exact"/>
              <w:jc w:val="center"/>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资质要求</w:t>
            </w:r>
          </w:p>
        </w:tc>
        <w:tc>
          <w:tcPr>
            <w:tcW w:w="7687" w:type="dxa"/>
            <w:vAlign w:val="center"/>
          </w:tcPr>
          <w:p w14:paraId="263EA135">
            <w:pPr>
              <w:widowControl/>
              <w:spacing w:line="460" w:lineRule="exact"/>
              <w:jc w:val="left"/>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产品支持IPv6，提供全球IPv6测评中心颁发的IPv6  Ready  Logo 认证证书。</w:t>
            </w:r>
          </w:p>
        </w:tc>
      </w:tr>
      <w:tr w14:paraId="56DE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660" w:type="dxa"/>
            <w:vMerge w:val="continue"/>
            <w:vAlign w:val="center"/>
          </w:tcPr>
          <w:p w14:paraId="1B8F5091">
            <w:pPr>
              <w:widowControl/>
              <w:spacing w:line="460" w:lineRule="exact"/>
              <w:jc w:val="left"/>
              <w:textAlignment w:val="center"/>
              <w:rPr>
                <w:rFonts w:hint="eastAsia" w:ascii="仿宋" w:hAnsi="仿宋" w:eastAsia="仿宋" w:cs="仿宋"/>
                <w:kern w:val="0"/>
                <w:sz w:val="22"/>
                <w:szCs w:val="22"/>
                <w:lang w:bidi="ar"/>
              </w:rPr>
            </w:pPr>
          </w:p>
        </w:tc>
        <w:tc>
          <w:tcPr>
            <w:tcW w:w="7687" w:type="dxa"/>
            <w:vAlign w:val="center"/>
          </w:tcPr>
          <w:p w14:paraId="65D40578">
            <w:pPr>
              <w:widowControl/>
              <w:spacing w:line="460" w:lineRule="exact"/>
              <w:jc w:val="left"/>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eastAsia="zh-Hans" w:bidi="ar"/>
              </w:rPr>
              <w:t>产品具备国家网络与信息系统安全产品质量监督检验中心颁发的信息技术产品安全测试证书。</w:t>
            </w:r>
          </w:p>
        </w:tc>
      </w:tr>
      <w:tr w14:paraId="4C5D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60" w:type="dxa"/>
            <w:vMerge w:val="continue"/>
            <w:vAlign w:val="center"/>
          </w:tcPr>
          <w:p w14:paraId="70D41EC3">
            <w:pPr>
              <w:widowControl/>
              <w:spacing w:line="460" w:lineRule="exact"/>
              <w:jc w:val="left"/>
              <w:textAlignment w:val="center"/>
              <w:rPr>
                <w:rFonts w:hint="eastAsia" w:ascii="仿宋" w:hAnsi="仿宋" w:eastAsia="仿宋" w:cs="仿宋"/>
                <w:kern w:val="0"/>
                <w:sz w:val="22"/>
                <w:szCs w:val="22"/>
                <w:lang w:bidi="ar"/>
              </w:rPr>
            </w:pPr>
          </w:p>
        </w:tc>
        <w:tc>
          <w:tcPr>
            <w:tcW w:w="7687" w:type="dxa"/>
            <w:vAlign w:val="center"/>
          </w:tcPr>
          <w:p w14:paraId="4D823748">
            <w:pPr>
              <w:widowControl/>
              <w:spacing w:line="460" w:lineRule="exact"/>
              <w:jc w:val="left"/>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eastAsia="zh-Hans" w:bidi="ar"/>
              </w:rPr>
              <w:t>产品具备中国网络安全审查技术与认证中心颁发的“IT产品信息安全认证证书”。</w:t>
            </w:r>
          </w:p>
        </w:tc>
      </w:tr>
      <w:tr w14:paraId="7231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60" w:type="dxa"/>
            <w:vMerge w:val="continue"/>
            <w:vAlign w:val="center"/>
          </w:tcPr>
          <w:p w14:paraId="11669F9F">
            <w:pPr>
              <w:widowControl/>
              <w:spacing w:line="460" w:lineRule="exact"/>
              <w:jc w:val="left"/>
              <w:textAlignment w:val="center"/>
              <w:rPr>
                <w:rFonts w:hint="eastAsia" w:ascii="仿宋" w:hAnsi="仿宋" w:eastAsia="仿宋" w:cs="仿宋"/>
                <w:kern w:val="0"/>
                <w:sz w:val="22"/>
                <w:szCs w:val="22"/>
                <w:lang w:bidi="ar"/>
              </w:rPr>
            </w:pPr>
          </w:p>
        </w:tc>
        <w:tc>
          <w:tcPr>
            <w:tcW w:w="7687" w:type="dxa"/>
            <w:vAlign w:val="center"/>
          </w:tcPr>
          <w:p w14:paraId="64D9EB3D">
            <w:pPr>
              <w:widowControl/>
              <w:spacing w:line="460" w:lineRule="exact"/>
              <w:jc w:val="left"/>
              <w:textAlignment w:val="center"/>
              <w:rPr>
                <w:rFonts w:hint="eastAsia" w:ascii="仿宋" w:hAnsi="仿宋" w:eastAsia="仿宋" w:cs="仿宋"/>
                <w:kern w:val="0"/>
                <w:sz w:val="22"/>
                <w:szCs w:val="22"/>
                <w:lang w:bidi="ar"/>
              </w:rPr>
            </w:pPr>
            <w:r>
              <w:rPr>
                <w:rFonts w:hint="eastAsia" w:ascii="仿宋" w:hAnsi="仿宋" w:eastAsia="仿宋" w:cs="仿宋"/>
                <w:kern w:val="0"/>
                <w:sz w:val="22"/>
                <w:szCs w:val="22"/>
                <w:lang w:bidi="ar"/>
              </w:rPr>
              <w:t>投标产品原厂具备</w:t>
            </w:r>
            <w:r>
              <w:rPr>
                <w:rFonts w:hint="eastAsia" w:ascii="仿宋" w:hAnsi="仿宋" w:eastAsia="仿宋" w:cs="仿宋"/>
                <w:kern w:val="0"/>
                <w:sz w:val="22"/>
                <w:szCs w:val="22"/>
                <w:lang w:eastAsia="zh-Hans" w:bidi="ar"/>
              </w:rPr>
              <w:t>中国网络安全审查技术与认证中心颁发的数据安全管理认证证书。</w:t>
            </w:r>
          </w:p>
        </w:tc>
      </w:tr>
    </w:tbl>
    <w:p w14:paraId="08F7FF56">
      <w:pPr>
        <w:pStyle w:val="5"/>
        <w:rPr>
          <w:rFonts w:hint="eastAsia" w:ascii="仿宋" w:hAnsi="仿宋" w:eastAsia="仿宋" w:cs="仿宋"/>
          <w:b/>
          <w:bCs/>
          <w:color w:val="auto"/>
          <w:sz w:val="32"/>
          <w:szCs w:val="32"/>
        </w:rPr>
      </w:pPr>
      <w:r>
        <w:rPr>
          <w:rFonts w:hint="eastAsia" w:ascii="仿宋" w:hAnsi="仿宋" w:eastAsia="仿宋" w:cs="仿宋"/>
          <w:b/>
          <w:bCs/>
          <w:color w:val="auto"/>
          <w:sz w:val="32"/>
          <w:szCs w:val="32"/>
        </w:rPr>
        <w:t>（十）第三方测评</w:t>
      </w:r>
    </w:p>
    <w:p w14:paraId="7E6D1044">
      <w:pPr>
        <w:spacing w:line="460" w:lineRule="exact"/>
        <w:ind w:firstLine="440" w:firstLineChars="200"/>
        <w:rPr>
          <w:rFonts w:hint="eastAsia" w:ascii="仿宋" w:hAnsi="仿宋" w:eastAsia="仿宋" w:cs="仿宋"/>
          <w:kern w:val="0"/>
          <w:sz w:val="22"/>
          <w:szCs w:val="22"/>
        </w:rPr>
      </w:pPr>
      <w:r>
        <w:rPr>
          <w:rFonts w:hint="eastAsia" w:ascii="仿宋" w:hAnsi="仿宋" w:eastAsia="仿宋"/>
          <w:sz w:val="22"/>
          <w:szCs w:val="22"/>
        </w:rPr>
        <w:t>提供对“温州公安大数据安全防护体系（软件）”的检测，</w:t>
      </w:r>
      <w:r>
        <w:rPr>
          <w:rFonts w:ascii="仿宋" w:hAnsi="仿宋" w:eastAsia="仿宋" w:cs="仿宋"/>
          <w:sz w:val="22"/>
          <w:szCs w:val="22"/>
        </w:rPr>
        <w:t>主要对系统的功能性、可靠性以及易用性进行检测</w:t>
      </w:r>
      <w:r>
        <w:rPr>
          <w:rFonts w:hint="eastAsia" w:ascii="仿宋" w:hAnsi="仿宋" w:eastAsia="仿宋" w:cs="仿宋"/>
          <w:sz w:val="22"/>
          <w:szCs w:val="22"/>
        </w:rPr>
        <w:t>。</w:t>
      </w:r>
    </w:p>
    <w:p w14:paraId="2407008F">
      <w:pPr>
        <w:spacing w:line="460" w:lineRule="exact"/>
        <w:ind w:firstLine="440" w:firstLineChars="200"/>
        <w:rPr>
          <w:rFonts w:hint="eastAsia" w:ascii="仿宋" w:hAnsi="仿宋" w:eastAsia="仿宋" w:cs="仿宋"/>
          <w:kern w:val="0"/>
          <w:sz w:val="22"/>
          <w:szCs w:val="22"/>
        </w:rPr>
      </w:pPr>
    </w:p>
    <w:p w14:paraId="5F09CDAB">
      <w:pPr>
        <w:spacing w:line="460" w:lineRule="exact"/>
        <w:ind w:firstLine="440" w:firstLineChars="200"/>
        <w:rPr>
          <w:rFonts w:hint="eastAsia" w:ascii="仿宋" w:hAnsi="仿宋" w:eastAsia="仿宋" w:cs="仿宋"/>
          <w:kern w:val="0"/>
          <w:sz w:val="22"/>
          <w:szCs w:val="22"/>
        </w:rPr>
      </w:pPr>
    </w:p>
    <w:p w14:paraId="6DA73919">
      <w:pPr>
        <w:spacing w:line="460" w:lineRule="exact"/>
        <w:ind w:firstLine="440" w:firstLineChars="200"/>
        <w:rPr>
          <w:rFonts w:hint="eastAsia" w:ascii="仿宋" w:hAnsi="仿宋" w:eastAsia="仿宋" w:cs="仿宋"/>
          <w:kern w:val="0"/>
          <w:sz w:val="22"/>
          <w:szCs w:val="22"/>
        </w:rPr>
      </w:pPr>
    </w:p>
    <w:p w14:paraId="165EB056">
      <w:pPr>
        <w:spacing w:line="460" w:lineRule="exact"/>
        <w:ind w:firstLine="440" w:firstLineChars="200"/>
        <w:rPr>
          <w:rFonts w:hint="eastAsia" w:ascii="仿宋" w:hAnsi="仿宋" w:eastAsia="仿宋" w:cs="仿宋"/>
          <w:kern w:val="0"/>
          <w:sz w:val="22"/>
          <w:szCs w:val="22"/>
        </w:rPr>
      </w:pPr>
    </w:p>
    <w:p w14:paraId="38ED350C">
      <w:pPr>
        <w:spacing w:line="460" w:lineRule="exact"/>
        <w:ind w:firstLine="440" w:firstLineChars="200"/>
        <w:rPr>
          <w:rFonts w:hint="eastAsia" w:ascii="仿宋" w:hAnsi="仿宋" w:eastAsia="仿宋" w:cs="仿宋"/>
          <w:kern w:val="0"/>
          <w:sz w:val="22"/>
          <w:szCs w:val="22"/>
        </w:rPr>
      </w:pPr>
    </w:p>
    <w:p w14:paraId="73DAC234">
      <w:pPr>
        <w:spacing w:line="460" w:lineRule="exact"/>
        <w:ind w:firstLine="440" w:firstLineChars="200"/>
        <w:rPr>
          <w:rFonts w:hint="eastAsia" w:ascii="仿宋" w:hAnsi="仿宋" w:eastAsia="仿宋" w:cs="仿宋"/>
          <w:kern w:val="0"/>
          <w:sz w:val="22"/>
          <w:szCs w:val="22"/>
        </w:rPr>
      </w:pPr>
    </w:p>
    <w:p w14:paraId="67E29ADA">
      <w:pPr>
        <w:spacing w:line="460" w:lineRule="exact"/>
        <w:ind w:firstLine="440" w:firstLineChars="200"/>
        <w:rPr>
          <w:rFonts w:hint="eastAsia" w:ascii="仿宋" w:hAnsi="仿宋" w:eastAsia="仿宋" w:cs="仿宋"/>
          <w:kern w:val="0"/>
          <w:sz w:val="22"/>
          <w:szCs w:val="22"/>
        </w:rPr>
      </w:pPr>
    </w:p>
    <w:p w14:paraId="471C2D7B">
      <w:pPr>
        <w:spacing w:line="460" w:lineRule="exact"/>
        <w:ind w:firstLine="440" w:firstLineChars="200"/>
        <w:rPr>
          <w:rFonts w:hint="eastAsia" w:ascii="仿宋" w:hAnsi="仿宋" w:eastAsia="仿宋" w:cs="仿宋"/>
          <w:kern w:val="0"/>
          <w:sz w:val="22"/>
          <w:szCs w:val="22"/>
        </w:rPr>
      </w:pPr>
    </w:p>
    <w:p w14:paraId="609666A9">
      <w:pPr>
        <w:spacing w:line="460" w:lineRule="exact"/>
        <w:ind w:firstLine="440" w:firstLineChars="200"/>
        <w:rPr>
          <w:rFonts w:hint="eastAsia" w:ascii="仿宋" w:hAnsi="仿宋" w:eastAsia="仿宋" w:cs="仿宋"/>
          <w:kern w:val="0"/>
          <w:sz w:val="22"/>
          <w:szCs w:val="22"/>
        </w:rPr>
      </w:pPr>
    </w:p>
    <w:p w14:paraId="56BB28D0">
      <w:pPr>
        <w:spacing w:line="460" w:lineRule="exact"/>
        <w:ind w:firstLine="440" w:firstLineChars="200"/>
        <w:rPr>
          <w:rFonts w:hint="eastAsia" w:ascii="仿宋" w:hAnsi="仿宋" w:eastAsia="仿宋" w:cs="仿宋"/>
          <w:kern w:val="0"/>
          <w:sz w:val="22"/>
          <w:szCs w:val="22"/>
        </w:rPr>
      </w:pPr>
    </w:p>
    <w:p w14:paraId="4B5B3A35">
      <w:pPr>
        <w:spacing w:line="460" w:lineRule="exact"/>
        <w:ind w:firstLine="440" w:firstLineChars="200"/>
        <w:rPr>
          <w:rFonts w:hint="eastAsia" w:ascii="仿宋" w:hAnsi="仿宋" w:eastAsia="仿宋" w:cs="仿宋"/>
          <w:kern w:val="0"/>
          <w:sz w:val="22"/>
          <w:szCs w:val="22"/>
        </w:rPr>
      </w:pPr>
    </w:p>
    <w:p w14:paraId="0EF6EF0F">
      <w:pPr>
        <w:ind w:firstLine="800" w:firstLineChars="200"/>
        <w:rPr>
          <w:rStyle w:val="15"/>
          <w:rFonts w:hint="eastAsia" w:ascii="仿宋" w:hAnsi="仿宋" w:eastAsia="仿宋" w:cs="仿宋"/>
          <w:color w:val="auto"/>
          <w:sz w:val="40"/>
          <w:szCs w:val="40"/>
        </w:rPr>
      </w:pPr>
      <w:r>
        <w:rPr>
          <w:rStyle w:val="15"/>
          <w:rFonts w:hint="eastAsia" w:ascii="仿宋" w:hAnsi="仿宋" w:eastAsia="仿宋" w:cs="仿宋"/>
          <w:color w:val="auto"/>
          <w:sz w:val="40"/>
          <w:szCs w:val="40"/>
        </w:rPr>
        <w:br w:type="page"/>
      </w:r>
    </w:p>
    <w:p w14:paraId="1B4DDC01">
      <w:pPr>
        <w:pStyle w:val="2"/>
        <w:adjustRightInd/>
        <w:ind w:left="431" w:hanging="431"/>
        <w:jc w:val="center"/>
        <w:rPr>
          <w:rStyle w:val="13"/>
          <w:rFonts w:hint="eastAsia" w:ascii="仿宋" w:eastAsia="仿宋" w:cs="仿宋"/>
          <w:b/>
          <w:bCs/>
          <w:color w:val="auto"/>
        </w:rPr>
      </w:pPr>
      <w:r>
        <w:rPr>
          <w:rStyle w:val="13"/>
          <w:rFonts w:hint="eastAsia" w:ascii="仿宋" w:eastAsia="仿宋" w:cs="仿宋"/>
          <w:b/>
          <w:bCs/>
          <w:color w:val="auto"/>
        </w:rPr>
        <w:t xml:space="preserve">第四部分 </w:t>
      </w:r>
      <w:bookmarkStart w:id="8" w:name="_Toc184312123"/>
      <w:bookmarkEnd w:id="8"/>
      <w:bookmarkStart w:id="9" w:name="_Toc184312073"/>
      <w:bookmarkEnd w:id="9"/>
      <w:bookmarkStart w:id="10" w:name="_Toc184313302"/>
      <w:bookmarkEnd w:id="10"/>
      <w:bookmarkStart w:id="11" w:name="_Toc184313271"/>
      <w:bookmarkEnd w:id="11"/>
      <w:bookmarkStart w:id="12" w:name="_Toc184314463"/>
      <w:bookmarkEnd w:id="12"/>
      <w:bookmarkStart w:id="13" w:name="_Toc184308042"/>
      <w:bookmarkEnd w:id="13"/>
      <w:bookmarkStart w:id="14" w:name="_Toc184310328"/>
      <w:bookmarkEnd w:id="14"/>
      <w:bookmarkStart w:id="15" w:name="_Toc184314417"/>
      <w:bookmarkEnd w:id="15"/>
      <w:bookmarkStart w:id="16" w:name="_Toc184312132"/>
      <w:bookmarkEnd w:id="16"/>
      <w:bookmarkStart w:id="17" w:name="_Toc184313267"/>
      <w:bookmarkEnd w:id="17"/>
      <w:bookmarkStart w:id="18" w:name="_Toc184312121"/>
      <w:bookmarkEnd w:id="18"/>
      <w:bookmarkStart w:id="19" w:name="_Toc184312077"/>
      <w:bookmarkEnd w:id="19"/>
      <w:bookmarkStart w:id="20" w:name="_Toc184310307"/>
      <w:bookmarkEnd w:id="20"/>
      <w:bookmarkStart w:id="21" w:name="_Toc184314465"/>
      <w:bookmarkEnd w:id="21"/>
      <w:bookmarkStart w:id="22" w:name="_Toc184313245"/>
      <w:bookmarkEnd w:id="22"/>
      <w:bookmarkStart w:id="23" w:name="_Toc184312131"/>
      <w:bookmarkEnd w:id="23"/>
      <w:bookmarkStart w:id="24" w:name="_Toc184313266"/>
      <w:bookmarkEnd w:id="24"/>
      <w:bookmarkStart w:id="25" w:name="_Toc184314459"/>
      <w:bookmarkEnd w:id="25"/>
      <w:bookmarkStart w:id="26" w:name="_Toc184308047"/>
      <w:bookmarkEnd w:id="26"/>
      <w:bookmarkStart w:id="27" w:name="_Toc184313242"/>
      <w:bookmarkEnd w:id="27"/>
      <w:bookmarkStart w:id="28" w:name="_Toc184310305"/>
      <w:bookmarkEnd w:id="28"/>
      <w:bookmarkStart w:id="29" w:name="_Toc184314460"/>
      <w:bookmarkEnd w:id="29"/>
      <w:bookmarkStart w:id="30" w:name="_Toc184313284"/>
      <w:bookmarkEnd w:id="30"/>
      <w:bookmarkStart w:id="31" w:name="_Toc184314444"/>
      <w:bookmarkEnd w:id="31"/>
      <w:bookmarkStart w:id="32" w:name="_Toc184312093"/>
      <w:bookmarkEnd w:id="32"/>
      <w:bookmarkStart w:id="33" w:name="_Toc184308076"/>
      <w:bookmarkEnd w:id="33"/>
      <w:bookmarkStart w:id="34" w:name="_Toc184312115"/>
      <w:bookmarkEnd w:id="34"/>
      <w:bookmarkStart w:id="35" w:name="_Toc184312097"/>
      <w:bookmarkEnd w:id="35"/>
      <w:bookmarkStart w:id="36" w:name="_Toc184313274"/>
      <w:bookmarkEnd w:id="36"/>
      <w:bookmarkStart w:id="37" w:name="_Toc184308068"/>
      <w:bookmarkEnd w:id="37"/>
      <w:bookmarkStart w:id="38" w:name="_Toc184308102"/>
      <w:bookmarkEnd w:id="38"/>
      <w:bookmarkStart w:id="39" w:name="_Toc184312068"/>
      <w:bookmarkEnd w:id="39"/>
      <w:bookmarkStart w:id="40" w:name="_Toc184314435"/>
      <w:bookmarkEnd w:id="40"/>
      <w:bookmarkStart w:id="41" w:name="_Toc184308088"/>
      <w:bookmarkEnd w:id="41"/>
      <w:bookmarkStart w:id="42" w:name="_Toc184308044"/>
      <w:bookmarkEnd w:id="42"/>
      <w:bookmarkStart w:id="43" w:name="_Toc184310331"/>
      <w:bookmarkEnd w:id="43"/>
      <w:bookmarkStart w:id="44" w:name="_Toc184312076"/>
      <w:bookmarkEnd w:id="44"/>
      <w:bookmarkStart w:id="45" w:name="_Toc184308084"/>
      <w:bookmarkEnd w:id="45"/>
      <w:bookmarkStart w:id="46" w:name="_Toc184310275"/>
      <w:bookmarkEnd w:id="46"/>
      <w:bookmarkStart w:id="47" w:name="_Toc184313239"/>
      <w:bookmarkEnd w:id="47"/>
      <w:bookmarkStart w:id="48" w:name="_Toc184310285"/>
      <w:bookmarkEnd w:id="48"/>
      <w:bookmarkStart w:id="49" w:name="_Toc184310320"/>
      <w:bookmarkEnd w:id="49"/>
      <w:bookmarkStart w:id="50" w:name="_Toc184313299"/>
      <w:bookmarkEnd w:id="50"/>
      <w:bookmarkStart w:id="51" w:name="_Toc184314415"/>
      <w:bookmarkEnd w:id="51"/>
      <w:bookmarkStart w:id="52" w:name="_Toc184310332"/>
      <w:bookmarkEnd w:id="52"/>
      <w:bookmarkStart w:id="53" w:name="_Toc184313280"/>
      <w:bookmarkEnd w:id="53"/>
      <w:bookmarkStart w:id="54" w:name="_Toc184308090"/>
      <w:bookmarkEnd w:id="54"/>
      <w:bookmarkStart w:id="55" w:name="_Toc184310284"/>
      <w:bookmarkEnd w:id="55"/>
      <w:bookmarkStart w:id="56" w:name="_Toc184312128"/>
      <w:bookmarkEnd w:id="56"/>
      <w:bookmarkStart w:id="57" w:name="_Toc184313276"/>
      <w:bookmarkEnd w:id="57"/>
      <w:bookmarkStart w:id="58" w:name="_Toc184313300"/>
      <w:bookmarkEnd w:id="58"/>
      <w:bookmarkStart w:id="59" w:name="_Toc184308072"/>
      <w:bookmarkEnd w:id="59"/>
      <w:bookmarkStart w:id="60" w:name="_Toc184310311"/>
      <w:bookmarkEnd w:id="60"/>
      <w:bookmarkStart w:id="61" w:name="_Toc184308064"/>
      <w:bookmarkEnd w:id="61"/>
      <w:bookmarkStart w:id="62" w:name="_Toc184314442"/>
      <w:bookmarkEnd w:id="62"/>
      <w:bookmarkStart w:id="63" w:name="_Toc184314457"/>
      <w:bookmarkEnd w:id="63"/>
      <w:bookmarkStart w:id="64" w:name="_Toc184313260"/>
      <w:bookmarkEnd w:id="64"/>
      <w:bookmarkStart w:id="65" w:name="_Toc184313290"/>
      <w:bookmarkEnd w:id="65"/>
      <w:bookmarkStart w:id="66" w:name="_Toc184314472"/>
      <w:bookmarkEnd w:id="66"/>
      <w:bookmarkStart w:id="67" w:name="_Toc184310283"/>
      <w:bookmarkEnd w:id="67"/>
      <w:bookmarkStart w:id="68" w:name="_Toc184308086"/>
      <w:bookmarkEnd w:id="68"/>
      <w:bookmarkStart w:id="69" w:name="_Toc184310280"/>
      <w:bookmarkEnd w:id="69"/>
      <w:bookmarkStart w:id="70" w:name="_Toc184310317"/>
      <w:bookmarkEnd w:id="70"/>
      <w:bookmarkStart w:id="71" w:name="_Toc184313249"/>
      <w:bookmarkEnd w:id="71"/>
      <w:bookmarkStart w:id="72" w:name="_Toc184312124"/>
      <w:bookmarkEnd w:id="72"/>
      <w:bookmarkStart w:id="73" w:name="_Toc184312136"/>
      <w:bookmarkEnd w:id="73"/>
      <w:bookmarkStart w:id="74" w:name="_Toc184312071"/>
      <w:bookmarkEnd w:id="74"/>
      <w:bookmarkStart w:id="75" w:name="_Toc184310325"/>
      <w:bookmarkEnd w:id="75"/>
      <w:bookmarkStart w:id="76" w:name="_Toc184313255"/>
      <w:bookmarkEnd w:id="76"/>
      <w:bookmarkStart w:id="77" w:name="_Toc184310293"/>
      <w:bookmarkEnd w:id="77"/>
      <w:bookmarkStart w:id="78" w:name="_Toc184314476"/>
      <w:bookmarkEnd w:id="78"/>
      <w:bookmarkStart w:id="79" w:name="_Toc184308083"/>
      <w:bookmarkEnd w:id="79"/>
      <w:bookmarkStart w:id="80" w:name="_Toc184312101"/>
      <w:bookmarkEnd w:id="80"/>
      <w:bookmarkStart w:id="81" w:name="_Toc184308078"/>
      <w:bookmarkEnd w:id="81"/>
      <w:bookmarkStart w:id="82" w:name="_Toc184314453"/>
      <w:bookmarkEnd w:id="82"/>
      <w:bookmarkStart w:id="83" w:name="_Toc184308065"/>
      <w:bookmarkEnd w:id="83"/>
      <w:bookmarkStart w:id="84" w:name="_Toc184310313"/>
      <w:bookmarkEnd w:id="84"/>
      <w:bookmarkStart w:id="85" w:name="_Toc184314420"/>
      <w:bookmarkEnd w:id="85"/>
      <w:bookmarkStart w:id="86" w:name="_Toc184310290"/>
      <w:bookmarkEnd w:id="86"/>
      <w:bookmarkStart w:id="87" w:name="_Toc184308101"/>
      <w:bookmarkEnd w:id="87"/>
      <w:bookmarkStart w:id="88" w:name="_Toc184313304"/>
      <w:bookmarkEnd w:id="88"/>
      <w:bookmarkStart w:id="89" w:name="_Toc184313288"/>
      <w:bookmarkEnd w:id="89"/>
      <w:bookmarkStart w:id="90" w:name="_Toc184314426"/>
      <w:bookmarkEnd w:id="90"/>
      <w:bookmarkStart w:id="91" w:name="_Toc184312087"/>
      <w:bookmarkEnd w:id="91"/>
      <w:bookmarkStart w:id="92" w:name="_Toc184313287"/>
      <w:bookmarkEnd w:id="92"/>
      <w:bookmarkStart w:id="93" w:name="_Toc184308096"/>
      <w:bookmarkEnd w:id="93"/>
      <w:bookmarkStart w:id="94" w:name="_Toc184314429"/>
      <w:bookmarkEnd w:id="94"/>
      <w:bookmarkStart w:id="95" w:name="_Toc184313269"/>
      <w:bookmarkEnd w:id="95"/>
      <w:bookmarkStart w:id="96" w:name="_Toc184308073"/>
      <w:bookmarkEnd w:id="96"/>
      <w:bookmarkStart w:id="97" w:name="_Toc184314430"/>
      <w:bookmarkEnd w:id="97"/>
      <w:bookmarkStart w:id="98" w:name="_Toc184312092"/>
      <w:bookmarkEnd w:id="98"/>
      <w:bookmarkStart w:id="99" w:name="_Toc184308067"/>
      <w:bookmarkEnd w:id="99"/>
      <w:bookmarkStart w:id="100" w:name="_Toc184310322"/>
      <w:bookmarkEnd w:id="100"/>
      <w:bookmarkStart w:id="101" w:name="_Toc184310272"/>
      <w:bookmarkEnd w:id="101"/>
      <w:bookmarkStart w:id="102" w:name="_Toc184308040"/>
      <w:bookmarkEnd w:id="102"/>
      <w:bookmarkStart w:id="103" w:name="_Toc184314458"/>
      <w:bookmarkEnd w:id="103"/>
      <w:bookmarkStart w:id="104" w:name="_Toc184312075"/>
      <w:bookmarkEnd w:id="104"/>
      <w:bookmarkStart w:id="105" w:name="_Toc184310277"/>
      <w:bookmarkEnd w:id="105"/>
      <w:bookmarkStart w:id="106" w:name="_Toc184313250"/>
      <w:bookmarkEnd w:id="106"/>
      <w:bookmarkStart w:id="107" w:name="_Toc184314481"/>
      <w:bookmarkEnd w:id="107"/>
      <w:bookmarkStart w:id="108" w:name="_Toc184314451"/>
      <w:bookmarkEnd w:id="108"/>
      <w:bookmarkStart w:id="109" w:name="_Toc184312069"/>
      <w:bookmarkEnd w:id="109"/>
      <w:bookmarkStart w:id="110" w:name="_Toc184313294"/>
      <w:bookmarkEnd w:id="110"/>
      <w:bookmarkStart w:id="111" w:name="_Toc184314439"/>
      <w:bookmarkEnd w:id="111"/>
      <w:bookmarkStart w:id="112" w:name="_Toc184310292"/>
      <w:bookmarkEnd w:id="112"/>
      <w:bookmarkStart w:id="113" w:name="_Toc184310340"/>
      <w:bookmarkEnd w:id="113"/>
      <w:bookmarkStart w:id="114" w:name="_Toc184308085"/>
      <w:bookmarkEnd w:id="114"/>
      <w:bookmarkStart w:id="115" w:name="_Toc184308050"/>
      <w:bookmarkEnd w:id="115"/>
      <w:bookmarkStart w:id="116" w:name="_Toc184313308"/>
      <w:bookmarkEnd w:id="116"/>
      <w:bookmarkStart w:id="117" w:name="_Toc184308054"/>
      <w:bookmarkEnd w:id="117"/>
      <w:bookmarkStart w:id="118" w:name="_Toc184314462"/>
      <w:bookmarkEnd w:id="118"/>
      <w:bookmarkStart w:id="119" w:name="_Toc184312134"/>
      <w:bookmarkEnd w:id="119"/>
      <w:bookmarkStart w:id="120" w:name="_Toc184312111"/>
      <w:bookmarkEnd w:id="120"/>
      <w:bookmarkStart w:id="121" w:name="_Toc184310298"/>
      <w:bookmarkEnd w:id="121"/>
      <w:bookmarkStart w:id="122" w:name="_Toc184313283"/>
      <w:bookmarkEnd w:id="122"/>
      <w:bookmarkStart w:id="123" w:name="_Toc184313264"/>
      <w:bookmarkEnd w:id="123"/>
      <w:bookmarkStart w:id="124" w:name="_Toc184310318"/>
      <w:bookmarkEnd w:id="124"/>
      <w:bookmarkStart w:id="125" w:name="_Toc184310341"/>
      <w:bookmarkEnd w:id="125"/>
      <w:bookmarkStart w:id="126" w:name="_Toc184312119"/>
      <w:bookmarkEnd w:id="126"/>
      <w:bookmarkStart w:id="127" w:name="_Toc184312084"/>
      <w:bookmarkEnd w:id="127"/>
      <w:bookmarkStart w:id="128" w:name="_Toc184308075"/>
      <w:bookmarkEnd w:id="128"/>
      <w:bookmarkStart w:id="129" w:name="_Toc184313243"/>
      <w:bookmarkEnd w:id="129"/>
      <w:bookmarkStart w:id="130" w:name="_Toc184313275"/>
      <w:bookmarkEnd w:id="130"/>
      <w:bookmarkStart w:id="131" w:name="_Toc184310282"/>
      <w:bookmarkEnd w:id="131"/>
      <w:bookmarkStart w:id="132" w:name="_Toc184310295"/>
      <w:bookmarkEnd w:id="132"/>
      <w:bookmarkStart w:id="133" w:name="_Toc184312079"/>
      <w:bookmarkEnd w:id="133"/>
      <w:bookmarkStart w:id="134" w:name="_Toc184314437"/>
      <w:bookmarkEnd w:id="134"/>
      <w:bookmarkStart w:id="135" w:name="_Toc184310289"/>
      <w:bookmarkEnd w:id="135"/>
      <w:bookmarkStart w:id="136" w:name="_Toc184314475"/>
      <w:bookmarkEnd w:id="136"/>
      <w:bookmarkStart w:id="137" w:name="_Toc184308092"/>
      <w:bookmarkEnd w:id="137"/>
      <w:bookmarkStart w:id="138" w:name="_Toc184310276"/>
      <w:bookmarkEnd w:id="138"/>
      <w:bookmarkStart w:id="139" w:name="_Toc184314445"/>
      <w:bookmarkEnd w:id="139"/>
      <w:bookmarkStart w:id="140" w:name="_Toc184310294"/>
      <w:bookmarkEnd w:id="140"/>
      <w:bookmarkStart w:id="141" w:name="_Toc184312072"/>
      <w:bookmarkEnd w:id="141"/>
      <w:bookmarkStart w:id="142" w:name="_Toc184313278"/>
      <w:bookmarkEnd w:id="142"/>
      <w:bookmarkStart w:id="143" w:name="_Toc184310273"/>
      <w:bookmarkEnd w:id="143"/>
      <w:bookmarkStart w:id="144" w:name="_Toc184312085"/>
      <w:bookmarkEnd w:id="144"/>
      <w:bookmarkStart w:id="145" w:name="_Toc184310288"/>
      <w:bookmarkEnd w:id="145"/>
      <w:bookmarkStart w:id="146" w:name="_Toc184310309"/>
      <w:bookmarkEnd w:id="146"/>
      <w:bookmarkStart w:id="147" w:name="_Toc184308079"/>
      <w:bookmarkEnd w:id="147"/>
      <w:bookmarkStart w:id="148" w:name="_Toc184313272"/>
      <w:bookmarkEnd w:id="148"/>
      <w:bookmarkStart w:id="149" w:name="_Toc184308046"/>
      <w:bookmarkEnd w:id="149"/>
      <w:bookmarkStart w:id="150" w:name="_Toc184310274"/>
      <w:bookmarkEnd w:id="150"/>
      <w:bookmarkStart w:id="151" w:name="_Toc184313253"/>
      <w:bookmarkEnd w:id="151"/>
      <w:bookmarkStart w:id="152" w:name="_Toc184313261"/>
      <w:bookmarkEnd w:id="152"/>
      <w:bookmarkStart w:id="153" w:name="_Toc184310321"/>
      <w:bookmarkEnd w:id="153"/>
      <w:bookmarkStart w:id="154" w:name="_Toc184312114"/>
      <w:bookmarkEnd w:id="154"/>
      <w:bookmarkStart w:id="155" w:name="_Toc184314470"/>
      <w:bookmarkEnd w:id="155"/>
      <w:bookmarkStart w:id="156" w:name="_Toc184313252"/>
      <w:bookmarkEnd w:id="156"/>
      <w:bookmarkStart w:id="157" w:name="_Toc184310303"/>
      <w:bookmarkEnd w:id="157"/>
      <w:bookmarkStart w:id="158" w:name="_Toc184312067"/>
      <w:bookmarkEnd w:id="158"/>
      <w:bookmarkStart w:id="159" w:name="_Toc184312138"/>
      <w:bookmarkEnd w:id="159"/>
      <w:bookmarkStart w:id="160" w:name="_Toc184310315"/>
      <w:bookmarkEnd w:id="160"/>
      <w:bookmarkStart w:id="161" w:name="_Toc184308062"/>
      <w:bookmarkEnd w:id="161"/>
      <w:bookmarkStart w:id="162" w:name="_Toc184313310"/>
      <w:bookmarkEnd w:id="162"/>
      <w:bookmarkStart w:id="163" w:name="_Toc184308077"/>
      <w:bookmarkEnd w:id="163"/>
      <w:bookmarkStart w:id="164" w:name="_Toc184312120"/>
      <w:bookmarkEnd w:id="164"/>
      <w:bookmarkStart w:id="165" w:name="_Toc184314443"/>
      <w:bookmarkEnd w:id="165"/>
      <w:bookmarkStart w:id="166" w:name="_Toc184308036"/>
      <w:bookmarkEnd w:id="166"/>
      <w:bookmarkStart w:id="167" w:name="_Toc184313248"/>
      <w:bookmarkEnd w:id="167"/>
      <w:bookmarkStart w:id="168" w:name="_Toc184312080"/>
      <w:bookmarkEnd w:id="168"/>
      <w:bookmarkStart w:id="169" w:name="_Toc184308071"/>
      <w:bookmarkEnd w:id="169"/>
      <w:bookmarkStart w:id="170" w:name="_Toc184310337"/>
      <w:bookmarkEnd w:id="170"/>
      <w:bookmarkStart w:id="171" w:name="_Toc184314424"/>
      <w:bookmarkEnd w:id="171"/>
      <w:bookmarkStart w:id="172" w:name="_Toc184308066"/>
      <w:bookmarkEnd w:id="172"/>
      <w:bookmarkStart w:id="173" w:name="_Toc184310304"/>
      <w:bookmarkEnd w:id="173"/>
      <w:bookmarkStart w:id="174" w:name="_Toc184308105"/>
      <w:bookmarkEnd w:id="174"/>
      <w:bookmarkStart w:id="175" w:name="_Toc184310343"/>
      <w:bookmarkEnd w:id="175"/>
      <w:bookmarkStart w:id="176" w:name="_Toc184313254"/>
      <w:bookmarkEnd w:id="176"/>
      <w:bookmarkStart w:id="177" w:name="_Toc184314447"/>
      <w:bookmarkEnd w:id="177"/>
      <w:bookmarkStart w:id="178" w:name="_Toc184308057"/>
      <w:bookmarkEnd w:id="178"/>
      <w:bookmarkStart w:id="179" w:name="_Toc184313241"/>
      <w:bookmarkEnd w:id="179"/>
      <w:bookmarkStart w:id="180" w:name="_Toc184308056"/>
      <w:bookmarkEnd w:id="180"/>
      <w:bookmarkStart w:id="181" w:name="_Toc184313303"/>
      <w:bookmarkEnd w:id="181"/>
      <w:bookmarkStart w:id="182" w:name="_Toc184313282"/>
      <w:bookmarkEnd w:id="182"/>
      <w:bookmarkStart w:id="183" w:name="_Toc184313265"/>
      <w:bookmarkEnd w:id="183"/>
      <w:bookmarkStart w:id="184" w:name="_Toc184312086"/>
      <w:bookmarkEnd w:id="184"/>
      <w:bookmarkStart w:id="185" w:name="_Toc184313244"/>
      <w:bookmarkEnd w:id="185"/>
      <w:bookmarkStart w:id="186" w:name="_Toc184310302"/>
      <w:bookmarkEnd w:id="186"/>
      <w:bookmarkStart w:id="187" w:name="_Toc184312100"/>
      <w:bookmarkEnd w:id="187"/>
      <w:bookmarkStart w:id="188" w:name="_Toc184314469"/>
      <w:bookmarkEnd w:id="188"/>
      <w:bookmarkStart w:id="189" w:name="_Toc184313247"/>
      <w:bookmarkEnd w:id="189"/>
      <w:bookmarkStart w:id="190" w:name="_Toc184310339"/>
      <w:bookmarkEnd w:id="190"/>
      <w:bookmarkStart w:id="191" w:name="_Toc184313259"/>
      <w:bookmarkEnd w:id="191"/>
      <w:bookmarkStart w:id="192" w:name="_Toc184310279"/>
      <w:bookmarkEnd w:id="192"/>
      <w:bookmarkStart w:id="193" w:name="_Toc184312102"/>
      <w:bookmarkEnd w:id="193"/>
      <w:bookmarkStart w:id="194" w:name="_Toc184312109"/>
      <w:bookmarkEnd w:id="194"/>
      <w:bookmarkStart w:id="195" w:name="_Toc184314413"/>
      <w:bookmarkEnd w:id="195"/>
      <w:bookmarkStart w:id="196" w:name="_Toc184314423"/>
      <w:bookmarkEnd w:id="196"/>
      <w:bookmarkStart w:id="197" w:name="_Toc184314411"/>
      <w:bookmarkEnd w:id="197"/>
      <w:bookmarkStart w:id="198" w:name="_Toc184313268"/>
      <w:bookmarkEnd w:id="198"/>
      <w:bookmarkStart w:id="199" w:name="_Toc184314419"/>
      <w:bookmarkEnd w:id="199"/>
      <w:bookmarkStart w:id="200" w:name="_Toc184310299"/>
      <w:bookmarkEnd w:id="200"/>
      <w:bookmarkStart w:id="201" w:name="_Toc184312091"/>
      <w:bookmarkEnd w:id="201"/>
      <w:bookmarkStart w:id="202" w:name="_Toc184314449"/>
      <w:bookmarkEnd w:id="202"/>
      <w:bookmarkStart w:id="203" w:name="_Toc184314466"/>
      <w:bookmarkEnd w:id="203"/>
      <w:bookmarkStart w:id="204" w:name="_Toc184310297"/>
      <w:bookmarkEnd w:id="204"/>
      <w:bookmarkStart w:id="205" w:name="_Toc184314479"/>
      <w:bookmarkEnd w:id="205"/>
      <w:bookmarkStart w:id="206" w:name="_Toc184308070"/>
      <w:bookmarkEnd w:id="206"/>
      <w:bookmarkStart w:id="207" w:name="_Toc184312135"/>
      <w:bookmarkEnd w:id="207"/>
      <w:bookmarkStart w:id="208" w:name="_Toc184308058"/>
      <w:bookmarkEnd w:id="208"/>
      <w:bookmarkStart w:id="209" w:name="_Toc184308039"/>
      <w:bookmarkEnd w:id="209"/>
      <w:bookmarkStart w:id="210" w:name="_Toc184310324"/>
      <w:bookmarkEnd w:id="210"/>
      <w:bookmarkStart w:id="211" w:name="_Toc184314436"/>
      <w:bookmarkEnd w:id="211"/>
      <w:bookmarkStart w:id="212" w:name="_Toc184312078"/>
      <w:bookmarkEnd w:id="212"/>
      <w:bookmarkStart w:id="213" w:name="_Toc184313306"/>
      <w:bookmarkEnd w:id="213"/>
      <w:bookmarkStart w:id="214" w:name="_Toc184310291"/>
      <w:bookmarkEnd w:id="214"/>
      <w:bookmarkStart w:id="215" w:name="_Toc184314456"/>
      <w:bookmarkEnd w:id="215"/>
      <w:bookmarkStart w:id="216" w:name="_Toc184310300"/>
      <w:bookmarkEnd w:id="216"/>
      <w:bookmarkStart w:id="217" w:name="_Toc184312089"/>
      <w:bookmarkEnd w:id="217"/>
      <w:bookmarkStart w:id="218" w:name="_Toc184308038"/>
      <w:bookmarkEnd w:id="218"/>
      <w:bookmarkStart w:id="219" w:name="_Toc184313273"/>
      <w:bookmarkEnd w:id="219"/>
      <w:bookmarkStart w:id="220" w:name="_Toc184312113"/>
      <w:bookmarkEnd w:id="220"/>
      <w:bookmarkStart w:id="221" w:name="_Toc184313286"/>
      <w:bookmarkEnd w:id="221"/>
      <w:bookmarkStart w:id="222" w:name="_Toc184308104"/>
      <w:bookmarkEnd w:id="222"/>
      <w:bookmarkStart w:id="223" w:name="_Toc184314446"/>
      <w:bookmarkEnd w:id="223"/>
      <w:bookmarkStart w:id="224" w:name="_Toc184310329"/>
      <w:bookmarkEnd w:id="224"/>
      <w:bookmarkStart w:id="225" w:name="_Toc184308091"/>
      <w:bookmarkEnd w:id="225"/>
      <w:bookmarkStart w:id="226" w:name="_Toc184308097"/>
      <w:bookmarkEnd w:id="226"/>
      <w:bookmarkStart w:id="227" w:name="_Toc184308074"/>
      <w:bookmarkEnd w:id="227"/>
      <w:bookmarkStart w:id="228" w:name="_Toc184312103"/>
      <w:bookmarkEnd w:id="228"/>
      <w:bookmarkStart w:id="229" w:name="_Toc184308060"/>
      <w:bookmarkEnd w:id="229"/>
      <w:bookmarkStart w:id="230" w:name="_Toc184308089"/>
      <w:bookmarkEnd w:id="230"/>
      <w:bookmarkStart w:id="231" w:name="_Toc184312104"/>
      <w:bookmarkEnd w:id="231"/>
      <w:bookmarkStart w:id="232" w:name="_Toc184308053"/>
      <w:bookmarkEnd w:id="232"/>
      <w:bookmarkStart w:id="233" w:name="_Toc184308045"/>
      <w:bookmarkEnd w:id="233"/>
      <w:bookmarkStart w:id="234" w:name="_Toc184308082"/>
      <w:bookmarkEnd w:id="234"/>
      <w:bookmarkStart w:id="235" w:name="_Toc184308069"/>
      <w:bookmarkEnd w:id="235"/>
      <w:bookmarkStart w:id="236" w:name="_Toc184312095"/>
      <w:bookmarkEnd w:id="236"/>
      <w:bookmarkStart w:id="237" w:name="_Toc184314438"/>
      <w:bookmarkEnd w:id="237"/>
      <w:bookmarkStart w:id="238" w:name="_Toc184314434"/>
      <w:bookmarkEnd w:id="238"/>
      <w:bookmarkStart w:id="239" w:name="_Toc184312133"/>
      <w:bookmarkEnd w:id="239"/>
      <w:bookmarkStart w:id="240" w:name="_Toc184314480"/>
      <w:bookmarkEnd w:id="240"/>
      <w:bookmarkStart w:id="241" w:name="_Toc184314418"/>
      <w:bookmarkEnd w:id="241"/>
      <w:bookmarkStart w:id="242" w:name="_Toc184310333"/>
      <w:bookmarkEnd w:id="242"/>
      <w:bookmarkStart w:id="243" w:name="_Toc184308094"/>
      <w:bookmarkEnd w:id="243"/>
      <w:bookmarkStart w:id="244" w:name="_Toc184308043"/>
      <w:bookmarkEnd w:id="244"/>
      <w:bookmarkStart w:id="245" w:name="_Toc184310286"/>
      <w:bookmarkEnd w:id="245"/>
      <w:bookmarkStart w:id="246" w:name="_Toc184312127"/>
      <w:bookmarkEnd w:id="246"/>
      <w:bookmarkStart w:id="247" w:name="_Toc184310316"/>
      <w:bookmarkEnd w:id="247"/>
      <w:bookmarkStart w:id="248" w:name="_Toc184312117"/>
      <w:bookmarkEnd w:id="248"/>
      <w:bookmarkStart w:id="249" w:name="_Toc184314455"/>
      <w:bookmarkEnd w:id="249"/>
      <w:bookmarkStart w:id="250" w:name="_Toc184313258"/>
      <w:bookmarkEnd w:id="250"/>
      <w:bookmarkStart w:id="251" w:name="_Toc184314482"/>
      <w:bookmarkEnd w:id="251"/>
      <w:bookmarkStart w:id="252" w:name="_Toc184310296"/>
      <w:bookmarkEnd w:id="252"/>
      <w:bookmarkStart w:id="253" w:name="_Toc184313309"/>
      <w:bookmarkEnd w:id="253"/>
      <w:bookmarkStart w:id="254" w:name="_Toc184312125"/>
      <w:bookmarkEnd w:id="254"/>
      <w:bookmarkStart w:id="255" w:name="_Toc184314422"/>
      <w:bookmarkEnd w:id="255"/>
      <w:bookmarkStart w:id="256" w:name="_Toc184312090"/>
      <w:bookmarkEnd w:id="256"/>
      <w:bookmarkStart w:id="257" w:name="_Toc184308061"/>
      <w:bookmarkEnd w:id="257"/>
      <w:bookmarkStart w:id="258" w:name="_Toc184308081"/>
      <w:bookmarkEnd w:id="258"/>
      <w:bookmarkStart w:id="259" w:name="_Toc184314410"/>
      <w:bookmarkEnd w:id="259"/>
      <w:bookmarkStart w:id="260" w:name="_Toc184313289"/>
      <w:bookmarkEnd w:id="260"/>
      <w:bookmarkStart w:id="261" w:name="_Toc184312112"/>
      <w:bookmarkEnd w:id="261"/>
      <w:bookmarkStart w:id="262" w:name="_Toc184310323"/>
      <w:bookmarkEnd w:id="262"/>
      <w:bookmarkStart w:id="263" w:name="_Toc184314416"/>
      <w:bookmarkEnd w:id="263"/>
      <w:bookmarkStart w:id="264" w:name="_Toc184314440"/>
      <w:bookmarkEnd w:id="264"/>
      <w:bookmarkStart w:id="265" w:name="_Toc184312126"/>
      <w:bookmarkEnd w:id="265"/>
      <w:bookmarkStart w:id="266" w:name="_Toc184314477"/>
      <w:bookmarkEnd w:id="266"/>
      <w:bookmarkStart w:id="267" w:name="_Toc184310278"/>
      <w:bookmarkEnd w:id="267"/>
      <w:bookmarkStart w:id="268" w:name="_Toc184308093"/>
      <w:bookmarkEnd w:id="268"/>
      <w:bookmarkStart w:id="269" w:name="_Toc184308107"/>
      <w:bookmarkEnd w:id="269"/>
      <w:bookmarkStart w:id="270" w:name="_Toc184308037"/>
      <w:bookmarkEnd w:id="270"/>
      <w:bookmarkStart w:id="271" w:name="_Toc184314452"/>
      <w:bookmarkEnd w:id="271"/>
      <w:bookmarkStart w:id="272" w:name="_Toc184312081"/>
      <w:bookmarkEnd w:id="272"/>
      <w:bookmarkStart w:id="273" w:name="_Toc184312098"/>
      <w:bookmarkEnd w:id="273"/>
      <w:bookmarkStart w:id="274" w:name="_Toc184312129"/>
      <w:bookmarkEnd w:id="274"/>
      <w:bookmarkStart w:id="275" w:name="_Toc184313246"/>
      <w:bookmarkEnd w:id="275"/>
      <w:bookmarkStart w:id="276" w:name="_Toc184314414"/>
      <w:bookmarkEnd w:id="276"/>
      <w:bookmarkStart w:id="277" w:name="_Toc184312130"/>
      <w:bookmarkEnd w:id="277"/>
      <w:bookmarkStart w:id="278" w:name="_Toc184310310"/>
      <w:bookmarkEnd w:id="278"/>
      <w:bookmarkStart w:id="279" w:name="_Toc184313262"/>
      <w:bookmarkEnd w:id="279"/>
      <w:bookmarkStart w:id="280" w:name="_Toc184313307"/>
      <w:bookmarkEnd w:id="280"/>
      <w:bookmarkStart w:id="281" w:name="_Toc184308049"/>
      <w:bookmarkEnd w:id="281"/>
      <w:bookmarkStart w:id="282" w:name="_Toc184314441"/>
      <w:bookmarkEnd w:id="282"/>
      <w:bookmarkStart w:id="283" w:name="_Toc184313238"/>
      <w:bookmarkEnd w:id="283"/>
      <w:bookmarkStart w:id="284" w:name="_Toc184308055"/>
      <w:bookmarkEnd w:id="284"/>
      <w:bookmarkStart w:id="285" w:name="_Toc184308051"/>
      <w:bookmarkEnd w:id="285"/>
      <w:bookmarkStart w:id="286" w:name="_Toc184308100"/>
      <w:bookmarkEnd w:id="286"/>
      <w:bookmarkStart w:id="287" w:name="_Toc184313293"/>
      <w:bookmarkEnd w:id="287"/>
      <w:bookmarkStart w:id="288" w:name="_Toc184310319"/>
      <w:bookmarkEnd w:id="288"/>
      <w:bookmarkStart w:id="289" w:name="_Toc184312074"/>
      <w:bookmarkEnd w:id="289"/>
      <w:bookmarkStart w:id="290" w:name="_Toc184312122"/>
      <w:bookmarkEnd w:id="290"/>
      <w:bookmarkStart w:id="291" w:name="_Toc184310314"/>
      <w:bookmarkEnd w:id="291"/>
      <w:bookmarkStart w:id="292" w:name="_Toc184314461"/>
      <w:bookmarkEnd w:id="292"/>
      <w:bookmarkStart w:id="293" w:name="_Toc184314432"/>
      <w:bookmarkEnd w:id="293"/>
      <w:bookmarkStart w:id="294" w:name="_Toc184312107"/>
      <w:bookmarkEnd w:id="294"/>
      <w:bookmarkStart w:id="295" w:name="_Toc184313295"/>
      <w:bookmarkEnd w:id="295"/>
      <w:bookmarkStart w:id="296" w:name="_Toc184314478"/>
      <w:bookmarkEnd w:id="296"/>
      <w:bookmarkStart w:id="297" w:name="_Toc184314428"/>
      <w:bookmarkEnd w:id="297"/>
      <w:bookmarkStart w:id="298" w:name="_Toc184313292"/>
      <w:bookmarkEnd w:id="298"/>
      <w:bookmarkStart w:id="299" w:name="_Toc184312094"/>
      <w:bookmarkEnd w:id="299"/>
      <w:bookmarkStart w:id="300" w:name="_Toc184310344"/>
      <w:bookmarkEnd w:id="300"/>
      <w:bookmarkStart w:id="301" w:name="_Toc184312116"/>
      <w:bookmarkEnd w:id="301"/>
      <w:bookmarkStart w:id="302" w:name="_Toc184310335"/>
      <w:bookmarkEnd w:id="302"/>
      <w:bookmarkStart w:id="303" w:name="_Toc184312105"/>
      <w:bookmarkEnd w:id="303"/>
      <w:bookmarkStart w:id="304" w:name="_Toc184312137"/>
      <w:bookmarkEnd w:id="304"/>
      <w:bookmarkStart w:id="305" w:name="_Toc184310334"/>
      <w:bookmarkEnd w:id="305"/>
      <w:bookmarkStart w:id="306" w:name="_Toc184312083"/>
      <w:bookmarkEnd w:id="306"/>
      <w:bookmarkStart w:id="307" w:name="_Toc184314448"/>
      <w:bookmarkEnd w:id="307"/>
      <w:bookmarkStart w:id="308" w:name="_Toc184308098"/>
      <w:bookmarkEnd w:id="308"/>
      <w:bookmarkStart w:id="309" w:name="_Toc184310306"/>
      <w:bookmarkEnd w:id="309"/>
      <w:bookmarkStart w:id="310" w:name="_Toc184310342"/>
      <w:bookmarkEnd w:id="310"/>
      <w:bookmarkStart w:id="311" w:name="_Toc184312082"/>
      <w:bookmarkEnd w:id="311"/>
      <w:bookmarkStart w:id="312" w:name="_Toc184310281"/>
      <w:bookmarkEnd w:id="312"/>
      <w:bookmarkStart w:id="313" w:name="_Toc184313301"/>
      <w:bookmarkEnd w:id="313"/>
      <w:bookmarkStart w:id="314" w:name="_Toc184308095"/>
      <w:bookmarkEnd w:id="314"/>
      <w:bookmarkStart w:id="315" w:name="_Toc184313297"/>
      <w:bookmarkEnd w:id="315"/>
      <w:bookmarkStart w:id="316" w:name="_Toc184313257"/>
      <w:bookmarkEnd w:id="316"/>
      <w:bookmarkStart w:id="317" w:name="_Toc184313281"/>
      <w:bookmarkEnd w:id="317"/>
      <w:bookmarkStart w:id="318" w:name="_Toc184308099"/>
      <w:bookmarkEnd w:id="318"/>
      <w:bookmarkStart w:id="319" w:name="_Toc184313291"/>
      <w:bookmarkEnd w:id="319"/>
      <w:bookmarkStart w:id="320" w:name="_Toc184312110"/>
      <w:bookmarkEnd w:id="320"/>
      <w:bookmarkStart w:id="321" w:name="_Toc184313270"/>
      <w:bookmarkEnd w:id="321"/>
      <w:bookmarkStart w:id="322" w:name="_Toc184314454"/>
      <w:bookmarkEnd w:id="322"/>
      <w:bookmarkStart w:id="323" w:name="_Toc184314450"/>
      <w:bookmarkEnd w:id="323"/>
      <w:bookmarkStart w:id="324" w:name="_Toc184310301"/>
      <w:bookmarkEnd w:id="324"/>
      <w:bookmarkStart w:id="325" w:name="_Toc184314464"/>
      <w:bookmarkEnd w:id="325"/>
      <w:bookmarkStart w:id="326" w:name="_Toc184312088"/>
      <w:bookmarkEnd w:id="326"/>
      <w:bookmarkStart w:id="327" w:name="_Toc184313256"/>
      <w:bookmarkEnd w:id="327"/>
      <w:bookmarkStart w:id="328" w:name="_Toc184312118"/>
      <w:bookmarkEnd w:id="328"/>
      <w:bookmarkStart w:id="329" w:name="_Toc184313296"/>
      <w:bookmarkEnd w:id="329"/>
      <w:bookmarkStart w:id="330" w:name="_Toc184313285"/>
      <w:bookmarkEnd w:id="330"/>
      <w:bookmarkStart w:id="331" w:name="_Toc184313263"/>
      <w:bookmarkEnd w:id="331"/>
      <w:bookmarkStart w:id="332" w:name="_Toc184312099"/>
      <w:bookmarkEnd w:id="332"/>
      <w:bookmarkStart w:id="333" w:name="_Toc184314433"/>
      <w:bookmarkEnd w:id="333"/>
      <w:bookmarkStart w:id="334" w:name="_Toc184312106"/>
      <w:bookmarkEnd w:id="334"/>
      <w:bookmarkStart w:id="335" w:name="_Toc184314431"/>
      <w:bookmarkEnd w:id="335"/>
      <w:bookmarkStart w:id="336" w:name="_Toc184314421"/>
      <w:bookmarkEnd w:id="336"/>
      <w:bookmarkStart w:id="337" w:name="_Toc184310287"/>
      <w:bookmarkEnd w:id="337"/>
      <w:bookmarkStart w:id="338" w:name="_Toc184313277"/>
      <w:bookmarkEnd w:id="338"/>
      <w:bookmarkStart w:id="339" w:name="_Toc184314467"/>
      <w:bookmarkEnd w:id="339"/>
      <w:bookmarkStart w:id="340" w:name="_Toc184314412"/>
      <w:bookmarkEnd w:id="340"/>
      <w:bookmarkStart w:id="341" w:name="_Toc184314468"/>
      <w:bookmarkEnd w:id="341"/>
      <w:bookmarkStart w:id="342" w:name="_Toc184310336"/>
      <w:bookmarkEnd w:id="342"/>
      <w:bookmarkStart w:id="343" w:name="_Toc184310327"/>
      <w:bookmarkEnd w:id="343"/>
      <w:bookmarkStart w:id="344" w:name="_Toc184308087"/>
      <w:bookmarkEnd w:id="344"/>
      <w:bookmarkStart w:id="345" w:name="_Toc184312096"/>
      <w:bookmarkEnd w:id="345"/>
      <w:bookmarkStart w:id="346" w:name="_Toc184313251"/>
      <w:bookmarkEnd w:id="346"/>
      <w:bookmarkStart w:id="347" w:name="_Toc184310312"/>
      <w:bookmarkEnd w:id="347"/>
      <w:bookmarkStart w:id="348" w:name="_Toc184313240"/>
      <w:bookmarkEnd w:id="348"/>
      <w:bookmarkStart w:id="349" w:name="_Toc184312108"/>
      <w:bookmarkEnd w:id="349"/>
      <w:bookmarkStart w:id="350" w:name="_Toc184308106"/>
      <w:bookmarkEnd w:id="350"/>
      <w:bookmarkStart w:id="351" w:name="_Toc184308108"/>
      <w:bookmarkEnd w:id="351"/>
      <w:bookmarkStart w:id="352" w:name="_Toc184308052"/>
      <w:bookmarkEnd w:id="352"/>
      <w:bookmarkStart w:id="353" w:name="_Toc184308059"/>
      <w:bookmarkEnd w:id="353"/>
      <w:bookmarkStart w:id="354" w:name="_Toc184310326"/>
      <w:bookmarkEnd w:id="354"/>
      <w:bookmarkStart w:id="355" w:name="_Toc184314471"/>
      <w:bookmarkEnd w:id="355"/>
      <w:bookmarkStart w:id="356" w:name="_Toc184308080"/>
      <w:bookmarkEnd w:id="356"/>
      <w:bookmarkStart w:id="357" w:name="_Toc184312070"/>
      <w:bookmarkEnd w:id="357"/>
      <w:bookmarkStart w:id="358" w:name="_Toc184308041"/>
      <w:bookmarkEnd w:id="358"/>
      <w:bookmarkStart w:id="359" w:name="_Toc184313305"/>
      <w:bookmarkEnd w:id="359"/>
      <w:bookmarkStart w:id="360" w:name="_Toc184313298"/>
      <w:bookmarkEnd w:id="360"/>
      <w:bookmarkStart w:id="361" w:name="_Toc184308048"/>
      <w:bookmarkEnd w:id="361"/>
      <w:bookmarkStart w:id="362" w:name="_Toc184310330"/>
      <w:bookmarkEnd w:id="362"/>
      <w:bookmarkStart w:id="363" w:name="_Toc184313279"/>
      <w:bookmarkEnd w:id="363"/>
      <w:bookmarkStart w:id="364" w:name="_Toc184308103"/>
      <w:bookmarkEnd w:id="364"/>
      <w:bookmarkStart w:id="365" w:name="_Toc184312139"/>
      <w:bookmarkEnd w:id="365"/>
      <w:bookmarkStart w:id="366" w:name="_Toc184310338"/>
      <w:bookmarkEnd w:id="366"/>
      <w:bookmarkStart w:id="367" w:name="_Toc184314425"/>
      <w:bookmarkEnd w:id="367"/>
      <w:bookmarkStart w:id="368" w:name="_Toc184308063"/>
      <w:bookmarkEnd w:id="368"/>
      <w:bookmarkStart w:id="369" w:name="_Toc184314427"/>
      <w:bookmarkEnd w:id="369"/>
      <w:bookmarkStart w:id="370" w:name="_Toc184314474"/>
      <w:bookmarkEnd w:id="370"/>
      <w:bookmarkStart w:id="371" w:name="_Toc184314473"/>
      <w:bookmarkEnd w:id="371"/>
      <w:bookmarkStart w:id="372" w:name="_Toc184310308"/>
      <w:bookmarkEnd w:id="372"/>
      <w:r>
        <w:rPr>
          <w:rStyle w:val="13"/>
          <w:rFonts w:hint="eastAsia" w:ascii="仿宋" w:eastAsia="仿宋" w:cs="仿宋"/>
          <w:b/>
          <w:bCs/>
          <w:color w:val="auto"/>
        </w:rPr>
        <w:t>评审办法</w:t>
      </w:r>
      <w:bookmarkEnd w:id="3"/>
      <w:bookmarkEnd w:id="4"/>
      <w:bookmarkEnd w:id="5"/>
    </w:p>
    <w:p w14:paraId="4FF6BCC7">
      <w:pPr>
        <w:snapToGrid w:val="0"/>
        <w:spacing w:line="360" w:lineRule="auto"/>
        <w:jc w:val="center"/>
        <w:outlineLvl w:val="1"/>
        <w:rPr>
          <w:rStyle w:val="13"/>
          <w:rFonts w:hint="eastAsia" w:ascii="仿宋" w:eastAsia="仿宋" w:cs="仿宋"/>
          <w:color w:val="auto"/>
        </w:rPr>
      </w:pPr>
      <w:bookmarkStart w:id="373" w:name="_Toc5658"/>
      <w:bookmarkStart w:id="374" w:name="_Toc16594"/>
      <w:bookmarkStart w:id="375" w:name="_Toc2007955357"/>
      <w:r>
        <w:rPr>
          <w:rStyle w:val="13"/>
          <w:rFonts w:hint="eastAsia" w:ascii="仿宋" w:eastAsia="仿宋" w:cs="仿宋"/>
          <w:color w:val="auto"/>
        </w:rPr>
        <w:t>评审办法前附表</w:t>
      </w:r>
      <w:bookmarkEnd w:id="373"/>
      <w:bookmarkEnd w:id="374"/>
      <w:bookmarkEnd w:id="375"/>
    </w:p>
    <w:tbl>
      <w:tblPr>
        <w:tblStyle w:val="11"/>
        <w:tblW w:w="10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
        <w:gridCol w:w="768"/>
        <w:gridCol w:w="1128"/>
        <w:gridCol w:w="5942"/>
        <w:gridCol w:w="591"/>
        <w:gridCol w:w="970"/>
      </w:tblGrid>
      <w:tr w14:paraId="2A579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blHeader/>
          <w:jc w:val="center"/>
        </w:trPr>
        <w:tc>
          <w:tcPr>
            <w:tcW w:w="985" w:type="dxa"/>
            <w:tcBorders>
              <w:top w:val="single" w:color="auto" w:sz="4" w:space="0"/>
              <w:bottom w:val="single" w:color="auto" w:sz="4" w:space="0"/>
              <w:right w:val="single" w:color="auto" w:sz="4" w:space="0"/>
            </w:tcBorders>
            <w:vAlign w:val="center"/>
          </w:tcPr>
          <w:p w14:paraId="1CB94E47">
            <w:pPr>
              <w:jc w:val="center"/>
              <w:rPr>
                <w:rFonts w:hint="eastAsia" w:ascii="仿宋" w:hAnsi="仿宋" w:eastAsia="仿宋" w:cs="仿宋"/>
                <w:b/>
                <w:bCs/>
                <w:sz w:val="24"/>
              </w:rPr>
            </w:pPr>
            <w:r>
              <w:rPr>
                <w:rFonts w:hint="eastAsia" w:ascii="仿宋" w:hAnsi="仿宋" w:eastAsia="仿宋" w:cs="仿宋"/>
                <w:b/>
                <w:bCs/>
                <w:sz w:val="24"/>
              </w:rPr>
              <w:t>条款号</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1A476678">
            <w:pPr>
              <w:jc w:val="center"/>
              <w:rPr>
                <w:rFonts w:hint="eastAsia" w:ascii="仿宋" w:hAnsi="仿宋" w:eastAsia="仿宋" w:cs="仿宋"/>
                <w:b/>
                <w:bCs/>
                <w:sz w:val="24"/>
              </w:rPr>
            </w:pPr>
            <w:r>
              <w:rPr>
                <w:rFonts w:hint="eastAsia" w:ascii="仿宋" w:hAnsi="仿宋" w:eastAsia="仿宋" w:cs="仿宋"/>
                <w:b/>
                <w:bCs/>
                <w:sz w:val="24"/>
              </w:rPr>
              <w:t>评审因素</w:t>
            </w:r>
          </w:p>
        </w:tc>
        <w:tc>
          <w:tcPr>
            <w:tcW w:w="7503" w:type="dxa"/>
            <w:gridSpan w:val="3"/>
            <w:tcBorders>
              <w:top w:val="single" w:color="auto" w:sz="4" w:space="0"/>
              <w:left w:val="single" w:color="auto" w:sz="4" w:space="0"/>
              <w:bottom w:val="single" w:color="auto" w:sz="4" w:space="0"/>
            </w:tcBorders>
            <w:vAlign w:val="center"/>
          </w:tcPr>
          <w:p w14:paraId="5C4798E1">
            <w:pPr>
              <w:jc w:val="center"/>
              <w:rPr>
                <w:rFonts w:hint="eastAsia" w:ascii="仿宋" w:hAnsi="仿宋" w:eastAsia="仿宋" w:cs="仿宋"/>
                <w:b/>
                <w:bCs/>
                <w:sz w:val="24"/>
              </w:rPr>
            </w:pPr>
            <w:r>
              <w:rPr>
                <w:rFonts w:hint="eastAsia" w:ascii="仿宋" w:hAnsi="仿宋" w:eastAsia="仿宋" w:cs="仿宋"/>
                <w:b/>
                <w:bCs/>
                <w:sz w:val="24"/>
              </w:rPr>
              <w:t>评审标准</w:t>
            </w:r>
          </w:p>
        </w:tc>
      </w:tr>
      <w:tr w14:paraId="44022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985" w:type="dxa"/>
            <w:tcBorders>
              <w:top w:val="single" w:color="auto" w:sz="4" w:space="0"/>
              <w:right w:val="single" w:color="auto" w:sz="4" w:space="0"/>
            </w:tcBorders>
            <w:vAlign w:val="center"/>
          </w:tcPr>
          <w:p w14:paraId="18EACB1C">
            <w:pPr>
              <w:jc w:val="center"/>
              <w:rPr>
                <w:rFonts w:hint="eastAsia" w:ascii="仿宋" w:hAnsi="仿宋" w:eastAsia="仿宋" w:cs="仿宋"/>
                <w:sz w:val="22"/>
                <w:szCs w:val="22"/>
              </w:rPr>
            </w:pPr>
            <w:r>
              <w:rPr>
                <w:rFonts w:hint="eastAsia" w:ascii="仿宋" w:hAnsi="仿宋" w:eastAsia="仿宋" w:cs="仿宋"/>
                <w:sz w:val="22"/>
                <w:szCs w:val="22"/>
              </w:rPr>
              <w:t>1</w:t>
            </w:r>
          </w:p>
        </w:tc>
        <w:tc>
          <w:tcPr>
            <w:tcW w:w="1896" w:type="dxa"/>
            <w:gridSpan w:val="2"/>
            <w:tcBorders>
              <w:top w:val="single" w:color="auto" w:sz="4" w:space="0"/>
              <w:left w:val="single" w:color="auto" w:sz="4" w:space="0"/>
              <w:right w:val="single" w:color="auto" w:sz="4" w:space="0"/>
            </w:tcBorders>
            <w:vAlign w:val="center"/>
          </w:tcPr>
          <w:p w14:paraId="3707174E">
            <w:pPr>
              <w:jc w:val="center"/>
              <w:rPr>
                <w:rFonts w:hint="eastAsia" w:ascii="仿宋" w:hAnsi="仿宋" w:eastAsia="仿宋" w:cs="仿宋"/>
                <w:sz w:val="22"/>
                <w:szCs w:val="22"/>
              </w:rPr>
            </w:pPr>
            <w:r>
              <w:rPr>
                <w:rFonts w:hint="eastAsia" w:ascii="仿宋" w:hAnsi="仿宋" w:eastAsia="仿宋" w:cs="仿宋"/>
                <w:sz w:val="22"/>
                <w:szCs w:val="22"/>
              </w:rPr>
              <w:t>评审办法</w:t>
            </w:r>
          </w:p>
        </w:tc>
        <w:tc>
          <w:tcPr>
            <w:tcW w:w="7503" w:type="dxa"/>
            <w:gridSpan w:val="3"/>
            <w:tcBorders>
              <w:top w:val="single" w:color="auto" w:sz="4" w:space="0"/>
              <w:left w:val="single" w:color="auto" w:sz="4" w:space="0"/>
              <w:bottom w:val="single" w:color="auto" w:sz="4" w:space="0"/>
            </w:tcBorders>
            <w:vAlign w:val="center"/>
          </w:tcPr>
          <w:p w14:paraId="78643597">
            <w:pPr>
              <w:rPr>
                <w:rFonts w:hint="eastAsia" w:ascii="仿宋" w:hAnsi="仿宋" w:eastAsia="仿宋" w:cs="仿宋"/>
                <w:sz w:val="24"/>
              </w:rPr>
            </w:pPr>
            <w:r>
              <w:rPr>
                <w:rFonts w:hint="eastAsia" w:ascii="仿宋" w:hAnsi="仿宋" w:eastAsia="仿宋" w:cs="仿宋"/>
                <w:sz w:val="22"/>
                <w:szCs w:val="22"/>
              </w:rPr>
              <w:t>本次评审采用综合评分法，综合评分法是指响应文件开启后满足采购文件全部实质性要求，且按照评审因素的量化指标评审得分最高的3名磋商供应商为成交候选人的评审方法。</w:t>
            </w:r>
          </w:p>
        </w:tc>
      </w:tr>
      <w:tr w14:paraId="231AA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985" w:type="dxa"/>
            <w:vMerge w:val="restart"/>
            <w:tcBorders>
              <w:top w:val="single" w:color="auto" w:sz="4" w:space="0"/>
              <w:right w:val="single" w:color="auto" w:sz="4" w:space="0"/>
            </w:tcBorders>
            <w:vAlign w:val="center"/>
          </w:tcPr>
          <w:p w14:paraId="24F78D99">
            <w:pPr>
              <w:jc w:val="center"/>
              <w:rPr>
                <w:rFonts w:hint="eastAsia" w:ascii="仿宋" w:hAnsi="仿宋" w:eastAsia="仿宋" w:cs="仿宋"/>
                <w:sz w:val="22"/>
                <w:szCs w:val="22"/>
              </w:rPr>
            </w:pPr>
            <w:r>
              <w:rPr>
                <w:rFonts w:hint="eastAsia" w:ascii="仿宋" w:hAnsi="仿宋" w:eastAsia="仿宋" w:cs="仿宋"/>
                <w:sz w:val="22"/>
                <w:szCs w:val="22"/>
              </w:rPr>
              <w:t>2.1</w:t>
            </w:r>
          </w:p>
        </w:tc>
        <w:tc>
          <w:tcPr>
            <w:tcW w:w="1896" w:type="dxa"/>
            <w:gridSpan w:val="2"/>
            <w:vMerge w:val="restart"/>
            <w:tcBorders>
              <w:top w:val="single" w:color="auto" w:sz="4" w:space="0"/>
              <w:left w:val="single" w:color="auto" w:sz="4" w:space="0"/>
              <w:right w:val="single" w:color="auto" w:sz="4" w:space="0"/>
            </w:tcBorders>
            <w:vAlign w:val="center"/>
          </w:tcPr>
          <w:p w14:paraId="72598FFB">
            <w:pPr>
              <w:jc w:val="center"/>
              <w:rPr>
                <w:rFonts w:hint="eastAsia" w:ascii="仿宋" w:hAnsi="仿宋" w:eastAsia="仿宋" w:cs="仿宋"/>
                <w:sz w:val="22"/>
                <w:szCs w:val="22"/>
              </w:rPr>
            </w:pPr>
            <w:r>
              <w:rPr>
                <w:rFonts w:hint="eastAsia" w:ascii="仿宋" w:hAnsi="仿宋" w:eastAsia="仿宋" w:cs="仿宋"/>
                <w:b/>
                <w:bCs/>
                <w:sz w:val="22"/>
                <w:szCs w:val="22"/>
                <w:u w:val="single"/>
              </w:rPr>
              <w:t>▲资格审查</w:t>
            </w:r>
          </w:p>
        </w:tc>
        <w:tc>
          <w:tcPr>
            <w:tcW w:w="7503" w:type="dxa"/>
            <w:gridSpan w:val="3"/>
            <w:tcBorders>
              <w:top w:val="single" w:color="auto" w:sz="4" w:space="0"/>
              <w:left w:val="single" w:color="auto" w:sz="4" w:space="0"/>
              <w:bottom w:val="single" w:color="auto" w:sz="4" w:space="0"/>
            </w:tcBorders>
            <w:vAlign w:val="center"/>
          </w:tcPr>
          <w:p w14:paraId="7811742C">
            <w:pPr>
              <w:jc w:val="left"/>
            </w:pPr>
            <w:r>
              <w:rPr>
                <w:rFonts w:hint="eastAsia" w:ascii="仿宋" w:hAnsi="仿宋" w:eastAsia="仿宋" w:cs="仿宋"/>
                <w:sz w:val="22"/>
                <w:szCs w:val="22"/>
              </w:rPr>
              <w:t>2.1.1提供符合参加政府采购活动应当具备的一般条件的承诺函及有效的企业营业执照（或事业法人登记证书或其它工商等登记证明材料，自然人提供身份证)复制件（如为联合体，则联合体各方均应提供）；</w:t>
            </w:r>
          </w:p>
        </w:tc>
      </w:tr>
      <w:tr w14:paraId="10062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 w:hRule="atLeast"/>
          <w:jc w:val="center"/>
        </w:trPr>
        <w:tc>
          <w:tcPr>
            <w:tcW w:w="985" w:type="dxa"/>
            <w:vMerge w:val="continue"/>
            <w:tcBorders>
              <w:right w:val="single" w:color="auto" w:sz="4" w:space="0"/>
            </w:tcBorders>
            <w:vAlign w:val="center"/>
          </w:tcPr>
          <w:p w14:paraId="4AE51A85">
            <w:pPr>
              <w:jc w:val="center"/>
              <w:rPr>
                <w:rFonts w:hint="eastAsia" w:ascii="仿宋" w:hAnsi="仿宋" w:eastAsia="仿宋" w:cs="仿宋"/>
                <w:sz w:val="22"/>
                <w:szCs w:val="22"/>
              </w:rPr>
            </w:pPr>
          </w:p>
        </w:tc>
        <w:tc>
          <w:tcPr>
            <w:tcW w:w="1896" w:type="dxa"/>
            <w:gridSpan w:val="2"/>
            <w:vMerge w:val="continue"/>
            <w:tcBorders>
              <w:left w:val="single" w:color="auto" w:sz="4" w:space="0"/>
              <w:right w:val="single" w:color="auto" w:sz="4" w:space="0"/>
            </w:tcBorders>
            <w:vAlign w:val="center"/>
          </w:tcPr>
          <w:p w14:paraId="25001851">
            <w:pPr>
              <w:jc w:val="center"/>
              <w:rPr>
                <w:rFonts w:hint="eastAsia" w:ascii="仿宋" w:hAnsi="仿宋" w:eastAsia="仿宋" w:cs="仿宋"/>
                <w:sz w:val="22"/>
                <w:szCs w:val="22"/>
              </w:rPr>
            </w:pPr>
          </w:p>
        </w:tc>
        <w:tc>
          <w:tcPr>
            <w:tcW w:w="7503" w:type="dxa"/>
            <w:gridSpan w:val="3"/>
            <w:tcBorders>
              <w:top w:val="single" w:color="auto" w:sz="4" w:space="0"/>
              <w:left w:val="single" w:color="auto" w:sz="4" w:space="0"/>
              <w:bottom w:val="single" w:color="auto" w:sz="4" w:space="0"/>
            </w:tcBorders>
            <w:vAlign w:val="center"/>
          </w:tcPr>
          <w:p w14:paraId="3E83976A">
            <w:pPr>
              <w:rPr>
                <w:rFonts w:eastAsia="仿宋"/>
                <w:u w:val="single"/>
              </w:rPr>
            </w:pPr>
            <w:r>
              <w:rPr>
                <w:rFonts w:hint="eastAsia" w:ascii="仿宋" w:hAnsi="仿宋" w:eastAsia="仿宋" w:cs="仿宋"/>
                <w:sz w:val="22"/>
                <w:szCs w:val="22"/>
              </w:rPr>
              <w:t>2.1.1落实政府采购政策需满足的资格审查材料：</w:t>
            </w:r>
            <w:r>
              <w:rPr>
                <w:rFonts w:hint="eastAsia" w:ascii="仿宋" w:hAnsi="仿宋" w:eastAsia="仿宋" w:cs="仿宋"/>
                <w:sz w:val="22"/>
                <w:szCs w:val="22"/>
                <w:u w:val="single"/>
              </w:rPr>
              <w:t xml:space="preserve"> 无；</w:t>
            </w:r>
          </w:p>
        </w:tc>
      </w:tr>
      <w:tr w14:paraId="29BE9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jc w:val="center"/>
        </w:trPr>
        <w:tc>
          <w:tcPr>
            <w:tcW w:w="985" w:type="dxa"/>
            <w:vMerge w:val="continue"/>
            <w:tcBorders>
              <w:right w:val="single" w:color="auto" w:sz="4" w:space="0"/>
            </w:tcBorders>
            <w:vAlign w:val="center"/>
          </w:tcPr>
          <w:p w14:paraId="26F8EE5B">
            <w:pPr>
              <w:jc w:val="center"/>
              <w:rPr>
                <w:rFonts w:hint="eastAsia" w:ascii="仿宋" w:hAnsi="仿宋" w:eastAsia="仿宋" w:cs="仿宋"/>
                <w:sz w:val="22"/>
                <w:szCs w:val="22"/>
              </w:rPr>
            </w:pPr>
          </w:p>
        </w:tc>
        <w:tc>
          <w:tcPr>
            <w:tcW w:w="1896" w:type="dxa"/>
            <w:gridSpan w:val="2"/>
            <w:vMerge w:val="continue"/>
            <w:tcBorders>
              <w:left w:val="single" w:color="auto" w:sz="4" w:space="0"/>
              <w:right w:val="single" w:color="auto" w:sz="4" w:space="0"/>
            </w:tcBorders>
            <w:vAlign w:val="center"/>
          </w:tcPr>
          <w:p w14:paraId="7A722DD7">
            <w:pPr>
              <w:jc w:val="center"/>
              <w:rPr>
                <w:rFonts w:hint="eastAsia" w:ascii="仿宋" w:hAnsi="仿宋" w:eastAsia="仿宋" w:cs="仿宋"/>
                <w:sz w:val="22"/>
                <w:szCs w:val="22"/>
              </w:rPr>
            </w:pPr>
          </w:p>
        </w:tc>
        <w:tc>
          <w:tcPr>
            <w:tcW w:w="7503" w:type="dxa"/>
            <w:gridSpan w:val="3"/>
            <w:tcBorders>
              <w:top w:val="single" w:color="auto" w:sz="4" w:space="0"/>
              <w:left w:val="single" w:color="auto" w:sz="4" w:space="0"/>
              <w:bottom w:val="single" w:color="auto" w:sz="4" w:space="0"/>
            </w:tcBorders>
            <w:vAlign w:val="center"/>
          </w:tcPr>
          <w:p w14:paraId="78BBC3D1">
            <w:pPr>
              <w:rPr>
                <w:u w:val="single"/>
              </w:rPr>
            </w:pPr>
            <w:r>
              <w:rPr>
                <w:rFonts w:hint="eastAsia" w:ascii="仿宋" w:hAnsi="仿宋" w:eastAsia="仿宋" w:cs="仿宋"/>
                <w:sz w:val="22"/>
                <w:szCs w:val="22"/>
              </w:rPr>
              <w:t>2.1.3本项目的特定资格要求审查材料：</w:t>
            </w:r>
            <w:r>
              <w:rPr>
                <w:rFonts w:hint="eastAsia" w:ascii="仿宋" w:hAnsi="仿宋" w:eastAsia="仿宋" w:cs="仿宋"/>
                <w:sz w:val="22"/>
                <w:szCs w:val="22"/>
                <w:u w:val="single"/>
              </w:rPr>
              <w:t xml:space="preserve"> 无； </w:t>
            </w:r>
          </w:p>
        </w:tc>
      </w:tr>
      <w:tr w14:paraId="1A4BC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2" w:hRule="atLeast"/>
          <w:jc w:val="center"/>
        </w:trPr>
        <w:tc>
          <w:tcPr>
            <w:tcW w:w="985" w:type="dxa"/>
            <w:vMerge w:val="continue"/>
            <w:tcBorders>
              <w:bottom w:val="single" w:color="auto" w:sz="4" w:space="0"/>
              <w:right w:val="single" w:color="auto" w:sz="4" w:space="0"/>
            </w:tcBorders>
            <w:vAlign w:val="center"/>
          </w:tcPr>
          <w:p w14:paraId="13B1AA3B">
            <w:pPr>
              <w:jc w:val="center"/>
              <w:rPr>
                <w:rFonts w:hint="eastAsia" w:ascii="仿宋" w:hAnsi="仿宋" w:eastAsia="仿宋" w:cs="仿宋"/>
                <w:sz w:val="22"/>
                <w:szCs w:val="22"/>
              </w:rPr>
            </w:pPr>
          </w:p>
        </w:tc>
        <w:tc>
          <w:tcPr>
            <w:tcW w:w="1896" w:type="dxa"/>
            <w:gridSpan w:val="2"/>
            <w:vMerge w:val="continue"/>
            <w:tcBorders>
              <w:left w:val="single" w:color="auto" w:sz="4" w:space="0"/>
              <w:right w:val="single" w:color="auto" w:sz="4" w:space="0"/>
            </w:tcBorders>
            <w:vAlign w:val="center"/>
          </w:tcPr>
          <w:p w14:paraId="23737D59">
            <w:pPr>
              <w:jc w:val="center"/>
              <w:rPr>
                <w:rFonts w:hint="eastAsia" w:ascii="仿宋" w:hAnsi="仿宋" w:eastAsia="仿宋" w:cs="仿宋"/>
                <w:sz w:val="22"/>
                <w:szCs w:val="22"/>
              </w:rPr>
            </w:pPr>
          </w:p>
        </w:tc>
        <w:tc>
          <w:tcPr>
            <w:tcW w:w="7503" w:type="dxa"/>
            <w:gridSpan w:val="3"/>
            <w:tcBorders>
              <w:top w:val="single" w:color="auto" w:sz="4" w:space="0"/>
              <w:left w:val="single" w:color="auto" w:sz="4" w:space="0"/>
              <w:bottom w:val="single" w:color="auto" w:sz="4" w:space="0"/>
            </w:tcBorders>
            <w:vAlign w:val="center"/>
          </w:tcPr>
          <w:p w14:paraId="4CB2C339">
            <w:pPr>
              <w:rPr>
                <w:rFonts w:hint="eastAsia" w:ascii="仿宋" w:hAnsi="仿宋" w:eastAsia="仿宋" w:cs="仿宋"/>
                <w:sz w:val="22"/>
                <w:szCs w:val="22"/>
              </w:rPr>
            </w:pPr>
            <w:r>
              <w:rPr>
                <w:rFonts w:hint="eastAsia" w:ascii="仿宋" w:hAnsi="仿宋" w:eastAsia="仿宋" w:cs="仿宋"/>
                <w:sz w:val="22"/>
                <w:szCs w:val="22"/>
              </w:rPr>
              <w:t>2.1.4商业信誉审查：</w:t>
            </w:r>
          </w:p>
          <w:p w14:paraId="00D64CB7">
            <w:pPr>
              <w:ind w:firstLine="440" w:firstLineChars="200"/>
              <w:rPr>
                <w:rFonts w:hint="eastAsia" w:ascii="仿宋" w:hAnsi="仿宋" w:eastAsia="仿宋" w:cs="仿宋"/>
                <w:sz w:val="22"/>
                <w:szCs w:val="22"/>
              </w:rPr>
            </w:pPr>
            <w:r>
              <w:rPr>
                <w:rFonts w:hint="eastAsia" w:ascii="仿宋" w:hAnsi="仿宋" w:eastAsia="仿宋" w:cs="仿宋"/>
                <w:sz w:val="22"/>
                <w:szCs w:val="22"/>
              </w:rPr>
              <w:t>至本项目响应截止时间止未列入失信被执行人、重大税收违法案件当事人名单、政府采购严重违法失信行为记录名单。（代理机构以响应文件开启当日在“信用中国”网站（www.creditchina.gov.cn）、中国政府采购网（www.ccgp.gov.cn）网页查询记录为准）</w:t>
            </w:r>
          </w:p>
          <w:p w14:paraId="690886A6">
            <w:pPr>
              <w:ind w:firstLine="440" w:firstLineChars="200"/>
              <w:rPr>
                <w:rFonts w:hint="eastAsia" w:ascii="仿宋" w:hAnsi="仿宋" w:eastAsia="仿宋" w:cs="仿宋"/>
                <w:sz w:val="24"/>
              </w:rPr>
            </w:pPr>
            <w:r>
              <w:rPr>
                <w:rFonts w:hint="eastAsia" w:ascii="仿宋" w:hAnsi="仿宋" w:eastAsia="仿宋" w:cs="仿宋"/>
                <w:sz w:val="22"/>
                <w:szCs w:val="22"/>
              </w:rPr>
              <w:t>对列入失信被执行人、重大税收违法案件当事人名单、政府采购严重违法失信行为记录名单的磋商供应商，其磋商响应将作无效响应处理。</w:t>
            </w:r>
          </w:p>
        </w:tc>
      </w:tr>
      <w:tr w14:paraId="263BE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jc w:val="center"/>
        </w:trPr>
        <w:tc>
          <w:tcPr>
            <w:tcW w:w="985" w:type="dxa"/>
            <w:tcBorders>
              <w:top w:val="single" w:color="auto" w:sz="4" w:space="0"/>
              <w:bottom w:val="single" w:color="auto" w:sz="4" w:space="0"/>
              <w:right w:val="single" w:color="auto" w:sz="4" w:space="0"/>
            </w:tcBorders>
            <w:vAlign w:val="center"/>
          </w:tcPr>
          <w:p w14:paraId="5041503A">
            <w:pPr>
              <w:jc w:val="center"/>
              <w:rPr>
                <w:rFonts w:hint="eastAsia" w:ascii="仿宋" w:hAnsi="仿宋" w:eastAsia="仿宋" w:cs="仿宋"/>
                <w:sz w:val="22"/>
                <w:szCs w:val="22"/>
              </w:rPr>
            </w:pPr>
            <w:r>
              <w:rPr>
                <w:rFonts w:hint="eastAsia" w:ascii="仿宋" w:hAnsi="仿宋" w:eastAsia="仿宋" w:cs="仿宋"/>
                <w:sz w:val="22"/>
                <w:szCs w:val="22"/>
              </w:rPr>
              <w:t>2.2</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114D4C97">
            <w:pPr>
              <w:jc w:val="center"/>
              <w:rPr>
                <w:rFonts w:hint="eastAsia" w:ascii="仿宋" w:hAnsi="仿宋" w:eastAsia="仿宋" w:cs="仿宋"/>
                <w:sz w:val="22"/>
                <w:szCs w:val="22"/>
              </w:rPr>
            </w:pPr>
            <w:r>
              <w:rPr>
                <w:rFonts w:hint="eastAsia" w:ascii="仿宋" w:hAnsi="仿宋" w:eastAsia="仿宋" w:cs="仿宋"/>
                <w:b/>
                <w:bCs/>
                <w:sz w:val="22"/>
                <w:szCs w:val="22"/>
                <w:u w:val="single"/>
              </w:rPr>
              <w:t>▲符合性审查</w:t>
            </w:r>
          </w:p>
        </w:tc>
        <w:tc>
          <w:tcPr>
            <w:tcW w:w="7503" w:type="dxa"/>
            <w:gridSpan w:val="3"/>
            <w:tcBorders>
              <w:top w:val="single" w:color="auto" w:sz="4" w:space="0"/>
              <w:left w:val="single" w:color="auto" w:sz="4" w:space="0"/>
              <w:bottom w:val="single" w:color="auto" w:sz="4" w:space="0"/>
            </w:tcBorders>
            <w:vAlign w:val="center"/>
          </w:tcPr>
          <w:p w14:paraId="1AB71672">
            <w:pPr>
              <w:rPr>
                <w:rFonts w:hint="eastAsia" w:ascii="仿宋" w:hAnsi="仿宋" w:eastAsia="仿宋" w:cs="仿宋"/>
                <w:sz w:val="22"/>
                <w:szCs w:val="22"/>
              </w:rPr>
            </w:pPr>
            <w:r>
              <w:rPr>
                <w:rFonts w:hint="eastAsia" w:ascii="仿宋" w:hAnsi="仿宋" w:eastAsia="仿宋" w:cs="仿宋"/>
                <w:sz w:val="22"/>
                <w:szCs w:val="22"/>
              </w:rPr>
              <w:t>磋商小组在评审过程中根据本“第四章评审办法”2.3.1~2.3.3条款规定的符合性审查内容要求对响应文件的有效性、完整性、响应文件的响应程度审查。</w:t>
            </w:r>
          </w:p>
          <w:p w14:paraId="7C482ABE">
            <w:pPr>
              <w:rPr>
                <w:rFonts w:hint="eastAsia" w:ascii="仿宋" w:hAnsi="仿宋" w:eastAsia="仿宋" w:cs="仿宋"/>
                <w:sz w:val="24"/>
                <w:u w:val="single"/>
              </w:rPr>
            </w:pPr>
            <w:r>
              <w:rPr>
                <w:rFonts w:hint="eastAsia" w:ascii="仿宋" w:hAnsi="仿宋" w:eastAsia="仿宋" w:cs="仿宋"/>
                <w:sz w:val="22"/>
                <w:szCs w:val="22"/>
              </w:rPr>
              <w:t>符合性审查其他要求：</w:t>
            </w:r>
            <w:r>
              <w:rPr>
                <w:rFonts w:hint="eastAsia" w:ascii="仿宋" w:hAnsi="仿宋" w:eastAsia="仿宋" w:cs="仿宋"/>
                <w:sz w:val="22"/>
                <w:szCs w:val="22"/>
                <w:u w:val="single"/>
              </w:rPr>
              <w:t xml:space="preserve"> 无 </w:t>
            </w:r>
          </w:p>
        </w:tc>
      </w:tr>
      <w:tr w14:paraId="34CE7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jc w:val="center"/>
        </w:trPr>
        <w:tc>
          <w:tcPr>
            <w:tcW w:w="985" w:type="dxa"/>
            <w:tcBorders>
              <w:top w:val="single" w:color="auto" w:sz="4" w:space="0"/>
              <w:bottom w:val="single" w:color="auto" w:sz="4" w:space="0"/>
              <w:right w:val="single" w:color="auto" w:sz="4" w:space="0"/>
            </w:tcBorders>
            <w:vAlign w:val="center"/>
          </w:tcPr>
          <w:p w14:paraId="7AB8A370">
            <w:pPr>
              <w:jc w:val="center"/>
              <w:rPr>
                <w:rFonts w:hint="eastAsia" w:ascii="仿宋" w:hAnsi="仿宋" w:eastAsia="仿宋" w:cs="仿宋"/>
                <w:sz w:val="22"/>
                <w:szCs w:val="22"/>
              </w:rPr>
            </w:pPr>
            <w:r>
              <w:rPr>
                <w:rFonts w:hint="eastAsia" w:ascii="仿宋" w:hAnsi="仿宋" w:eastAsia="仿宋" w:cs="仿宋"/>
                <w:sz w:val="22"/>
                <w:szCs w:val="22"/>
              </w:rPr>
              <w:t>2.3</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08D22AB0">
            <w:pPr>
              <w:jc w:val="center"/>
              <w:rPr>
                <w:rFonts w:hint="eastAsia" w:ascii="仿宋" w:hAnsi="仿宋" w:eastAsia="仿宋" w:cs="仿宋"/>
                <w:sz w:val="22"/>
                <w:szCs w:val="22"/>
              </w:rPr>
            </w:pPr>
            <w:r>
              <w:rPr>
                <w:rFonts w:hint="eastAsia" w:ascii="仿宋" w:hAnsi="仿宋" w:eastAsia="仿宋" w:cs="仿宋"/>
                <w:sz w:val="22"/>
                <w:szCs w:val="22"/>
              </w:rPr>
              <w:t>比较与评价</w:t>
            </w:r>
          </w:p>
        </w:tc>
        <w:tc>
          <w:tcPr>
            <w:tcW w:w="7503" w:type="dxa"/>
            <w:gridSpan w:val="3"/>
            <w:tcBorders>
              <w:top w:val="single" w:color="auto" w:sz="4" w:space="0"/>
              <w:left w:val="single" w:color="auto" w:sz="4" w:space="0"/>
              <w:bottom w:val="single" w:color="auto" w:sz="4" w:space="0"/>
            </w:tcBorders>
            <w:vAlign w:val="center"/>
          </w:tcPr>
          <w:p w14:paraId="08E39C71">
            <w:r>
              <w:rPr>
                <w:rFonts w:hint="eastAsia" w:ascii="仿宋" w:hAnsi="仿宋" w:eastAsia="仿宋" w:cs="仿宋"/>
                <w:kern w:val="0"/>
                <w:sz w:val="22"/>
                <w:szCs w:val="22"/>
              </w:rPr>
              <w:sym w:font="Wingdings" w:char="00FE"/>
            </w:r>
            <w:r>
              <w:rPr>
                <w:rFonts w:hint="eastAsia" w:ascii="仿宋" w:hAnsi="仿宋" w:eastAsia="仿宋" w:cs="仿宋"/>
                <w:sz w:val="22"/>
                <w:szCs w:val="22"/>
              </w:rPr>
              <w:t>采用综合评分法</w:t>
            </w:r>
          </w:p>
        </w:tc>
      </w:tr>
      <w:tr w14:paraId="5A3AA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jc w:val="center"/>
        </w:trPr>
        <w:tc>
          <w:tcPr>
            <w:tcW w:w="985" w:type="dxa"/>
            <w:tcBorders>
              <w:top w:val="single" w:color="auto" w:sz="4" w:space="0"/>
              <w:bottom w:val="single" w:color="auto" w:sz="4" w:space="0"/>
              <w:right w:val="single" w:color="auto" w:sz="4" w:space="0"/>
            </w:tcBorders>
            <w:vAlign w:val="center"/>
          </w:tcPr>
          <w:p w14:paraId="1997D9F2">
            <w:pPr>
              <w:jc w:val="center"/>
              <w:rPr>
                <w:rFonts w:hint="eastAsia" w:ascii="仿宋" w:hAnsi="仿宋" w:eastAsia="仿宋" w:cs="仿宋"/>
                <w:sz w:val="22"/>
                <w:szCs w:val="22"/>
              </w:rPr>
            </w:pPr>
            <w:r>
              <w:rPr>
                <w:rFonts w:hint="eastAsia" w:ascii="仿宋" w:hAnsi="仿宋" w:eastAsia="仿宋" w:cs="仿宋"/>
                <w:sz w:val="22"/>
                <w:szCs w:val="22"/>
              </w:rPr>
              <w:t>2.3.1</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09C34EA9">
            <w:pPr>
              <w:jc w:val="center"/>
              <w:rPr>
                <w:rFonts w:hint="eastAsia" w:ascii="仿宋" w:hAnsi="仿宋" w:eastAsia="仿宋" w:cs="仿宋"/>
                <w:sz w:val="22"/>
                <w:szCs w:val="22"/>
              </w:rPr>
            </w:pPr>
            <w:r>
              <w:rPr>
                <w:rFonts w:hint="eastAsia" w:ascii="仿宋" w:hAnsi="仿宋" w:eastAsia="仿宋" w:cs="仿宋"/>
                <w:sz w:val="22"/>
                <w:szCs w:val="22"/>
              </w:rPr>
              <w:t>分值权重构成</w:t>
            </w:r>
          </w:p>
        </w:tc>
        <w:tc>
          <w:tcPr>
            <w:tcW w:w="7503" w:type="dxa"/>
            <w:gridSpan w:val="3"/>
            <w:tcBorders>
              <w:top w:val="single" w:color="auto" w:sz="4" w:space="0"/>
              <w:left w:val="single" w:color="auto" w:sz="4" w:space="0"/>
              <w:bottom w:val="single" w:color="auto" w:sz="4" w:space="0"/>
            </w:tcBorders>
            <w:vAlign w:val="center"/>
          </w:tcPr>
          <w:p w14:paraId="7EBA41EB">
            <w:pPr>
              <w:rPr>
                <w:rFonts w:hint="eastAsia" w:ascii="仿宋" w:hAnsi="仿宋" w:eastAsia="仿宋" w:cs="仿宋"/>
                <w:sz w:val="22"/>
                <w:szCs w:val="22"/>
              </w:rPr>
            </w:pPr>
            <w:r>
              <w:rPr>
                <w:rFonts w:hint="eastAsia" w:ascii="仿宋" w:hAnsi="仿宋" w:eastAsia="仿宋" w:cs="仿宋"/>
                <w:sz w:val="22"/>
                <w:szCs w:val="22"/>
              </w:rPr>
              <w:t>磋商小组将对各磋商供应商的磋商报价、技术或服务水平、履约能力、售后服务等和业绩情况等方面进行综合评审，磋商小组各成员应当独立对每个有效磋商供应商的响应文件进行评价、打分。</w:t>
            </w:r>
          </w:p>
          <w:p w14:paraId="5A2264CD">
            <w:pPr>
              <w:rPr>
                <w:rFonts w:hint="eastAsia" w:ascii="仿宋" w:hAnsi="仿宋" w:eastAsia="仿宋" w:cs="仿宋"/>
                <w:sz w:val="24"/>
              </w:rPr>
            </w:pPr>
            <w:r>
              <w:rPr>
                <w:rFonts w:hint="eastAsia" w:ascii="仿宋" w:hAnsi="仿宋" w:eastAsia="仿宋" w:cs="仿宋"/>
                <w:sz w:val="22"/>
                <w:szCs w:val="22"/>
              </w:rPr>
              <w:t>各磋商供应商的综合得分为：最终报价得分+商务技术得分之和，总和为100分，其中：其中商务技术</w:t>
            </w:r>
            <w:r>
              <w:rPr>
                <w:rFonts w:hint="eastAsia" w:ascii="仿宋" w:hAnsi="仿宋" w:eastAsia="仿宋" w:cs="仿宋"/>
                <w:sz w:val="22"/>
                <w:szCs w:val="22"/>
                <w:u w:val="single"/>
              </w:rPr>
              <w:t xml:space="preserve"> 80 </w:t>
            </w:r>
            <w:r>
              <w:rPr>
                <w:rFonts w:hint="eastAsia" w:ascii="仿宋" w:hAnsi="仿宋" w:eastAsia="仿宋" w:cs="仿宋"/>
                <w:sz w:val="22"/>
                <w:szCs w:val="22"/>
              </w:rPr>
              <w:t>分（商务技术权值</w:t>
            </w:r>
            <w:r>
              <w:rPr>
                <w:rFonts w:hint="eastAsia" w:ascii="仿宋" w:hAnsi="仿宋" w:eastAsia="仿宋" w:cs="仿宋"/>
                <w:sz w:val="22"/>
                <w:szCs w:val="22"/>
                <w:u w:val="single"/>
              </w:rPr>
              <w:t xml:space="preserve"> 80 </w:t>
            </w:r>
            <w:r>
              <w:rPr>
                <w:rFonts w:hint="eastAsia" w:ascii="仿宋" w:hAnsi="仿宋" w:eastAsia="仿宋" w:cs="仿宋"/>
                <w:sz w:val="22"/>
                <w:szCs w:val="22"/>
              </w:rPr>
              <w:t>%），报价</w:t>
            </w:r>
            <w:r>
              <w:rPr>
                <w:rFonts w:hint="eastAsia" w:ascii="仿宋" w:hAnsi="仿宋" w:eastAsia="仿宋" w:cs="仿宋"/>
                <w:sz w:val="22"/>
                <w:szCs w:val="22"/>
                <w:u w:val="single"/>
              </w:rPr>
              <w:t>20</w:t>
            </w:r>
            <w:r>
              <w:rPr>
                <w:rFonts w:hint="eastAsia" w:ascii="仿宋" w:hAnsi="仿宋" w:eastAsia="仿宋" w:cs="仿宋"/>
                <w:sz w:val="22"/>
                <w:szCs w:val="22"/>
              </w:rPr>
              <w:t>分（价格权值</w:t>
            </w:r>
            <w:r>
              <w:rPr>
                <w:rFonts w:hint="eastAsia" w:ascii="仿宋" w:hAnsi="仿宋" w:eastAsia="仿宋" w:cs="仿宋"/>
                <w:sz w:val="22"/>
                <w:szCs w:val="22"/>
                <w:u w:val="single"/>
              </w:rPr>
              <w:t xml:space="preserve"> 20 </w:t>
            </w:r>
            <w:r>
              <w:rPr>
                <w:rFonts w:hint="eastAsia" w:ascii="仿宋" w:hAnsi="仿宋" w:eastAsia="仿宋" w:cs="仿宋"/>
                <w:sz w:val="22"/>
                <w:szCs w:val="22"/>
              </w:rPr>
              <w:t>%）。</w:t>
            </w:r>
          </w:p>
        </w:tc>
      </w:tr>
      <w:tr w14:paraId="33E87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2" w:hRule="atLeast"/>
          <w:jc w:val="center"/>
        </w:trPr>
        <w:tc>
          <w:tcPr>
            <w:tcW w:w="985" w:type="dxa"/>
            <w:tcBorders>
              <w:top w:val="single" w:color="auto" w:sz="4" w:space="0"/>
              <w:right w:val="single" w:color="auto" w:sz="4" w:space="0"/>
            </w:tcBorders>
            <w:vAlign w:val="center"/>
          </w:tcPr>
          <w:p w14:paraId="60017325">
            <w:pPr>
              <w:jc w:val="center"/>
              <w:rPr>
                <w:rFonts w:hint="eastAsia" w:ascii="仿宋" w:hAnsi="仿宋" w:eastAsia="仿宋" w:cs="仿宋"/>
                <w:sz w:val="22"/>
                <w:szCs w:val="22"/>
              </w:rPr>
            </w:pPr>
            <w:r>
              <w:rPr>
                <w:rFonts w:hint="eastAsia" w:ascii="仿宋" w:hAnsi="仿宋" w:eastAsia="仿宋" w:cs="仿宋"/>
                <w:sz w:val="22"/>
                <w:szCs w:val="22"/>
              </w:rPr>
              <w:t>2.3.2</w:t>
            </w:r>
          </w:p>
        </w:tc>
        <w:tc>
          <w:tcPr>
            <w:tcW w:w="768" w:type="dxa"/>
            <w:tcBorders>
              <w:top w:val="single" w:color="auto" w:sz="4" w:space="0"/>
              <w:right w:val="single" w:color="auto" w:sz="4" w:space="0"/>
            </w:tcBorders>
            <w:vAlign w:val="center"/>
          </w:tcPr>
          <w:p w14:paraId="24685FEF">
            <w:pPr>
              <w:jc w:val="center"/>
              <w:rPr>
                <w:rFonts w:hint="eastAsia" w:ascii="仿宋" w:hAnsi="仿宋" w:eastAsia="仿宋" w:cs="仿宋"/>
                <w:sz w:val="22"/>
                <w:szCs w:val="22"/>
              </w:rPr>
            </w:pPr>
            <w:r>
              <w:rPr>
                <w:rFonts w:hint="eastAsia" w:ascii="仿宋" w:hAnsi="仿宋" w:eastAsia="仿宋" w:cs="仿宋"/>
                <w:sz w:val="22"/>
                <w:szCs w:val="22"/>
              </w:rPr>
              <w:t>商务技术评分</w:t>
            </w:r>
          </w:p>
          <w:p w14:paraId="1C81865C">
            <w:pPr>
              <w:jc w:val="center"/>
            </w:pPr>
            <w:r>
              <w:rPr>
                <w:rFonts w:hint="eastAsia" w:ascii="仿宋" w:hAnsi="仿宋" w:eastAsia="仿宋" w:cs="仿宋"/>
                <w:sz w:val="22"/>
                <w:szCs w:val="22"/>
              </w:rPr>
              <w:t>标准</w:t>
            </w:r>
          </w:p>
        </w:tc>
        <w:tc>
          <w:tcPr>
            <w:tcW w:w="1128" w:type="dxa"/>
            <w:tcBorders>
              <w:top w:val="single" w:color="auto" w:sz="4" w:space="0"/>
              <w:left w:val="single" w:color="auto" w:sz="4" w:space="0"/>
            </w:tcBorders>
            <w:vAlign w:val="center"/>
          </w:tcPr>
          <w:p w14:paraId="24007F84">
            <w:pPr>
              <w:tabs>
                <w:tab w:val="left" w:pos="0"/>
              </w:tabs>
              <w:jc w:val="center"/>
              <w:rPr>
                <w:rFonts w:hint="eastAsia" w:ascii="仿宋" w:hAnsi="仿宋" w:eastAsia="仿宋" w:cs="仿宋"/>
                <w:sz w:val="22"/>
                <w:szCs w:val="22"/>
              </w:rPr>
            </w:pPr>
            <w:r>
              <w:rPr>
                <w:rFonts w:hint="eastAsia" w:ascii="仿宋" w:hAnsi="仿宋" w:eastAsia="仿宋" w:cs="仿宋"/>
                <w:sz w:val="22"/>
                <w:szCs w:val="22"/>
              </w:rPr>
              <w:t>评审因素</w:t>
            </w:r>
          </w:p>
        </w:tc>
        <w:tc>
          <w:tcPr>
            <w:tcW w:w="5942" w:type="dxa"/>
            <w:tcBorders>
              <w:top w:val="single" w:color="auto" w:sz="4" w:space="0"/>
              <w:left w:val="single" w:color="auto" w:sz="4" w:space="0"/>
              <w:right w:val="single" w:color="auto" w:sz="4" w:space="0"/>
            </w:tcBorders>
            <w:vAlign w:val="center"/>
          </w:tcPr>
          <w:p w14:paraId="10A4398E">
            <w:pPr>
              <w:autoSpaceDE w:val="0"/>
              <w:autoSpaceDN w:val="0"/>
              <w:jc w:val="center"/>
              <w:rPr>
                <w:rFonts w:hint="eastAsia" w:ascii="仿宋" w:hAnsi="仿宋" w:eastAsia="仿宋" w:cs="仿宋"/>
                <w:sz w:val="22"/>
                <w:szCs w:val="22"/>
              </w:rPr>
            </w:pPr>
            <w:r>
              <w:rPr>
                <w:rFonts w:hint="eastAsia" w:ascii="仿宋" w:hAnsi="仿宋" w:eastAsia="仿宋" w:cs="仿宋"/>
                <w:sz w:val="22"/>
                <w:szCs w:val="22"/>
              </w:rPr>
              <w:t>评审标准</w:t>
            </w:r>
          </w:p>
        </w:tc>
        <w:tc>
          <w:tcPr>
            <w:tcW w:w="591" w:type="dxa"/>
            <w:tcBorders>
              <w:top w:val="single" w:color="auto" w:sz="4" w:space="0"/>
              <w:left w:val="single" w:color="auto" w:sz="4" w:space="0"/>
            </w:tcBorders>
            <w:vAlign w:val="center"/>
          </w:tcPr>
          <w:p w14:paraId="305ABD4D">
            <w:pPr>
              <w:autoSpaceDE w:val="0"/>
              <w:autoSpaceDN w:val="0"/>
              <w:jc w:val="center"/>
              <w:rPr>
                <w:rFonts w:hint="eastAsia" w:ascii="仿宋" w:hAnsi="仿宋" w:eastAsia="仿宋" w:cs="仿宋"/>
                <w:sz w:val="22"/>
                <w:szCs w:val="22"/>
              </w:rPr>
            </w:pPr>
            <w:r>
              <w:rPr>
                <w:rFonts w:hint="eastAsia" w:ascii="仿宋" w:hAnsi="仿宋" w:eastAsia="仿宋" w:cs="仿宋"/>
                <w:sz w:val="22"/>
                <w:szCs w:val="22"/>
              </w:rPr>
              <w:t>分值</w:t>
            </w:r>
          </w:p>
        </w:tc>
        <w:tc>
          <w:tcPr>
            <w:tcW w:w="970" w:type="dxa"/>
            <w:tcBorders>
              <w:top w:val="single" w:color="auto" w:sz="4" w:space="0"/>
              <w:left w:val="single" w:color="auto" w:sz="4" w:space="0"/>
              <w:bottom w:val="single" w:color="auto" w:sz="4" w:space="0"/>
            </w:tcBorders>
            <w:vAlign w:val="center"/>
          </w:tcPr>
          <w:p w14:paraId="12488A6A">
            <w:pPr>
              <w:autoSpaceDE w:val="0"/>
              <w:autoSpaceDN w:val="0"/>
              <w:jc w:val="center"/>
              <w:rPr>
                <w:rFonts w:hint="eastAsia" w:ascii="仿宋" w:hAnsi="仿宋" w:eastAsia="仿宋" w:cs="仿宋"/>
                <w:sz w:val="22"/>
                <w:szCs w:val="22"/>
              </w:rPr>
            </w:pPr>
            <w:r>
              <w:rPr>
                <w:rFonts w:hint="eastAsia" w:ascii="仿宋" w:hAnsi="仿宋" w:eastAsia="仿宋" w:cs="仿宋"/>
                <w:sz w:val="22"/>
                <w:szCs w:val="22"/>
              </w:rPr>
              <w:t>备注</w:t>
            </w:r>
          </w:p>
        </w:tc>
      </w:tr>
    </w:tbl>
    <w:p w14:paraId="622D5DC6">
      <w:pPr>
        <w:spacing w:line="460" w:lineRule="exact"/>
        <w:jc w:val="center"/>
        <w:rPr>
          <w:rFonts w:hint="eastAsia" w:ascii="仿宋" w:hAnsi="仿宋" w:eastAsia="仿宋" w:cs="仿宋"/>
          <w:sz w:val="22"/>
          <w:szCs w:val="22"/>
        </w:rPr>
        <w:sectPr>
          <w:footerReference r:id="rId7" w:type="first"/>
          <w:headerReference r:id="rId5" w:type="default"/>
          <w:footerReference r:id="rId6" w:type="default"/>
          <w:pgSz w:w="11906" w:h="16838"/>
          <w:pgMar w:top="1134" w:right="1134" w:bottom="1134" w:left="1134" w:header="851" w:footer="992" w:gutter="0"/>
          <w:cols w:space="720" w:num="1"/>
          <w:titlePg/>
          <w:docGrid w:linePitch="312" w:charSpace="0"/>
        </w:sectPr>
      </w:pPr>
    </w:p>
    <w:tbl>
      <w:tblPr>
        <w:tblStyle w:val="11"/>
        <w:tblW w:w="1038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
        <w:gridCol w:w="768"/>
        <w:gridCol w:w="1128"/>
        <w:gridCol w:w="5942"/>
        <w:gridCol w:w="591"/>
        <w:gridCol w:w="970"/>
      </w:tblGrid>
      <w:tr w14:paraId="53F495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jc w:val="center"/>
        </w:trPr>
        <w:tc>
          <w:tcPr>
            <w:tcW w:w="985" w:type="dxa"/>
            <w:vMerge w:val="restart"/>
            <w:tcBorders>
              <w:right w:val="single" w:color="auto" w:sz="4" w:space="0"/>
            </w:tcBorders>
            <w:vAlign w:val="center"/>
          </w:tcPr>
          <w:p w14:paraId="532783A2">
            <w:pPr>
              <w:spacing w:line="460" w:lineRule="exact"/>
              <w:jc w:val="center"/>
              <w:rPr>
                <w:rFonts w:hint="eastAsia" w:ascii="仿宋" w:hAnsi="仿宋" w:eastAsia="仿宋" w:cs="仿宋"/>
                <w:sz w:val="22"/>
                <w:szCs w:val="22"/>
              </w:rPr>
            </w:pPr>
          </w:p>
        </w:tc>
        <w:tc>
          <w:tcPr>
            <w:tcW w:w="768" w:type="dxa"/>
            <w:vMerge w:val="restart"/>
            <w:tcBorders>
              <w:right w:val="single" w:color="auto" w:sz="4" w:space="0"/>
            </w:tcBorders>
            <w:vAlign w:val="center"/>
          </w:tcPr>
          <w:p w14:paraId="1E3446A6">
            <w:pPr>
              <w:spacing w:line="460" w:lineRule="exact"/>
              <w:jc w:val="center"/>
              <w:rPr>
                <w:rFonts w:hint="eastAsia" w:ascii="仿宋" w:hAnsi="仿宋" w:eastAsia="仿宋" w:cs="仿宋"/>
                <w:sz w:val="22"/>
                <w:szCs w:val="22"/>
              </w:rPr>
            </w:pPr>
          </w:p>
        </w:tc>
        <w:tc>
          <w:tcPr>
            <w:tcW w:w="1128" w:type="dxa"/>
            <w:tcBorders>
              <w:top w:val="single" w:color="auto" w:sz="4" w:space="0"/>
              <w:left w:val="single" w:color="auto" w:sz="4" w:space="0"/>
              <w:right w:val="single" w:color="auto" w:sz="4" w:space="0"/>
            </w:tcBorders>
            <w:vAlign w:val="center"/>
          </w:tcPr>
          <w:p w14:paraId="782D8A83">
            <w:pPr>
              <w:jc w:val="center"/>
              <w:rPr>
                <w:rFonts w:hint="eastAsia" w:ascii="仿宋" w:hAnsi="仿宋" w:eastAsia="仿宋" w:cs="仿宋"/>
                <w:sz w:val="22"/>
                <w:szCs w:val="22"/>
              </w:rPr>
            </w:pPr>
            <w:r>
              <w:rPr>
                <w:rFonts w:hint="eastAsia" w:ascii="仿宋" w:hAnsi="仿宋" w:eastAsia="仿宋" w:cs="仿宋"/>
                <w:sz w:val="22"/>
                <w:szCs w:val="22"/>
              </w:rPr>
              <w:t>供应商</w:t>
            </w:r>
          </w:p>
          <w:p w14:paraId="09A53A99">
            <w:pPr>
              <w:jc w:val="center"/>
              <w:rPr>
                <w:rFonts w:hint="eastAsia" w:ascii="仿宋" w:hAnsi="仿宋" w:eastAsia="仿宋" w:cs="仿宋"/>
                <w:sz w:val="22"/>
                <w:szCs w:val="22"/>
              </w:rPr>
            </w:pPr>
            <w:r>
              <w:rPr>
                <w:rFonts w:hint="eastAsia" w:ascii="仿宋" w:hAnsi="仿宋" w:eastAsia="仿宋" w:cs="仿宋"/>
                <w:sz w:val="22"/>
                <w:szCs w:val="22"/>
              </w:rPr>
              <w:t>综合实力</w:t>
            </w:r>
          </w:p>
        </w:tc>
        <w:tc>
          <w:tcPr>
            <w:tcW w:w="5942" w:type="dxa"/>
            <w:tcBorders>
              <w:top w:val="single" w:color="auto" w:sz="4" w:space="0"/>
              <w:left w:val="single" w:color="auto" w:sz="4" w:space="0"/>
              <w:right w:val="single" w:color="auto" w:sz="4" w:space="0"/>
            </w:tcBorders>
            <w:vAlign w:val="center"/>
          </w:tcPr>
          <w:p w14:paraId="07AC4C44">
            <w:pPr>
              <w:rPr>
                <w:rFonts w:hint="eastAsia" w:ascii="仿宋" w:hAnsi="仿宋" w:eastAsia="仿宋" w:cs="仿宋"/>
                <w:sz w:val="22"/>
                <w:szCs w:val="22"/>
              </w:rPr>
            </w:pPr>
            <w:r>
              <w:rPr>
                <w:rFonts w:hint="eastAsia" w:ascii="仿宋" w:hAnsi="仿宋" w:eastAsia="仿宋" w:cs="仿宋"/>
                <w:sz w:val="22"/>
                <w:szCs w:val="22"/>
              </w:rPr>
              <w:t>1、磋商供应商具有ISO9001质量管理体系认证得1分；</w:t>
            </w:r>
          </w:p>
          <w:p w14:paraId="377824DC">
            <w:pPr>
              <w:rPr>
                <w:rFonts w:hint="eastAsia" w:ascii="仿宋" w:hAnsi="仿宋" w:eastAsia="仿宋" w:cs="仿宋"/>
                <w:sz w:val="22"/>
                <w:szCs w:val="22"/>
              </w:rPr>
            </w:pPr>
            <w:r>
              <w:rPr>
                <w:rFonts w:hint="eastAsia" w:ascii="仿宋" w:hAnsi="仿宋" w:eastAsia="仿宋" w:cs="仿宋"/>
                <w:sz w:val="22"/>
                <w:szCs w:val="22"/>
              </w:rPr>
              <w:t>2、磋商供应商具有ISO27001信息安全管理体系认证得1分；</w:t>
            </w:r>
          </w:p>
          <w:p w14:paraId="41743CB6">
            <w:pPr>
              <w:rPr>
                <w:rFonts w:hint="eastAsia" w:ascii="仿宋" w:hAnsi="仿宋" w:eastAsia="仿宋" w:cs="仿宋"/>
                <w:sz w:val="22"/>
                <w:szCs w:val="22"/>
              </w:rPr>
            </w:pPr>
            <w:r>
              <w:rPr>
                <w:rFonts w:hint="eastAsia" w:ascii="仿宋" w:hAnsi="仿宋" w:eastAsia="仿宋" w:cs="仿宋"/>
                <w:sz w:val="22"/>
                <w:szCs w:val="22"/>
              </w:rPr>
              <w:t>3、磋商供应商具有ISO20000信息技术服务管理体系认证得1分；</w:t>
            </w:r>
          </w:p>
          <w:p w14:paraId="23225DCD">
            <w:pPr>
              <w:rPr>
                <w:rFonts w:hint="eastAsia" w:ascii="仿宋" w:hAnsi="仿宋" w:eastAsia="仿宋" w:cs="仿宋"/>
                <w:sz w:val="22"/>
                <w:szCs w:val="22"/>
              </w:rPr>
            </w:pPr>
            <w:r>
              <w:rPr>
                <w:rFonts w:hint="eastAsia" w:ascii="仿宋" w:hAnsi="仿宋" w:eastAsia="仿宋" w:cs="仿宋"/>
                <w:sz w:val="22"/>
                <w:szCs w:val="22"/>
              </w:rPr>
              <w:t>4、磋商供应商具有GB/T 27922-2011售后服务能力（五星级）认证的得1分。</w:t>
            </w:r>
          </w:p>
          <w:p w14:paraId="21E9B13D">
            <w:pPr>
              <w:rPr>
                <w:rFonts w:hint="eastAsia" w:ascii="仿宋" w:hAnsi="仿宋" w:eastAsia="仿宋" w:cs="仿宋"/>
                <w:sz w:val="22"/>
                <w:szCs w:val="22"/>
              </w:rPr>
            </w:pPr>
            <w:r>
              <w:rPr>
                <w:rFonts w:hint="eastAsia" w:ascii="仿宋" w:hAnsi="仿宋" w:eastAsia="仿宋" w:cs="仿宋"/>
                <w:sz w:val="22"/>
                <w:szCs w:val="22"/>
              </w:rPr>
              <w:t>（需提供全国认证认可信息公共服务平台（http://cx.cnca.cn/CertECloud/result/skipResultList）查询结果截图作为证明材料，未提供或证明材料不完善的不得分）。</w:t>
            </w:r>
          </w:p>
        </w:tc>
        <w:tc>
          <w:tcPr>
            <w:tcW w:w="591" w:type="dxa"/>
            <w:tcBorders>
              <w:top w:val="single" w:color="auto" w:sz="4" w:space="0"/>
              <w:left w:val="single" w:color="auto" w:sz="4" w:space="0"/>
            </w:tcBorders>
            <w:vAlign w:val="center"/>
          </w:tcPr>
          <w:p w14:paraId="77EC0C5E">
            <w:pPr>
              <w:jc w:val="center"/>
              <w:rPr>
                <w:rFonts w:hint="eastAsia" w:ascii="仿宋" w:hAnsi="仿宋" w:eastAsia="仿宋" w:cs="仿宋"/>
                <w:sz w:val="22"/>
                <w:szCs w:val="22"/>
              </w:rPr>
            </w:pPr>
            <w:r>
              <w:rPr>
                <w:rFonts w:hint="eastAsia" w:ascii="仿宋" w:hAnsi="仿宋" w:eastAsia="仿宋" w:cs="仿宋"/>
                <w:sz w:val="22"/>
                <w:szCs w:val="22"/>
              </w:rPr>
              <w:t>4</w:t>
            </w:r>
          </w:p>
        </w:tc>
        <w:tc>
          <w:tcPr>
            <w:tcW w:w="970" w:type="dxa"/>
            <w:tcBorders>
              <w:top w:val="single" w:color="auto" w:sz="4" w:space="0"/>
              <w:left w:val="single" w:color="auto" w:sz="4" w:space="0"/>
            </w:tcBorders>
            <w:vAlign w:val="center"/>
          </w:tcPr>
          <w:p w14:paraId="35AA629C">
            <w:pPr>
              <w:jc w:val="center"/>
              <w:rPr>
                <w:rFonts w:hint="eastAsia" w:ascii="仿宋" w:hAnsi="仿宋" w:eastAsia="仿宋" w:cs="仿宋"/>
                <w:sz w:val="22"/>
                <w:szCs w:val="22"/>
              </w:rPr>
            </w:pPr>
            <w:r>
              <w:rPr>
                <w:rFonts w:hint="eastAsia" w:ascii="仿宋" w:hAnsi="仿宋" w:eastAsia="仿宋" w:cs="仿宋"/>
                <w:sz w:val="22"/>
                <w:szCs w:val="22"/>
              </w:rPr>
              <w:t>客观分</w:t>
            </w:r>
          </w:p>
        </w:tc>
      </w:tr>
      <w:tr w14:paraId="6F8A7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5" w:hRule="atLeast"/>
          <w:jc w:val="center"/>
        </w:trPr>
        <w:tc>
          <w:tcPr>
            <w:tcW w:w="985" w:type="dxa"/>
            <w:vMerge w:val="continue"/>
            <w:tcBorders>
              <w:right w:val="single" w:color="auto" w:sz="4" w:space="0"/>
            </w:tcBorders>
            <w:vAlign w:val="center"/>
          </w:tcPr>
          <w:p w14:paraId="6025E472">
            <w:pPr>
              <w:spacing w:line="460" w:lineRule="exact"/>
              <w:jc w:val="center"/>
              <w:rPr>
                <w:rFonts w:hint="eastAsia" w:ascii="仿宋" w:hAnsi="仿宋" w:eastAsia="仿宋" w:cs="仿宋"/>
                <w:sz w:val="22"/>
                <w:szCs w:val="22"/>
              </w:rPr>
            </w:pPr>
          </w:p>
        </w:tc>
        <w:tc>
          <w:tcPr>
            <w:tcW w:w="768" w:type="dxa"/>
            <w:vMerge w:val="continue"/>
            <w:tcBorders>
              <w:right w:val="single" w:color="auto" w:sz="4" w:space="0"/>
            </w:tcBorders>
            <w:vAlign w:val="center"/>
          </w:tcPr>
          <w:p w14:paraId="4E9D1A92">
            <w:pPr>
              <w:spacing w:line="460" w:lineRule="exact"/>
              <w:jc w:val="center"/>
              <w:rPr>
                <w:rFonts w:hint="eastAsia" w:ascii="仿宋" w:hAnsi="仿宋" w:eastAsia="仿宋" w:cs="仿宋"/>
                <w:sz w:val="22"/>
                <w:szCs w:val="22"/>
              </w:rPr>
            </w:pPr>
          </w:p>
        </w:tc>
        <w:tc>
          <w:tcPr>
            <w:tcW w:w="1128" w:type="dxa"/>
            <w:tcBorders>
              <w:top w:val="single" w:color="auto" w:sz="4" w:space="0"/>
              <w:left w:val="single" w:color="auto" w:sz="4" w:space="0"/>
              <w:right w:val="single" w:color="auto" w:sz="4" w:space="0"/>
            </w:tcBorders>
            <w:vAlign w:val="center"/>
          </w:tcPr>
          <w:p w14:paraId="41C65A24">
            <w:pPr>
              <w:jc w:val="center"/>
              <w:rPr>
                <w:rFonts w:hint="eastAsia" w:ascii="仿宋" w:hAnsi="仿宋" w:eastAsia="仿宋" w:cs="仿宋"/>
                <w:sz w:val="22"/>
                <w:szCs w:val="22"/>
              </w:rPr>
            </w:pPr>
            <w:r>
              <w:rPr>
                <w:rFonts w:hint="eastAsia" w:ascii="仿宋" w:hAnsi="仿宋" w:eastAsia="仿宋" w:cs="仿宋"/>
                <w:sz w:val="22"/>
                <w:szCs w:val="22"/>
              </w:rPr>
              <w:t>经验业绩</w:t>
            </w:r>
          </w:p>
        </w:tc>
        <w:tc>
          <w:tcPr>
            <w:tcW w:w="5942" w:type="dxa"/>
            <w:tcBorders>
              <w:top w:val="single" w:color="auto" w:sz="4" w:space="0"/>
              <w:left w:val="single" w:color="auto" w:sz="4" w:space="0"/>
              <w:right w:val="single" w:color="auto" w:sz="4" w:space="0"/>
            </w:tcBorders>
            <w:vAlign w:val="center"/>
          </w:tcPr>
          <w:p w14:paraId="11EFD45E">
            <w:pPr>
              <w:rPr>
                <w:rFonts w:hint="eastAsia" w:ascii="仿宋" w:hAnsi="仿宋" w:eastAsia="仿宋" w:cs="仿宋"/>
                <w:sz w:val="22"/>
                <w:szCs w:val="22"/>
              </w:rPr>
            </w:pPr>
            <w:r>
              <w:rPr>
                <w:rFonts w:hint="eastAsia" w:ascii="仿宋" w:hAnsi="仿宋" w:eastAsia="仿宋" w:cs="仿宋"/>
                <w:sz w:val="22"/>
                <w:szCs w:val="22"/>
              </w:rPr>
              <w:t>磋商供应商自2022年1月1日（以合同签订最晚落款时间为准）以来具有类似网络安全项目案例的每个得1分，最高得3分。</w:t>
            </w:r>
          </w:p>
          <w:p w14:paraId="706C71D1">
            <w:pPr>
              <w:rPr>
                <w:rFonts w:hint="eastAsia" w:ascii="仿宋" w:hAnsi="仿宋" w:eastAsia="仿宋" w:cs="仿宋"/>
                <w:sz w:val="22"/>
                <w:szCs w:val="22"/>
              </w:rPr>
            </w:pPr>
            <w:r>
              <w:rPr>
                <w:rFonts w:hint="eastAsia" w:ascii="仿宋" w:hAnsi="仿宋" w:eastAsia="仿宋" w:cs="仿宋"/>
                <w:sz w:val="22"/>
                <w:szCs w:val="22"/>
              </w:rPr>
              <w:t>注：需提供合同等证明材料复印件，否则不得分。</w:t>
            </w:r>
          </w:p>
        </w:tc>
        <w:tc>
          <w:tcPr>
            <w:tcW w:w="591" w:type="dxa"/>
            <w:tcBorders>
              <w:top w:val="single" w:color="auto" w:sz="4" w:space="0"/>
              <w:left w:val="single" w:color="auto" w:sz="4" w:space="0"/>
            </w:tcBorders>
            <w:vAlign w:val="center"/>
          </w:tcPr>
          <w:p w14:paraId="0E110159">
            <w:pPr>
              <w:jc w:val="center"/>
              <w:rPr>
                <w:rFonts w:hint="eastAsia" w:ascii="仿宋" w:hAnsi="仿宋" w:eastAsia="仿宋" w:cs="仿宋"/>
                <w:sz w:val="22"/>
                <w:szCs w:val="22"/>
              </w:rPr>
            </w:pPr>
            <w:r>
              <w:rPr>
                <w:rFonts w:hint="eastAsia" w:ascii="仿宋" w:hAnsi="仿宋" w:eastAsia="仿宋" w:cs="仿宋"/>
                <w:sz w:val="22"/>
                <w:szCs w:val="22"/>
              </w:rPr>
              <w:t>3</w:t>
            </w:r>
          </w:p>
        </w:tc>
        <w:tc>
          <w:tcPr>
            <w:tcW w:w="970" w:type="dxa"/>
            <w:tcBorders>
              <w:top w:val="single" w:color="auto" w:sz="4" w:space="0"/>
              <w:left w:val="single" w:color="auto" w:sz="4" w:space="0"/>
            </w:tcBorders>
            <w:vAlign w:val="center"/>
          </w:tcPr>
          <w:p w14:paraId="7EFF6A7F">
            <w:pPr>
              <w:jc w:val="center"/>
              <w:rPr>
                <w:rFonts w:hint="eastAsia" w:ascii="仿宋" w:hAnsi="仿宋" w:eastAsia="仿宋" w:cs="仿宋"/>
                <w:sz w:val="22"/>
                <w:szCs w:val="22"/>
              </w:rPr>
            </w:pPr>
            <w:r>
              <w:rPr>
                <w:rFonts w:hint="eastAsia" w:ascii="仿宋" w:hAnsi="仿宋" w:eastAsia="仿宋" w:cs="仿宋"/>
                <w:sz w:val="22"/>
                <w:szCs w:val="22"/>
              </w:rPr>
              <w:t>客观分</w:t>
            </w:r>
          </w:p>
        </w:tc>
      </w:tr>
      <w:tr w14:paraId="5DF2B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0" w:hRule="atLeast"/>
          <w:jc w:val="center"/>
        </w:trPr>
        <w:tc>
          <w:tcPr>
            <w:tcW w:w="985" w:type="dxa"/>
            <w:vMerge w:val="continue"/>
            <w:tcBorders>
              <w:right w:val="single" w:color="auto" w:sz="4" w:space="0"/>
            </w:tcBorders>
            <w:vAlign w:val="center"/>
          </w:tcPr>
          <w:p w14:paraId="233BB76F">
            <w:pPr>
              <w:spacing w:line="460" w:lineRule="exact"/>
              <w:jc w:val="center"/>
              <w:rPr>
                <w:rFonts w:hint="eastAsia" w:ascii="仿宋" w:hAnsi="仿宋" w:eastAsia="仿宋" w:cs="仿宋"/>
                <w:sz w:val="22"/>
                <w:szCs w:val="22"/>
              </w:rPr>
            </w:pPr>
          </w:p>
        </w:tc>
        <w:tc>
          <w:tcPr>
            <w:tcW w:w="768" w:type="dxa"/>
            <w:vMerge w:val="continue"/>
            <w:tcBorders>
              <w:right w:val="single" w:color="auto" w:sz="4" w:space="0"/>
            </w:tcBorders>
            <w:vAlign w:val="center"/>
          </w:tcPr>
          <w:p w14:paraId="625C7371">
            <w:pPr>
              <w:spacing w:line="460" w:lineRule="exact"/>
              <w:jc w:val="center"/>
              <w:rPr>
                <w:rFonts w:hint="eastAsia" w:ascii="仿宋" w:hAnsi="仿宋" w:eastAsia="仿宋" w:cs="仿宋"/>
                <w:sz w:val="22"/>
                <w:szCs w:val="22"/>
              </w:rPr>
            </w:pPr>
          </w:p>
        </w:tc>
        <w:tc>
          <w:tcPr>
            <w:tcW w:w="1128" w:type="dxa"/>
            <w:tcBorders>
              <w:top w:val="single" w:color="auto" w:sz="4" w:space="0"/>
              <w:left w:val="single" w:color="auto" w:sz="4" w:space="0"/>
              <w:right w:val="single" w:color="auto" w:sz="4" w:space="0"/>
            </w:tcBorders>
            <w:vAlign w:val="center"/>
          </w:tcPr>
          <w:p w14:paraId="5D4FBF99">
            <w:pPr>
              <w:jc w:val="center"/>
              <w:rPr>
                <w:rFonts w:hint="eastAsia" w:ascii="仿宋" w:hAnsi="仿宋" w:eastAsia="仿宋" w:cs="仿宋"/>
                <w:sz w:val="22"/>
                <w:szCs w:val="22"/>
              </w:rPr>
            </w:pPr>
            <w:r>
              <w:rPr>
                <w:rFonts w:hint="eastAsia" w:ascii="仿宋" w:hAnsi="仿宋" w:eastAsia="仿宋" w:cs="仿宋"/>
                <w:sz w:val="22"/>
                <w:szCs w:val="22"/>
              </w:rPr>
              <w:t>现状理解</w:t>
            </w:r>
          </w:p>
        </w:tc>
        <w:tc>
          <w:tcPr>
            <w:tcW w:w="5942" w:type="dxa"/>
            <w:tcBorders>
              <w:top w:val="single" w:color="auto" w:sz="4" w:space="0"/>
              <w:left w:val="single" w:color="auto" w:sz="4" w:space="0"/>
              <w:right w:val="single" w:color="auto" w:sz="4" w:space="0"/>
            </w:tcBorders>
            <w:vAlign w:val="center"/>
          </w:tcPr>
          <w:p w14:paraId="0E1AA9E1">
            <w:pPr>
              <w:rPr>
                <w:rFonts w:hint="eastAsia" w:ascii="仿宋" w:hAnsi="仿宋" w:eastAsia="仿宋" w:cs="仿宋"/>
                <w:sz w:val="22"/>
                <w:szCs w:val="22"/>
              </w:rPr>
            </w:pPr>
            <w:r>
              <w:rPr>
                <w:rFonts w:hint="eastAsia" w:ascii="仿宋" w:hAnsi="仿宋" w:eastAsia="仿宋" w:cs="仿宋"/>
                <w:sz w:val="22"/>
                <w:szCs w:val="22"/>
              </w:rPr>
              <w:t>磋商供应商对于本项目的业务现状、实施目标、建设内容的理解全面、充分，有利于项目目标的实现的情况进行评分。（评分范围：4,3,2,1,0）</w:t>
            </w:r>
          </w:p>
        </w:tc>
        <w:tc>
          <w:tcPr>
            <w:tcW w:w="591" w:type="dxa"/>
            <w:tcBorders>
              <w:top w:val="single" w:color="auto" w:sz="4" w:space="0"/>
              <w:left w:val="single" w:color="auto" w:sz="4" w:space="0"/>
            </w:tcBorders>
            <w:vAlign w:val="center"/>
          </w:tcPr>
          <w:p w14:paraId="43DFE76B">
            <w:pPr>
              <w:jc w:val="center"/>
              <w:rPr>
                <w:rFonts w:hint="eastAsia" w:ascii="仿宋" w:hAnsi="仿宋" w:eastAsia="仿宋" w:cs="仿宋"/>
                <w:sz w:val="22"/>
                <w:szCs w:val="22"/>
              </w:rPr>
            </w:pPr>
            <w:r>
              <w:rPr>
                <w:rFonts w:hint="eastAsia" w:ascii="仿宋" w:hAnsi="仿宋" w:eastAsia="仿宋" w:cs="仿宋"/>
                <w:sz w:val="22"/>
                <w:szCs w:val="22"/>
              </w:rPr>
              <w:t>4</w:t>
            </w:r>
          </w:p>
        </w:tc>
        <w:tc>
          <w:tcPr>
            <w:tcW w:w="970" w:type="dxa"/>
            <w:tcBorders>
              <w:top w:val="single" w:color="auto" w:sz="4" w:space="0"/>
              <w:left w:val="single" w:color="auto" w:sz="4" w:space="0"/>
            </w:tcBorders>
            <w:vAlign w:val="center"/>
          </w:tcPr>
          <w:p w14:paraId="17061CD4">
            <w:pPr>
              <w:jc w:val="center"/>
              <w:rPr>
                <w:rFonts w:hint="eastAsia" w:ascii="仿宋" w:hAnsi="仿宋" w:eastAsia="仿宋" w:cs="仿宋"/>
                <w:sz w:val="22"/>
                <w:szCs w:val="22"/>
              </w:rPr>
            </w:pPr>
            <w:r>
              <w:rPr>
                <w:rFonts w:hint="eastAsia" w:ascii="仿宋" w:hAnsi="仿宋" w:eastAsia="仿宋" w:cs="仿宋"/>
                <w:sz w:val="22"/>
                <w:szCs w:val="22"/>
              </w:rPr>
              <w:t>主观分</w:t>
            </w:r>
          </w:p>
        </w:tc>
      </w:tr>
      <w:tr w14:paraId="06F299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0" w:hRule="atLeast"/>
          <w:jc w:val="center"/>
        </w:trPr>
        <w:tc>
          <w:tcPr>
            <w:tcW w:w="985" w:type="dxa"/>
            <w:vMerge w:val="continue"/>
            <w:tcBorders>
              <w:right w:val="single" w:color="auto" w:sz="4" w:space="0"/>
            </w:tcBorders>
            <w:vAlign w:val="center"/>
          </w:tcPr>
          <w:p w14:paraId="6ADCCBC7">
            <w:pPr>
              <w:spacing w:line="460" w:lineRule="exact"/>
              <w:jc w:val="center"/>
              <w:rPr>
                <w:rFonts w:hint="eastAsia" w:ascii="仿宋" w:hAnsi="仿宋" w:eastAsia="仿宋" w:cs="仿宋"/>
                <w:sz w:val="22"/>
                <w:szCs w:val="22"/>
              </w:rPr>
            </w:pPr>
          </w:p>
        </w:tc>
        <w:tc>
          <w:tcPr>
            <w:tcW w:w="768" w:type="dxa"/>
            <w:vMerge w:val="continue"/>
            <w:tcBorders>
              <w:right w:val="single" w:color="auto" w:sz="4" w:space="0"/>
            </w:tcBorders>
            <w:vAlign w:val="center"/>
          </w:tcPr>
          <w:p w14:paraId="06235090">
            <w:pPr>
              <w:spacing w:line="460" w:lineRule="exact"/>
              <w:jc w:val="center"/>
              <w:rPr>
                <w:rFonts w:hint="eastAsia" w:ascii="仿宋" w:hAnsi="仿宋" w:eastAsia="仿宋" w:cs="仿宋"/>
                <w:sz w:val="22"/>
                <w:szCs w:val="22"/>
              </w:rPr>
            </w:pPr>
          </w:p>
        </w:tc>
        <w:tc>
          <w:tcPr>
            <w:tcW w:w="1128" w:type="dxa"/>
            <w:tcBorders>
              <w:top w:val="single" w:color="auto" w:sz="4" w:space="0"/>
              <w:left w:val="single" w:color="auto" w:sz="4" w:space="0"/>
              <w:right w:val="single" w:color="auto" w:sz="4" w:space="0"/>
            </w:tcBorders>
            <w:vAlign w:val="center"/>
          </w:tcPr>
          <w:p w14:paraId="67A0E234">
            <w:pPr>
              <w:jc w:val="center"/>
              <w:rPr>
                <w:rFonts w:hint="eastAsia" w:ascii="仿宋" w:hAnsi="仿宋" w:eastAsia="仿宋" w:cs="仿宋"/>
                <w:sz w:val="22"/>
                <w:szCs w:val="22"/>
              </w:rPr>
            </w:pPr>
            <w:r>
              <w:rPr>
                <w:rFonts w:hint="eastAsia" w:ascii="仿宋" w:hAnsi="仿宋" w:eastAsia="仿宋" w:cs="仿宋"/>
                <w:sz w:val="22"/>
                <w:szCs w:val="22"/>
              </w:rPr>
              <w:t>响应情况</w:t>
            </w:r>
          </w:p>
        </w:tc>
        <w:tc>
          <w:tcPr>
            <w:tcW w:w="5942" w:type="dxa"/>
            <w:tcBorders>
              <w:top w:val="single" w:color="auto" w:sz="4" w:space="0"/>
              <w:left w:val="single" w:color="auto" w:sz="4" w:space="0"/>
              <w:right w:val="single" w:color="auto" w:sz="4" w:space="0"/>
            </w:tcBorders>
            <w:vAlign w:val="center"/>
          </w:tcPr>
          <w:p w14:paraId="12C7336A">
            <w:pPr>
              <w:rPr>
                <w:rFonts w:hint="eastAsia" w:ascii="仿宋" w:hAnsi="仿宋" w:eastAsia="仿宋" w:cs="仿宋"/>
                <w:sz w:val="22"/>
                <w:szCs w:val="22"/>
              </w:rPr>
            </w:pPr>
            <w:r>
              <w:rPr>
                <w:rFonts w:hint="eastAsia" w:ascii="仿宋" w:hAnsi="仿宋" w:eastAsia="仿宋" w:cs="仿宋"/>
                <w:sz w:val="22"/>
                <w:szCs w:val="22"/>
              </w:rPr>
              <w:t>对采购文件采购需求中“服务内容与技术要求”的符合情况进行评价打分：完全符合采购文件的要求的得30分，打“★”的条款每不满足一条扣2分，未打“★”的条款每不满足一条扣1分，分值扣完为止。</w:t>
            </w:r>
          </w:p>
        </w:tc>
        <w:tc>
          <w:tcPr>
            <w:tcW w:w="591" w:type="dxa"/>
            <w:tcBorders>
              <w:top w:val="single" w:color="auto" w:sz="4" w:space="0"/>
              <w:left w:val="single" w:color="auto" w:sz="4" w:space="0"/>
            </w:tcBorders>
            <w:vAlign w:val="center"/>
          </w:tcPr>
          <w:p w14:paraId="3D2F3CF1">
            <w:pPr>
              <w:jc w:val="center"/>
              <w:rPr>
                <w:rFonts w:hint="eastAsia" w:ascii="仿宋" w:hAnsi="仿宋" w:eastAsia="仿宋" w:cs="仿宋"/>
                <w:sz w:val="22"/>
                <w:szCs w:val="22"/>
              </w:rPr>
            </w:pPr>
            <w:r>
              <w:rPr>
                <w:rFonts w:hint="eastAsia" w:ascii="仿宋" w:hAnsi="仿宋" w:eastAsia="仿宋" w:cs="仿宋"/>
                <w:sz w:val="22"/>
                <w:szCs w:val="22"/>
              </w:rPr>
              <w:t>30</w:t>
            </w:r>
          </w:p>
        </w:tc>
        <w:tc>
          <w:tcPr>
            <w:tcW w:w="970" w:type="dxa"/>
            <w:tcBorders>
              <w:top w:val="single" w:color="auto" w:sz="4" w:space="0"/>
              <w:left w:val="single" w:color="auto" w:sz="4" w:space="0"/>
            </w:tcBorders>
            <w:vAlign w:val="center"/>
          </w:tcPr>
          <w:p w14:paraId="0F91C9D0">
            <w:pPr>
              <w:jc w:val="center"/>
              <w:rPr>
                <w:rFonts w:hint="eastAsia" w:ascii="仿宋" w:hAnsi="仿宋" w:eastAsia="仿宋" w:cs="仿宋"/>
                <w:sz w:val="22"/>
                <w:szCs w:val="22"/>
              </w:rPr>
            </w:pPr>
            <w:r>
              <w:rPr>
                <w:rFonts w:hint="eastAsia" w:ascii="仿宋" w:hAnsi="仿宋" w:eastAsia="仿宋" w:cs="仿宋"/>
                <w:sz w:val="22"/>
                <w:szCs w:val="22"/>
              </w:rPr>
              <w:t>客观分</w:t>
            </w:r>
          </w:p>
        </w:tc>
      </w:tr>
      <w:tr w14:paraId="25B64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65" w:hRule="atLeast"/>
          <w:jc w:val="center"/>
        </w:trPr>
        <w:tc>
          <w:tcPr>
            <w:tcW w:w="985" w:type="dxa"/>
            <w:vMerge w:val="continue"/>
            <w:tcBorders>
              <w:right w:val="single" w:color="auto" w:sz="4" w:space="0"/>
            </w:tcBorders>
            <w:vAlign w:val="center"/>
          </w:tcPr>
          <w:p w14:paraId="0CFF1A39">
            <w:pPr>
              <w:spacing w:line="460" w:lineRule="exact"/>
              <w:jc w:val="center"/>
              <w:rPr>
                <w:rFonts w:hint="eastAsia" w:ascii="仿宋" w:hAnsi="仿宋" w:eastAsia="仿宋" w:cs="仿宋"/>
                <w:sz w:val="22"/>
                <w:szCs w:val="22"/>
              </w:rPr>
            </w:pPr>
          </w:p>
        </w:tc>
        <w:tc>
          <w:tcPr>
            <w:tcW w:w="768" w:type="dxa"/>
            <w:vMerge w:val="continue"/>
            <w:tcBorders>
              <w:right w:val="single" w:color="auto" w:sz="4" w:space="0"/>
            </w:tcBorders>
            <w:vAlign w:val="center"/>
          </w:tcPr>
          <w:p w14:paraId="21A3EBB0">
            <w:pPr>
              <w:spacing w:line="460" w:lineRule="exact"/>
              <w:jc w:val="center"/>
              <w:rPr>
                <w:rFonts w:hint="eastAsia" w:ascii="仿宋" w:hAnsi="仿宋" w:eastAsia="仿宋" w:cs="仿宋"/>
                <w:sz w:val="22"/>
                <w:szCs w:val="22"/>
              </w:rPr>
            </w:pPr>
          </w:p>
        </w:tc>
        <w:tc>
          <w:tcPr>
            <w:tcW w:w="1128" w:type="dxa"/>
            <w:tcBorders>
              <w:top w:val="single" w:color="auto" w:sz="4" w:space="0"/>
              <w:left w:val="single" w:color="auto" w:sz="4" w:space="0"/>
              <w:right w:val="single" w:color="auto" w:sz="4" w:space="0"/>
            </w:tcBorders>
            <w:vAlign w:val="center"/>
          </w:tcPr>
          <w:p w14:paraId="58C53ED3">
            <w:pPr>
              <w:jc w:val="center"/>
              <w:rPr>
                <w:rFonts w:hint="eastAsia" w:ascii="仿宋" w:hAnsi="仿宋" w:eastAsia="仿宋" w:cs="仿宋"/>
                <w:sz w:val="22"/>
                <w:szCs w:val="22"/>
              </w:rPr>
            </w:pPr>
            <w:r>
              <w:rPr>
                <w:rFonts w:hint="eastAsia" w:ascii="仿宋" w:hAnsi="仿宋" w:eastAsia="仿宋" w:cs="仿宋"/>
                <w:sz w:val="22"/>
                <w:szCs w:val="22"/>
              </w:rPr>
              <w:t>项目团队情况</w:t>
            </w:r>
          </w:p>
        </w:tc>
        <w:tc>
          <w:tcPr>
            <w:tcW w:w="5942" w:type="dxa"/>
            <w:tcBorders>
              <w:top w:val="single" w:color="auto" w:sz="4" w:space="0"/>
              <w:left w:val="single" w:color="auto" w:sz="4" w:space="0"/>
              <w:right w:val="single" w:color="auto" w:sz="4" w:space="0"/>
            </w:tcBorders>
            <w:vAlign w:val="center"/>
          </w:tcPr>
          <w:p w14:paraId="565F9F1F">
            <w:pPr>
              <w:rPr>
                <w:rFonts w:hint="eastAsia" w:ascii="仿宋" w:hAnsi="仿宋" w:eastAsia="仿宋" w:cs="仿宋"/>
                <w:sz w:val="22"/>
                <w:szCs w:val="22"/>
              </w:rPr>
            </w:pPr>
            <w:r>
              <w:rPr>
                <w:rFonts w:hint="eastAsia" w:ascii="仿宋" w:hAnsi="仿宋" w:eastAsia="仿宋" w:cs="仿宋"/>
                <w:sz w:val="22"/>
                <w:szCs w:val="22"/>
              </w:rPr>
              <w:t>1、投标供应商所投入的项目负责人具有网络规划设计师、信息系统项目管理师、网络与信息安全工程师，每提供一项证书得1分，最高得2分。</w:t>
            </w:r>
            <w:r>
              <w:rPr>
                <w:rFonts w:hint="eastAsia" w:ascii="仿宋" w:hAnsi="仿宋" w:eastAsia="仿宋" w:cs="仿宋"/>
                <w:sz w:val="22"/>
                <w:szCs w:val="22"/>
              </w:rPr>
              <w:br w:type="textWrapping"/>
            </w:r>
            <w:r>
              <w:rPr>
                <w:rFonts w:hint="eastAsia" w:ascii="仿宋" w:hAnsi="仿宋" w:eastAsia="仿宋" w:cs="仿宋"/>
                <w:sz w:val="22"/>
                <w:szCs w:val="22"/>
              </w:rPr>
              <w:t>2、投标供应商所投入的技术负责人具有证书信息系统项目管理师、系统规划与管理师的，每提供一项证书得1分，最高得2分。</w:t>
            </w:r>
            <w:r>
              <w:rPr>
                <w:rFonts w:hint="eastAsia" w:ascii="仿宋" w:hAnsi="仿宋" w:eastAsia="仿宋" w:cs="仿宋"/>
                <w:sz w:val="22"/>
                <w:szCs w:val="22"/>
              </w:rPr>
              <w:br w:type="textWrapping"/>
            </w:r>
            <w:r>
              <w:rPr>
                <w:rFonts w:hint="eastAsia" w:ascii="仿宋" w:hAnsi="仿宋" w:eastAsia="仿宋" w:cs="仿宋"/>
                <w:sz w:val="22"/>
                <w:szCs w:val="22"/>
              </w:rPr>
              <w:t>3、投标供应商所投入的安全负责人（一名）具有信息安全工程师、网络工程师、信息安全管理证书的，每提供一项证书得1分，最高得2分。</w:t>
            </w:r>
            <w:r>
              <w:rPr>
                <w:rFonts w:hint="eastAsia" w:ascii="仿宋" w:hAnsi="仿宋" w:eastAsia="仿宋" w:cs="仿宋"/>
                <w:sz w:val="22"/>
                <w:szCs w:val="22"/>
              </w:rPr>
              <w:br w:type="textWrapping"/>
            </w:r>
            <w:r>
              <w:rPr>
                <w:rFonts w:hint="eastAsia" w:ascii="仿宋" w:hAnsi="仿宋" w:eastAsia="仿宋" w:cs="仿宋"/>
                <w:sz w:val="22"/>
                <w:szCs w:val="22"/>
              </w:rPr>
              <w:t>4、投标供应商所投入的项目组团队人员拥有安全防范工程师、中级系统集成项目管理工程师的，每提供一项证书得1分，最高得1分；</w:t>
            </w:r>
            <w:r>
              <w:rPr>
                <w:rFonts w:hint="eastAsia" w:ascii="仿宋" w:hAnsi="仿宋" w:eastAsia="仿宋" w:cs="仿宋"/>
                <w:sz w:val="22"/>
                <w:szCs w:val="22"/>
              </w:rPr>
              <w:br w:type="textWrapping"/>
            </w:r>
            <w:r>
              <w:rPr>
                <w:rFonts w:hint="eastAsia" w:ascii="仿宋" w:hAnsi="仿宋" w:eastAsia="仿宋" w:cs="仿宋"/>
                <w:sz w:val="22"/>
                <w:szCs w:val="22"/>
              </w:rPr>
              <w:t>（注：①以上全体人员证书签发机构应为人力资源和社会保障部及其下设机构（厅、局、鉴定中心等）或工业和信息化部及其下设机构（厅、局、教育与考试中心、标准化研究院等）或中国信息安全测评中心，否则不得分。②本项目组人员（除负责人）同一个人最多计算一种证书；③以上项目人员需提供完整有效的证书扫描件加盖公章，并提供投标截止时间前近三个月及以上在投标单位的社保证明扫描件加盖公章，不提供社保证明扫描件不得分。</w:t>
            </w:r>
          </w:p>
        </w:tc>
        <w:tc>
          <w:tcPr>
            <w:tcW w:w="591" w:type="dxa"/>
            <w:tcBorders>
              <w:top w:val="single" w:color="auto" w:sz="4" w:space="0"/>
              <w:left w:val="single" w:color="auto" w:sz="4" w:space="0"/>
            </w:tcBorders>
            <w:vAlign w:val="center"/>
          </w:tcPr>
          <w:p w14:paraId="33E098DF">
            <w:pPr>
              <w:jc w:val="center"/>
              <w:rPr>
                <w:rFonts w:hint="eastAsia" w:ascii="仿宋" w:hAnsi="仿宋" w:eastAsia="仿宋" w:cs="仿宋"/>
                <w:sz w:val="22"/>
                <w:szCs w:val="22"/>
              </w:rPr>
            </w:pPr>
            <w:r>
              <w:rPr>
                <w:rFonts w:hint="eastAsia" w:ascii="仿宋" w:hAnsi="仿宋" w:eastAsia="仿宋" w:cs="仿宋"/>
                <w:sz w:val="22"/>
                <w:szCs w:val="22"/>
              </w:rPr>
              <w:t>7</w:t>
            </w:r>
          </w:p>
        </w:tc>
        <w:tc>
          <w:tcPr>
            <w:tcW w:w="970" w:type="dxa"/>
            <w:tcBorders>
              <w:top w:val="single" w:color="auto" w:sz="4" w:space="0"/>
              <w:left w:val="single" w:color="auto" w:sz="4" w:space="0"/>
            </w:tcBorders>
            <w:vAlign w:val="center"/>
          </w:tcPr>
          <w:p w14:paraId="361F38F1">
            <w:pPr>
              <w:jc w:val="center"/>
              <w:rPr>
                <w:rFonts w:hint="eastAsia" w:ascii="仿宋" w:hAnsi="仿宋" w:eastAsia="仿宋" w:cs="仿宋"/>
                <w:sz w:val="22"/>
                <w:szCs w:val="22"/>
              </w:rPr>
            </w:pPr>
            <w:r>
              <w:rPr>
                <w:rFonts w:hint="eastAsia" w:ascii="仿宋" w:hAnsi="仿宋" w:eastAsia="仿宋" w:cs="仿宋"/>
                <w:sz w:val="22"/>
                <w:szCs w:val="22"/>
              </w:rPr>
              <w:t>客观分</w:t>
            </w:r>
          </w:p>
        </w:tc>
      </w:tr>
      <w:tr w14:paraId="1F462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85" w:type="dxa"/>
            <w:vMerge w:val="continue"/>
            <w:tcBorders>
              <w:right w:val="single" w:color="auto" w:sz="4" w:space="0"/>
            </w:tcBorders>
            <w:vAlign w:val="center"/>
          </w:tcPr>
          <w:p w14:paraId="43F3E10B">
            <w:pPr>
              <w:spacing w:line="460" w:lineRule="exact"/>
              <w:jc w:val="center"/>
              <w:rPr>
                <w:rFonts w:hint="eastAsia" w:ascii="仿宋" w:hAnsi="仿宋" w:eastAsia="仿宋" w:cs="仿宋"/>
                <w:sz w:val="22"/>
                <w:szCs w:val="22"/>
              </w:rPr>
            </w:pPr>
          </w:p>
        </w:tc>
        <w:tc>
          <w:tcPr>
            <w:tcW w:w="768" w:type="dxa"/>
            <w:vMerge w:val="continue"/>
            <w:tcBorders>
              <w:right w:val="single" w:color="auto" w:sz="4" w:space="0"/>
            </w:tcBorders>
            <w:vAlign w:val="center"/>
          </w:tcPr>
          <w:p w14:paraId="1974B00D">
            <w:pPr>
              <w:spacing w:line="460" w:lineRule="exact"/>
              <w:jc w:val="center"/>
              <w:rPr>
                <w:rFonts w:hint="eastAsia" w:ascii="仿宋" w:hAnsi="仿宋" w:eastAsia="仿宋" w:cs="仿宋"/>
                <w:sz w:val="22"/>
                <w:szCs w:val="22"/>
              </w:rPr>
            </w:pPr>
          </w:p>
        </w:tc>
        <w:tc>
          <w:tcPr>
            <w:tcW w:w="1128" w:type="dxa"/>
            <w:tcBorders>
              <w:top w:val="single" w:color="auto" w:sz="4" w:space="0"/>
              <w:left w:val="single" w:color="auto" w:sz="4" w:space="0"/>
              <w:right w:val="single" w:color="auto" w:sz="4" w:space="0"/>
            </w:tcBorders>
            <w:vAlign w:val="center"/>
          </w:tcPr>
          <w:p w14:paraId="041D04EC">
            <w:pPr>
              <w:jc w:val="center"/>
              <w:rPr>
                <w:rFonts w:hint="eastAsia" w:ascii="仿宋" w:hAnsi="仿宋" w:eastAsia="仿宋" w:cs="仿宋"/>
                <w:sz w:val="22"/>
                <w:szCs w:val="22"/>
              </w:rPr>
            </w:pPr>
            <w:r>
              <w:rPr>
                <w:rFonts w:hint="eastAsia" w:ascii="仿宋" w:hAnsi="仿宋" w:eastAsia="仿宋" w:cs="仿宋"/>
                <w:sz w:val="22"/>
                <w:szCs w:val="22"/>
              </w:rPr>
              <w:t>组织实施方案</w:t>
            </w:r>
          </w:p>
        </w:tc>
        <w:tc>
          <w:tcPr>
            <w:tcW w:w="5942" w:type="dxa"/>
            <w:tcBorders>
              <w:top w:val="single" w:color="auto" w:sz="4" w:space="0"/>
              <w:left w:val="single" w:color="auto" w:sz="4" w:space="0"/>
              <w:right w:val="single" w:color="auto" w:sz="4" w:space="0"/>
            </w:tcBorders>
            <w:vAlign w:val="center"/>
          </w:tcPr>
          <w:p w14:paraId="7398F3EB">
            <w:pPr>
              <w:rPr>
                <w:rFonts w:hint="eastAsia" w:ascii="仿宋" w:hAnsi="仿宋" w:eastAsia="仿宋" w:cs="仿宋"/>
                <w:sz w:val="22"/>
                <w:szCs w:val="22"/>
              </w:rPr>
            </w:pPr>
            <w:r>
              <w:rPr>
                <w:rFonts w:hint="eastAsia" w:ascii="仿宋" w:hAnsi="仿宋" w:eastAsia="仿宋" w:cs="仿宋"/>
                <w:sz w:val="22"/>
                <w:szCs w:val="22"/>
              </w:rPr>
              <w:t>磋商供应商对于本项目的组织实施方案全面、充分，有利于项目目标的实现的情况进行评分。（评分范围：3，2,1,0）</w:t>
            </w:r>
          </w:p>
        </w:tc>
        <w:tc>
          <w:tcPr>
            <w:tcW w:w="591" w:type="dxa"/>
            <w:tcBorders>
              <w:top w:val="single" w:color="auto" w:sz="4" w:space="0"/>
              <w:left w:val="single" w:color="auto" w:sz="4" w:space="0"/>
            </w:tcBorders>
            <w:vAlign w:val="center"/>
          </w:tcPr>
          <w:p w14:paraId="15C41E8F">
            <w:pPr>
              <w:jc w:val="center"/>
              <w:rPr>
                <w:rFonts w:hint="eastAsia" w:ascii="仿宋" w:hAnsi="仿宋" w:eastAsia="仿宋" w:cs="仿宋"/>
                <w:sz w:val="22"/>
                <w:szCs w:val="22"/>
              </w:rPr>
            </w:pPr>
            <w:r>
              <w:rPr>
                <w:rFonts w:hint="eastAsia" w:ascii="仿宋" w:hAnsi="仿宋" w:eastAsia="仿宋" w:cs="仿宋"/>
                <w:sz w:val="22"/>
                <w:szCs w:val="22"/>
              </w:rPr>
              <w:t>3</w:t>
            </w:r>
          </w:p>
        </w:tc>
        <w:tc>
          <w:tcPr>
            <w:tcW w:w="970" w:type="dxa"/>
            <w:tcBorders>
              <w:top w:val="single" w:color="auto" w:sz="4" w:space="0"/>
              <w:left w:val="single" w:color="auto" w:sz="4" w:space="0"/>
            </w:tcBorders>
            <w:vAlign w:val="center"/>
          </w:tcPr>
          <w:p w14:paraId="6A2D12FB">
            <w:pPr>
              <w:jc w:val="center"/>
              <w:rPr>
                <w:rFonts w:hint="eastAsia" w:ascii="仿宋" w:hAnsi="仿宋" w:eastAsia="仿宋" w:cs="仿宋"/>
                <w:sz w:val="22"/>
                <w:szCs w:val="22"/>
              </w:rPr>
            </w:pPr>
            <w:r>
              <w:rPr>
                <w:rFonts w:hint="eastAsia" w:ascii="仿宋" w:hAnsi="仿宋" w:eastAsia="仿宋" w:cs="仿宋"/>
                <w:sz w:val="22"/>
                <w:szCs w:val="22"/>
              </w:rPr>
              <w:t>主观分</w:t>
            </w:r>
          </w:p>
        </w:tc>
      </w:tr>
      <w:tr w14:paraId="3FD6C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985" w:type="dxa"/>
            <w:vMerge w:val="continue"/>
            <w:tcBorders>
              <w:right w:val="single" w:color="auto" w:sz="4" w:space="0"/>
            </w:tcBorders>
            <w:vAlign w:val="center"/>
          </w:tcPr>
          <w:p w14:paraId="2B91B057">
            <w:pPr>
              <w:spacing w:line="460" w:lineRule="exact"/>
              <w:jc w:val="center"/>
              <w:rPr>
                <w:rFonts w:hint="eastAsia" w:ascii="仿宋" w:hAnsi="仿宋" w:eastAsia="仿宋" w:cs="仿宋"/>
                <w:sz w:val="22"/>
                <w:szCs w:val="22"/>
              </w:rPr>
            </w:pPr>
          </w:p>
        </w:tc>
        <w:tc>
          <w:tcPr>
            <w:tcW w:w="768" w:type="dxa"/>
            <w:vMerge w:val="continue"/>
            <w:tcBorders>
              <w:right w:val="single" w:color="auto" w:sz="4" w:space="0"/>
            </w:tcBorders>
            <w:vAlign w:val="center"/>
          </w:tcPr>
          <w:p w14:paraId="3932CF63">
            <w:pPr>
              <w:spacing w:line="460" w:lineRule="exact"/>
              <w:jc w:val="center"/>
              <w:rPr>
                <w:rFonts w:hint="eastAsia" w:ascii="仿宋" w:hAnsi="仿宋" w:eastAsia="仿宋" w:cs="仿宋"/>
                <w:sz w:val="22"/>
                <w:szCs w:val="22"/>
              </w:rPr>
            </w:pPr>
          </w:p>
        </w:tc>
        <w:tc>
          <w:tcPr>
            <w:tcW w:w="1128" w:type="dxa"/>
            <w:tcBorders>
              <w:top w:val="single" w:color="auto" w:sz="4" w:space="0"/>
              <w:left w:val="single" w:color="auto" w:sz="4" w:space="0"/>
              <w:right w:val="single" w:color="auto" w:sz="4" w:space="0"/>
            </w:tcBorders>
            <w:vAlign w:val="center"/>
          </w:tcPr>
          <w:p w14:paraId="2E0DDF7F">
            <w:pPr>
              <w:jc w:val="center"/>
              <w:rPr>
                <w:rFonts w:hint="eastAsia" w:ascii="仿宋" w:hAnsi="仿宋" w:eastAsia="仿宋" w:cs="仿宋"/>
                <w:sz w:val="22"/>
                <w:szCs w:val="22"/>
              </w:rPr>
            </w:pPr>
            <w:r>
              <w:rPr>
                <w:rFonts w:hint="eastAsia" w:ascii="仿宋" w:hAnsi="仿宋" w:eastAsia="仿宋" w:cs="仿宋"/>
                <w:sz w:val="22"/>
                <w:szCs w:val="22"/>
              </w:rPr>
              <w:t>重点难点分析</w:t>
            </w:r>
          </w:p>
        </w:tc>
        <w:tc>
          <w:tcPr>
            <w:tcW w:w="5942" w:type="dxa"/>
            <w:tcBorders>
              <w:top w:val="single" w:color="auto" w:sz="4" w:space="0"/>
              <w:left w:val="single" w:color="auto" w:sz="4" w:space="0"/>
              <w:right w:val="single" w:color="auto" w:sz="4" w:space="0"/>
            </w:tcBorders>
            <w:vAlign w:val="center"/>
          </w:tcPr>
          <w:p w14:paraId="4B4A7A27">
            <w:pPr>
              <w:rPr>
                <w:rFonts w:hint="eastAsia" w:ascii="仿宋" w:hAnsi="仿宋" w:eastAsia="仿宋" w:cs="仿宋"/>
                <w:sz w:val="22"/>
                <w:szCs w:val="22"/>
              </w:rPr>
            </w:pPr>
            <w:r>
              <w:rPr>
                <w:rFonts w:hint="eastAsia" w:ascii="仿宋" w:hAnsi="仿宋" w:eastAsia="仿宋" w:cs="仿宋"/>
                <w:sz w:val="22"/>
                <w:szCs w:val="22"/>
              </w:rPr>
              <w:t>磋商供应商对于本项目的重点难点分析全面、充分，有利于项目目标的实现的情况进行评分。（评分范围：2,1,0）</w:t>
            </w:r>
          </w:p>
        </w:tc>
        <w:tc>
          <w:tcPr>
            <w:tcW w:w="591" w:type="dxa"/>
            <w:tcBorders>
              <w:top w:val="single" w:color="auto" w:sz="4" w:space="0"/>
              <w:left w:val="single" w:color="auto" w:sz="4" w:space="0"/>
            </w:tcBorders>
            <w:vAlign w:val="center"/>
          </w:tcPr>
          <w:p w14:paraId="63F3A472">
            <w:pPr>
              <w:jc w:val="center"/>
              <w:rPr>
                <w:rFonts w:hint="eastAsia" w:ascii="仿宋" w:hAnsi="仿宋" w:eastAsia="仿宋" w:cs="仿宋"/>
                <w:sz w:val="22"/>
                <w:szCs w:val="22"/>
              </w:rPr>
            </w:pPr>
            <w:r>
              <w:rPr>
                <w:rFonts w:hint="eastAsia" w:ascii="仿宋" w:hAnsi="仿宋" w:eastAsia="仿宋" w:cs="仿宋"/>
                <w:sz w:val="22"/>
                <w:szCs w:val="22"/>
              </w:rPr>
              <w:t>2</w:t>
            </w:r>
          </w:p>
        </w:tc>
        <w:tc>
          <w:tcPr>
            <w:tcW w:w="970" w:type="dxa"/>
            <w:tcBorders>
              <w:top w:val="single" w:color="auto" w:sz="4" w:space="0"/>
              <w:left w:val="single" w:color="auto" w:sz="4" w:space="0"/>
            </w:tcBorders>
            <w:vAlign w:val="center"/>
          </w:tcPr>
          <w:p w14:paraId="574D6FEC">
            <w:pPr>
              <w:jc w:val="center"/>
              <w:rPr>
                <w:rFonts w:hint="eastAsia" w:ascii="仿宋" w:hAnsi="仿宋" w:eastAsia="仿宋" w:cs="仿宋"/>
                <w:sz w:val="22"/>
                <w:szCs w:val="22"/>
              </w:rPr>
            </w:pPr>
            <w:r>
              <w:rPr>
                <w:rFonts w:hint="eastAsia" w:ascii="仿宋" w:hAnsi="仿宋" w:eastAsia="仿宋" w:cs="仿宋"/>
                <w:sz w:val="22"/>
                <w:szCs w:val="22"/>
              </w:rPr>
              <w:t>主观分</w:t>
            </w:r>
          </w:p>
        </w:tc>
      </w:tr>
      <w:tr w14:paraId="7FDC9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0" w:hRule="atLeast"/>
          <w:jc w:val="center"/>
        </w:trPr>
        <w:tc>
          <w:tcPr>
            <w:tcW w:w="985" w:type="dxa"/>
            <w:vMerge w:val="continue"/>
            <w:tcBorders>
              <w:right w:val="single" w:color="auto" w:sz="4" w:space="0"/>
            </w:tcBorders>
            <w:vAlign w:val="center"/>
          </w:tcPr>
          <w:p w14:paraId="6BD963E3">
            <w:pPr>
              <w:spacing w:line="460" w:lineRule="exact"/>
              <w:jc w:val="center"/>
              <w:rPr>
                <w:rFonts w:hint="eastAsia" w:ascii="仿宋" w:hAnsi="仿宋" w:eastAsia="仿宋" w:cs="仿宋"/>
                <w:sz w:val="22"/>
                <w:szCs w:val="22"/>
              </w:rPr>
            </w:pPr>
          </w:p>
        </w:tc>
        <w:tc>
          <w:tcPr>
            <w:tcW w:w="768" w:type="dxa"/>
            <w:vMerge w:val="continue"/>
            <w:tcBorders>
              <w:right w:val="single" w:color="auto" w:sz="4" w:space="0"/>
            </w:tcBorders>
            <w:vAlign w:val="center"/>
          </w:tcPr>
          <w:p w14:paraId="17839C79">
            <w:pPr>
              <w:spacing w:line="460" w:lineRule="exact"/>
              <w:jc w:val="center"/>
              <w:rPr>
                <w:rFonts w:hint="eastAsia" w:ascii="仿宋" w:hAnsi="仿宋" w:eastAsia="仿宋" w:cs="仿宋"/>
                <w:sz w:val="22"/>
                <w:szCs w:val="22"/>
              </w:rPr>
            </w:pPr>
          </w:p>
        </w:tc>
        <w:tc>
          <w:tcPr>
            <w:tcW w:w="1128" w:type="dxa"/>
            <w:vMerge w:val="restart"/>
            <w:tcBorders>
              <w:top w:val="single" w:color="auto" w:sz="4" w:space="0"/>
              <w:left w:val="single" w:color="auto" w:sz="4" w:space="0"/>
              <w:right w:val="single" w:color="auto" w:sz="4" w:space="0"/>
            </w:tcBorders>
            <w:vAlign w:val="center"/>
          </w:tcPr>
          <w:p w14:paraId="08B7B124">
            <w:pPr>
              <w:jc w:val="center"/>
              <w:rPr>
                <w:rFonts w:hint="eastAsia" w:ascii="仿宋" w:hAnsi="仿宋" w:eastAsia="仿宋" w:cs="仿宋"/>
                <w:sz w:val="22"/>
                <w:szCs w:val="22"/>
              </w:rPr>
            </w:pPr>
            <w:r>
              <w:rPr>
                <w:rFonts w:hint="eastAsia" w:ascii="仿宋" w:hAnsi="仿宋" w:eastAsia="仿宋" w:cs="仿宋"/>
                <w:sz w:val="22"/>
                <w:szCs w:val="22"/>
              </w:rPr>
              <w:t>服务方案</w:t>
            </w:r>
          </w:p>
        </w:tc>
        <w:tc>
          <w:tcPr>
            <w:tcW w:w="5942" w:type="dxa"/>
            <w:tcBorders>
              <w:top w:val="single" w:color="auto" w:sz="4" w:space="0"/>
              <w:left w:val="single" w:color="auto" w:sz="4" w:space="0"/>
            </w:tcBorders>
            <w:vAlign w:val="center"/>
          </w:tcPr>
          <w:p w14:paraId="4C4A90F0">
            <w:pPr>
              <w:rPr>
                <w:rFonts w:hint="eastAsia" w:ascii="仿宋" w:hAnsi="仿宋" w:eastAsia="仿宋" w:cs="仿宋"/>
                <w:sz w:val="22"/>
                <w:szCs w:val="22"/>
              </w:rPr>
            </w:pPr>
            <w:r>
              <w:rPr>
                <w:rFonts w:hint="eastAsia" w:ascii="仿宋" w:hAnsi="仿宋" w:eastAsia="仿宋" w:cs="仿宋"/>
                <w:sz w:val="22"/>
                <w:szCs w:val="22"/>
              </w:rPr>
              <w:t>根据磋商供应商对于本项目漏洞扫描方案的全面、充分、科学合理情况进行评分。（评分范围：3,2,1,0）</w:t>
            </w:r>
          </w:p>
        </w:tc>
        <w:tc>
          <w:tcPr>
            <w:tcW w:w="591" w:type="dxa"/>
            <w:tcBorders>
              <w:top w:val="single" w:color="auto" w:sz="4" w:space="0"/>
              <w:left w:val="single" w:color="auto" w:sz="4" w:space="0"/>
            </w:tcBorders>
            <w:vAlign w:val="center"/>
          </w:tcPr>
          <w:p w14:paraId="213A38BD">
            <w:pPr>
              <w:jc w:val="center"/>
              <w:rPr>
                <w:rFonts w:hint="eastAsia" w:ascii="仿宋" w:hAnsi="仿宋" w:eastAsia="仿宋" w:cs="仿宋"/>
                <w:sz w:val="22"/>
                <w:szCs w:val="22"/>
              </w:rPr>
            </w:pPr>
            <w:r>
              <w:rPr>
                <w:rFonts w:hint="eastAsia" w:ascii="仿宋" w:hAnsi="仿宋" w:eastAsia="仿宋" w:cs="仿宋"/>
                <w:sz w:val="22"/>
                <w:szCs w:val="22"/>
              </w:rPr>
              <w:t>3</w:t>
            </w:r>
          </w:p>
        </w:tc>
        <w:tc>
          <w:tcPr>
            <w:tcW w:w="970" w:type="dxa"/>
            <w:tcBorders>
              <w:top w:val="single" w:color="auto" w:sz="4" w:space="0"/>
              <w:left w:val="single" w:color="auto" w:sz="4" w:space="0"/>
            </w:tcBorders>
            <w:vAlign w:val="center"/>
          </w:tcPr>
          <w:p w14:paraId="3B83C56B">
            <w:pPr>
              <w:jc w:val="center"/>
              <w:rPr>
                <w:rFonts w:hint="eastAsia" w:ascii="仿宋" w:hAnsi="仿宋" w:eastAsia="仿宋" w:cs="仿宋"/>
                <w:sz w:val="22"/>
                <w:szCs w:val="22"/>
              </w:rPr>
            </w:pPr>
            <w:r>
              <w:rPr>
                <w:rFonts w:hint="eastAsia" w:ascii="仿宋" w:hAnsi="仿宋" w:eastAsia="仿宋" w:cs="仿宋"/>
                <w:sz w:val="22"/>
                <w:szCs w:val="22"/>
              </w:rPr>
              <w:t>主观分</w:t>
            </w:r>
          </w:p>
        </w:tc>
      </w:tr>
      <w:tr w14:paraId="1598B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jc w:val="center"/>
        </w:trPr>
        <w:tc>
          <w:tcPr>
            <w:tcW w:w="985" w:type="dxa"/>
            <w:vMerge w:val="continue"/>
            <w:tcBorders>
              <w:right w:val="single" w:color="auto" w:sz="4" w:space="0"/>
            </w:tcBorders>
            <w:vAlign w:val="center"/>
          </w:tcPr>
          <w:p w14:paraId="03A3F385">
            <w:pPr>
              <w:spacing w:line="460" w:lineRule="exact"/>
              <w:jc w:val="center"/>
              <w:rPr>
                <w:rFonts w:hint="eastAsia" w:ascii="仿宋" w:hAnsi="仿宋" w:eastAsia="仿宋" w:cs="仿宋"/>
                <w:sz w:val="22"/>
                <w:szCs w:val="22"/>
              </w:rPr>
            </w:pPr>
          </w:p>
        </w:tc>
        <w:tc>
          <w:tcPr>
            <w:tcW w:w="768" w:type="dxa"/>
            <w:vMerge w:val="continue"/>
            <w:tcBorders>
              <w:right w:val="single" w:color="auto" w:sz="4" w:space="0"/>
            </w:tcBorders>
            <w:vAlign w:val="center"/>
          </w:tcPr>
          <w:p w14:paraId="4102558B">
            <w:pPr>
              <w:spacing w:line="460" w:lineRule="exact"/>
              <w:jc w:val="center"/>
              <w:rPr>
                <w:rFonts w:hint="eastAsia" w:ascii="仿宋" w:hAnsi="仿宋" w:eastAsia="仿宋" w:cs="仿宋"/>
                <w:sz w:val="22"/>
                <w:szCs w:val="22"/>
              </w:rPr>
            </w:pPr>
          </w:p>
        </w:tc>
        <w:tc>
          <w:tcPr>
            <w:tcW w:w="1128" w:type="dxa"/>
            <w:vMerge w:val="continue"/>
            <w:tcBorders>
              <w:left w:val="single" w:color="auto" w:sz="4" w:space="0"/>
              <w:right w:val="single" w:color="auto" w:sz="4" w:space="0"/>
            </w:tcBorders>
            <w:vAlign w:val="center"/>
          </w:tcPr>
          <w:p w14:paraId="4F45BCBA">
            <w:pPr>
              <w:jc w:val="center"/>
              <w:rPr>
                <w:rFonts w:hint="eastAsia" w:ascii="仿宋" w:hAnsi="仿宋" w:eastAsia="仿宋" w:cs="仿宋"/>
                <w:sz w:val="22"/>
                <w:szCs w:val="22"/>
              </w:rPr>
            </w:pPr>
          </w:p>
        </w:tc>
        <w:tc>
          <w:tcPr>
            <w:tcW w:w="5942" w:type="dxa"/>
            <w:tcBorders>
              <w:top w:val="single" w:color="auto" w:sz="4" w:space="0"/>
              <w:left w:val="single" w:color="auto" w:sz="4" w:space="0"/>
              <w:bottom w:val="single" w:color="auto" w:sz="4" w:space="0"/>
              <w:right w:val="single" w:color="auto" w:sz="4" w:space="0"/>
            </w:tcBorders>
            <w:vAlign w:val="center"/>
          </w:tcPr>
          <w:p w14:paraId="4C81A693">
            <w:pPr>
              <w:rPr>
                <w:rFonts w:hint="eastAsia" w:ascii="仿宋" w:hAnsi="仿宋" w:eastAsia="仿宋" w:cs="仿宋"/>
                <w:sz w:val="22"/>
                <w:szCs w:val="22"/>
              </w:rPr>
            </w:pPr>
            <w:r>
              <w:rPr>
                <w:rFonts w:hint="eastAsia" w:ascii="仿宋" w:hAnsi="仿宋" w:eastAsia="仿宋" w:cs="仿宋"/>
                <w:sz w:val="22"/>
                <w:szCs w:val="22"/>
              </w:rPr>
              <w:t>根据磋商供应商对于本项目代码检测方案的全面、充分、科学合理情况进行评分。（评分范围：3,2,1,0）</w:t>
            </w:r>
          </w:p>
        </w:tc>
        <w:tc>
          <w:tcPr>
            <w:tcW w:w="591" w:type="dxa"/>
            <w:tcBorders>
              <w:top w:val="single" w:color="auto" w:sz="4" w:space="0"/>
              <w:left w:val="single" w:color="auto" w:sz="4" w:space="0"/>
            </w:tcBorders>
            <w:vAlign w:val="center"/>
          </w:tcPr>
          <w:p w14:paraId="52204DCA">
            <w:pPr>
              <w:jc w:val="center"/>
              <w:rPr>
                <w:rFonts w:hint="eastAsia" w:ascii="仿宋" w:hAnsi="仿宋" w:eastAsia="仿宋" w:cs="仿宋"/>
                <w:sz w:val="22"/>
                <w:szCs w:val="22"/>
              </w:rPr>
            </w:pPr>
            <w:r>
              <w:rPr>
                <w:rFonts w:hint="eastAsia" w:ascii="仿宋" w:hAnsi="仿宋" w:eastAsia="仿宋" w:cs="仿宋"/>
                <w:sz w:val="22"/>
                <w:szCs w:val="22"/>
              </w:rPr>
              <w:t>3</w:t>
            </w:r>
          </w:p>
        </w:tc>
        <w:tc>
          <w:tcPr>
            <w:tcW w:w="970" w:type="dxa"/>
            <w:tcBorders>
              <w:top w:val="single" w:color="auto" w:sz="4" w:space="0"/>
              <w:left w:val="single" w:color="auto" w:sz="4" w:space="0"/>
            </w:tcBorders>
            <w:vAlign w:val="center"/>
          </w:tcPr>
          <w:p w14:paraId="59975C20">
            <w:pPr>
              <w:jc w:val="center"/>
              <w:rPr>
                <w:rFonts w:hint="eastAsia" w:ascii="仿宋" w:hAnsi="仿宋" w:eastAsia="仿宋" w:cs="仿宋"/>
                <w:sz w:val="22"/>
                <w:szCs w:val="22"/>
              </w:rPr>
            </w:pPr>
            <w:r>
              <w:rPr>
                <w:rFonts w:hint="eastAsia" w:ascii="仿宋" w:hAnsi="仿宋" w:eastAsia="仿宋" w:cs="仿宋"/>
                <w:sz w:val="22"/>
                <w:szCs w:val="22"/>
              </w:rPr>
              <w:t>主观分</w:t>
            </w:r>
          </w:p>
        </w:tc>
      </w:tr>
      <w:tr w14:paraId="7C6C7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985" w:type="dxa"/>
            <w:vMerge w:val="continue"/>
            <w:tcBorders>
              <w:right w:val="single" w:color="auto" w:sz="4" w:space="0"/>
            </w:tcBorders>
            <w:vAlign w:val="center"/>
          </w:tcPr>
          <w:p w14:paraId="034A6E26">
            <w:pPr>
              <w:spacing w:line="460" w:lineRule="exact"/>
              <w:jc w:val="center"/>
              <w:rPr>
                <w:rFonts w:hint="eastAsia" w:ascii="仿宋" w:hAnsi="仿宋" w:eastAsia="仿宋" w:cs="仿宋"/>
                <w:sz w:val="22"/>
                <w:szCs w:val="22"/>
              </w:rPr>
            </w:pPr>
          </w:p>
        </w:tc>
        <w:tc>
          <w:tcPr>
            <w:tcW w:w="768" w:type="dxa"/>
            <w:vMerge w:val="continue"/>
            <w:tcBorders>
              <w:right w:val="single" w:color="auto" w:sz="4" w:space="0"/>
            </w:tcBorders>
            <w:vAlign w:val="center"/>
          </w:tcPr>
          <w:p w14:paraId="7317907F">
            <w:pPr>
              <w:spacing w:line="460" w:lineRule="exact"/>
              <w:jc w:val="center"/>
              <w:rPr>
                <w:rFonts w:hint="eastAsia" w:ascii="仿宋" w:hAnsi="仿宋" w:eastAsia="仿宋" w:cs="仿宋"/>
                <w:sz w:val="22"/>
                <w:szCs w:val="22"/>
              </w:rPr>
            </w:pPr>
          </w:p>
        </w:tc>
        <w:tc>
          <w:tcPr>
            <w:tcW w:w="1128" w:type="dxa"/>
            <w:vMerge w:val="continue"/>
            <w:tcBorders>
              <w:left w:val="single" w:color="auto" w:sz="4" w:space="0"/>
              <w:right w:val="single" w:color="auto" w:sz="4" w:space="0"/>
            </w:tcBorders>
            <w:vAlign w:val="center"/>
          </w:tcPr>
          <w:p w14:paraId="36D6A703">
            <w:pPr>
              <w:jc w:val="center"/>
              <w:rPr>
                <w:rFonts w:hint="eastAsia" w:ascii="仿宋" w:hAnsi="仿宋" w:eastAsia="仿宋" w:cs="仿宋"/>
                <w:sz w:val="22"/>
                <w:szCs w:val="22"/>
              </w:rPr>
            </w:pPr>
          </w:p>
        </w:tc>
        <w:tc>
          <w:tcPr>
            <w:tcW w:w="5942" w:type="dxa"/>
            <w:tcBorders>
              <w:top w:val="single" w:color="auto" w:sz="4" w:space="0"/>
              <w:left w:val="single" w:color="auto" w:sz="4" w:space="0"/>
              <w:bottom w:val="single" w:color="auto" w:sz="4" w:space="0"/>
              <w:right w:val="single" w:color="auto" w:sz="4" w:space="0"/>
            </w:tcBorders>
            <w:vAlign w:val="center"/>
          </w:tcPr>
          <w:p w14:paraId="5553DCAE">
            <w:pPr>
              <w:rPr>
                <w:rFonts w:hint="eastAsia" w:ascii="仿宋" w:hAnsi="仿宋" w:eastAsia="仿宋" w:cs="仿宋"/>
                <w:sz w:val="22"/>
                <w:szCs w:val="22"/>
              </w:rPr>
            </w:pPr>
            <w:r>
              <w:rPr>
                <w:rFonts w:hint="eastAsia" w:ascii="仿宋" w:hAnsi="仿宋" w:eastAsia="仿宋" w:cs="仿宋"/>
                <w:sz w:val="22"/>
                <w:szCs w:val="22"/>
              </w:rPr>
              <w:t>根据磋商供应商对于本项目渗透测试方案的全面、充分、科学合理情况进行评分。（评分范围：3,2,1,0）</w:t>
            </w:r>
          </w:p>
        </w:tc>
        <w:tc>
          <w:tcPr>
            <w:tcW w:w="591" w:type="dxa"/>
            <w:tcBorders>
              <w:top w:val="single" w:color="auto" w:sz="4" w:space="0"/>
              <w:left w:val="single" w:color="auto" w:sz="4" w:space="0"/>
            </w:tcBorders>
            <w:vAlign w:val="center"/>
          </w:tcPr>
          <w:p w14:paraId="5A63FA4A">
            <w:pPr>
              <w:jc w:val="center"/>
              <w:rPr>
                <w:rFonts w:hint="eastAsia" w:ascii="仿宋" w:hAnsi="仿宋" w:eastAsia="仿宋" w:cs="仿宋"/>
                <w:sz w:val="22"/>
                <w:szCs w:val="22"/>
              </w:rPr>
            </w:pPr>
            <w:r>
              <w:rPr>
                <w:rFonts w:hint="eastAsia" w:ascii="仿宋" w:hAnsi="仿宋" w:eastAsia="仿宋" w:cs="仿宋"/>
                <w:sz w:val="22"/>
                <w:szCs w:val="22"/>
              </w:rPr>
              <w:t>3</w:t>
            </w:r>
          </w:p>
        </w:tc>
        <w:tc>
          <w:tcPr>
            <w:tcW w:w="970" w:type="dxa"/>
            <w:tcBorders>
              <w:top w:val="single" w:color="auto" w:sz="4" w:space="0"/>
              <w:left w:val="single" w:color="auto" w:sz="4" w:space="0"/>
            </w:tcBorders>
            <w:vAlign w:val="center"/>
          </w:tcPr>
          <w:p w14:paraId="5CB71FB3">
            <w:pPr>
              <w:jc w:val="center"/>
              <w:rPr>
                <w:rFonts w:hint="eastAsia" w:ascii="仿宋" w:hAnsi="仿宋" w:eastAsia="仿宋" w:cs="仿宋"/>
                <w:sz w:val="22"/>
                <w:szCs w:val="22"/>
              </w:rPr>
            </w:pPr>
            <w:r>
              <w:rPr>
                <w:rFonts w:hint="eastAsia" w:ascii="仿宋" w:hAnsi="仿宋" w:eastAsia="仿宋" w:cs="仿宋"/>
                <w:sz w:val="22"/>
                <w:szCs w:val="22"/>
              </w:rPr>
              <w:t>主观分</w:t>
            </w:r>
          </w:p>
        </w:tc>
      </w:tr>
      <w:tr w14:paraId="3CA35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vAlign w:val="center"/>
          </w:tcPr>
          <w:p w14:paraId="6495B777">
            <w:pPr>
              <w:spacing w:line="460" w:lineRule="exact"/>
              <w:jc w:val="center"/>
              <w:rPr>
                <w:rFonts w:hint="eastAsia" w:ascii="仿宋" w:hAnsi="仿宋" w:eastAsia="仿宋" w:cs="仿宋"/>
                <w:sz w:val="22"/>
                <w:szCs w:val="22"/>
              </w:rPr>
            </w:pPr>
          </w:p>
        </w:tc>
        <w:tc>
          <w:tcPr>
            <w:tcW w:w="768" w:type="dxa"/>
            <w:vMerge w:val="continue"/>
            <w:tcBorders>
              <w:right w:val="single" w:color="auto" w:sz="4" w:space="0"/>
            </w:tcBorders>
            <w:vAlign w:val="center"/>
          </w:tcPr>
          <w:p w14:paraId="48CEF1CC">
            <w:pPr>
              <w:spacing w:line="460" w:lineRule="exact"/>
              <w:jc w:val="center"/>
              <w:rPr>
                <w:rFonts w:hint="eastAsia" w:ascii="仿宋" w:hAnsi="仿宋" w:eastAsia="仿宋" w:cs="仿宋"/>
                <w:sz w:val="22"/>
                <w:szCs w:val="22"/>
              </w:rPr>
            </w:pPr>
          </w:p>
        </w:tc>
        <w:tc>
          <w:tcPr>
            <w:tcW w:w="1128" w:type="dxa"/>
            <w:vMerge w:val="continue"/>
            <w:tcBorders>
              <w:left w:val="single" w:color="auto" w:sz="4" w:space="0"/>
              <w:right w:val="single" w:color="auto" w:sz="4" w:space="0"/>
            </w:tcBorders>
            <w:vAlign w:val="center"/>
          </w:tcPr>
          <w:p w14:paraId="4F2ECC8E">
            <w:pPr>
              <w:jc w:val="center"/>
              <w:rPr>
                <w:rFonts w:hint="eastAsia" w:ascii="仿宋" w:hAnsi="仿宋" w:eastAsia="仿宋" w:cs="仿宋"/>
                <w:sz w:val="22"/>
                <w:szCs w:val="22"/>
              </w:rPr>
            </w:pPr>
          </w:p>
        </w:tc>
        <w:tc>
          <w:tcPr>
            <w:tcW w:w="5942" w:type="dxa"/>
            <w:tcBorders>
              <w:top w:val="single" w:color="auto" w:sz="4" w:space="0"/>
              <w:left w:val="single" w:color="auto" w:sz="4" w:space="0"/>
              <w:bottom w:val="single" w:color="auto" w:sz="4" w:space="0"/>
              <w:right w:val="single" w:color="auto" w:sz="4" w:space="0"/>
            </w:tcBorders>
            <w:vAlign w:val="center"/>
          </w:tcPr>
          <w:p w14:paraId="62E2BE1F">
            <w:pPr>
              <w:rPr>
                <w:rFonts w:hint="eastAsia" w:ascii="仿宋" w:hAnsi="仿宋" w:eastAsia="仿宋" w:cs="仿宋"/>
                <w:sz w:val="22"/>
                <w:szCs w:val="22"/>
                <w:lang w:val="zh-CN"/>
              </w:rPr>
            </w:pPr>
            <w:r>
              <w:rPr>
                <w:rFonts w:hint="eastAsia" w:ascii="仿宋" w:hAnsi="仿宋" w:eastAsia="仿宋" w:cs="仿宋"/>
                <w:sz w:val="22"/>
                <w:szCs w:val="22"/>
              </w:rPr>
              <w:t>根据磋商供应商对于本项目应急响应方案的全面、充分、科学合理情况进行评分。（评分范围：3,2,1,0）</w:t>
            </w:r>
          </w:p>
        </w:tc>
        <w:tc>
          <w:tcPr>
            <w:tcW w:w="591" w:type="dxa"/>
            <w:tcBorders>
              <w:top w:val="single" w:color="auto" w:sz="4" w:space="0"/>
              <w:left w:val="single" w:color="auto" w:sz="4" w:space="0"/>
            </w:tcBorders>
            <w:vAlign w:val="center"/>
          </w:tcPr>
          <w:p w14:paraId="7F431155">
            <w:pPr>
              <w:jc w:val="center"/>
              <w:rPr>
                <w:rFonts w:hint="eastAsia" w:ascii="仿宋" w:hAnsi="仿宋" w:eastAsia="仿宋" w:cs="仿宋"/>
                <w:sz w:val="22"/>
                <w:szCs w:val="22"/>
              </w:rPr>
            </w:pPr>
            <w:r>
              <w:rPr>
                <w:rFonts w:hint="eastAsia" w:ascii="仿宋" w:hAnsi="仿宋" w:eastAsia="仿宋" w:cs="仿宋"/>
                <w:sz w:val="22"/>
                <w:szCs w:val="22"/>
              </w:rPr>
              <w:t>3</w:t>
            </w:r>
          </w:p>
        </w:tc>
        <w:tc>
          <w:tcPr>
            <w:tcW w:w="970" w:type="dxa"/>
            <w:tcBorders>
              <w:top w:val="single" w:color="auto" w:sz="4" w:space="0"/>
              <w:left w:val="single" w:color="auto" w:sz="4" w:space="0"/>
            </w:tcBorders>
            <w:vAlign w:val="center"/>
          </w:tcPr>
          <w:p w14:paraId="0A2B9512">
            <w:pPr>
              <w:jc w:val="center"/>
              <w:rPr>
                <w:rFonts w:hint="eastAsia" w:ascii="仿宋" w:hAnsi="仿宋" w:eastAsia="仿宋" w:cs="仿宋"/>
                <w:sz w:val="22"/>
                <w:szCs w:val="22"/>
              </w:rPr>
            </w:pPr>
            <w:r>
              <w:rPr>
                <w:rFonts w:hint="eastAsia" w:ascii="仿宋" w:hAnsi="仿宋" w:eastAsia="仿宋" w:cs="仿宋"/>
                <w:sz w:val="22"/>
                <w:szCs w:val="22"/>
              </w:rPr>
              <w:t>主观分</w:t>
            </w:r>
          </w:p>
        </w:tc>
      </w:tr>
      <w:tr w14:paraId="152C3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vAlign w:val="center"/>
          </w:tcPr>
          <w:p w14:paraId="79011792">
            <w:pPr>
              <w:spacing w:line="460" w:lineRule="exact"/>
              <w:jc w:val="center"/>
              <w:rPr>
                <w:rFonts w:hint="eastAsia" w:ascii="仿宋" w:hAnsi="仿宋" w:eastAsia="仿宋" w:cs="仿宋"/>
                <w:sz w:val="22"/>
                <w:szCs w:val="22"/>
              </w:rPr>
            </w:pPr>
          </w:p>
        </w:tc>
        <w:tc>
          <w:tcPr>
            <w:tcW w:w="768" w:type="dxa"/>
            <w:vMerge w:val="continue"/>
            <w:tcBorders>
              <w:right w:val="single" w:color="auto" w:sz="4" w:space="0"/>
            </w:tcBorders>
            <w:vAlign w:val="center"/>
          </w:tcPr>
          <w:p w14:paraId="6BA417EB">
            <w:pPr>
              <w:spacing w:line="460" w:lineRule="exact"/>
              <w:jc w:val="center"/>
              <w:rPr>
                <w:rFonts w:hint="eastAsia" w:ascii="仿宋" w:hAnsi="仿宋" w:eastAsia="仿宋" w:cs="仿宋"/>
                <w:sz w:val="22"/>
                <w:szCs w:val="22"/>
              </w:rPr>
            </w:pPr>
          </w:p>
        </w:tc>
        <w:tc>
          <w:tcPr>
            <w:tcW w:w="1128" w:type="dxa"/>
            <w:vMerge w:val="continue"/>
            <w:tcBorders>
              <w:left w:val="single" w:color="auto" w:sz="4" w:space="0"/>
              <w:right w:val="single" w:color="auto" w:sz="4" w:space="0"/>
            </w:tcBorders>
            <w:vAlign w:val="center"/>
          </w:tcPr>
          <w:p w14:paraId="09354AB8">
            <w:pPr>
              <w:jc w:val="center"/>
              <w:rPr>
                <w:rFonts w:hint="eastAsia" w:ascii="仿宋" w:hAnsi="仿宋" w:eastAsia="仿宋" w:cs="仿宋"/>
                <w:sz w:val="22"/>
                <w:szCs w:val="22"/>
              </w:rPr>
            </w:pPr>
          </w:p>
        </w:tc>
        <w:tc>
          <w:tcPr>
            <w:tcW w:w="5942" w:type="dxa"/>
            <w:tcBorders>
              <w:top w:val="single" w:color="auto" w:sz="4" w:space="0"/>
              <w:left w:val="single" w:color="auto" w:sz="4" w:space="0"/>
              <w:bottom w:val="single" w:color="auto" w:sz="4" w:space="0"/>
              <w:right w:val="single" w:color="auto" w:sz="4" w:space="0"/>
            </w:tcBorders>
            <w:vAlign w:val="center"/>
          </w:tcPr>
          <w:p w14:paraId="2365A641">
            <w:pPr>
              <w:rPr>
                <w:rFonts w:hint="eastAsia" w:ascii="仿宋" w:hAnsi="仿宋" w:eastAsia="仿宋" w:cs="仿宋"/>
                <w:sz w:val="22"/>
                <w:szCs w:val="22"/>
              </w:rPr>
            </w:pPr>
            <w:r>
              <w:rPr>
                <w:rFonts w:hint="eastAsia" w:ascii="仿宋" w:hAnsi="仿宋" w:eastAsia="仿宋" w:cs="仿宋"/>
                <w:sz w:val="22"/>
                <w:szCs w:val="22"/>
              </w:rPr>
              <w:t>根据磋商供应商对于本项目重点时期保护方案的全面、充分、科学合理情况进行评分。（评分范围：3,2,1,0）</w:t>
            </w:r>
          </w:p>
        </w:tc>
        <w:tc>
          <w:tcPr>
            <w:tcW w:w="591" w:type="dxa"/>
            <w:tcBorders>
              <w:top w:val="single" w:color="auto" w:sz="4" w:space="0"/>
              <w:left w:val="single" w:color="auto" w:sz="4" w:space="0"/>
            </w:tcBorders>
            <w:vAlign w:val="center"/>
          </w:tcPr>
          <w:p w14:paraId="58995C58">
            <w:pPr>
              <w:jc w:val="center"/>
              <w:rPr>
                <w:rFonts w:hint="eastAsia" w:ascii="仿宋" w:hAnsi="仿宋" w:eastAsia="仿宋" w:cs="仿宋"/>
                <w:sz w:val="22"/>
                <w:szCs w:val="22"/>
              </w:rPr>
            </w:pPr>
            <w:r>
              <w:rPr>
                <w:rFonts w:hint="eastAsia" w:ascii="仿宋" w:hAnsi="仿宋" w:eastAsia="仿宋" w:cs="仿宋"/>
                <w:sz w:val="22"/>
                <w:szCs w:val="22"/>
              </w:rPr>
              <w:t>3</w:t>
            </w:r>
          </w:p>
        </w:tc>
        <w:tc>
          <w:tcPr>
            <w:tcW w:w="970" w:type="dxa"/>
            <w:tcBorders>
              <w:top w:val="single" w:color="auto" w:sz="4" w:space="0"/>
              <w:left w:val="single" w:color="auto" w:sz="4" w:space="0"/>
            </w:tcBorders>
            <w:vAlign w:val="center"/>
          </w:tcPr>
          <w:p w14:paraId="5474CCC8">
            <w:pPr>
              <w:jc w:val="center"/>
              <w:rPr>
                <w:rFonts w:hint="eastAsia" w:ascii="仿宋" w:hAnsi="仿宋" w:eastAsia="仿宋" w:cs="仿宋"/>
                <w:sz w:val="22"/>
                <w:szCs w:val="22"/>
              </w:rPr>
            </w:pPr>
            <w:r>
              <w:rPr>
                <w:rFonts w:hint="eastAsia" w:ascii="仿宋" w:hAnsi="仿宋" w:eastAsia="仿宋" w:cs="仿宋"/>
                <w:sz w:val="22"/>
                <w:szCs w:val="22"/>
              </w:rPr>
              <w:t>主观分</w:t>
            </w:r>
          </w:p>
        </w:tc>
      </w:tr>
      <w:tr w14:paraId="53318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985" w:type="dxa"/>
            <w:vMerge w:val="continue"/>
            <w:tcBorders>
              <w:right w:val="single" w:color="auto" w:sz="4" w:space="0"/>
            </w:tcBorders>
            <w:vAlign w:val="center"/>
          </w:tcPr>
          <w:p w14:paraId="08F5B0B4">
            <w:pPr>
              <w:spacing w:line="460" w:lineRule="exact"/>
              <w:jc w:val="center"/>
              <w:rPr>
                <w:rFonts w:hint="eastAsia" w:ascii="仿宋" w:hAnsi="仿宋" w:eastAsia="仿宋" w:cs="仿宋"/>
                <w:sz w:val="22"/>
                <w:szCs w:val="22"/>
              </w:rPr>
            </w:pPr>
          </w:p>
        </w:tc>
        <w:tc>
          <w:tcPr>
            <w:tcW w:w="768" w:type="dxa"/>
            <w:vMerge w:val="continue"/>
            <w:tcBorders>
              <w:right w:val="single" w:color="auto" w:sz="4" w:space="0"/>
            </w:tcBorders>
            <w:vAlign w:val="center"/>
          </w:tcPr>
          <w:p w14:paraId="24B4D6D4">
            <w:pPr>
              <w:spacing w:line="460" w:lineRule="exact"/>
              <w:jc w:val="center"/>
              <w:rPr>
                <w:rFonts w:hint="eastAsia" w:ascii="仿宋" w:hAnsi="仿宋" w:eastAsia="仿宋" w:cs="仿宋"/>
                <w:sz w:val="22"/>
                <w:szCs w:val="22"/>
              </w:rPr>
            </w:pPr>
          </w:p>
        </w:tc>
        <w:tc>
          <w:tcPr>
            <w:tcW w:w="1128" w:type="dxa"/>
            <w:vMerge w:val="continue"/>
            <w:tcBorders>
              <w:left w:val="single" w:color="auto" w:sz="4" w:space="0"/>
              <w:right w:val="single" w:color="auto" w:sz="4" w:space="0"/>
            </w:tcBorders>
            <w:vAlign w:val="center"/>
          </w:tcPr>
          <w:p w14:paraId="44126BE1">
            <w:pPr>
              <w:jc w:val="center"/>
              <w:rPr>
                <w:rFonts w:hint="eastAsia" w:ascii="仿宋" w:hAnsi="仿宋" w:eastAsia="仿宋" w:cs="仿宋"/>
                <w:sz w:val="22"/>
                <w:szCs w:val="22"/>
              </w:rPr>
            </w:pPr>
          </w:p>
        </w:tc>
        <w:tc>
          <w:tcPr>
            <w:tcW w:w="5942" w:type="dxa"/>
            <w:tcBorders>
              <w:top w:val="single" w:color="auto" w:sz="4" w:space="0"/>
              <w:left w:val="single" w:color="auto" w:sz="4" w:space="0"/>
              <w:bottom w:val="single" w:color="auto" w:sz="4" w:space="0"/>
            </w:tcBorders>
            <w:vAlign w:val="center"/>
          </w:tcPr>
          <w:p w14:paraId="10FE7CE9">
            <w:pPr>
              <w:rPr>
                <w:rFonts w:hint="eastAsia" w:ascii="仿宋" w:hAnsi="仿宋" w:eastAsia="仿宋" w:cs="仿宋"/>
                <w:sz w:val="22"/>
                <w:szCs w:val="22"/>
              </w:rPr>
            </w:pPr>
            <w:r>
              <w:rPr>
                <w:rFonts w:hint="eastAsia" w:ascii="仿宋" w:hAnsi="仿宋" w:eastAsia="仿宋" w:cs="仿宋"/>
                <w:sz w:val="22"/>
                <w:szCs w:val="22"/>
              </w:rPr>
              <w:t>根据磋商供应商对于本项目攻防演练大赛与攻防演练工具提供方案的全面、充分、科学合理情况进行评分。（评分范围：3,2,1,0）</w:t>
            </w:r>
          </w:p>
        </w:tc>
        <w:tc>
          <w:tcPr>
            <w:tcW w:w="591" w:type="dxa"/>
            <w:tcBorders>
              <w:top w:val="single" w:color="auto" w:sz="4" w:space="0"/>
              <w:left w:val="single" w:color="auto" w:sz="4" w:space="0"/>
              <w:bottom w:val="single" w:color="auto" w:sz="4" w:space="0"/>
            </w:tcBorders>
            <w:vAlign w:val="center"/>
          </w:tcPr>
          <w:p w14:paraId="5DB064DD">
            <w:pPr>
              <w:jc w:val="center"/>
              <w:rPr>
                <w:rFonts w:hint="eastAsia" w:ascii="仿宋" w:hAnsi="仿宋" w:eastAsia="仿宋" w:cs="仿宋"/>
                <w:sz w:val="22"/>
                <w:szCs w:val="22"/>
              </w:rPr>
            </w:pPr>
            <w:r>
              <w:rPr>
                <w:rFonts w:hint="eastAsia" w:ascii="仿宋" w:hAnsi="仿宋" w:eastAsia="仿宋" w:cs="仿宋"/>
                <w:sz w:val="22"/>
                <w:szCs w:val="22"/>
              </w:rPr>
              <w:t>3</w:t>
            </w:r>
          </w:p>
        </w:tc>
        <w:tc>
          <w:tcPr>
            <w:tcW w:w="970" w:type="dxa"/>
            <w:tcBorders>
              <w:top w:val="single" w:color="auto" w:sz="4" w:space="0"/>
              <w:left w:val="single" w:color="auto" w:sz="4" w:space="0"/>
              <w:bottom w:val="single" w:color="auto" w:sz="4" w:space="0"/>
            </w:tcBorders>
            <w:vAlign w:val="center"/>
          </w:tcPr>
          <w:p w14:paraId="27CE55C0">
            <w:pPr>
              <w:jc w:val="center"/>
              <w:rPr>
                <w:rFonts w:hint="eastAsia" w:ascii="仿宋" w:hAnsi="仿宋" w:eastAsia="仿宋" w:cs="仿宋"/>
                <w:sz w:val="22"/>
                <w:szCs w:val="22"/>
              </w:rPr>
            </w:pPr>
            <w:r>
              <w:rPr>
                <w:rFonts w:hint="eastAsia" w:ascii="仿宋" w:hAnsi="仿宋" w:eastAsia="仿宋" w:cs="仿宋"/>
                <w:sz w:val="22"/>
                <w:szCs w:val="22"/>
              </w:rPr>
              <w:t>主观分</w:t>
            </w:r>
          </w:p>
        </w:tc>
      </w:tr>
      <w:tr w14:paraId="10FD4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8" w:hRule="atLeast"/>
          <w:jc w:val="center"/>
        </w:trPr>
        <w:tc>
          <w:tcPr>
            <w:tcW w:w="985" w:type="dxa"/>
            <w:vMerge w:val="continue"/>
            <w:tcBorders>
              <w:right w:val="single" w:color="auto" w:sz="4" w:space="0"/>
            </w:tcBorders>
            <w:vAlign w:val="center"/>
          </w:tcPr>
          <w:p w14:paraId="0D476AD3">
            <w:pPr>
              <w:spacing w:line="460" w:lineRule="exact"/>
              <w:jc w:val="center"/>
              <w:rPr>
                <w:rFonts w:hint="eastAsia" w:ascii="仿宋" w:hAnsi="仿宋" w:eastAsia="仿宋" w:cs="仿宋"/>
                <w:sz w:val="22"/>
                <w:szCs w:val="22"/>
              </w:rPr>
            </w:pPr>
          </w:p>
        </w:tc>
        <w:tc>
          <w:tcPr>
            <w:tcW w:w="768" w:type="dxa"/>
            <w:vMerge w:val="continue"/>
            <w:tcBorders>
              <w:right w:val="single" w:color="auto" w:sz="4" w:space="0"/>
            </w:tcBorders>
            <w:vAlign w:val="center"/>
          </w:tcPr>
          <w:p w14:paraId="53FFFE95">
            <w:pPr>
              <w:spacing w:line="460" w:lineRule="exact"/>
              <w:jc w:val="center"/>
              <w:rPr>
                <w:rFonts w:hint="eastAsia" w:ascii="仿宋" w:hAnsi="仿宋" w:eastAsia="仿宋" w:cs="仿宋"/>
                <w:sz w:val="22"/>
                <w:szCs w:val="22"/>
              </w:rPr>
            </w:pPr>
          </w:p>
        </w:tc>
        <w:tc>
          <w:tcPr>
            <w:tcW w:w="1128" w:type="dxa"/>
            <w:vMerge w:val="continue"/>
            <w:tcBorders>
              <w:left w:val="single" w:color="auto" w:sz="4" w:space="0"/>
              <w:right w:val="single" w:color="auto" w:sz="4" w:space="0"/>
            </w:tcBorders>
            <w:vAlign w:val="center"/>
          </w:tcPr>
          <w:p w14:paraId="4FE12DBC">
            <w:pPr>
              <w:jc w:val="center"/>
              <w:rPr>
                <w:rFonts w:hint="eastAsia" w:ascii="仿宋" w:hAnsi="仿宋" w:eastAsia="仿宋" w:cs="仿宋"/>
                <w:sz w:val="22"/>
                <w:szCs w:val="22"/>
              </w:rPr>
            </w:pPr>
          </w:p>
        </w:tc>
        <w:tc>
          <w:tcPr>
            <w:tcW w:w="5942" w:type="dxa"/>
            <w:tcBorders>
              <w:top w:val="single" w:color="auto" w:sz="4" w:space="0"/>
              <w:left w:val="single" w:color="auto" w:sz="4" w:space="0"/>
              <w:right w:val="single" w:color="auto" w:sz="4" w:space="0"/>
            </w:tcBorders>
            <w:vAlign w:val="center"/>
          </w:tcPr>
          <w:p w14:paraId="0BF40E71">
            <w:pPr>
              <w:rPr>
                <w:rFonts w:hint="eastAsia" w:ascii="仿宋" w:hAnsi="仿宋" w:eastAsia="仿宋" w:cs="仿宋"/>
                <w:sz w:val="22"/>
                <w:szCs w:val="22"/>
                <w:lang w:val="zh-CN"/>
              </w:rPr>
            </w:pPr>
            <w:r>
              <w:rPr>
                <w:rFonts w:hint="eastAsia" w:ascii="仿宋" w:hAnsi="仿宋" w:eastAsia="仿宋" w:cs="仿宋"/>
                <w:sz w:val="22"/>
                <w:szCs w:val="22"/>
              </w:rPr>
              <w:t>根据磋商供应商对于本项目攻防演练与攻防演练培训方案的全面、充分、科学合理情况进行评分。（评分范围：3,2,1,0）</w:t>
            </w:r>
          </w:p>
        </w:tc>
        <w:tc>
          <w:tcPr>
            <w:tcW w:w="591" w:type="dxa"/>
            <w:tcBorders>
              <w:top w:val="single" w:color="auto" w:sz="4" w:space="0"/>
              <w:left w:val="single" w:color="auto" w:sz="4" w:space="0"/>
            </w:tcBorders>
            <w:vAlign w:val="center"/>
          </w:tcPr>
          <w:p w14:paraId="052886A7">
            <w:pPr>
              <w:jc w:val="center"/>
              <w:rPr>
                <w:rFonts w:hint="eastAsia" w:ascii="仿宋" w:hAnsi="仿宋" w:eastAsia="仿宋" w:cs="仿宋"/>
                <w:sz w:val="22"/>
                <w:szCs w:val="22"/>
              </w:rPr>
            </w:pPr>
            <w:r>
              <w:rPr>
                <w:rFonts w:hint="eastAsia" w:ascii="仿宋" w:hAnsi="仿宋" w:eastAsia="仿宋" w:cs="仿宋"/>
                <w:sz w:val="22"/>
                <w:szCs w:val="22"/>
              </w:rPr>
              <w:t>3</w:t>
            </w:r>
          </w:p>
        </w:tc>
        <w:tc>
          <w:tcPr>
            <w:tcW w:w="970" w:type="dxa"/>
            <w:tcBorders>
              <w:top w:val="single" w:color="auto" w:sz="4" w:space="0"/>
              <w:left w:val="single" w:color="auto" w:sz="4" w:space="0"/>
            </w:tcBorders>
            <w:vAlign w:val="center"/>
          </w:tcPr>
          <w:p w14:paraId="51F5FAD0">
            <w:pPr>
              <w:jc w:val="center"/>
              <w:rPr>
                <w:rFonts w:hint="eastAsia" w:ascii="仿宋" w:hAnsi="仿宋" w:eastAsia="仿宋" w:cs="仿宋"/>
                <w:sz w:val="22"/>
                <w:szCs w:val="22"/>
              </w:rPr>
            </w:pPr>
            <w:r>
              <w:rPr>
                <w:rFonts w:hint="eastAsia" w:ascii="仿宋" w:hAnsi="仿宋" w:eastAsia="仿宋" w:cs="仿宋"/>
                <w:sz w:val="22"/>
                <w:szCs w:val="22"/>
              </w:rPr>
              <w:t>主观分</w:t>
            </w:r>
          </w:p>
        </w:tc>
      </w:tr>
      <w:tr w14:paraId="63134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8" w:hRule="atLeast"/>
          <w:jc w:val="center"/>
        </w:trPr>
        <w:tc>
          <w:tcPr>
            <w:tcW w:w="985" w:type="dxa"/>
            <w:tcBorders>
              <w:right w:val="single" w:color="auto" w:sz="4" w:space="0"/>
            </w:tcBorders>
            <w:vAlign w:val="center"/>
          </w:tcPr>
          <w:p w14:paraId="612C34EB">
            <w:pPr>
              <w:spacing w:line="460" w:lineRule="exact"/>
              <w:jc w:val="center"/>
              <w:rPr>
                <w:rFonts w:hint="eastAsia" w:ascii="仿宋" w:hAnsi="仿宋" w:eastAsia="仿宋" w:cs="仿宋"/>
                <w:sz w:val="22"/>
                <w:szCs w:val="22"/>
              </w:rPr>
            </w:pPr>
          </w:p>
        </w:tc>
        <w:tc>
          <w:tcPr>
            <w:tcW w:w="768" w:type="dxa"/>
            <w:tcBorders>
              <w:right w:val="single" w:color="auto" w:sz="4" w:space="0"/>
            </w:tcBorders>
            <w:vAlign w:val="center"/>
          </w:tcPr>
          <w:p w14:paraId="0B77BD8B">
            <w:pPr>
              <w:spacing w:line="460" w:lineRule="exact"/>
              <w:jc w:val="center"/>
              <w:rPr>
                <w:rFonts w:hint="eastAsia" w:ascii="仿宋" w:hAnsi="仿宋" w:eastAsia="仿宋" w:cs="仿宋"/>
                <w:sz w:val="22"/>
                <w:szCs w:val="22"/>
              </w:rPr>
            </w:pPr>
          </w:p>
        </w:tc>
        <w:tc>
          <w:tcPr>
            <w:tcW w:w="1128" w:type="dxa"/>
            <w:tcBorders>
              <w:top w:val="single" w:color="auto" w:sz="4" w:space="0"/>
              <w:left w:val="single" w:color="auto" w:sz="4" w:space="0"/>
              <w:right w:val="single" w:color="auto" w:sz="4" w:space="0"/>
            </w:tcBorders>
            <w:vAlign w:val="center"/>
          </w:tcPr>
          <w:p w14:paraId="328FCCD3">
            <w:pPr>
              <w:jc w:val="center"/>
              <w:rPr>
                <w:rFonts w:hint="eastAsia" w:ascii="仿宋" w:hAnsi="仿宋" w:eastAsia="仿宋" w:cs="仿宋"/>
                <w:sz w:val="22"/>
                <w:szCs w:val="22"/>
              </w:rPr>
            </w:pPr>
            <w:r>
              <w:rPr>
                <w:rFonts w:hint="eastAsia" w:ascii="仿宋" w:hAnsi="仿宋" w:eastAsia="仿宋" w:cs="仿宋"/>
                <w:sz w:val="22"/>
                <w:szCs w:val="22"/>
              </w:rPr>
              <w:t>质量保障方案</w:t>
            </w:r>
          </w:p>
        </w:tc>
        <w:tc>
          <w:tcPr>
            <w:tcW w:w="5942" w:type="dxa"/>
            <w:tcBorders>
              <w:top w:val="single" w:color="auto" w:sz="4" w:space="0"/>
              <w:left w:val="single" w:color="auto" w:sz="4" w:space="0"/>
              <w:right w:val="single" w:color="auto" w:sz="4" w:space="0"/>
            </w:tcBorders>
            <w:vAlign w:val="center"/>
          </w:tcPr>
          <w:p w14:paraId="40C6C30F">
            <w:pPr>
              <w:rPr>
                <w:rFonts w:hint="eastAsia" w:ascii="仿宋" w:hAnsi="仿宋" w:eastAsia="仿宋" w:cs="仿宋"/>
                <w:sz w:val="22"/>
                <w:szCs w:val="22"/>
                <w:lang w:val="zh-CN"/>
              </w:rPr>
            </w:pPr>
            <w:r>
              <w:rPr>
                <w:rFonts w:hint="eastAsia" w:ascii="仿宋" w:hAnsi="仿宋" w:eastAsia="仿宋" w:cs="仿宋"/>
                <w:sz w:val="22"/>
                <w:szCs w:val="22"/>
              </w:rPr>
              <w:t>磋商供应商对于本项目的质量保障方案全面、充分，有利于项目目标的实现的情况进行评分。（评分范围：3,2,1,0）</w:t>
            </w:r>
          </w:p>
        </w:tc>
        <w:tc>
          <w:tcPr>
            <w:tcW w:w="591" w:type="dxa"/>
            <w:tcBorders>
              <w:top w:val="single" w:color="auto" w:sz="4" w:space="0"/>
              <w:left w:val="single" w:color="auto" w:sz="4" w:space="0"/>
            </w:tcBorders>
            <w:vAlign w:val="center"/>
          </w:tcPr>
          <w:p w14:paraId="654C5821">
            <w:pPr>
              <w:jc w:val="center"/>
              <w:rPr>
                <w:rFonts w:hint="eastAsia" w:ascii="仿宋" w:hAnsi="仿宋" w:eastAsia="仿宋" w:cs="仿宋"/>
                <w:sz w:val="22"/>
                <w:szCs w:val="22"/>
              </w:rPr>
            </w:pPr>
            <w:r>
              <w:rPr>
                <w:rFonts w:hint="eastAsia" w:ascii="仿宋" w:hAnsi="仿宋" w:eastAsia="仿宋" w:cs="仿宋"/>
                <w:sz w:val="22"/>
                <w:szCs w:val="22"/>
              </w:rPr>
              <w:t>3</w:t>
            </w:r>
          </w:p>
        </w:tc>
        <w:tc>
          <w:tcPr>
            <w:tcW w:w="970" w:type="dxa"/>
            <w:tcBorders>
              <w:top w:val="single" w:color="auto" w:sz="4" w:space="0"/>
              <w:left w:val="single" w:color="auto" w:sz="4" w:space="0"/>
            </w:tcBorders>
            <w:vAlign w:val="center"/>
          </w:tcPr>
          <w:p w14:paraId="0212E5AD">
            <w:pPr>
              <w:jc w:val="center"/>
              <w:rPr>
                <w:rFonts w:hint="eastAsia" w:ascii="仿宋" w:hAnsi="仿宋" w:eastAsia="仿宋" w:cs="仿宋"/>
                <w:sz w:val="22"/>
                <w:szCs w:val="22"/>
              </w:rPr>
            </w:pPr>
            <w:r>
              <w:rPr>
                <w:rFonts w:hint="eastAsia" w:ascii="仿宋" w:hAnsi="仿宋" w:eastAsia="仿宋" w:cs="仿宋"/>
                <w:sz w:val="22"/>
                <w:szCs w:val="22"/>
              </w:rPr>
              <w:t>主观分</w:t>
            </w:r>
          </w:p>
        </w:tc>
      </w:tr>
      <w:tr w14:paraId="49237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8" w:hRule="atLeast"/>
          <w:jc w:val="center"/>
        </w:trPr>
        <w:tc>
          <w:tcPr>
            <w:tcW w:w="985" w:type="dxa"/>
            <w:tcBorders>
              <w:right w:val="single" w:color="auto" w:sz="4" w:space="0"/>
            </w:tcBorders>
            <w:vAlign w:val="center"/>
          </w:tcPr>
          <w:p w14:paraId="39745328">
            <w:pPr>
              <w:spacing w:line="460" w:lineRule="exact"/>
              <w:jc w:val="center"/>
              <w:rPr>
                <w:rFonts w:hint="eastAsia" w:ascii="仿宋" w:hAnsi="仿宋" w:eastAsia="仿宋" w:cs="仿宋"/>
                <w:sz w:val="22"/>
                <w:szCs w:val="22"/>
              </w:rPr>
            </w:pPr>
          </w:p>
        </w:tc>
        <w:tc>
          <w:tcPr>
            <w:tcW w:w="768" w:type="dxa"/>
            <w:tcBorders>
              <w:right w:val="single" w:color="auto" w:sz="4" w:space="0"/>
            </w:tcBorders>
            <w:vAlign w:val="center"/>
          </w:tcPr>
          <w:p w14:paraId="19760A6C">
            <w:pPr>
              <w:spacing w:line="460" w:lineRule="exact"/>
              <w:jc w:val="center"/>
              <w:rPr>
                <w:rFonts w:hint="eastAsia" w:ascii="仿宋" w:hAnsi="仿宋" w:eastAsia="仿宋" w:cs="仿宋"/>
                <w:sz w:val="22"/>
                <w:szCs w:val="22"/>
              </w:rPr>
            </w:pPr>
          </w:p>
        </w:tc>
        <w:tc>
          <w:tcPr>
            <w:tcW w:w="1128" w:type="dxa"/>
            <w:tcBorders>
              <w:top w:val="single" w:color="auto" w:sz="4" w:space="0"/>
              <w:left w:val="single" w:color="auto" w:sz="4" w:space="0"/>
              <w:right w:val="single" w:color="auto" w:sz="4" w:space="0"/>
            </w:tcBorders>
            <w:vAlign w:val="center"/>
          </w:tcPr>
          <w:p w14:paraId="49C6B7A8">
            <w:pPr>
              <w:jc w:val="center"/>
              <w:rPr>
                <w:rFonts w:hint="eastAsia" w:ascii="仿宋" w:hAnsi="仿宋" w:eastAsia="仿宋" w:cs="仿宋"/>
                <w:sz w:val="22"/>
                <w:szCs w:val="22"/>
              </w:rPr>
            </w:pPr>
            <w:r>
              <w:rPr>
                <w:rFonts w:hint="eastAsia" w:ascii="仿宋" w:hAnsi="仿宋" w:eastAsia="仿宋" w:cs="仿宋"/>
                <w:sz w:val="22"/>
                <w:szCs w:val="22"/>
              </w:rPr>
              <w:t>售后服务方案</w:t>
            </w:r>
          </w:p>
        </w:tc>
        <w:tc>
          <w:tcPr>
            <w:tcW w:w="5942" w:type="dxa"/>
            <w:tcBorders>
              <w:top w:val="single" w:color="auto" w:sz="4" w:space="0"/>
              <w:left w:val="single" w:color="auto" w:sz="4" w:space="0"/>
              <w:right w:val="single" w:color="auto" w:sz="4" w:space="0"/>
            </w:tcBorders>
            <w:vAlign w:val="center"/>
          </w:tcPr>
          <w:p w14:paraId="28A9370B">
            <w:pPr>
              <w:rPr>
                <w:rFonts w:hint="eastAsia" w:ascii="仿宋" w:hAnsi="仿宋" w:eastAsia="仿宋" w:cs="仿宋"/>
                <w:sz w:val="22"/>
                <w:szCs w:val="22"/>
                <w:lang w:val="zh-CN"/>
              </w:rPr>
            </w:pPr>
            <w:r>
              <w:rPr>
                <w:rFonts w:hint="eastAsia" w:ascii="仿宋" w:hAnsi="仿宋" w:eastAsia="仿宋" w:cs="仿宋"/>
                <w:sz w:val="22"/>
                <w:szCs w:val="22"/>
              </w:rPr>
              <w:t>磋商供应商对于本项目的售后服务方案全面、充分，有利于项目目标的实现的情况进行评分。（评分范围：3,2,1,0）</w:t>
            </w:r>
          </w:p>
        </w:tc>
        <w:tc>
          <w:tcPr>
            <w:tcW w:w="591" w:type="dxa"/>
            <w:tcBorders>
              <w:top w:val="single" w:color="auto" w:sz="4" w:space="0"/>
              <w:left w:val="single" w:color="auto" w:sz="4" w:space="0"/>
            </w:tcBorders>
            <w:vAlign w:val="center"/>
          </w:tcPr>
          <w:p w14:paraId="72062D5E">
            <w:pPr>
              <w:jc w:val="center"/>
              <w:rPr>
                <w:rFonts w:hint="eastAsia" w:ascii="仿宋" w:hAnsi="仿宋" w:eastAsia="仿宋" w:cs="仿宋"/>
                <w:sz w:val="22"/>
                <w:szCs w:val="22"/>
              </w:rPr>
            </w:pPr>
            <w:r>
              <w:rPr>
                <w:rFonts w:hint="eastAsia" w:ascii="仿宋" w:hAnsi="仿宋" w:eastAsia="仿宋" w:cs="仿宋"/>
                <w:sz w:val="22"/>
                <w:szCs w:val="22"/>
              </w:rPr>
              <w:t>3</w:t>
            </w:r>
          </w:p>
        </w:tc>
        <w:tc>
          <w:tcPr>
            <w:tcW w:w="970" w:type="dxa"/>
            <w:tcBorders>
              <w:top w:val="single" w:color="auto" w:sz="4" w:space="0"/>
              <w:left w:val="single" w:color="auto" w:sz="4" w:space="0"/>
            </w:tcBorders>
            <w:vAlign w:val="center"/>
          </w:tcPr>
          <w:p w14:paraId="4345956E">
            <w:pPr>
              <w:jc w:val="center"/>
              <w:rPr>
                <w:rFonts w:hint="eastAsia" w:ascii="仿宋" w:hAnsi="仿宋" w:eastAsia="仿宋" w:cs="仿宋"/>
                <w:sz w:val="22"/>
                <w:szCs w:val="22"/>
              </w:rPr>
            </w:pPr>
            <w:r>
              <w:rPr>
                <w:rFonts w:hint="eastAsia" w:ascii="仿宋" w:hAnsi="仿宋" w:eastAsia="仿宋" w:cs="仿宋"/>
                <w:sz w:val="22"/>
                <w:szCs w:val="22"/>
              </w:rPr>
              <w:t>主观分</w:t>
            </w:r>
          </w:p>
        </w:tc>
      </w:tr>
      <w:tr w14:paraId="74DC6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1" w:hRule="atLeast"/>
          <w:jc w:val="center"/>
        </w:trPr>
        <w:tc>
          <w:tcPr>
            <w:tcW w:w="985" w:type="dxa"/>
            <w:vMerge w:val="restart"/>
            <w:tcBorders>
              <w:top w:val="single" w:color="auto" w:sz="4" w:space="0"/>
              <w:right w:val="single" w:color="auto" w:sz="4" w:space="0"/>
            </w:tcBorders>
            <w:vAlign w:val="center"/>
          </w:tcPr>
          <w:p w14:paraId="4E23026D">
            <w:pPr>
              <w:jc w:val="center"/>
              <w:rPr>
                <w:sz w:val="22"/>
                <w:szCs w:val="22"/>
              </w:rPr>
            </w:pPr>
            <w:r>
              <w:rPr>
                <w:rFonts w:hint="eastAsia" w:ascii="仿宋" w:hAnsi="仿宋" w:eastAsia="仿宋" w:cs="仿宋"/>
                <w:sz w:val="22"/>
                <w:szCs w:val="22"/>
              </w:rPr>
              <w:t>2.3.3</w:t>
            </w: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1A5F5AB8">
            <w:pPr>
              <w:jc w:val="center"/>
              <w:rPr>
                <w:rFonts w:hint="eastAsia" w:ascii="仿宋" w:hAnsi="仿宋" w:eastAsia="仿宋" w:cs="仿宋"/>
                <w:sz w:val="22"/>
                <w:szCs w:val="22"/>
              </w:rPr>
            </w:pPr>
            <w:r>
              <w:rPr>
                <w:rFonts w:hint="eastAsia" w:ascii="仿宋" w:hAnsi="仿宋" w:eastAsia="仿宋" w:cs="仿宋"/>
                <w:sz w:val="22"/>
                <w:szCs w:val="22"/>
              </w:rPr>
              <w:t>报价评分标准</w:t>
            </w:r>
          </w:p>
        </w:tc>
        <w:tc>
          <w:tcPr>
            <w:tcW w:w="7503" w:type="dxa"/>
            <w:gridSpan w:val="3"/>
            <w:tcBorders>
              <w:top w:val="single" w:color="auto" w:sz="4" w:space="0"/>
              <w:left w:val="single" w:color="auto" w:sz="4" w:space="0"/>
              <w:bottom w:val="single" w:color="auto" w:sz="4" w:space="0"/>
            </w:tcBorders>
            <w:vAlign w:val="center"/>
          </w:tcPr>
          <w:p w14:paraId="7C31EF05">
            <w:pPr>
              <w:spacing w:line="400" w:lineRule="exact"/>
              <w:rPr>
                <w:rFonts w:hint="eastAsia" w:ascii="仿宋" w:hAnsi="仿宋" w:eastAsia="仿宋" w:cs="仿宋"/>
                <w:bCs/>
                <w:sz w:val="22"/>
                <w:szCs w:val="22"/>
              </w:rPr>
            </w:pPr>
            <w:r>
              <w:rPr>
                <w:rFonts w:hint="eastAsia" w:ascii="仿宋" w:hAnsi="仿宋" w:eastAsia="仿宋" w:cs="仿宋"/>
                <w:bCs/>
                <w:sz w:val="22"/>
                <w:szCs w:val="22"/>
              </w:rPr>
              <w:t>（1）满足采购文件要求且报价最低的投标报价为评标基准价，其价格分为满分。</w:t>
            </w:r>
          </w:p>
          <w:p w14:paraId="2B100DE3">
            <w:pPr>
              <w:spacing w:line="400" w:lineRule="exact"/>
              <w:rPr>
                <w:rFonts w:hint="eastAsia" w:ascii="仿宋" w:hAnsi="仿宋" w:eastAsia="仿宋" w:cs="仿宋"/>
                <w:bCs/>
                <w:sz w:val="22"/>
                <w:szCs w:val="22"/>
              </w:rPr>
            </w:pPr>
            <w:r>
              <w:rPr>
                <w:rFonts w:hint="eastAsia" w:ascii="仿宋" w:hAnsi="仿宋" w:eastAsia="仿宋" w:cs="仿宋"/>
                <w:bCs/>
                <w:sz w:val="22"/>
                <w:szCs w:val="22"/>
              </w:rPr>
              <w:t>（2）其他磋商供应商的投标价格得分按以下公式计算：</w:t>
            </w:r>
          </w:p>
          <w:p w14:paraId="3E4EC685">
            <w:pPr>
              <w:spacing w:line="400" w:lineRule="exact"/>
              <w:rPr>
                <w:sz w:val="22"/>
                <w:szCs w:val="22"/>
              </w:rPr>
            </w:pPr>
            <w:r>
              <w:rPr>
                <w:rFonts w:hint="eastAsia" w:ascii="仿宋" w:hAnsi="仿宋" w:eastAsia="仿宋" w:cs="仿宋"/>
                <w:bCs/>
                <w:sz w:val="22"/>
                <w:szCs w:val="22"/>
              </w:rPr>
              <w:t>投标报价得分=（评标基准价/</w:t>
            </w:r>
            <w:r>
              <w:rPr>
                <w:rFonts w:hint="eastAsia" w:ascii="仿宋" w:hAnsi="仿宋" w:eastAsia="仿宋" w:cs="仿宋"/>
                <w:bCs/>
                <w:sz w:val="22"/>
                <w:szCs w:val="22"/>
                <w:lang w:val="zh-CN"/>
              </w:rPr>
              <w:t>有效评标价</w:t>
            </w:r>
            <w:r>
              <w:rPr>
                <w:rFonts w:hint="eastAsia" w:ascii="仿宋" w:hAnsi="仿宋" w:eastAsia="仿宋" w:cs="仿宋"/>
                <w:bCs/>
                <w:sz w:val="22"/>
                <w:szCs w:val="22"/>
              </w:rPr>
              <w:t>）× 价格权值 ×100（四舍五入，保留小数点后2位）</w:t>
            </w:r>
          </w:p>
        </w:tc>
      </w:tr>
      <w:tr w14:paraId="0538D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4" w:hRule="atLeast"/>
          <w:jc w:val="center"/>
        </w:trPr>
        <w:tc>
          <w:tcPr>
            <w:tcW w:w="985" w:type="dxa"/>
            <w:vMerge w:val="continue"/>
            <w:tcBorders>
              <w:bottom w:val="single" w:color="auto" w:sz="4" w:space="0"/>
              <w:right w:val="single" w:color="auto" w:sz="4" w:space="0"/>
            </w:tcBorders>
            <w:vAlign w:val="center"/>
          </w:tcPr>
          <w:p w14:paraId="773F9E0B">
            <w:pPr>
              <w:jc w:val="center"/>
              <w:rPr>
                <w:sz w:val="22"/>
                <w:szCs w:val="22"/>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14:paraId="0669DC8D">
            <w:pPr>
              <w:jc w:val="center"/>
              <w:rPr>
                <w:rFonts w:hint="eastAsia" w:ascii="仿宋" w:hAnsi="仿宋" w:eastAsia="仿宋" w:cs="仿宋"/>
                <w:sz w:val="22"/>
                <w:szCs w:val="22"/>
              </w:rPr>
            </w:pPr>
            <w:r>
              <w:rPr>
                <w:rFonts w:hint="eastAsia" w:ascii="仿宋" w:hAnsi="仿宋" w:eastAsia="仿宋" w:cs="仿宋"/>
                <w:sz w:val="22"/>
                <w:szCs w:val="22"/>
              </w:rPr>
              <w:t>落实政府采购政策需进行的价格扣除</w:t>
            </w:r>
          </w:p>
        </w:tc>
        <w:tc>
          <w:tcPr>
            <w:tcW w:w="7503" w:type="dxa"/>
            <w:gridSpan w:val="3"/>
            <w:tcBorders>
              <w:top w:val="single" w:color="auto" w:sz="4" w:space="0"/>
              <w:left w:val="single" w:color="auto" w:sz="4" w:space="0"/>
              <w:bottom w:val="single" w:color="auto" w:sz="4" w:space="0"/>
            </w:tcBorders>
            <w:vAlign w:val="center"/>
          </w:tcPr>
          <w:p w14:paraId="59020529">
            <w:pPr>
              <w:tabs>
                <w:tab w:val="left" w:pos="0"/>
              </w:tabs>
              <w:spacing w:line="420" w:lineRule="exact"/>
              <w:rPr>
                <w:rFonts w:hint="eastAsia" w:ascii="仿宋" w:hAnsi="仿宋" w:eastAsia="仿宋" w:cs="仿宋"/>
                <w:sz w:val="22"/>
                <w:szCs w:val="22"/>
              </w:rPr>
            </w:pPr>
            <w:r>
              <w:rPr>
                <w:rFonts w:hint="eastAsia" w:ascii="仿宋" w:hAnsi="仿宋" w:eastAsia="仿宋" w:cs="仿宋"/>
                <w:sz w:val="22"/>
                <w:szCs w:val="22"/>
              </w:rPr>
              <w:t>1）小微企业（含监狱企业、残疾人福利性单位）报价扣除 10 %，即评标价=投标报价× 90 %；</w:t>
            </w:r>
          </w:p>
          <w:p w14:paraId="618105D9">
            <w:pPr>
              <w:tabs>
                <w:tab w:val="left" w:pos="0"/>
              </w:tabs>
              <w:spacing w:line="420" w:lineRule="exact"/>
              <w:rPr>
                <w:rFonts w:hint="eastAsia" w:ascii="仿宋" w:hAnsi="仿宋" w:eastAsia="仿宋" w:cs="仿宋"/>
                <w:sz w:val="22"/>
                <w:szCs w:val="22"/>
              </w:rPr>
            </w:pPr>
            <w:r>
              <w:rPr>
                <w:rFonts w:hint="eastAsia" w:ascii="仿宋" w:hAnsi="仿宋" w:eastAsia="仿宋" w:cs="仿宋"/>
                <w:sz w:val="22"/>
                <w:szCs w:val="22"/>
              </w:rPr>
              <w:t>2）价格扣除比例或者价格分加分比例对小型企业和微型企业同等对待，不作区分。小型、微型企业、监狱企业、残疾人福利性单位不重复享受价格扣除政策。</w:t>
            </w:r>
          </w:p>
          <w:p w14:paraId="6AC5EDF3">
            <w:pPr>
              <w:tabs>
                <w:tab w:val="left" w:pos="0"/>
              </w:tabs>
              <w:spacing w:line="420" w:lineRule="exact"/>
              <w:rPr>
                <w:rFonts w:hint="eastAsia" w:ascii="仿宋" w:hAnsi="仿宋" w:eastAsia="仿宋" w:cs="仿宋"/>
                <w:sz w:val="22"/>
                <w:szCs w:val="22"/>
              </w:rPr>
            </w:pPr>
            <w:r>
              <w:rPr>
                <w:rFonts w:hint="eastAsia" w:ascii="仿宋" w:hAnsi="仿宋" w:eastAsia="仿宋" w:cs="仿宋"/>
                <w:sz w:val="22"/>
                <w:szCs w:val="22"/>
              </w:rPr>
              <w:t>3）未提供完整证明材料的，不享受价格扣除优惠政策</w:t>
            </w:r>
          </w:p>
          <w:p w14:paraId="60A7CAD2">
            <w:pPr>
              <w:tabs>
                <w:tab w:val="left" w:pos="0"/>
              </w:tabs>
              <w:spacing w:line="420" w:lineRule="exact"/>
            </w:pPr>
            <w:r>
              <w:rPr>
                <w:rFonts w:hint="eastAsia" w:ascii="仿宋" w:hAnsi="仿宋" w:eastAsia="仿宋" w:cs="仿宋"/>
                <w:b/>
                <w:bCs/>
                <w:sz w:val="22"/>
                <w:szCs w:val="22"/>
              </w:rPr>
              <w:t>注：专门面向中小企业采购的项目或者标项，不再执行价格评审优惠的扶持政策。</w:t>
            </w:r>
          </w:p>
        </w:tc>
      </w:tr>
    </w:tbl>
    <w:p w14:paraId="127AD79C">
      <w:bookmarkStart w:id="376" w:name="_GoBack"/>
      <w:bookmarkEnd w:id="376"/>
    </w:p>
    <w:sectPr>
      <w:headerReference r:id="rId8" w:type="default"/>
      <w:footerReference r:id="rId9"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343A0">
    <w:pPr>
      <w:pStyle w:val="9"/>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851BC">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63851BC">
                    <w:r>
                      <w:fldChar w:fldCharType="begin"/>
                    </w:r>
                    <w:r>
                      <w:instrText xml:space="preserve"> PAGE  \* MERGEFORMAT </w:instrText>
                    </w:r>
                    <w:r>
                      <w:fldChar w:fldCharType="separate"/>
                    </w:r>
                    <w:r>
                      <w:t>21</w:t>
                    </w:r>
                    <w:r>
                      <w:fldChar w:fldCharType="end"/>
                    </w:r>
                  </w:p>
                </w:txbxContent>
              </v:textbox>
            </v:shape>
          </w:pict>
        </mc:Fallback>
      </mc:AlternateContent>
    </w:r>
  </w:p>
  <w:p w14:paraId="2570D26A">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2FCDE">
    <w:pPr>
      <w:pStyle w:val="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C2040">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67C2040">
                    <w:r>
                      <w:fldChar w:fldCharType="begin"/>
                    </w:r>
                    <w:r>
                      <w:instrText xml:space="preserve"> PAGE  \* MERGEFORMAT </w:instrText>
                    </w:r>
                    <w:r>
                      <w:fldChar w:fldCharType="separate"/>
                    </w:r>
                    <w:r>
                      <w:t>20</w:t>
                    </w:r>
                    <w:r>
                      <w:fldChar w:fldCharType="end"/>
                    </w:r>
                  </w:p>
                </w:txbxContent>
              </v:textbox>
            </v:shape>
          </w:pict>
        </mc:Fallback>
      </mc:AlternateContent>
    </w:r>
  </w:p>
  <w:p w14:paraId="76481A79">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B0FC">
    <w:pPr>
      <w:pStyle w:val="9"/>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45C02">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6F45C02">
                    <w:r>
                      <w:fldChar w:fldCharType="begin"/>
                    </w:r>
                    <w:r>
                      <w:instrText xml:space="preserve"> PAGE  \* MERGEFORMAT </w:instrText>
                    </w:r>
                    <w:r>
                      <w:fldChar w:fldCharType="separate"/>
                    </w:r>
                    <w:r>
                      <w:t>21</w:t>
                    </w:r>
                    <w:r>
                      <w:fldChar w:fldCharType="end"/>
                    </w:r>
                  </w:p>
                </w:txbxContent>
              </v:textbox>
            </v:shape>
          </w:pict>
        </mc:Fallback>
      </mc:AlternateContent>
    </w:r>
  </w:p>
  <w:p w14:paraId="76C32B9F">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487AB">
    <w:pPr>
      <w:widowControl/>
      <w:adjustRightInd/>
      <w:spacing w:line="240" w:lineRule="atLeast"/>
      <w:ind w:left="2520" w:hanging="2520" w:hangingChars="700"/>
      <w:rPr>
        <w:rFonts w:ascii="仿宋_GB2312" w:eastAsia="仿宋_GB2312"/>
        <w:b/>
        <w:i/>
        <w:sz w:val="18"/>
        <w:u w:val="single"/>
      </w:rPr>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D83C">
    <w:pPr>
      <w:widowControl/>
      <w:adjustRightInd/>
      <w:spacing w:line="240" w:lineRule="atLeast"/>
      <w:ind w:left="2520" w:hanging="2520" w:hangingChars="700"/>
      <w:rPr>
        <w:rFonts w:ascii="仿宋_GB2312" w:eastAsia="仿宋_GB2312"/>
        <w:b/>
        <w:i/>
        <w:sz w:val="18"/>
        <w:u w:val="single"/>
      </w:rPr>
    </w:pPr>
    <w:r>
      <w:rPr>
        <w:rFonts w:hint="eastAsia" w:ascii="楷体" w:hAnsi="楷体" w:eastAsia="楷体" w:cs="楷体"/>
        <w:color w:val="FF0000"/>
        <w:sz w:val="36"/>
        <w:szCs w:val="36"/>
        <w:u w:val="thick" w:color="C9091E"/>
      </w:rPr>
      <w:t xml:space="preserve">                       </w:t>
    </w:r>
    <w:r>
      <w:rPr>
        <w:rFonts w:hint="eastAsia" w:ascii="楷体" w:hAnsi="楷体" w:eastAsia="楷体" w:cs="楷体"/>
        <w:sz w:val="28"/>
        <w:szCs w:val="28"/>
        <w:u w:val="thick" w:color="C9091E"/>
      </w:rPr>
      <w:t>温州市公安局政府采购竞争性磋商采购文件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C1C28"/>
    <w:multiLevelType w:val="singleLevel"/>
    <w:tmpl w:val="94DC1C28"/>
    <w:lvl w:ilvl="0" w:tentative="0">
      <w:start w:val="1"/>
      <w:numFmt w:val="decimal"/>
      <w:suff w:val="nothing"/>
      <w:lvlText w:val="%1、"/>
      <w:lvlJc w:val="left"/>
    </w:lvl>
  </w:abstractNum>
  <w:abstractNum w:abstractNumId="1">
    <w:nsid w:val="07D51BC3"/>
    <w:multiLevelType w:val="multilevel"/>
    <w:tmpl w:val="07D51B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25B476"/>
    <w:multiLevelType w:val="singleLevel"/>
    <w:tmpl w:val="4E25B476"/>
    <w:lvl w:ilvl="0" w:tentative="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C25A3"/>
    <w:rsid w:val="4B5037DC"/>
    <w:rsid w:val="521C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9" w:name="heading 6"/>
    <w:lsdException w:qFormat="1" w:uiPriority="9"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E54A1" w:themeColor="accent1" w:themeShade="BF"/>
      <w:sz w:val="48"/>
      <w:szCs w:val="48"/>
    </w:rPr>
  </w:style>
  <w:style w:type="paragraph" w:styleId="3">
    <w:name w:val="heading 2"/>
    <w:basedOn w:val="1"/>
    <w:next w:val="1"/>
    <w:link w:val="13"/>
    <w:unhideWhenUsed/>
    <w:qFormat/>
    <w:uiPriority w:val="0"/>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paragraph" w:styleId="4">
    <w:name w:val="heading 3"/>
    <w:basedOn w:val="1"/>
    <w:next w:val="1"/>
    <w:unhideWhenUsed/>
    <w:qFormat/>
    <w:uiPriority w:val="0"/>
    <w:pPr>
      <w:keepNext/>
      <w:keepLines/>
      <w:spacing w:before="160" w:after="80"/>
      <w:outlineLvl w:val="2"/>
    </w:pPr>
    <w:rPr>
      <w:rFonts w:asciiTheme="majorHAnsi" w:hAnsiTheme="majorHAnsi" w:eastAsiaTheme="majorEastAsia" w:cstheme="majorBidi"/>
      <w:color w:val="2E54A1" w:themeColor="accent1" w:themeShade="BF"/>
      <w:sz w:val="32"/>
      <w:szCs w:val="32"/>
    </w:rPr>
  </w:style>
  <w:style w:type="paragraph" w:styleId="5">
    <w:name w:val="heading 4"/>
    <w:basedOn w:val="1"/>
    <w:next w:val="1"/>
    <w:unhideWhenUsed/>
    <w:qFormat/>
    <w:uiPriority w:val="0"/>
    <w:pPr>
      <w:keepNext/>
      <w:keepLines/>
      <w:spacing w:before="80" w:after="40"/>
      <w:outlineLvl w:val="3"/>
    </w:pPr>
    <w:rPr>
      <w:rFonts w:cstheme="majorBidi"/>
      <w:color w:val="2E54A1" w:themeColor="accent1" w:themeShade="BF"/>
      <w:sz w:val="28"/>
      <w:szCs w:val="28"/>
    </w:rPr>
  </w:style>
  <w:style w:type="paragraph" w:styleId="6">
    <w:name w:val="heading 6"/>
    <w:basedOn w:val="1"/>
    <w:next w:val="1"/>
    <w:semiHidden/>
    <w:unhideWhenUsed/>
    <w:qFormat/>
    <w:uiPriority w:val="9"/>
    <w:pPr>
      <w:keepNext/>
      <w:keepLines/>
      <w:spacing w:before="40"/>
      <w:outlineLvl w:val="5"/>
    </w:pPr>
    <w:rPr>
      <w:rFonts w:cstheme="majorBidi"/>
      <w:b/>
      <w:bCs/>
      <w:color w:val="2E54A1" w:themeColor="accent1" w:themeShade="BF"/>
    </w:rPr>
  </w:style>
  <w:style w:type="paragraph" w:styleId="7">
    <w:name w:val="heading 7"/>
    <w:basedOn w:val="1"/>
    <w:next w:val="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9">
    <w:name w:val="footer"/>
    <w:basedOn w:val="1"/>
    <w:unhideWhenUsed/>
    <w:qFormat/>
    <w:uiPriority w:val="99"/>
    <w:pPr>
      <w:tabs>
        <w:tab w:val="center" w:pos="4153"/>
        <w:tab w:val="right" w:pos="8306"/>
      </w:tabs>
      <w:snapToGrid w:val="0"/>
      <w:spacing w:line="240" w:lineRule="atLeast"/>
    </w:pPr>
    <w:rPr>
      <w:sz w:val="18"/>
      <w:szCs w:val="18"/>
    </w:rPr>
  </w:style>
  <w:style w:type="paragraph" w:styleId="10">
    <w:name w:val="Body Text First Indent"/>
    <w:basedOn w:val="8"/>
    <w:qFormat/>
    <w:uiPriority w:val="0"/>
    <w:pPr>
      <w:ind w:firstLine="420"/>
    </w:pPr>
    <w:rPr>
      <w:rFonts w:hAnsi="Calibri" w:cs="Times New Roman"/>
      <w:snapToGrid/>
      <w:szCs w:val="20"/>
    </w:rPr>
  </w:style>
  <w:style w:type="character" w:customStyle="1" w:styleId="13">
    <w:name w:val="标题 2 字符"/>
    <w:basedOn w:val="12"/>
    <w:link w:val="3"/>
    <w:qFormat/>
    <w:uiPriority w:val="0"/>
    <w:rPr>
      <w:rFonts w:asciiTheme="majorHAnsi" w:hAnsiTheme="majorHAnsi" w:eastAsiaTheme="majorEastAsia" w:cstheme="majorBidi"/>
      <w:color w:val="2E54A1" w:themeColor="accent1" w:themeShade="BF"/>
      <w:sz w:val="40"/>
      <w:szCs w:val="40"/>
    </w:rPr>
  </w:style>
  <w:style w:type="paragraph" w:styleId="14">
    <w:name w:val="List Paragraph"/>
    <w:basedOn w:val="1"/>
    <w:qFormat/>
    <w:uiPriority w:val="99"/>
    <w:pPr>
      <w:ind w:left="720"/>
      <w:contextualSpacing/>
    </w:pPr>
  </w:style>
  <w:style w:type="character" w:customStyle="1" w:styleId="15">
    <w:name w:val="标题 1 字符"/>
    <w:basedOn w:val="12"/>
    <w:link w:val="2"/>
    <w:qFormat/>
    <w:uiPriority w:val="9"/>
    <w:rPr>
      <w:rFonts w:asciiTheme="majorHAnsi" w:hAnsiTheme="majorHAnsi" w:eastAsiaTheme="majorEastAsia" w:cstheme="majorBidi"/>
      <w:color w:val="2E54A1" w:themeColor="accent1" w:themeShade="BF"/>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12040</Words>
  <Characters>12874</Characters>
  <Lines>0</Lines>
  <Paragraphs>0</Paragraphs>
  <TotalTime>0</TotalTime>
  <ScaleCrop>false</ScaleCrop>
  <LinksUpToDate>false</LinksUpToDate>
  <CharactersWithSpaces>12919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2025-04-28T02:55:00Z</dcterms:created>
  <dc:creator>历程</dc:creator>
  <cp:lastModifiedBy>历程</cp:lastModifiedBy>
  <dcterms:modified xsi:type="dcterms:W3CDTF">2025-04-28T05:50:48Z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BC4661CB8E3944C6A2DA73982A5A814D_11</vt:lpwstr>
  </property>
  <property fmtid="{D5CDD505-2E9C-101B-9397-08002B2CF9AE}" pid="4" name="KSOTemplateDocerSaveRecord">
    <vt:lpwstr>eyJoZGlkIjoiNzc5NjEzODExYjg0YzBhMzhhYjgzNmIyODJmYjYzMWEiLCJ1c2VySWQiOiIxNTUyNTMyNzYyIn0=</vt:lpwstr>
  </property>
</Properties>
</file>