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widowControl w:val="0"/>
        <w:numPr>
          <w:ilvl w:val="0"/>
          <w:numId w:val="0"/>
        </w:numPr>
        <w:kinsoku/>
        <w:wordWrap/>
        <w:overflowPunct/>
        <w:topLinePunct w:val="0"/>
        <w:autoSpaceDE/>
        <w:autoSpaceDN/>
        <w:bidi w:val="0"/>
        <w:adjustRightInd w:val="0"/>
        <w:snapToGrid w:val="0"/>
        <w:spacing w:before="0" w:after="0" w:line="240" w:lineRule="auto"/>
        <w:ind w:left="640" w:leftChars="0"/>
        <w:jc w:val="center"/>
        <w:textAlignment w:val="auto"/>
        <w:rPr>
          <w:rFonts w:hint="eastAsia" w:eastAsia="楷体_GB2312"/>
          <w:bCs w:val="0"/>
          <w:color w:val="auto"/>
          <w:kern w:val="2"/>
          <w:sz w:val="32"/>
          <w:szCs w:val="32"/>
          <w:highlight w:val="none"/>
        </w:rPr>
      </w:pPr>
      <w:bookmarkStart w:id="0" w:name="_Toc40537601"/>
      <w:r>
        <w:rPr>
          <w:rFonts w:hint="eastAsia" w:eastAsia="楷体_GB2312"/>
          <w:bCs w:val="0"/>
          <w:color w:val="auto"/>
          <w:kern w:val="2"/>
          <w:sz w:val="32"/>
          <w:szCs w:val="32"/>
          <w:highlight w:val="none"/>
        </w:rPr>
        <w:t>招标需求</w:t>
      </w:r>
      <w:bookmarkEnd w:id="0"/>
    </w:p>
    <w:p>
      <w:pPr>
        <w:kinsoku/>
        <w:overflowPunct/>
        <w:topLinePunct w:val="0"/>
        <w:bidi w:val="0"/>
        <w:adjustRightInd w:val="0"/>
        <w:snapToGrid w:val="0"/>
        <w:spacing w:line="360" w:lineRule="auto"/>
        <w:ind w:firstLine="421" w:firstLineChars="200"/>
        <w:rPr>
          <w:rFonts w:hint="eastAsia"/>
          <w:b/>
          <w:szCs w:val="21"/>
          <w:highlight w:val="none"/>
        </w:rPr>
      </w:pPr>
      <w:r>
        <w:rPr>
          <w:rFonts w:hint="eastAsia"/>
          <w:b/>
          <w:szCs w:val="21"/>
          <w:highlight w:val="none"/>
        </w:rPr>
        <w:t>一、项目概况</w:t>
      </w:r>
    </w:p>
    <w:p>
      <w:pPr>
        <w:kinsoku/>
        <w:overflowPunct/>
        <w:topLinePunct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val="en-US" w:eastAsia="zh-CN"/>
        </w:rPr>
        <w:t>为切实提高街道食品安全监管的工作水平，有效排查食品安全隐患，确保不发生重大食品安全事故，推动街道食品安全水平全面提质，切实保障老百姓“舌尖上的安全”，拟通过公开招标形式引入食品安全隐患排查管理第三方服务机构</w:t>
      </w:r>
      <w:r>
        <w:rPr>
          <w:rFonts w:hint="eastAsia" w:ascii="宋体" w:hAnsi="宋体"/>
          <w:highlight w:val="none"/>
        </w:rPr>
        <w:t>。</w:t>
      </w:r>
    </w:p>
    <w:p>
      <w:pPr>
        <w:kinsoku/>
        <w:overflowPunct/>
        <w:topLinePunct w:val="0"/>
        <w:bidi w:val="0"/>
        <w:adjustRightInd w:val="0"/>
        <w:snapToGrid w:val="0"/>
        <w:spacing w:line="360" w:lineRule="auto"/>
        <w:ind w:firstLine="421" w:firstLineChars="200"/>
        <w:rPr>
          <w:rFonts w:hint="eastAsia"/>
          <w:b/>
          <w:szCs w:val="21"/>
          <w:highlight w:val="none"/>
        </w:rPr>
      </w:pPr>
      <w:r>
        <w:rPr>
          <w:rFonts w:hint="eastAsia"/>
          <w:b/>
          <w:szCs w:val="21"/>
          <w:highlight w:val="none"/>
        </w:rPr>
        <w:t>二、执行的标准、规范和办法</w:t>
      </w:r>
    </w:p>
    <w:p>
      <w:pPr>
        <w:kinsoku/>
        <w:overflowPunct/>
        <w:topLinePunct w:val="0"/>
        <w:bidi w:val="0"/>
        <w:adjustRightInd w:val="0"/>
        <w:snapToGrid w:val="0"/>
        <w:spacing w:line="360" w:lineRule="auto"/>
        <w:ind w:firstLine="480"/>
        <w:rPr>
          <w:rFonts w:hint="eastAsia" w:ascii="宋体" w:hAnsi="宋体"/>
          <w:highlight w:val="none"/>
        </w:rPr>
      </w:pPr>
      <w:r>
        <w:rPr>
          <w:rFonts w:hint="eastAsia" w:ascii="宋体" w:hAnsi="宋体"/>
          <w:highlight w:val="none"/>
        </w:rPr>
        <w:t>2.1《中华人民共和国食品安全法》；</w:t>
      </w:r>
    </w:p>
    <w:p>
      <w:pPr>
        <w:kinsoku/>
        <w:overflowPunct/>
        <w:topLinePunct w:val="0"/>
        <w:bidi w:val="0"/>
        <w:adjustRightInd w:val="0"/>
        <w:snapToGrid w:val="0"/>
        <w:spacing w:line="360" w:lineRule="auto"/>
        <w:ind w:firstLine="480"/>
        <w:rPr>
          <w:rFonts w:hint="eastAsia" w:ascii="宋体" w:hAnsi="宋体"/>
          <w:highlight w:val="none"/>
        </w:rPr>
      </w:pPr>
      <w:r>
        <w:rPr>
          <w:rFonts w:hint="eastAsia" w:ascii="宋体" w:hAnsi="宋体"/>
          <w:highlight w:val="none"/>
        </w:rPr>
        <w:t>2.2《餐饮服务食品安全操作规范》、《餐饮服务食品采购索证索票管理规定》</w:t>
      </w:r>
      <w:r>
        <w:rPr>
          <w:rFonts w:hint="eastAsia" w:ascii="宋体" w:hAnsi="宋体"/>
          <w:highlight w:val="none"/>
          <w:lang w:eastAsia="zh-CN"/>
        </w:rPr>
        <w:t>、《食品安全国家标准</w:t>
      </w:r>
      <w:r>
        <w:rPr>
          <w:rFonts w:hint="eastAsia" w:ascii="宋体" w:hAnsi="宋体"/>
          <w:highlight w:val="none"/>
          <w:lang w:val="en-US" w:eastAsia="zh-CN"/>
        </w:rPr>
        <w:t xml:space="preserve"> 餐饮服务通用卫生规范</w:t>
      </w:r>
      <w:r>
        <w:rPr>
          <w:rFonts w:hint="eastAsia" w:ascii="宋体" w:hAnsi="宋体"/>
          <w:highlight w:val="none"/>
          <w:lang w:eastAsia="zh-CN"/>
        </w:rPr>
        <w:t>》</w:t>
      </w:r>
      <w:r>
        <w:rPr>
          <w:rFonts w:hint="eastAsia" w:ascii="宋体" w:hAnsi="宋体"/>
          <w:highlight w:val="none"/>
        </w:rPr>
        <w:t>；</w:t>
      </w:r>
    </w:p>
    <w:p>
      <w:pPr>
        <w:kinsoku/>
        <w:overflowPunct/>
        <w:topLinePunct w:val="0"/>
        <w:bidi w:val="0"/>
        <w:adjustRightInd w:val="0"/>
        <w:snapToGrid w:val="0"/>
        <w:spacing w:line="360" w:lineRule="auto"/>
        <w:ind w:firstLine="480"/>
        <w:rPr>
          <w:rFonts w:hint="eastAsia" w:ascii="宋体" w:hAnsi="宋体"/>
          <w:highlight w:val="none"/>
        </w:rPr>
      </w:pPr>
      <w:r>
        <w:rPr>
          <w:rFonts w:hint="eastAsia" w:ascii="宋体" w:hAnsi="宋体"/>
          <w:highlight w:val="none"/>
        </w:rPr>
        <w:t>2.3《食品生产经营许可管理办法》、《网络餐饮服务食品安全监督管理办法》；</w:t>
      </w:r>
    </w:p>
    <w:p>
      <w:pPr>
        <w:kinsoku/>
        <w:overflowPunct/>
        <w:topLinePunct w:val="0"/>
        <w:bidi w:val="0"/>
        <w:adjustRightInd w:val="0"/>
        <w:snapToGrid w:val="0"/>
        <w:spacing w:line="360" w:lineRule="auto"/>
        <w:ind w:firstLine="480"/>
        <w:rPr>
          <w:rFonts w:hint="eastAsia" w:ascii="宋体" w:hAnsi="宋体"/>
          <w:highlight w:val="none"/>
        </w:rPr>
      </w:pPr>
      <w:r>
        <w:rPr>
          <w:rFonts w:hint="eastAsia" w:ascii="宋体" w:hAnsi="宋体"/>
          <w:highlight w:val="none"/>
        </w:rPr>
        <w:t>2.4《浙江省食品小作坊小餐饮店小食杂店和食品摊贩管理规定》。</w:t>
      </w:r>
    </w:p>
    <w:p>
      <w:pPr>
        <w:kinsoku/>
        <w:overflowPunct/>
        <w:topLinePunct w:val="0"/>
        <w:bidi w:val="0"/>
        <w:adjustRightInd w:val="0"/>
        <w:snapToGrid w:val="0"/>
        <w:spacing w:line="360" w:lineRule="auto"/>
        <w:ind w:firstLine="480"/>
        <w:rPr>
          <w:rFonts w:hint="eastAsia" w:ascii="宋体" w:hAnsi="宋体"/>
          <w:b/>
          <w:szCs w:val="21"/>
          <w:highlight w:val="none"/>
        </w:rPr>
      </w:pPr>
      <w:r>
        <w:rPr>
          <w:rFonts w:hint="eastAsia" w:ascii="宋体" w:hAnsi="宋体"/>
          <w:b/>
          <w:szCs w:val="21"/>
          <w:highlight w:val="none"/>
        </w:rPr>
        <w:t>三、服务范围及内容</w:t>
      </w:r>
    </w:p>
    <w:p>
      <w:pPr>
        <w:kinsoku/>
        <w:overflowPunct/>
        <w:topLinePunct w:val="0"/>
        <w:bidi w:val="0"/>
        <w:adjustRightInd w:val="0"/>
        <w:snapToGrid w:val="0"/>
        <w:spacing w:line="360" w:lineRule="auto"/>
        <w:ind w:firstLine="480"/>
        <w:rPr>
          <w:rFonts w:hint="eastAsia" w:ascii="宋体" w:hAnsi="宋体"/>
          <w:szCs w:val="21"/>
          <w:highlight w:val="none"/>
        </w:rPr>
      </w:pPr>
      <w:r>
        <w:rPr>
          <w:rFonts w:hint="eastAsia" w:ascii="宋体" w:hAnsi="宋体"/>
          <w:szCs w:val="21"/>
          <w:highlight w:val="none"/>
          <w:lang w:val="en-US" w:eastAsia="zh-CN"/>
        </w:rPr>
        <w:t>2025</w:t>
      </w:r>
      <w:bookmarkStart w:id="1" w:name="_GoBack"/>
      <w:bookmarkEnd w:id="1"/>
      <w:r>
        <w:rPr>
          <w:rFonts w:hint="eastAsia" w:ascii="宋体" w:hAnsi="宋体"/>
          <w:szCs w:val="21"/>
          <w:highlight w:val="none"/>
          <w:lang w:val="en-US" w:eastAsia="zh-CN"/>
        </w:rPr>
        <w:t>年度街道食品安全第三方评估督导服务涵盖社会餐饮服务单位约1000家，企事业单位食堂约90家，食品流通单位约1800家</w:t>
      </w:r>
      <w:r>
        <w:rPr>
          <w:rFonts w:hint="eastAsia" w:ascii="宋体" w:hAnsi="宋体"/>
          <w:szCs w:val="21"/>
          <w:highlight w:val="none"/>
          <w:lang w:eastAsia="zh-CN"/>
        </w:rPr>
        <w:t>（</w:t>
      </w:r>
      <w:r>
        <w:rPr>
          <w:rFonts w:hint="eastAsia" w:ascii="宋体" w:hAnsi="宋体"/>
          <w:szCs w:val="21"/>
          <w:highlight w:val="none"/>
          <w:lang w:val="en-US" w:eastAsia="zh-CN"/>
        </w:rPr>
        <w:t>名单由采购人提供</w:t>
      </w:r>
      <w:r>
        <w:rPr>
          <w:rFonts w:hint="eastAsia" w:ascii="宋体" w:hAnsi="宋体"/>
          <w:szCs w:val="21"/>
          <w:highlight w:val="none"/>
          <w:lang w:eastAsia="zh-CN"/>
        </w:rPr>
        <w:t>），</w:t>
      </w:r>
      <w:r>
        <w:rPr>
          <w:rFonts w:hint="eastAsia" w:ascii="宋体" w:hAnsi="宋体"/>
          <w:szCs w:val="21"/>
          <w:highlight w:val="none"/>
          <w:lang w:val="en-US" w:eastAsia="zh-CN"/>
        </w:rPr>
        <w:t>农村集体聚餐（100人以上）场次具体数量依实际情况而定</w:t>
      </w:r>
      <w:r>
        <w:rPr>
          <w:rFonts w:hint="eastAsia" w:ascii="宋体" w:hAnsi="宋体"/>
          <w:szCs w:val="21"/>
          <w:highlight w:val="none"/>
        </w:rPr>
        <w:t>。投标人应结合</w:t>
      </w:r>
      <w:r>
        <w:rPr>
          <w:rFonts w:hint="eastAsia" w:ascii="宋体" w:hAnsi="宋体"/>
          <w:szCs w:val="21"/>
          <w:highlight w:val="none"/>
          <w:lang w:val="en-US" w:eastAsia="zh-CN"/>
        </w:rPr>
        <w:t>海洲</w:t>
      </w:r>
      <w:r>
        <w:rPr>
          <w:rFonts w:hint="eastAsia" w:ascii="宋体" w:hAnsi="宋体"/>
          <w:szCs w:val="21"/>
          <w:highlight w:val="none"/>
          <w:lang w:eastAsia="zh-CN"/>
        </w:rPr>
        <w:t>街道辖区</w:t>
      </w:r>
      <w:r>
        <w:rPr>
          <w:rFonts w:hint="eastAsia" w:ascii="宋体" w:hAnsi="宋体"/>
          <w:szCs w:val="21"/>
          <w:highlight w:val="none"/>
        </w:rPr>
        <w:t>特点，编制操作性强的服务方案，对</w:t>
      </w:r>
      <w:r>
        <w:rPr>
          <w:rFonts w:hint="eastAsia" w:ascii="宋体" w:hAnsi="宋体"/>
          <w:szCs w:val="21"/>
          <w:highlight w:val="none"/>
          <w:lang w:val="en-US" w:eastAsia="zh-CN"/>
        </w:rPr>
        <w:t>社会</w:t>
      </w:r>
      <w:r>
        <w:rPr>
          <w:rFonts w:hint="eastAsia" w:ascii="宋体" w:hAnsi="宋体"/>
          <w:szCs w:val="21"/>
          <w:highlight w:val="none"/>
        </w:rPr>
        <w:t>餐饮服务单位</w:t>
      </w:r>
      <w:r>
        <w:rPr>
          <w:rFonts w:hint="eastAsia" w:ascii="宋体" w:hAnsi="宋体"/>
          <w:szCs w:val="21"/>
          <w:highlight w:val="none"/>
          <w:lang w:eastAsia="zh-CN"/>
        </w:rPr>
        <w:t>、</w:t>
      </w:r>
      <w:r>
        <w:rPr>
          <w:rFonts w:hint="eastAsia" w:ascii="宋体" w:hAnsi="宋体"/>
          <w:szCs w:val="21"/>
          <w:highlight w:val="none"/>
          <w:lang w:val="en-US" w:eastAsia="zh-CN"/>
        </w:rPr>
        <w:t>企事业单位食堂、食品流通单位及农村集体聚餐</w:t>
      </w:r>
      <w:r>
        <w:rPr>
          <w:rFonts w:hint="eastAsia" w:ascii="宋体" w:hAnsi="宋体"/>
          <w:szCs w:val="21"/>
          <w:highlight w:val="none"/>
        </w:rPr>
        <w:t>实施评估督导，按照</w:t>
      </w:r>
      <w:r>
        <w:rPr>
          <w:rFonts w:hint="eastAsia" w:ascii="宋体" w:hAnsi="宋体"/>
          <w:szCs w:val="21"/>
          <w:highlight w:val="none"/>
          <w:lang w:val="en-US" w:eastAsia="zh-CN"/>
        </w:rPr>
        <w:t>相关法律法规</w:t>
      </w:r>
      <w:r>
        <w:rPr>
          <w:rFonts w:hint="eastAsia" w:ascii="宋体" w:hAnsi="宋体"/>
          <w:szCs w:val="21"/>
          <w:highlight w:val="none"/>
        </w:rPr>
        <w:t>和示范创建要求，对</w:t>
      </w:r>
      <w:r>
        <w:rPr>
          <w:rFonts w:hint="eastAsia" w:ascii="宋体" w:hAnsi="宋体"/>
          <w:szCs w:val="21"/>
          <w:highlight w:val="none"/>
          <w:lang w:val="en-US" w:eastAsia="zh-CN"/>
        </w:rPr>
        <w:t>上述</w:t>
      </w:r>
      <w:r>
        <w:rPr>
          <w:rFonts w:hint="eastAsia" w:ascii="宋体" w:hAnsi="宋体"/>
          <w:szCs w:val="21"/>
          <w:highlight w:val="none"/>
          <w:lang w:eastAsia="zh-CN"/>
        </w:rPr>
        <w:t>单位</w:t>
      </w:r>
      <w:r>
        <w:rPr>
          <w:rFonts w:hint="eastAsia" w:ascii="宋体" w:hAnsi="宋体"/>
          <w:szCs w:val="21"/>
          <w:highlight w:val="none"/>
        </w:rPr>
        <w:t>规范化操作进行评估督导，并接受采购人的指导、监督和检查验收。</w:t>
      </w:r>
    </w:p>
    <w:p>
      <w:pPr>
        <w:kinsoku/>
        <w:overflowPunct/>
        <w:topLinePunct w:val="0"/>
        <w:bidi w:val="0"/>
        <w:adjustRightInd w:val="0"/>
        <w:snapToGrid w:val="0"/>
        <w:spacing w:line="360" w:lineRule="auto"/>
        <w:ind w:firstLine="480"/>
        <w:rPr>
          <w:rFonts w:hint="eastAsia" w:ascii="宋体" w:hAnsi="宋体"/>
          <w:szCs w:val="21"/>
          <w:highlight w:val="none"/>
        </w:rPr>
      </w:pPr>
      <w:r>
        <w:rPr>
          <w:rFonts w:hint="eastAsia" w:ascii="宋体" w:hAnsi="宋体"/>
          <w:szCs w:val="21"/>
          <w:highlight w:val="none"/>
        </w:rPr>
        <w:t>具体服务内容包括但不限于：</w:t>
      </w:r>
    </w:p>
    <w:p>
      <w:pPr>
        <w:kinsoku/>
        <w:overflowPunct/>
        <w:topLinePunct w:val="0"/>
        <w:bidi w:val="0"/>
        <w:adjustRightInd w:val="0"/>
        <w:snapToGrid w:val="0"/>
        <w:spacing w:line="360" w:lineRule="auto"/>
        <w:ind w:firstLine="480"/>
        <w:rPr>
          <w:rFonts w:hint="eastAsia" w:ascii="宋体" w:hAnsi="宋体"/>
          <w:szCs w:val="21"/>
          <w:highlight w:val="none"/>
        </w:rPr>
      </w:pPr>
      <w:r>
        <w:rPr>
          <w:rFonts w:hint="eastAsia" w:ascii="宋体" w:hAnsi="宋体"/>
          <w:szCs w:val="21"/>
          <w:highlight w:val="none"/>
        </w:rPr>
        <w:t xml:space="preserve">3.1评估督导： </w:t>
      </w:r>
    </w:p>
    <w:p>
      <w:pPr>
        <w:kinsoku/>
        <w:overflowPunct/>
        <w:topLinePunct w:val="0"/>
        <w:bidi w:val="0"/>
        <w:adjustRightInd w:val="0"/>
        <w:snapToGrid w:val="0"/>
        <w:spacing w:line="360" w:lineRule="auto"/>
        <w:ind w:firstLine="480"/>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szCs w:val="21"/>
          <w:highlight w:val="none"/>
          <w:lang w:val="en-US" w:eastAsia="zh-CN"/>
        </w:rPr>
        <w:t>评估要求：第三方服务机构应当做到食品安全隐患排查的真实准确，在监管平台实时更新；形成“发现问题-解决问题-督促改正-实时反馈”的闭环机制。</w:t>
      </w:r>
    </w:p>
    <w:p>
      <w:pPr>
        <w:kinsoku/>
        <w:overflowPunct/>
        <w:topLinePunct w:val="0"/>
        <w:bidi w:val="0"/>
        <w:adjustRightInd w:val="0"/>
        <w:snapToGrid w:val="0"/>
        <w:spacing w:line="360" w:lineRule="auto"/>
        <w:ind w:firstLine="48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）评估内容：</w:t>
      </w:r>
      <w:r>
        <w:rPr>
          <w:rFonts w:hint="eastAsia" w:ascii="宋体" w:hAnsi="宋体"/>
          <w:szCs w:val="21"/>
          <w:highlight w:val="none"/>
          <w:lang w:val="en-US" w:eastAsia="zh-CN"/>
        </w:rPr>
        <w:t>对每家企业食堂、社会餐饮、食品流通、农村集体聚餐单位进行评估督导，包括但不限于许可管理、从业人员管理、原料控制管理等；根据评估情况，对存在问题或隐患的单位，提出整改意见并督促整改</w:t>
      </w:r>
      <w:r>
        <w:rPr>
          <w:rFonts w:hint="eastAsia" w:ascii="宋体" w:hAnsi="宋体"/>
          <w:szCs w:val="21"/>
          <w:highlight w:val="none"/>
        </w:rPr>
        <w:t>。</w:t>
      </w:r>
    </w:p>
    <w:p>
      <w:pPr>
        <w:kinsoku/>
        <w:overflowPunct/>
        <w:topLinePunct w:val="0"/>
        <w:bidi w:val="0"/>
        <w:adjustRightInd w:val="0"/>
        <w:snapToGrid w:val="0"/>
        <w:spacing w:line="360" w:lineRule="auto"/>
        <w:ind w:firstLine="480"/>
        <w:rPr>
          <w:rFonts w:hint="eastAsia" w:ascii="宋体" w:hAnsi="宋体"/>
          <w:szCs w:val="21"/>
          <w:highlight w:val="none"/>
        </w:rPr>
      </w:pPr>
      <w:r>
        <w:rPr>
          <w:rFonts w:hint="eastAsia" w:ascii="宋体" w:hAnsi="宋体"/>
          <w:szCs w:val="21"/>
          <w:highlight w:val="none"/>
        </w:rPr>
        <w:t>3.2工作反馈：</w:t>
      </w:r>
      <w:r>
        <w:rPr>
          <w:rFonts w:hint="eastAsia" w:ascii="宋体" w:hAnsi="宋体"/>
          <w:szCs w:val="21"/>
          <w:highlight w:val="none"/>
          <w:lang w:val="en-US" w:eastAsia="zh-CN"/>
        </w:rPr>
        <w:t>根据现场评估督导的情况，对每家企业食堂、社会餐饮、食品流通单位存在的问题进行现场反馈；根据专项整治和重大食品安全隐患排查需要，指导上述单位及时排查食品安全隐患；发现的违法案件线索信息及时反馈海洲市场监管所。</w:t>
      </w:r>
    </w:p>
    <w:p>
      <w:pPr>
        <w:kinsoku/>
        <w:overflowPunct/>
        <w:topLinePunct w:val="0"/>
        <w:bidi w:val="0"/>
        <w:adjustRightInd w:val="0"/>
        <w:snapToGrid w:val="0"/>
        <w:spacing w:line="360" w:lineRule="auto"/>
        <w:ind w:firstLine="480"/>
        <w:rPr>
          <w:rFonts w:hint="eastAsia" w:ascii="宋体" w:hAnsi="宋体"/>
          <w:color w:val="auto"/>
          <w:szCs w:val="21"/>
          <w:highlight w:val="none"/>
        </w:rPr>
      </w:pPr>
      <w:r>
        <w:rPr>
          <w:rFonts w:hint="eastAsia" w:ascii="宋体" w:hAnsi="宋体"/>
          <w:szCs w:val="21"/>
          <w:highlight w:val="none"/>
        </w:rPr>
        <w:t>3.3</w:t>
      </w:r>
      <w:r>
        <w:rPr>
          <w:rFonts w:hint="eastAsia" w:ascii="宋体" w:hAnsi="宋体"/>
          <w:szCs w:val="21"/>
          <w:highlight w:val="none"/>
          <w:lang w:val="en-US" w:eastAsia="zh-CN"/>
        </w:rPr>
        <w:t>组织培训</w:t>
      </w:r>
      <w:r>
        <w:rPr>
          <w:rFonts w:hint="eastAsia" w:ascii="宋体" w:hAnsi="宋体"/>
          <w:szCs w:val="21"/>
          <w:highlight w:val="none"/>
        </w:rPr>
        <w:t>：</w:t>
      </w:r>
      <w:r>
        <w:rPr>
          <w:rFonts w:hint="eastAsia" w:ascii="宋体" w:hAnsi="宋体"/>
          <w:szCs w:val="21"/>
          <w:highlight w:val="none"/>
          <w:lang w:val="en-US" w:eastAsia="zh-CN"/>
        </w:rPr>
        <w:t>每季度开展派遣人员食品安全操作规范培训；每年组织街道食安安全网格员进行不少于一次集中培训，提升监管人员食品安全监管水平</w:t>
      </w:r>
      <w:r>
        <w:rPr>
          <w:rFonts w:hint="eastAsia" w:ascii="宋体" w:hAnsi="宋体"/>
          <w:color w:val="auto"/>
          <w:szCs w:val="21"/>
          <w:highlight w:val="none"/>
        </w:rPr>
        <w:t>。</w:t>
      </w:r>
    </w:p>
    <w:p>
      <w:pPr>
        <w:kinsoku/>
        <w:overflowPunct/>
        <w:topLinePunct w:val="0"/>
        <w:bidi w:val="0"/>
        <w:adjustRightInd w:val="0"/>
        <w:snapToGrid w:val="0"/>
        <w:spacing w:line="360" w:lineRule="auto"/>
        <w:ind w:firstLine="48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3.4各类检查：协助市场监管所开展各类食品专项检查及紧急检查任务。按照市场监管所要求，随时做好人员的准备应对各种突发任务。</w:t>
      </w:r>
    </w:p>
    <w:p>
      <w:pPr>
        <w:kinsoku/>
        <w:overflowPunct/>
        <w:topLinePunct w:val="0"/>
        <w:bidi w:val="0"/>
        <w:adjustRightInd w:val="0"/>
        <w:snapToGrid w:val="0"/>
        <w:spacing w:line="360" w:lineRule="auto"/>
        <w:ind w:firstLine="48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5工作归档:服务工作全过程通过电子归档的形式保存下来。第三方服务机构需每月建立工作台账，留存工作文书，形成全年工作台账。</w:t>
      </w:r>
    </w:p>
    <w:p>
      <w:pPr>
        <w:kinsoku/>
        <w:overflowPunct/>
        <w:topLinePunct w:val="0"/>
        <w:bidi w:val="0"/>
        <w:adjustRightInd w:val="0"/>
        <w:snapToGrid w:val="0"/>
        <w:spacing w:line="360" w:lineRule="auto"/>
        <w:ind w:firstLine="480"/>
        <w:rPr>
          <w:rFonts w:hint="eastAsia" w:ascii="宋体" w:hAnsi="宋体"/>
          <w:b/>
          <w:szCs w:val="21"/>
          <w:highlight w:val="none"/>
        </w:rPr>
      </w:pPr>
      <w:r>
        <w:rPr>
          <w:rFonts w:hint="eastAsia" w:ascii="宋体" w:hAnsi="宋体"/>
          <w:b/>
          <w:szCs w:val="21"/>
          <w:highlight w:val="none"/>
        </w:rPr>
        <w:t>四、服务要求</w:t>
      </w:r>
    </w:p>
    <w:p>
      <w:pPr>
        <w:kinsoku/>
        <w:overflowPunct/>
        <w:topLinePunct w:val="0"/>
        <w:bidi w:val="0"/>
        <w:adjustRightInd w:val="0"/>
        <w:snapToGrid w:val="0"/>
        <w:spacing w:line="360" w:lineRule="auto"/>
        <w:ind w:firstLine="48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对海洲街道全域范围内的企业食堂、食品流通单位、社会餐饮服务、农村集体聚餐单位进行评估督导。辖区内现有企业食堂约90家，社会餐饮服务单位约1000家，食品流通单位约1800家，农村集体聚餐场次依实际情况而定，评估与督导服务应以合同周期内实际数量进行全覆盖。</w:t>
      </w:r>
    </w:p>
    <w:p>
      <w:pPr>
        <w:spacing w:line="360" w:lineRule="auto"/>
        <w:ind w:firstLine="48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4.1</w:t>
      </w:r>
      <w:r>
        <w:rPr>
          <w:rFonts w:hint="eastAsia"/>
          <w:color w:val="auto"/>
          <w:szCs w:val="21"/>
          <w:lang w:val="en-US" w:eastAsia="zh-CN"/>
        </w:rPr>
        <w:t>中标人</w:t>
      </w:r>
      <w:r>
        <w:rPr>
          <w:rFonts w:hint="eastAsia" w:ascii="宋体" w:hAnsi="宋体"/>
          <w:color w:val="auto"/>
          <w:szCs w:val="21"/>
          <w:highlight w:val="none"/>
          <w:lang w:val="en-US" w:eastAsia="zh-CN"/>
        </w:rPr>
        <w:t>对海洲街道全域范围内的企业食堂、社会餐饮及食品流通单位进行评估督导。辖区内现企业食堂约90家，社会餐饮服务单位约1000家，食品流通单位约1800家，农村集体聚餐场次依实际情况而定，评估与督导服务应以合同周期内实际数量进行全覆盖检查；</w:t>
      </w:r>
    </w:p>
    <w:p>
      <w:pPr>
        <w:spacing w:line="360" w:lineRule="auto"/>
        <w:ind w:firstLine="480"/>
        <w:rPr>
          <w:rFonts w:hint="eastAsia"/>
          <w:color w:val="auto"/>
          <w:szCs w:val="21"/>
        </w:rPr>
      </w:pPr>
      <w:r>
        <w:rPr>
          <w:rFonts w:hint="eastAsia" w:ascii="宋体" w:hAnsi="宋体"/>
          <w:color w:val="auto"/>
          <w:szCs w:val="21"/>
          <w:highlight w:val="none"/>
          <w:lang w:val="en-US" w:eastAsia="zh-CN"/>
        </w:rPr>
        <w:t>4.2</w:t>
      </w:r>
      <w:r>
        <w:rPr>
          <w:rFonts w:hint="eastAsia"/>
          <w:color w:val="auto"/>
          <w:szCs w:val="21"/>
        </w:rPr>
        <w:t>每个月按要求时间提供上个月检查基本情况</w:t>
      </w:r>
      <w:r>
        <w:rPr>
          <w:rFonts w:hint="eastAsia"/>
          <w:color w:val="auto"/>
          <w:szCs w:val="21"/>
          <w:lang w:eastAsia="zh-CN"/>
        </w:rPr>
        <w:t>，</w:t>
      </w:r>
      <w:r>
        <w:rPr>
          <w:rFonts w:hint="eastAsia"/>
          <w:color w:val="auto"/>
          <w:szCs w:val="21"/>
          <w:lang w:val="en-US" w:eastAsia="zh-CN"/>
        </w:rPr>
        <w:t>内容包括</w:t>
      </w:r>
      <w:r>
        <w:rPr>
          <w:rFonts w:hint="eastAsia"/>
          <w:color w:val="auto"/>
          <w:szCs w:val="21"/>
        </w:rPr>
        <w:t>发现隐患数及整改率等；督促整改率80%以上、关键不符合项督促整改率100%；关键不符合项线索向属地所（分局）移送率100%；</w:t>
      </w:r>
    </w:p>
    <w:p>
      <w:pPr>
        <w:spacing w:line="400" w:lineRule="exact"/>
        <w:ind w:firstLine="480"/>
        <w:rPr>
          <w:rFonts w:hint="eastAsia"/>
          <w:color w:val="auto"/>
          <w:szCs w:val="21"/>
        </w:rPr>
      </w:pPr>
      <w:r>
        <w:rPr>
          <w:rFonts w:hint="eastAsia"/>
          <w:color w:val="auto"/>
          <w:szCs w:val="21"/>
          <w:lang w:val="en-US" w:eastAsia="zh-CN"/>
        </w:rPr>
        <w:t>4.3</w:t>
      </w:r>
      <w:r>
        <w:rPr>
          <w:rFonts w:hint="eastAsia"/>
          <w:color w:val="auto"/>
          <w:szCs w:val="21"/>
        </w:rPr>
        <w:t>市场监督管理部门及上级部门在日常检查中发现餐饮单位存在的问题，督促整改率100%；</w:t>
      </w:r>
    </w:p>
    <w:p>
      <w:pPr>
        <w:spacing w:line="360" w:lineRule="auto"/>
        <w:ind w:firstLine="480"/>
        <w:rPr>
          <w:rFonts w:hint="eastAsia" w:ascii="宋体" w:hAnsi="宋体" w:eastAsia="宋体" w:cs="Times New Roman"/>
          <w:color w:val="auto"/>
          <w:szCs w:val="21"/>
          <w:highlight w:val="none"/>
          <w:lang w:val="en-US" w:eastAsia="zh-CN"/>
        </w:rPr>
      </w:pPr>
      <w:r>
        <w:rPr>
          <w:rFonts w:hint="eastAsia"/>
          <w:color w:val="auto"/>
          <w:szCs w:val="21"/>
          <w:lang w:val="en-US" w:eastAsia="zh-CN"/>
        </w:rPr>
        <w:t>4.4中标人</w:t>
      </w:r>
      <w:r>
        <w:rPr>
          <w:rFonts w:hint="eastAsia" w:ascii="宋体" w:hAnsi="宋体" w:eastAsia="宋体" w:cs="Times New Roman"/>
          <w:color w:val="auto"/>
          <w:szCs w:val="21"/>
          <w:highlight w:val="none"/>
          <w:lang w:val="en-US" w:eastAsia="zh-CN"/>
        </w:rPr>
        <w:t>应使用甲方</w:t>
      </w:r>
      <w:r>
        <w:rPr>
          <w:rFonts w:hint="eastAsia" w:ascii="宋体" w:hAnsi="宋体" w:cs="Times New Roman"/>
          <w:color w:val="auto"/>
          <w:szCs w:val="21"/>
          <w:highlight w:val="none"/>
          <w:lang w:val="en-US" w:eastAsia="zh-CN"/>
        </w:rPr>
        <w:t>认可</w:t>
      </w:r>
      <w:r>
        <w:rPr>
          <w:rFonts w:hint="eastAsia" w:ascii="宋体" w:hAnsi="宋体" w:eastAsia="宋体" w:cs="Times New Roman"/>
          <w:color w:val="auto"/>
          <w:szCs w:val="21"/>
          <w:highlight w:val="none"/>
          <w:lang w:val="en-US" w:eastAsia="zh-CN"/>
        </w:rPr>
        <w:t>的食品安全数字化管理平台录入现场评估督导情况，评估督导情况录入率100%；</w:t>
      </w:r>
    </w:p>
    <w:p>
      <w:pPr>
        <w:spacing w:line="360" w:lineRule="auto"/>
        <w:ind w:firstLine="48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4.5中标人每月应抽取评估督导不少于</w:t>
      </w:r>
      <w:r>
        <w:rPr>
          <w:rFonts w:hint="eastAsia" w:ascii="宋体" w:hAnsi="宋体" w:cs="Times New Roman"/>
          <w:color w:val="auto"/>
          <w:szCs w:val="21"/>
          <w:highlight w:val="none"/>
          <w:lang w:val="en-US" w:eastAsia="zh-CN"/>
        </w:rPr>
        <w:t>30</w:t>
      </w:r>
      <w:r>
        <w:rPr>
          <w:rFonts w:hint="eastAsia" w:ascii="宋体" w:hAnsi="宋体" w:eastAsia="宋体" w:cs="Times New Roman"/>
          <w:color w:val="auto"/>
          <w:szCs w:val="21"/>
          <w:highlight w:val="none"/>
          <w:lang w:val="en-US" w:eastAsia="zh-CN"/>
        </w:rPr>
        <w:t>家次的上网餐饮服务经营单位阳光厨房设备使用情况，开展线上线下检查，发现问题及时反馈；</w:t>
      </w:r>
    </w:p>
    <w:p>
      <w:pPr>
        <w:spacing w:line="360" w:lineRule="auto"/>
        <w:ind w:firstLine="48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4.6在违法线索排查方面，乙方应摸排辖区内食品经营单位（包涵</w:t>
      </w:r>
      <w:r>
        <w:rPr>
          <w:rFonts w:hint="eastAsia" w:ascii="宋体" w:hAnsi="宋体" w:cs="Times New Roman"/>
          <w:color w:val="auto"/>
          <w:szCs w:val="21"/>
          <w:highlight w:val="none"/>
          <w:lang w:val="en-US" w:eastAsia="zh-CN"/>
        </w:rPr>
        <w:t>社会</w:t>
      </w:r>
      <w:r>
        <w:rPr>
          <w:rFonts w:hint="eastAsia" w:ascii="宋体" w:hAnsi="宋体" w:eastAsia="宋体" w:cs="Times New Roman"/>
          <w:color w:val="auto"/>
          <w:szCs w:val="21"/>
          <w:highlight w:val="none"/>
          <w:lang w:val="en-US" w:eastAsia="zh-CN"/>
        </w:rPr>
        <w:t>餐饮单位</w:t>
      </w:r>
      <w:r>
        <w:rPr>
          <w:rFonts w:hint="eastAsia" w:ascii="宋体" w:hAnsi="宋体" w:cs="Times New Roman"/>
          <w:color w:val="auto"/>
          <w:szCs w:val="21"/>
          <w:highlight w:val="none"/>
          <w:lang w:val="en-US" w:eastAsia="zh-CN"/>
        </w:rPr>
        <w:t>、企事业单位食堂、食品流通单位</w:t>
      </w:r>
      <w:r>
        <w:rPr>
          <w:rFonts w:hint="eastAsia" w:ascii="宋体" w:hAnsi="宋体" w:eastAsia="宋体" w:cs="Times New Roman"/>
          <w:color w:val="auto"/>
          <w:szCs w:val="21"/>
          <w:highlight w:val="none"/>
          <w:lang w:val="en-US" w:eastAsia="zh-CN"/>
        </w:rPr>
        <w:t>），经营过期食品、无证单位（包括大小证）不少于10起；</w:t>
      </w:r>
    </w:p>
    <w:p>
      <w:pPr>
        <w:spacing w:line="360" w:lineRule="auto"/>
        <w:ind w:firstLine="48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4.7服务期内，发生重大食品安全事件，调查发现中标人未评估督导到位的，采购人有权立刻终止与中标人合同并依照合同追究相关法律责任； </w:t>
      </w:r>
    </w:p>
    <w:p>
      <w:pPr>
        <w:spacing w:line="360" w:lineRule="auto"/>
        <w:ind w:firstLine="48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4.8中标人应针对实际情况对评估督导人员管辖区域进行定期调换；中标人评估督导人员除开展正常工作以外，不得与餐饮服务单位发生不正当的利益关系；如发生类似情况，采购人有权单方终止合同并依照合同追究相关法律责任。</w:t>
      </w:r>
    </w:p>
    <w:p>
      <w:pPr>
        <w:pStyle w:val="7"/>
        <w:rPr>
          <w:rFonts w:hint="eastAsia"/>
          <w:color w:val="auto"/>
          <w:lang w:val="en-US" w:eastAsia="zh-CN"/>
        </w:rPr>
      </w:pPr>
      <w:r>
        <w:rPr>
          <w:rFonts w:hint="eastAsia" w:ascii="宋体" w:hAnsi="宋体" w:eastAsia="宋体" w:cs="Times New Roman"/>
          <w:color w:val="auto"/>
          <w:szCs w:val="21"/>
          <w:highlight w:val="none"/>
          <w:lang w:val="en-US" w:eastAsia="zh-CN"/>
        </w:rPr>
        <w:t>4.9第三方服务需保障派遣人员的工作车辆、电脑、巡检手机等日常办公设备，其中</w:t>
      </w:r>
      <w:r>
        <w:rPr>
          <w:rFonts w:hint="eastAsia" w:ascii="Times New Roman" w:hAnsi="Times New Roman" w:eastAsia="宋体" w:cs="Times New Roman"/>
          <w:color w:val="auto"/>
          <w:szCs w:val="21"/>
        </w:rPr>
        <w:t>配备本项目专用</w:t>
      </w:r>
      <w:r>
        <w:rPr>
          <w:rFonts w:hint="eastAsia" w:cs="Times New Roman"/>
          <w:color w:val="auto"/>
          <w:szCs w:val="21"/>
          <w:lang w:val="en-US" w:eastAsia="zh-CN"/>
        </w:rPr>
        <w:t>新能源</w:t>
      </w:r>
      <w:r>
        <w:rPr>
          <w:rFonts w:hint="eastAsia" w:ascii="Times New Roman" w:hAnsi="Times New Roman" w:eastAsia="宋体" w:cs="Times New Roman"/>
          <w:color w:val="auto"/>
          <w:szCs w:val="21"/>
        </w:rPr>
        <w:t>车辆</w:t>
      </w:r>
      <w:r>
        <w:rPr>
          <w:rFonts w:hint="eastAsia" w:cs="Times New Roman"/>
          <w:color w:val="auto"/>
          <w:szCs w:val="21"/>
          <w:lang w:val="en-US" w:eastAsia="zh-CN"/>
        </w:rPr>
        <w:t>1</w:t>
      </w:r>
      <w:r>
        <w:rPr>
          <w:rFonts w:hint="eastAsia" w:ascii="Times New Roman" w:hAnsi="Times New Roman" w:eastAsia="宋体" w:cs="Times New Roman"/>
          <w:color w:val="auto"/>
          <w:szCs w:val="21"/>
        </w:rPr>
        <w:t>辆</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除工作使用外需停放在</w:t>
      </w:r>
      <w:r>
        <w:rPr>
          <w:rFonts w:hint="eastAsia" w:cs="Times New Roman"/>
          <w:color w:val="auto"/>
          <w:szCs w:val="21"/>
          <w:lang w:val="en-US" w:eastAsia="zh-CN"/>
        </w:rPr>
        <w:t>海洲</w:t>
      </w:r>
      <w:r>
        <w:rPr>
          <w:rFonts w:hint="eastAsia" w:ascii="Times New Roman" w:hAnsi="Times New Roman" w:eastAsia="宋体" w:cs="Times New Roman"/>
          <w:color w:val="auto"/>
          <w:szCs w:val="21"/>
          <w:lang w:val="en-US" w:eastAsia="zh-CN"/>
        </w:rPr>
        <w:t>市场监管所</w:t>
      </w:r>
      <w:r>
        <w:rPr>
          <w:rFonts w:hint="eastAsia" w:ascii="Times New Roman" w:hAnsi="Times New Roman" w:eastAsia="宋体" w:cs="Times New Roman"/>
          <w:color w:val="auto"/>
          <w:szCs w:val="21"/>
          <w:lang w:eastAsia="zh-CN"/>
        </w:rPr>
        <w:t>。</w:t>
      </w:r>
    </w:p>
    <w:p>
      <w:pPr>
        <w:kinsoku/>
        <w:overflowPunct/>
        <w:topLinePunct w:val="0"/>
        <w:bidi w:val="0"/>
        <w:adjustRightInd w:val="0"/>
        <w:snapToGrid w:val="0"/>
        <w:spacing w:line="360" w:lineRule="auto"/>
        <w:ind w:firstLine="480"/>
        <w:rPr>
          <w:rFonts w:hint="eastAsia" w:ascii="宋体" w:hAnsi="宋体"/>
          <w:b/>
          <w:szCs w:val="21"/>
          <w:highlight w:val="none"/>
        </w:rPr>
      </w:pPr>
      <w:r>
        <w:rPr>
          <w:rFonts w:hint="eastAsia" w:ascii="宋体" w:hAnsi="宋体"/>
          <w:b/>
          <w:szCs w:val="21"/>
          <w:highlight w:val="none"/>
        </w:rPr>
        <w:t>五、人员配置</w:t>
      </w:r>
    </w:p>
    <w:p>
      <w:pPr>
        <w:kinsoku/>
        <w:overflowPunct/>
        <w:topLinePunct w:val="0"/>
        <w:bidi w:val="0"/>
        <w:adjustRightInd w:val="0"/>
        <w:snapToGrid w:val="0"/>
        <w:spacing w:line="360" w:lineRule="auto"/>
        <w:ind w:firstLine="480"/>
        <w:rPr>
          <w:rFonts w:hint="eastAsia" w:ascii="Times New Roman" w:hAnsi="Times New Roman" w:eastAsia="宋体" w:cs="Times New Roman"/>
          <w:color w:val="auto"/>
          <w:szCs w:val="21"/>
          <w:lang w:eastAsia="zh-CN"/>
        </w:rPr>
      </w:pPr>
      <w:r>
        <w:rPr>
          <w:rFonts w:hint="eastAsia" w:ascii="宋体" w:hAnsi="宋体" w:eastAsia="宋体" w:cs="Times New Roman"/>
          <w:color w:val="auto"/>
          <w:szCs w:val="21"/>
          <w:highlight w:val="none"/>
          <w:lang w:val="en-US" w:eastAsia="zh-CN"/>
        </w:rPr>
        <w:t>结合</w:t>
      </w:r>
      <w:r>
        <w:rPr>
          <w:rFonts w:hint="eastAsia" w:ascii="宋体" w:hAnsi="宋体" w:cs="Times New Roman"/>
          <w:color w:val="auto"/>
          <w:szCs w:val="21"/>
          <w:highlight w:val="none"/>
          <w:lang w:val="en-US" w:eastAsia="zh-CN"/>
        </w:rPr>
        <w:t>海洲</w:t>
      </w:r>
      <w:r>
        <w:rPr>
          <w:rFonts w:hint="eastAsia" w:ascii="宋体" w:hAnsi="宋体" w:eastAsia="宋体" w:cs="Times New Roman"/>
          <w:color w:val="auto"/>
          <w:szCs w:val="21"/>
          <w:highlight w:val="none"/>
          <w:lang w:val="en-US" w:eastAsia="zh-CN"/>
        </w:rPr>
        <w:t>街道食品安全现状，第三方配备食品安全驻点办公人员</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名，另安排</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名评估与督导机动人员作为</w:t>
      </w:r>
      <w:r>
        <w:rPr>
          <w:rFonts w:hint="eastAsia" w:ascii="宋体" w:hAnsi="宋体" w:cs="Times New Roman"/>
          <w:color w:val="auto"/>
          <w:szCs w:val="21"/>
          <w:highlight w:val="none"/>
          <w:lang w:val="en-US" w:eastAsia="zh-CN"/>
        </w:rPr>
        <w:t>日常巡检人员</w:t>
      </w:r>
      <w:r>
        <w:rPr>
          <w:rFonts w:hint="eastAsia" w:ascii="宋体" w:hAnsi="宋体" w:eastAsia="宋体" w:cs="Times New Roman"/>
          <w:color w:val="auto"/>
          <w:szCs w:val="21"/>
          <w:highlight w:val="none"/>
          <w:lang w:val="en-US" w:eastAsia="zh-CN"/>
        </w:rPr>
        <w:t>，以满足项目服务内容结果为导向，来负责协助作业。同时，派遣</w:t>
      </w:r>
      <w:r>
        <w:rPr>
          <w:rFonts w:hint="eastAsia" w:ascii="宋体" w:hAnsi="宋体" w:cs="Times New Roman"/>
          <w:color w:val="auto"/>
          <w:szCs w:val="21"/>
          <w:highlight w:val="none"/>
          <w:lang w:val="en-US" w:eastAsia="zh-CN"/>
        </w:rPr>
        <w:t>驻点</w:t>
      </w:r>
      <w:r>
        <w:rPr>
          <w:rFonts w:hint="eastAsia" w:ascii="宋体" w:hAnsi="宋体" w:eastAsia="宋体" w:cs="Times New Roman"/>
          <w:color w:val="auto"/>
          <w:szCs w:val="21"/>
          <w:highlight w:val="none"/>
          <w:lang w:val="en-US" w:eastAsia="zh-CN"/>
        </w:rPr>
        <w:t>人员需大专以上学历人员，</w:t>
      </w:r>
      <w:r>
        <w:rPr>
          <w:rFonts w:hint="eastAsia" w:ascii="宋体" w:hAnsi="宋体" w:cs="Times New Roman"/>
          <w:color w:val="auto"/>
          <w:szCs w:val="21"/>
          <w:highlight w:val="none"/>
          <w:lang w:val="en-US" w:eastAsia="zh-CN"/>
        </w:rPr>
        <w:t>4名日常巡检人员需高中以上学历，</w:t>
      </w:r>
      <w:r>
        <w:rPr>
          <w:rFonts w:hint="eastAsia" w:ascii="Times New Roman" w:hAnsi="Times New Roman" w:eastAsia="宋体" w:cs="Times New Roman"/>
          <w:color w:val="auto"/>
          <w:szCs w:val="21"/>
        </w:rPr>
        <w:t>年龄原则上控制在</w:t>
      </w:r>
      <w:r>
        <w:rPr>
          <w:rFonts w:hint="eastAsia" w:ascii="Times New Roman" w:hAnsi="Times New Roman" w:eastAsia="宋体" w:cs="Times New Roman"/>
          <w:color w:val="auto"/>
          <w:szCs w:val="21"/>
          <w:lang w:val="en-US" w:eastAsia="zh-CN"/>
        </w:rPr>
        <w:t>4</w:t>
      </w:r>
      <w:r>
        <w:rPr>
          <w:rFonts w:hint="eastAsia" w:cs="Times New Roman"/>
          <w:color w:val="auto"/>
          <w:szCs w:val="21"/>
          <w:lang w:val="en-US" w:eastAsia="zh-CN"/>
        </w:rPr>
        <w:t>5</w:t>
      </w:r>
      <w:r>
        <w:rPr>
          <w:rFonts w:hint="eastAsia" w:ascii="Times New Roman" w:hAnsi="Times New Roman" w:eastAsia="宋体" w:cs="Times New Roman"/>
          <w:color w:val="auto"/>
          <w:szCs w:val="21"/>
        </w:rPr>
        <w:t>周岁以内</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本科以上学历的年龄限制可放宽至</w:t>
      </w:r>
      <w:r>
        <w:rPr>
          <w:rFonts w:hint="eastAsia" w:cs="Times New Roman"/>
          <w:color w:val="auto"/>
          <w:szCs w:val="21"/>
          <w:lang w:val="en-US" w:eastAsia="zh-CN"/>
        </w:rPr>
        <w:t>50</w:t>
      </w:r>
      <w:r>
        <w:rPr>
          <w:rFonts w:hint="eastAsia" w:ascii="Times New Roman" w:hAnsi="Times New Roman" w:eastAsia="宋体" w:cs="Times New Roman"/>
          <w:color w:val="auto"/>
          <w:szCs w:val="21"/>
          <w:lang w:val="en-US" w:eastAsia="zh-CN"/>
        </w:rPr>
        <w:t>周岁以内</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征得采购人同意的除外。</w:t>
      </w:r>
      <w:r>
        <w:rPr>
          <w:rFonts w:hint="eastAsia" w:ascii="宋体" w:hAnsi="宋体" w:eastAsia="宋体" w:cs="Times New Roman"/>
          <w:color w:val="auto"/>
          <w:szCs w:val="21"/>
          <w:highlight w:val="none"/>
          <w:lang w:val="en-US" w:eastAsia="zh-CN"/>
        </w:rPr>
        <w:t>名单报街道确认并备案，若中途更换人员须征得街道同意。</w:t>
      </w:r>
      <w:r>
        <w:rPr>
          <w:rFonts w:hint="eastAsia" w:ascii="Times New Roman" w:hAnsi="Times New Roman" w:eastAsia="宋体" w:cs="Times New Roman"/>
          <w:color w:val="auto"/>
          <w:szCs w:val="21"/>
        </w:rPr>
        <w:t>评估督导人员在上岗前应由采购人和</w:t>
      </w:r>
      <w:r>
        <w:rPr>
          <w:rFonts w:hint="eastAsia" w:ascii="Times New Roman" w:hAnsi="Times New Roman" w:eastAsia="宋体" w:cs="Times New Roman"/>
          <w:color w:val="auto"/>
          <w:szCs w:val="21"/>
          <w:lang w:val="en-US" w:eastAsia="zh-CN"/>
        </w:rPr>
        <w:t>中标人</w:t>
      </w:r>
      <w:r>
        <w:rPr>
          <w:rFonts w:hint="eastAsia" w:ascii="Times New Roman" w:hAnsi="Times New Roman" w:eastAsia="宋体" w:cs="Times New Roman"/>
          <w:color w:val="auto"/>
          <w:szCs w:val="21"/>
        </w:rPr>
        <w:t>对其进行业务培训，应熟知食品安全现行法律法规，熟悉政府监管机制</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应有食品安全现场实际监督管理经验及风险控制的能力</w:t>
      </w:r>
      <w:r>
        <w:rPr>
          <w:rFonts w:hint="eastAsia" w:ascii="Times New Roman" w:hAnsi="Times New Roman" w:eastAsia="宋体" w:cs="Times New Roman"/>
          <w:color w:val="auto"/>
          <w:szCs w:val="21"/>
          <w:lang w:eastAsia="zh-CN"/>
        </w:rPr>
        <w:t>。</w:t>
      </w:r>
    </w:p>
    <w:p>
      <w:pPr>
        <w:kinsoku/>
        <w:overflowPunct/>
        <w:topLinePunct w:val="0"/>
        <w:bidi w:val="0"/>
        <w:adjustRightInd w:val="0"/>
        <w:snapToGrid w:val="0"/>
        <w:spacing w:line="360" w:lineRule="auto"/>
        <w:ind w:firstLine="480"/>
        <w:rPr>
          <w:rFonts w:hint="eastAsia" w:ascii="宋体" w:hAnsi="宋体"/>
          <w:b/>
          <w:szCs w:val="21"/>
          <w:highlight w:val="none"/>
        </w:rPr>
      </w:pPr>
      <w:r>
        <w:rPr>
          <w:rFonts w:hint="eastAsia" w:ascii="宋体" w:hAnsi="宋体"/>
          <w:b/>
          <w:szCs w:val="21"/>
          <w:highlight w:val="none"/>
        </w:rPr>
        <w:t>六、其他要求</w:t>
      </w:r>
    </w:p>
    <w:p>
      <w:pPr>
        <w:kinsoku/>
        <w:overflowPunct/>
        <w:topLinePunct w:val="0"/>
        <w:bidi w:val="0"/>
        <w:adjustRightInd w:val="0"/>
        <w:snapToGrid w:val="0"/>
        <w:spacing w:line="360" w:lineRule="auto"/>
        <w:ind w:firstLine="480"/>
        <w:rPr>
          <w:rFonts w:hint="eastAsia" w:ascii="宋体" w:hAnsi="宋体"/>
          <w:szCs w:val="21"/>
          <w:highlight w:val="none"/>
        </w:rPr>
      </w:pPr>
      <w:r>
        <w:rPr>
          <w:rFonts w:hint="eastAsia" w:ascii="宋体" w:hAnsi="宋体"/>
          <w:szCs w:val="21"/>
          <w:highlight w:val="none"/>
        </w:rPr>
        <w:t xml:space="preserve">6.1投标人及其评估督导人员不是行政执法主体，没有执法权，不得实施行政强制、行政处罚等行政行为。投标人及其评估督导人员应接受采购人的建议。 </w:t>
      </w:r>
    </w:p>
    <w:p>
      <w:pPr>
        <w:kinsoku/>
        <w:overflowPunct/>
        <w:topLinePunct w:val="0"/>
        <w:bidi w:val="0"/>
        <w:adjustRightInd w:val="0"/>
        <w:snapToGrid w:val="0"/>
        <w:spacing w:line="360" w:lineRule="auto"/>
        <w:ind w:firstLine="480"/>
        <w:rPr>
          <w:rFonts w:hint="eastAsia" w:ascii="宋体" w:hAnsi="宋体"/>
          <w:szCs w:val="21"/>
          <w:highlight w:val="none"/>
        </w:rPr>
      </w:pPr>
      <w:r>
        <w:rPr>
          <w:rFonts w:hint="eastAsia" w:ascii="宋体" w:hAnsi="宋体"/>
          <w:szCs w:val="21"/>
          <w:highlight w:val="none"/>
        </w:rPr>
        <w:t xml:space="preserve">6.2投标人根据采购人的要求派出相应数量的评估督导人员提供服务，并把服务于本项目评估督导人员的有关信息报采购单位备案。投标人应根据采购人的要求选派专业性强、身体健康、思想品德好、纪律性和责任心强、业务水平过硬的技术人员，对其进行岗前和岗中培训，并经采购人审核通过后方可从事评估督导服务工作。 </w:t>
      </w:r>
    </w:p>
    <w:p>
      <w:pPr>
        <w:kinsoku/>
        <w:overflowPunct/>
        <w:topLinePunct w:val="0"/>
        <w:bidi w:val="0"/>
        <w:adjustRightInd w:val="0"/>
        <w:snapToGrid w:val="0"/>
        <w:spacing w:line="360" w:lineRule="auto"/>
        <w:ind w:firstLine="480"/>
        <w:rPr>
          <w:rFonts w:hint="eastAsia" w:ascii="宋体" w:hAnsi="宋体"/>
          <w:szCs w:val="21"/>
          <w:highlight w:val="none"/>
        </w:rPr>
      </w:pPr>
      <w:r>
        <w:rPr>
          <w:rFonts w:hint="eastAsia" w:ascii="宋体" w:hAnsi="宋体"/>
          <w:szCs w:val="21"/>
          <w:highlight w:val="none"/>
        </w:rPr>
        <w:t xml:space="preserve">6.3投标人及其评估督导人员在实地进行评估督导工作时，应遵照执行采购人制定的工作标准和管理办法，自觉接受采购单位的管理、指导、监督和考核。 </w:t>
      </w:r>
    </w:p>
    <w:p>
      <w:pPr>
        <w:kinsoku/>
        <w:overflowPunct/>
        <w:topLinePunct w:val="0"/>
        <w:bidi w:val="0"/>
        <w:adjustRightInd w:val="0"/>
        <w:snapToGrid w:val="0"/>
        <w:spacing w:line="360" w:lineRule="auto"/>
        <w:ind w:firstLine="480"/>
        <w:rPr>
          <w:rFonts w:hint="eastAsia" w:ascii="宋体" w:hAnsi="宋体"/>
          <w:szCs w:val="21"/>
          <w:highlight w:val="none"/>
        </w:rPr>
      </w:pPr>
      <w:r>
        <w:rPr>
          <w:rFonts w:hint="eastAsia" w:ascii="宋体" w:hAnsi="宋体"/>
          <w:szCs w:val="21"/>
          <w:highlight w:val="none"/>
        </w:rPr>
        <w:t xml:space="preserve">6.4投标人评估督导工作的整体设想和应急预案应完备、实用； </w:t>
      </w:r>
    </w:p>
    <w:p>
      <w:pPr>
        <w:kinsoku/>
        <w:overflowPunct/>
        <w:topLinePunct w:val="0"/>
        <w:bidi w:val="0"/>
        <w:adjustRightInd w:val="0"/>
        <w:snapToGrid w:val="0"/>
        <w:spacing w:line="360" w:lineRule="auto"/>
        <w:ind w:firstLine="480"/>
        <w:rPr>
          <w:rFonts w:hint="eastAsia" w:ascii="宋体" w:hAnsi="宋体"/>
          <w:szCs w:val="21"/>
          <w:highlight w:val="none"/>
        </w:rPr>
      </w:pPr>
      <w:r>
        <w:rPr>
          <w:rFonts w:hint="eastAsia" w:ascii="宋体" w:hAnsi="宋体"/>
          <w:szCs w:val="21"/>
          <w:highlight w:val="none"/>
        </w:rPr>
        <w:t xml:space="preserve">6.5投标人应落实评估督导的交通安全、人身安全教育和管理工作，须对评估督导人员在服务期内所发生的人身、交通事故负责，采购单位不承担责任。 </w:t>
      </w:r>
    </w:p>
    <w:p>
      <w:pPr>
        <w:spacing w:line="360" w:lineRule="auto"/>
        <w:ind w:firstLine="480"/>
        <w:rPr>
          <w:rFonts w:hint="eastAsia" w:ascii="Times New Roman" w:hAnsi="Times New Roman" w:eastAsia="宋体" w:cs="Times New Roman"/>
          <w:color w:val="FF0000"/>
          <w:szCs w:val="21"/>
        </w:rPr>
      </w:pPr>
      <w:r>
        <w:rPr>
          <w:rFonts w:hint="eastAsia" w:ascii="宋体" w:hAnsi="宋体" w:eastAsia="宋体" w:cs="Times New Roman"/>
          <w:szCs w:val="21"/>
          <w:highlight w:val="none"/>
        </w:rPr>
        <w:t>6.6投标人在海宁市内设有营业点或承诺中标后设立营业点。</w:t>
      </w:r>
      <w:r>
        <w:rPr>
          <w:rFonts w:hint="eastAsia" w:ascii="宋体" w:hAnsi="宋体" w:eastAsia="宋体" w:cs="Times New Roman"/>
          <w:szCs w:val="21"/>
          <w:highlight w:val="none"/>
          <w:lang w:val="en-US" w:eastAsia="zh-CN"/>
        </w:rPr>
        <w:t>驻所办公人员由</w:t>
      </w:r>
      <w:r>
        <w:rPr>
          <w:rFonts w:hint="eastAsia" w:ascii="宋体" w:hAnsi="宋体" w:eastAsia="宋体" w:cs="Times New Roman"/>
          <w:szCs w:val="21"/>
          <w:highlight w:val="none"/>
        </w:rPr>
        <w:t>采购人提供办公用</w:t>
      </w:r>
      <w:r>
        <w:rPr>
          <w:rFonts w:hint="eastAsia" w:ascii="宋体" w:hAnsi="宋体" w:cs="Times New Roman"/>
          <w:szCs w:val="21"/>
          <w:highlight w:val="none"/>
          <w:lang w:val="en-US" w:eastAsia="zh-CN"/>
        </w:rPr>
        <w:t>场地</w:t>
      </w:r>
      <w:r>
        <w:rPr>
          <w:rFonts w:hint="eastAsia" w:ascii="宋体" w:hAnsi="宋体" w:eastAsia="宋体" w:cs="Times New Roman"/>
          <w:szCs w:val="21"/>
          <w:highlight w:val="none"/>
        </w:rPr>
        <w:t>（含办公桌椅</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电话</w:t>
      </w:r>
      <w:r>
        <w:rPr>
          <w:rFonts w:hint="eastAsia" w:ascii="宋体" w:hAnsi="宋体" w:eastAsia="宋体" w:cs="Times New Roman"/>
          <w:szCs w:val="21"/>
          <w:highlight w:val="none"/>
        </w:rPr>
        <w:t>），办公设备等由中标人落实，包括日常办公用品等</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办公用房除房租外产生的所有费用由中标人承担</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其余人员一切办公费用包括办公场所由中标人承担，由</w:t>
      </w:r>
      <w:r>
        <w:rPr>
          <w:rFonts w:hint="eastAsia" w:ascii="宋体" w:hAnsi="宋体" w:eastAsia="宋体" w:cs="Times New Roman"/>
          <w:szCs w:val="21"/>
          <w:highlight w:val="none"/>
        </w:rPr>
        <w:t>服务期满后，中标人将相关资料移交区街食安办</w:t>
      </w:r>
      <w:r>
        <w:rPr>
          <w:rFonts w:hint="eastAsia" w:ascii="宋体" w:hAnsi="宋体" w:eastAsia="宋体" w:cs="Times New Roman"/>
          <w:szCs w:val="21"/>
          <w:highlight w:val="none"/>
          <w:lang w:val="en-US" w:eastAsia="zh-CN"/>
        </w:rPr>
        <w:t>或</w:t>
      </w:r>
      <w:r>
        <w:rPr>
          <w:rFonts w:hint="eastAsia" w:ascii="宋体" w:hAnsi="宋体" w:cs="Times New Roman"/>
          <w:szCs w:val="21"/>
          <w:highlight w:val="none"/>
          <w:lang w:val="en-US" w:eastAsia="zh-CN"/>
        </w:rPr>
        <w:t>海洲</w:t>
      </w:r>
      <w:r>
        <w:rPr>
          <w:rFonts w:hint="eastAsia" w:ascii="宋体" w:hAnsi="宋体" w:eastAsia="宋体" w:cs="Times New Roman"/>
          <w:szCs w:val="21"/>
          <w:highlight w:val="none"/>
          <w:lang w:val="en-US" w:eastAsia="zh-CN"/>
        </w:rPr>
        <w:t>市场监管所</w:t>
      </w:r>
      <w:r>
        <w:rPr>
          <w:rFonts w:hint="eastAsia" w:ascii="宋体" w:hAnsi="宋体" w:eastAsia="宋体" w:cs="Times New Roman"/>
          <w:szCs w:val="21"/>
          <w:highlight w:val="none"/>
        </w:rPr>
        <w:t>。</w:t>
      </w:r>
    </w:p>
    <w:p>
      <w:pPr>
        <w:kinsoku/>
        <w:overflowPunct/>
        <w:topLinePunct w:val="0"/>
        <w:bidi w:val="0"/>
        <w:adjustRightInd w:val="0"/>
        <w:snapToGrid w:val="0"/>
        <w:spacing w:line="360" w:lineRule="auto"/>
        <w:ind w:firstLine="480"/>
        <w:rPr>
          <w:rFonts w:hint="eastAsia" w:ascii="宋体" w:hAnsi="宋体" w:eastAsia="宋体" w:cs="Times New Roman"/>
          <w:szCs w:val="21"/>
          <w:highlight w:val="none"/>
        </w:rPr>
      </w:pPr>
      <w:r>
        <w:rPr>
          <w:rFonts w:hint="eastAsia" w:ascii="宋体" w:hAnsi="宋体" w:eastAsia="宋体" w:cs="Times New Roman"/>
          <w:szCs w:val="21"/>
          <w:highlight w:val="none"/>
        </w:rPr>
        <w:t>6.7考核办法：</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为充分发挥食品安全第三方督导服务在食品安全监管中的积极作用，确保食品安全工作落到实处，结合服务合同中相关要求和内容，制定本考核办法。</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6.7.1第三方服务的考核人员及考核方式</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海洲</w:t>
      </w:r>
      <w:r>
        <w:rPr>
          <w:rFonts w:hint="eastAsia" w:ascii="宋体" w:hAnsi="宋体" w:eastAsia="宋体" w:cs="Times New Roman"/>
          <w:szCs w:val="21"/>
          <w:highlight w:val="none"/>
          <w:lang w:val="en-US" w:eastAsia="zh-CN"/>
        </w:rPr>
        <w:t>街道食品安全第三方督导服务考核由</w:t>
      </w:r>
      <w:r>
        <w:rPr>
          <w:rFonts w:hint="eastAsia" w:ascii="宋体" w:hAnsi="宋体" w:cs="Times New Roman"/>
          <w:szCs w:val="21"/>
          <w:highlight w:val="none"/>
          <w:lang w:val="en-US" w:eastAsia="zh-CN"/>
        </w:rPr>
        <w:t>海洲</w:t>
      </w:r>
      <w:r>
        <w:rPr>
          <w:rFonts w:hint="eastAsia" w:ascii="宋体" w:hAnsi="宋体" w:eastAsia="宋体" w:cs="Times New Roman"/>
          <w:szCs w:val="21"/>
          <w:highlight w:val="none"/>
          <w:lang w:val="en-US" w:eastAsia="zh-CN"/>
        </w:rPr>
        <w:t>街道食安办和</w:t>
      </w:r>
      <w:r>
        <w:rPr>
          <w:rFonts w:hint="eastAsia" w:ascii="宋体" w:hAnsi="宋体" w:cs="Times New Roman"/>
          <w:szCs w:val="21"/>
          <w:highlight w:val="none"/>
          <w:lang w:val="en-US" w:eastAsia="zh-CN"/>
        </w:rPr>
        <w:t>海洲</w:t>
      </w:r>
      <w:r>
        <w:rPr>
          <w:rFonts w:hint="eastAsia" w:ascii="宋体" w:hAnsi="宋体" w:eastAsia="宋体" w:cs="Times New Roman"/>
          <w:szCs w:val="21"/>
          <w:highlight w:val="none"/>
          <w:lang w:val="en-US" w:eastAsia="zh-CN"/>
        </w:rPr>
        <w:t>市场监管所负责组织实施。每季度末由食安办和市场监管所各一名食品安全相关工作人员通过现场与书面检查相结合的方式考核打分，其中实地抽查社会餐饮服务单位5家、企业食堂5家，</w:t>
      </w:r>
      <w:r>
        <w:rPr>
          <w:rFonts w:hint="eastAsia" w:ascii="宋体" w:hAnsi="宋体" w:cs="Times New Roman"/>
          <w:szCs w:val="21"/>
          <w:highlight w:val="none"/>
          <w:lang w:val="en-US" w:eastAsia="zh-CN"/>
        </w:rPr>
        <w:t>食品流通</w:t>
      </w:r>
      <w:r>
        <w:rPr>
          <w:rFonts w:hint="eastAsia" w:ascii="宋体" w:hAnsi="宋体" w:eastAsia="宋体" w:cs="Times New Roman"/>
          <w:szCs w:val="21"/>
          <w:highlight w:val="none"/>
          <w:lang w:val="en-US" w:eastAsia="zh-CN"/>
        </w:rPr>
        <w:t>单位</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lang w:val="en-US" w:eastAsia="zh-CN"/>
        </w:rPr>
        <w:t>家。</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6.7.2第三方服务考核的主要内容和评分标准（总分100分）</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1、分级管理（10分）</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第三方服务单位需根据日常检查评估情况，将辖区内的社会餐饮</w:t>
      </w:r>
      <w:r>
        <w:rPr>
          <w:rFonts w:hint="eastAsia" w:ascii="宋体" w:hAnsi="宋体" w:cs="Times New Roman"/>
          <w:szCs w:val="21"/>
          <w:highlight w:val="none"/>
          <w:lang w:val="en-US" w:eastAsia="zh-CN"/>
        </w:rPr>
        <w:t>、</w:t>
      </w:r>
      <w:r>
        <w:rPr>
          <w:rFonts w:hint="eastAsia" w:ascii="宋体" w:hAnsi="宋体" w:eastAsia="宋体" w:cs="Times New Roman"/>
          <w:szCs w:val="21"/>
          <w:highlight w:val="none"/>
          <w:lang w:val="en-US" w:eastAsia="zh-CN"/>
        </w:rPr>
        <w:t>企业食堂</w:t>
      </w:r>
      <w:r>
        <w:rPr>
          <w:rFonts w:hint="eastAsia" w:ascii="宋体" w:hAnsi="宋体" w:cs="Times New Roman"/>
          <w:szCs w:val="21"/>
          <w:highlight w:val="none"/>
          <w:lang w:val="en-US" w:eastAsia="zh-CN"/>
        </w:rPr>
        <w:t>和食品流通</w:t>
      </w:r>
      <w:r>
        <w:rPr>
          <w:rFonts w:hint="eastAsia" w:ascii="宋体" w:hAnsi="宋体" w:eastAsia="宋体" w:cs="Times New Roman"/>
          <w:szCs w:val="21"/>
          <w:highlight w:val="none"/>
          <w:lang w:val="en-US" w:eastAsia="zh-CN"/>
        </w:rPr>
        <w:t>分为A、B、C、D四个等级。分级评定应每季度更新调整一次，并通过等级评分标准评分后在</w:t>
      </w:r>
      <w:r>
        <w:rPr>
          <w:rFonts w:hint="eastAsia" w:ascii="宋体" w:hAnsi="宋体" w:cs="Times New Roman"/>
          <w:szCs w:val="21"/>
          <w:highlight w:val="none"/>
          <w:lang w:val="en-US" w:eastAsia="zh-CN"/>
        </w:rPr>
        <w:t>甲方认可的</w:t>
      </w:r>
      <w:r>
        <w:rPr>
          <w:rFonts w:hint="eastAsia" w:ascii="宋体" w:hAnsi="宋体" w:eastAsia="宋体" w:cs="Times New Roman"/>
          <w:szCs w:val="21"/>
          <w:highlight w:val="none"/>
          <w:lang w:val="en-US" w:eastAsia="zh-CN"/>
        </w:rPr>
        <w:t>食品安全数字化管理平台公示。季度考核每发现1家未分级的，扣0.1分。</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2、工作台账（20分）</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（1）第三方应对持证社会餐饮</w:t>
      </w:r>
      <w:r>
        <w:rPr>
          <w:rFonts w:hint="eastAsia" w:ascii="宋体" w:hAnsi="宋体" w:cs="Times New Roman"/>
          <w:szCs w:val="21"/>
          <w:highlight w:val="none"/>
          <w:lang w:val="en-US" w:eastAsia="zh-CN"/>
        </w:rPr>
        <w:t>、</w:t>
      </w:r>
      <w:r>
        <w:rPr>
          <w:rFonts w:hint="eastAsia" w:ascii="宋体" w:hAnsi="宋体" w:eastAsia="宋体" w:cs="Times New Roman"/>
          <w:szCs w:val="21"/>
          <w:highlight w:val="none"/>
          <w:lang w:val="en-US" w:eastAsia="zh-CN"/>
        </w:rPr>
        <w:t>企业食堂</w:t>
      </w:r>
      <w:r>
        <w:rPr>
          <w:rFonts w:hint="eastAsia" w:ascii="宋体" w:hAnsi="宋体" w:cs="Times New Roman"/>
          <w:szCs w:val="21"/>
          <w:highlight w:val="none"/>
          <w:lang w:val="en-US" w:eastAsia="zh-CN"/>
        </w:rPr>
        <w:t>和食品流通单位</w:t>
      </w:r>
      <w:r>
        <w:rPr>
          <w:rFonts w:hint="eastAsia" w:ascii="宋体" w:hAnsi="宋体" w:eastAsia="宋体" w:cs="Times New Roman"/>
          <w:szCs w:val="21"/>
          <w:highlight w:val="none"/>
          <w:lang w:val="en-US" w:eastAsia="zh-CN"/>
        </w:rPr>
        <w:t>根据A、B、C、D四个等级开展全覆盖督导检查，其中：A级每季度不少于一次、B级每两个月不少于一次，C级每个月不少于一次，D级每半个月不少于一次。第三方需在每季度末将一季度的督导材料提交到市场监管所（5分）。每发现一家未按要求开展督导检查的A级扣0.2分，B级扣0.4分，C级扣0.6分，D级扣0.8分，未按要求提交督导材料的扣2分，扣完为止。</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（2）对上级部门检查反馈问题，督促整改率100%（5分）。海宁市级检查发现的问题未整改的每条扣0.5分，嘉兴市级每条扣1分，以此类推，扣完为止。</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建立管理档案，工作反馈及时，形成“发现问题-解决问题-督促改正-实时反馈”的闭环机制，录入数字化管理平台。同时按照“每月汇报、每季考核”的要求，提交汇报材料（5分）。未及时汇报材料，少1份扣1分，扣完为止。</w:t>
      </w:r>
    </w:p>
    <w:p>
      <w:pPr>
        <w:kinsoku/>
        <w:overflowPunct/>
        <w:topLinePunct w:val="0"/>
        <w:bidi w:val="0"/>
        <w:adjustRightInd w:val="0"/>
        <w:snapToGrid w:val="0"/>
        <w:spacing w:line="360" w:lineRule="auto"/>
        <w:ind w:firstLine="420" w:firstLineChars="200"/>
        <w:rPr>
          <w:rFonts w:hint="eastAsia"/>
          <w:lang w:val="en-US" w:eastAsia="zh-CN"/>
        </w:rPr>
      </w:pPr>
      <w:r>
        <w:rPr>
          <w:rFonts w:hint="eastAsia" w:ascii="宋体" w:hAnsi="宋体" w:eastAsia="宋体" w:cs="Times New Roman"/>
          <w:szCs w:val="21"/>
          <w:highlight w:val="none"/>
          <w:lang w:val="en-US" w:eastAsia="zh-CN"/>
        </w:rPr>
        <w:t>（4）根据村（社区）提供农村集体聚餐线索，对照《农村家宴食品安全指导员指导规范》标准及时上门配合村社做好集体聚餐备案指导，备案指导率100%。将备案情况同步报送相应村（社区），并于每季度末将备案指导资料提交到食安办（5分）。检查发现一场未备案指导扣1分，未报送村（社区）一场扣1分，未提交备案指导资料扣2分，扣完为止。</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3、实地检查。（50分）</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（1）随机抽查持证社会餐饮5家，企业食堂5家</w:t>
      </w:r>
      <w:r>
        <w:rPr>
          <w:rFonts w:hint="eastAsia" w:ascii="宋体" w:hAnsi="宋体" w:cs="Times New Roman"/>
          <w:szCs w:val="21"/>
          <w:highlight w:val="none"/>
          <w:lang w:val="en-US" w:eastAsia="zh-CN"/>
        </w:rPr>
        <w:t>，食品流通单位5家，</w:t>
      </w:r>
      <w:r>
        <w:rPr>
          <w:rFonts w:hint="eastAsia" w:ascii="宋体" w:hAnsi="宋体" w:eastAsia="宋体" w:cs="Times New Roman"/>
          <w:szCs w:val="21"/>
          <w:highlight w:val="none"/>
          <w:lang w:val="en-US" w:eastAsia="zh-CN"/>
        </w:rPr>
        <w:t>按照《食品安全季度考核检查记录表》检查（40分）。每家每项目不合格扣0.1分（关键项不合格的扣分加倍）。</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（2）无证单位线索移送（5分）。抽查发现无证未指导办证的，每家扣1分。四季度考核时，根据合同要求，全年每少1家线索移送扣1分。</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（3）不得发生因第三方评估与督导未到位而发生的重大食品安全事件（5分）。考核期内发生经查实的，每发生一起扣5分。</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4、平台检查。（10分）</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（1）现场评估与督导社会餐饮、企业食堂</w:t>
      </w:r>
      <w:r>
        <w:rPr>
          <w:rFonts w:hint="eastAsia" w:ascii="宋体" w:hAnsi="宋体" w:cs="Times New Roman"/>
          <w:szCs w:val="21"/>
          <w:highlight w:val="none"/>
          <w:lang w:val="en-US" w:eastAsia="zh-CN"/>
        </w:rPr>
        <w:t>和食品流通单位</w:t>
      </w:r>
      <w:r>
        <w:rPr>
          <w:rFonts w:hint="eastAsia" w:ascii="宋体" w:hAnsi="宋体" w:eastAsia="宋体" w:cs="Times New Roman"/>
          <w:szCs w:val="21"/>
          <w:highlight w:val="none"/>
          <w:lang w:val="en-US" w:eastAsia="zh-CN"/>
        </w:rPr>
        <w:t>情况录入食品安全数字化管理平台，录入率100%；录入情况和</w:t>
      </w:r>
      <w:r>
        <w:rPr>
          <w:rFonts w:hint="eastAsia" w:ascii="宋体" w:hAnsi="宋体" w:cs="Times New Roman"/>
          <w:szCs w:val="21"/>
          <w:highlight w:val="none"/>
          <w:lang w:val="en-US" w:eastAsia="zh-CN"/>
        </w:rPr>
        <w:t>实际情况</w:t>
      </w:r>
      <w:r>
        <w:rPr>
          <w:rFonts w:hint="eastAsia" w:ascii="宋体" w:hAnsi="宋体" w:eastAsia="宋体" w:cs="Times New Roman"/>
          <w:szCs w:val="21"/>
          <w:highlight w:val="none"/>
          <w:lang w:val="en-US" w:eastAsia="zh-CN"/>
        </w:rPr>
        <w:t>相符情况（5分）。录入率每低1个百分点扣0.5分，发现录入不全或数字化管理平台与</w:t>
      </w:r>
      <w:r>
        <w:rPr>
          <w:rFonts w:hint="eastAsia" w:ascii="宋体" w:hAnsi="宋体" w:cs="Times New Roman"/>
          <w:szCs w:val="21"/>
          <w:highlight w:val="none"/>
          <w:lang w:val="en-US" w:eastAsia="zh-CN"/>
        </w:rPr>
        <w:t>实际情况</w:t>
      </w:r>
      <w:r>
        <w:rPr>
          <w:rFonts w:hint="eastAsia" w:ascii="宋体" w:hAnsi="宋体" w:eastAsia="宋体" w:cs="Times New Roman"/>
          <w:szCs w:val="21"/>
          <w:highlight w:val="none"/>
          <w:lang w:val="en-US" w:eastAsia="zh-CN"/>
        </w:rPr>
        <w:t>不符合的扣1分，扣完为止。</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（2）外卖平台抽查餐饮服务单位</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0家阳光厨房设备是否正常使用（5分）。每发现一家不正常使用的扣0.5分。</w:t>
      </w:r>
    </w:p>
    <w:p>
      <w:pPr>
        <w:kinsoku/>
        <w:overflowPunct/>
        <w:topLinePunct w:val="0"/>
        <w:bidi w:val="0"/>
        <w:adjustRightInd w:val="0"/>
        <w:snapToGrid w:val="0"/>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5、人员配备。（10分）</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（1）人员配备齐全，均须有食品安全管理经验、食品安全相关专业学历或技术资格等证书（5分）。考核期内发现人员配备不合格一次，扣5分。</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（2）评估与督导人员须遵守工作纪律，不得与食品经营单位发生不正当利益关系（5分）。如有收到投诉举报查实的，每一起扣5分。</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6、廉洁纪律。（一票否决）</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发生违反廉洁纪律的事件，不及时纠正或造成严重社会影响的，当季一票否决，不支付当季服务费用。</w:t>
      </w:r>
    </w:p>
    <w:p>
      <w:pPr>
        <w:kinsoku/>
        <w:overflowPunct/>
        <w:topLinePunct w:val="0"/>
        <w:bidi w:val="0"/>
        <w:adjustRightInd w:val="0"/>
        <w:snapToGrid w:val="0"/>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四、季度考核付款条件。</w:t>
      </w:r>
    </w:p>
    <w:p>
      <w:pPr>
        <w:kinsoku/>
        <w:overflowPunct/>
        <w:topLinePunct w:val="0"/>
        <w:bidi w:val="0"/>
        <w:adjustRightInd w:val="0"/>
        <w:snapToGrid w:val="0"/>
        <w:spacing w:line="360" w:lineRule="auto"/>
        <w:ind w:firstLine="420" w:firstLineChars="200"/>
      </w:pPr>
      <w:r>
        <w:rPr>
          <w:rFonts w:hint="eastAsia" w:ascii="宋体" w:hAnsi="宋体" w:eastAsia="宋体" w:cs="Times New Roman"/>
          <w:szCs w:val="21"/>
          <w:highlight w:val="none"/>
          <w:lang w:val="en-US" w:eastAsia="zh-CN"/>
        </w:rPr>
        <w:t>季度考核得分90分（含）以上的，足额拨付当期经费；90分以下80分以上（含）的，拨付相应比例金额（如85分即拨付当期经费的85%）；得分80分以下的，一次性扣除当期经费的30%，得分70分以下的，一次性扣除当期经费的40%，以此类推。服务期内累计两次考核总得分80分以下的或全年发生两次违反廉洁纪律事件的，采购人有权解除合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rPr>
      <w:t>第</w:t>
    </w:r>
    <w:r>
      <w:fldChar w:fldCharType="begin"/>
    </w:r>
    <w:r>
      <w:rPr>
        <w:rStyle w:val="10"/>
      </w:rPr>
      <w:instrText xml:space="preserve"> PAGE </w:instrText>
    </w:r>
    <w:r>
      <w:fldChar w:fldCharType="separate"/>
    </w:r>
    <w:r>
      <w:rPr>
        <w:rStyle w:val="10"/>
      </w:rPr>
      <w:t>24</w:t>
    </w:r>
    <w:r>
      <w:fldChar w:fldCharType="end"/>
    </w:r>
    <w:r>
      <w:rPr>
        <w:rStyle w:val="10"/>
        <w:rFonts w:hint="eastAsia"/>
      </w:rPr>
      <w:t>页  共</w:t>
    </w:r>
    <w:r>
      <w:fldChar w:fldCharType="begin"/>
    </w:r>
    <w:r>
      <w:rPr>
        <w:rStyle w:val="10"/>
      </w:rPr>
      <w:instrText xml:space="preserve"> NUMPAGES </w:instrText>
    </w:r>
    <w:r>
      <w:fldChar w:fldCharType="separate"/>
    </w:r>
    <w:r>
      <w:rPr>
        <w:rStyle w:val="10"/>
      </w:rPr>
      <w:t>41</w:t>
    </w:r>
    <w:r>
      <w:fldChar w:fldCharType="end"/>
    </w:r>
    <w:r>
      <w:rPr>
        <w:rStyle w:val="10"/>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宋体" w:hAnsi="宋体" w:eastAsia="宋体"/>
        <w:lang w:eastAsia="zh-CN"/>
      </w:rPr>
    </w:pPr>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jI0NGU2ZmMzZjRjMDQ5ZWQyYjY3MzI1Yzg2NDQifQ=="/>
  </w:docVars>
  <w:rsids>
    <w:rsidRoot w:val="00000000"/>
    <w:rsid w:val="0ADD26F2"/>
    <w:rsid w:val="382006CC"/>
    <w:rsid w:val="5C7853D3"/>
    <w:rsid w:val="64C42D2C"/>
    <w:rsid w:val="6FF124B6"/>
    <w:rsid w:val="B977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toc 6"/>
    <w:basedOn w:val="1"/>
    <w:next w:val="1"/>
    <w:qFormat/>
    <w:uiPriority w:val="0"/>
    <w:pPr>
      <w:ind w:left="1050"/>
      <w:jc w:val="left"/>
    </w:pPr>
    <w:rPr>
      <w:rFonts w:ascii="Arial" w:hAnsi="Arial"/>
      <w:sz w:val="18"/>
      <w:szCs w:val="18"/>
    </w:rPr>
  </w:style>
  <w:style w:type="paragraph" w:styleId="7">
    <w:name w:val="Body Text First Indent"/>
    <w:basedOn w:val="2"/>
    <w:next w:val="6"/>
    <w:qFormat/>
    <w:uiPriority w:val="0"/>
    <w:pPr>
      <w:spacing w:after="120"/>
      <w:ind w:firstLine="420"/>
      <w:jc w:val="both"/>
    </w:pPr>
    <w:rPr>
      <w:sz w:val="21"/>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2023-12-19T09:50:00Z</dcterms:created>
  <dc:creator>wdh</dc:creator>
  <cp:lastModifiedBy>user</cp:lastModifiedBy>
  <dcterms:modified xsi:type="dcterms:W3CDTF">2025-03-07T14:07:08Z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85D63147ED454A81A4D67514B699F318_12</vt:lpwstr>
  </property>
</Properties>
</file>