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BBE230">
      <w:r>
        <w:rPr>
          <w:rFonts w:hint="eastAsia"/>
        </w:rPr>
        <w:t>1、平湖市物业服务行业协会工作人员对我市物业服务行业、红色物业工作具备较强的专业业务知识和实操能力，且自红色物业党群服务中心运营以来，均由该组织承担其日常接待、讲解、矛盾纠纷调处、红色物业培训提升等工作，拥有强有力的运营经验。2、平湖市红色物业党群服务中心对外的“智慧红巢”微信公众号上线至今一直由平湖市物业服务行业协会在运维，为了该平台后续工作的迭代升级、优化等事项，拟考虑2025年仍由平湖市物业服务行业协会承担中心的运营管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mNkMGIwNDJjY2U0MDM0YmJmYmJjMzViZTRiYzYifQ=="/>
  </w:docVars>
  <w:rsids>
    <w:rsidRoot w:val="00000000"/>
    <w:rsid w:val="43A01E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HL-L</dc:creator>
  <cp:lastModifiedBy>HL-L</cp:lastModifiedBy>
  <dcterms:modified xsi:type="dcterms:W3CDTF">2025-02-27T02:33:22Z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AD633A74F8134EC4A199D9919DEF5699_12</vt:lpwstr>
  </property>
</Properties>
</file>