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BC074">
      <w:pPr>
        <w:ind w:firstLine="217" w:firstLineChars="68"/>
        <w:jc w:val="right"/>
        <w:rPr>
          <w:rFonts w:ascii="仿宋" w:hAnsi="仿宋" w:eastAsia="仿宋" w:cs="仿宋"/>
          <w:bCs/>
          <w:snapToGrid w:val="0"/>
          <w:color w:val="auto"/>
          <w:sz w:val="32"/>
          <w:szCs w:val="32"/>
          <w:highlight w:val="none"/>
        </w:rPr>
      </w:pPr>
      <w:bookmarkStart w:id="0" w:name="_Toc152043786"/>
    </w:p>
    <w:p w14:paraId="441F1EAD">
      <w:pPr>
        <w:ind w:firstLine="217" w:firstLineChars="68"/>
        <w:jc w:val="right"/>
        <w:rPr>
          <w:rFonts w:ascii="仿宋" w:hAnsi="仿宋" w:eastAsia="仿宋" w:cs="仿宋"/>
          <w:bCs/>
          <w:snapToGrid w:val="0"/>
          <w:color w:val="auto"/>
          <w:sz w:val="32"/>
          <w:szCs w:val="32"/>
          <w:highlight w:val="none"/>
        </w:rPr>
      </w:pPr>
    </w:p>
    <w:p w14:paraId="7F337933">
      <w:pPr>
        <w:ind w:firstLine="300" w:firstLineChars="68"/>
        <w:jc w:val="center"/>
        <w:rPr>
          <w:rFonts w:hint="eastAsia" w:ascii="宋体" w:hAnsi="宋体" w:eastAsia="宋体" w:cs="宋体"/>
          <w:b/>
          <w:snapToGrid w:val="0"/>
          <w:color w:val="auto"/>
          <w:sz w:val="56"/>
          <w:szCs w:val="56"/>
          <w:highlight w:val="none"/>
          <w:lang w:eastAsia="zh-CN"/>
        </w:rPr>
      </w:pPr>
      <w:r>
        <w:rPr>
          <w:rFonts w:hint="eastAsia" w:ascii="宋体" w:hAnsi="宋体" w:cs="宋体"/>
          <w:b/>
          <w:snapToGrid w:val="0"/>
          <w:color w:val="auto"/>
          <w:sz w:val="44"/>
          <w:szCs w:val="44"/>
          <w:highlight w:val="none"/>
          <w:lang w:eastAsia="zh-CN"/>
        </w:rPr>
        <w:t>湖东街道“民生服务”协调处理服务采购项目</w:t>
      </w:r>
    </w:p>
    <w:p w14:paraId="683271CB">
      <w:pPr>
        <w:spacing w:line="480" w:lineRule="auto"/>
        <w:ind w:firstLine="190" w:firstLineChars="68"/>
        <w:jc w:val="center"/>
        <w:rPr>
          <w:rFonts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财政审批编号：[2024]6308号</w:t>
      </w:r>
    </w:p>
    <w:p w14:paraId="331928B8">
      <w:pPr>
        <w:ind w:firstLine="299" w:firstLineChars="68"/>
        <w:jc w:val="center"/>
        <w:rPr>
          <w:rFonts w:ascii="仿宋" w:hAnsi="仿宋" w:eastAsia="仿宋" w:cs="仿宋"/>
          <w:bCs/>
          <w:snapToGrid w:val="0"/>
          <w:color w:val="auto"/>
          <w:sz w:val="44"/>
          <w:szCs w:val="44"/>
          <w:highlight w:val="none"/>
        </w:rPr>
      </w:pPr>
    </w:p>
    <w:p w14:paraId="08DCA5D9">
      <w:pPr>
        <w:ind w:firstLine="522" w:firstLineChars="68"/>
        <w:jc w:val="center"/>
        <w:rPr>
          <w:rFonts w:ascii="仿宋" w:hAnsi="仿宋" w:eastAsia="仿宋" w:cs="仿宋"/>
          <w:color w:val="auto"/>
          <w:w w:val="80"/>
          <w:kern w:val="0"/>
          <w:sz w:val="96"/>
          <w:szCs w:val="48"/>
          <w:highlight w:val="none"/>
        </w:rPr>
      </w:pPr>
    </w:p>
    <w:p w14:paraId="7C696D52">
      <w:pPr>
        <w:ind w:firstLine="299" w:firstLineChars="68"/>
        <w:jc w:val="center"/>
        <w:rPr>
          <w:rFonts w:ascii="仿宋" w:hAnsi="仿宋" w:eastAsia="仿宋" w:cs="仿宋"/>
          <w:bCs/>
          <w:snapToGrid w:val="0"/>
          <w:color w:val="auto"/>
          <w:sz w:val="44"/>
          <w:szCs w:val="44"/>
          <w:highlight w:val="none"/>
        </w:rPr>
      </w:pPr>
    </w:p>
    <w:p w14:paraId="78168200">
      <w:pPr>
        <w:ind w:firstLine="299" w:firstLineChars="68"/>
        <w:jc w:val="center"/>
        <w:rPr>
          <w:rFonts w:ascii="仿宋" w:hAnsi="仿宋" w:eastAsia="仿宋" w:cs="仿宋"/>
          <w:bCs/>
          <w:snapToGrid w:val="0"/>
          <w:color w:val="auto"/>
          <w:sz w:val="44"/>
          <w:szCs w:val="44"/>
          <w:highlight w:val="none"/>
        </w:rPr>
      </w:pPr>
      <w:r>
        <w:rPr>
          <w:rFonts w:hint="eastAsia" w:ascii="仿宋" w:hAnsi="仿宋" w:eastAsia="仿宋" w:cs="仿宋"/>
          <w:bCs/>
          <w:snapToGrid w:val="0"/>
          <w:color w:val="auto"/>
          <w:sz w:val="44"/>
          <w:szCs w:val="44"/>
          <w:highlight w:val="none"/>
        </w:rPr>
        <w:t>公开招标采购文件</w:t>
      </w:r>
    </w:p>
    <w:p w14:paraId="5A2A486E">
      <w:pPr>
        <w:ind w:firstLine="299" w:firstLineChars="68"/>
        <w:jc w:val="center"/>
        <w:rPr>
          <w:rFonts w:ascii="仿宋" w:hAnsi="仿宋" w:eastAsia="仿宋" w:cs="仿宋"/>
          <w:bCs/>
          <w:snapToGrid w:val="0"/>
          <w:color w:val="auto"/>
          <w:sz w:val="44"/>
          <w:szCs w:val="44"/>
          <w:highlight w:val="none"/>
        </w:rPr>
      </w:pPr>
      <w:r>
        <w:rPr>
          <w:rFonts w:hint="eastAsia" w:ascii="仿宋" w:hAnsi="仿宋" w:eastAsia="仿宋" w:cs="仿宋"/>
          <w:bCs/>
          <w:snapToGrid w:val="0"/>
          <w:color w:val="auto"/>
          <w:sz w:val="44"/>
          <w:szCs w:val="44"/>
          <w:highlight w:val="none"/>
        </w:rPr>
        <w:t>（电子交易项目）</w:t>
      </w:r>
    </w:p>
    <w:p w14:paraId="4CE5BC4E">
      <w:pPr>
        <w:ind w:firstLine="299" w:firstLineChars="68"/>
        <w:jc w:val="center"/>
        <w:rPr>
          <w:rFonts w:ascii="仿宋" w:hAnsi="仿宋" w:eastAsia="仿宋" w:cs="仿宋"/>
          <w:bCs/>
          <w:snapToGrid w:val="0"/>
          <w:color w:val="auto"/>
          <w:sz w:val="44"/>
          <w:szCs w:val="44"/>
          <w:highlight w:val="none"/>
        </w:rPr>
      </w:pPr>
    </w:p>
    <w:p w14:paraId="7005C517">
      <w:pPr>
        <w:ind w:firstLine="299" w:firstLineChars="68"/>
        <w:jc w:val="center"/>
        <w:rPr>
          <w:rFonts w:ascii="仿宋" w:hAnsi="仿宋" w:eastAsia="仿宋" w:cs="仿宋"/>
          <w:bCs/>
          <w:snapToGrid w:val="0"/>
          <w:color w:val="auto"/>
          <w:sz w:val="44"/>
          <w:szCs w:val="44"/>
          <w:highlight w:val="none"/>
        </w:rPr>
      </w:pPr>
    </w:p>
    <w:p w14:paraId="66F8BE58">
      <w:pPr>
        <w:ind w:firstLine="299" w:firstLineChars="68"/>
        <w:jc w:val="center"/>
        <w:rPr>
          <w:rFonts w:ascii="仿宋" w:hAnsi="仿宋" w:eastAsia="仿宋" w:cs="仿宋"/>
          <w:bCs/>
          <w:snapToGrid w:val="0"/>
          <w:color w:val="auto"/>
          <w:sz w:val="44"/>
          <w:szCs w:val="44"/>
          <w:highlight w:val="none"/>
        </w:rPr>
      </w:pPr>
    </w:p>
    <w:p w14:paraId="72BBD292">
      <w:pPr>
        <w:rPr>
          <w:rFonts w:ascii="仿宋" w:hAnsi="仿宋" w:eastAsia="仿宋" w:cs="仿宋"/>
          <w:bCs/>
          <w:snapToGrid w:val="0"/>
          <w:color w:val="auto"/>
          <w:sz w:val="24"/>
          <w:highlight w:val="none"/>
        </w:rPr>
      </w:pPr>
    </w:p>
    <w:p w14:paraId="64416093">
      <w:pPr>
        <w:rPr>
          <w:rFonts w:ascii="仿宋" w:hAnsi="仿宋" w:eastAsia="仿宋" w:cs="仿宋"/>
          <w:bCs/>
          <w:snapToGrid w:val="0"/>
          <w:color w:val="auto"/>
          <w:sz w:val="22"/>
          <w:szCs w:val="22"/>
          <w:highlight w:val="none"/>
        </w:rPr>
      </w:pPr>
    </w:p>
    <w:p w14:paraId="64E40BD8">
      <w:pPr>
        <w:rPr>
          <w:rFonts w:ascii="仿宋" w:hAnsi="仿宋" w:eastAsia="仿宋" w:cs="仿宋"/>
          <w:b/>
          <w:color w:val="auto"/>
          <w:sz w:val="30"/>
          <w:szCs w:val="30"/>
          <w:highlight w:val="none"/>
        </w:rPr>
      </w:pPr>
      <w:r>
        <w:rPr>
          <w:rFonts w:hint="eastAsia" w:ascii="仿宋" w:hAnsi="仿宋" w:eastAsia="仿宋" w:cs="仿宋"/>
          <w:color w:val="auto"/>
          <w:kern w:val="0"/>
          <w:sz w:val="30"/>
          <w:szCs w:val="30"/>
          <w:highlight w:val="none"/>
        </w:rPr>
        <w:t>项目编号：</w:t>
      </w:r>
      <w:r>
        <w:rPr>
          <w:rFonts w:hint="eastAsia" w:ascii="仿宋" w:hAnsi="仿宋" w:eastAsia="仿宋" w:cs="仿宋"/>
          <w:color w:val="auto"/>
          <w:kern w:val="0"/>
          <w:sz w:val="30"/>
          <w:szCs w:val="30"/>
          <w:highlight w:val="none"/>
          <w:u w:val="single"/>
        </w:rPr>
        <w:t>泓达采字2024-02</w:t>
      </w:r>
      <w:r>
        <w:rPr>
          <w:rFonts w:hint="eastAsia" w:ascii="仿宋" w:hAnsi="仿宋" w:eastAsia="仿宋" w:cs="仿宋"/>
          <w:color w:val="auto"/>
          <w:kern w:val="0"/>
          <w:sz w:val="30"/>
          <w:szCs w:val="30"/>
          <w:highlight w:val="none"/>
          <w:u w:val="single"/>
          <w:lang w:val="en-US" w:eastAsia="zh-CN"/>
        </w:rPr>
        <w:t>6</w:t>
      </w:r>
      <w:r>
        <w:rPr>
          <w:rFonts w:hint="eastAsia" w:ascii="仿宋" w:hAnsi="仿宋" w:eastAsia="仿宋" w:cs="仿宋"/>
          <w:color w:val="auto"/>
          <w:kern w:val="0"/>
          <w:sz w:val="30"/>
          <w:szCs w:val="30"/>
          <w:highlight w:val="none"/>
          <w:u w:val="single"/>
        </w:rPr>
        <w:t xml:space="preserve">                                                 </w:t>
      </w:r>
    </w:p>
    <w:p w14:paraId="1B3223F4">
      <w:pPr>
        <w:adjustRightInd w:val="0"/>
        <w:snapToGrid w:val="0"/>
        <w:spacing w:line="500" w:lineRule="exact"/>
        <w:rPr>
          <w:rFonts w:ascii="仿宋" w:hAnsi="仿宋" w:eastAsia="仿宋" w:cs="仿宋"/>
          <w:bCs/>
          <w:snapToGrid w:val="0"/>
          <w:color w:val="auto"/>
          <w:sz w:val="30"/>
          <w:szCs w:val="30"/>
          <w:highlight w:val="none"/>
        </w:rPr>
      </w:pPr>
    </w:p>
    <w:p w14:paraId="4A04D63A">
      <w:pPr>
        <w:rPr>
          <w:rFonts w:ascii="仿宋" w:hAnsi="仿宋" w:eastAsia="仿宋" w:cs="仿宋"/>
          <w:bCs/>
          <w:snapToGrid w:val="0"/>
          <w:color w:val="auto"/>
          <w:sz w:val="30"/>
          <w:szCs w:val="30"/>
          <w:highlight w:val="none"/>
        </w:rPr>
      </w:pPr>
      <w:r>
        <w:rPr>
          <w:rFonts w:hint="eastAsia" w:ascii="仿宋" w:hAnsi="仿宋" w:eastAsia="仿宋" w:cs="仿宋"/>
          <w:bCs/>
          <w:snapToGrid w:val="0"/>
          <w:color w:val="auto"/>
          <w:sz w:val="30"/>
          <w:szCs w:val="30"/>
          <w:highlight w:val="none"/>
        </w:rPr>
        <w:t>项目名称：</w:t>
      </w:r>
      <w:r>
        <w:rPr>
          <w:rFonts w:hint="eastAsia" w:ascii="仿宋" w:hAnsi="仿宋" w:eastAsia="仿宋" w:cs="仿宋"/>
          <w:color w:val="auto"/>
          <w:kern w:val="0"/>
          <w:sz w:val="30"/>
          <w:szCs w:val="30"/>
          <w:highlight w:val="none"/>
          <w:u w:val="single"/>
          <w:lang w:eastAsia="zh-CN"/>
        </w:rPr>
        <w:t>湖东街道“民生服务”协调处理服务采购项目</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u w:val="single"/>
          <w:lang w:val="en-US" w:eastAsia="zh-CN"/>
        </w:rPr>
        <w:t xml:space="preserve">    </w:t>
      </w:r>
      <w:r>
        <w:rPr>
          <w:rFonts w:hint="eastAsia" w:ascii="仿宋" w:hAnsi="仿宋" w:eastAsia="仿宋" w:cs="仿宋"/>
          <w:color w:val="auto"/>
          <w:kern w:val="0"/>
          <w:sz w:val="30"/>
          <w:szCs w:val="30"/>
          <w:highlight w:val="none"/>
          <w:u w:val="single"/>
        </w:rPr>
        <w:t xml:space="preserve">           </w:t>
      </w:r>
    </w:p>
    <w:p w14:paraId="6BC489A7">
      <w:pPr>
        <w:adjustRightInd w:val="0"/>
        <w:snapToGrid w:val="0"/>
        <w:spacing w:line="500" w:lineRule="exact"/>
        <w:rPr>
          <w:rFonts w:ascii="仿宋" w:hAnsi="仿宋" w:eastAsia="仿宋" w:cs="仿宋"/>
          <w:bCs/>
          <w:snapToGrid w:val="0"/>
          <w:color w:val="auto"/>
          <w:sz w:val="30"/>
          <w:szCs w:val="30"/>
          <w:highlight w:val="none"/>
        </w:rPr>
      </w:pPr>
    </w:p>
    <w:p w14:paraId="7D2B6438">
      <w:pPr>
        <w:rPr>
          <w:rFonts w:hint="default" w:ascii="仿宋" w:hAnsi="仿宋" w:eastAsia="仿宋" w:cs="仿宋"/>
          <w:color w:val="auto"/>
          <w:sz w:val="30"/>
          <w:szCs w:val="30"/>
          <w:highlight w:val="none"/>
          <w:u w:val="single"/>
          <w:lang w:val="en-US" w:eastAsia="zh-CN"/>
        </w:rPr>
      </w:pPr>
      <w:r>
        <w:rPr>
          <w:rFonts w:hint="eastAsia" w:ascii="仿宋" w:hAnsi="仿宋" w:eastAsia="仿宋" w:cs="仿宋"/>
          <w:bCs/>
          <w:snapToGrid w:val="0"/>
          <w:color w:val="auto"/>
          <w:sz w:val="30"/>
          <w:szCs w:val="30"/>
          <w:highlight w:val="none"/>
        </w:rPr>
        <w:t>招 标 人：</w:t>
      </w:r>
      <w:r>
        <w:rPr>
          <w:rFonts w:hint="eastAsia" w:ascii="仿宋" w:hAnsi="仿宋" w:eastAsia="仿宋" w:cs="仿宋"/>
          <w:color w:val="auto"/>
          <w:sz w:val="30"/>
          <w:szCs w:val="30"/>
          <w:highlight w:val="none"/>
          <w:u w:val="single"/>
          <w:lang w:eastAsia="zh-CN"/>
        </w:rPr>
        <w:t>湖州市吴兴区人民政府湖东街道办事处</w:t>
      </w:r>
      <w:r>
        <w:rPr>
          <w:rFonts w:hint="eastAsia" w:ascii="仿宋" w:hAnsi="仿宋" w:eastAsia="仿宋" w:cs="仿宋"/>
          <w:color w:val="auto"/>
          <w:sz w:val="30"/>
          <w:szCs w:val="30"/>
          <w:highlight w:val="none"/>
          <w:u w:val="single"/>
        </w:rPr>
        <w:t>（盖章）</w:t>
      </w:r>
      <w:r>
        <w:rPr>
          <w:rFonts w:hint="eastAsia" w:ascii="仿宋" w:hAnsi="仿宋" w:eastAsia="仿宋" w:cs="仿宋"/>
          <w:color w:val="auto"/>
          <w:sz w:val="30"/>
          <w:szCs w:val="30"/>
          <w:highlight w:val="none"/>
          <w:u w:val="single"/>
          <w:lang w:val="en-US" w:eastAsia="zh-CN"/>
        </w:rPr>
        <w:t xml:space="preserve">                             </w:t>
      </w:r>
    </w:p>
    <w:p w14:paraId="6F450A01">
      <w:pPr>
        <w:adjustRightInd w:val="0"/>
        <w:snapToGrid w:val="0"/>
        <w:spacing w:line="500" w:lineRule="exact"/>
        <w:ind w:firstLine="786" w:firstLineChars="262"/>
        <w:rPr>
          <w:rFonts w:ascii="仿宋" w:hAnsi="仿宋" w:eastAsia="仿宋" w:cs="仿宋"/>
          <w:bCs/>
          <w:snapToGrid w:val="0"/>
          <w:color w:val="auto"/>
          <w:sz w:val="30"/>
          <w:szCs w:val="30"/>
          <w:highlight w:val="none"/>
        </w:rPr>
      </w:pPr>
      <w:r>
        <w:rPr>
          <w:rFonts w:hint="eastAsia" w:ascii="仿宋" w:hAnsi="仿宋" w:eastAsia="仿宋" w:cs="仿宋"/>
          <w:bCs/>
          <w:snapToGrid w:val="0"/>
          <w:color w:val="auto"/>
          <w:sz w:val="30"/>
          <w:szCs w:val="30"/>
          <w:highlight w:val="none"/>
        </w:rPr>
        <w:t xml:space="preserve"> </w:t>
      </w:r>
    </w:p>
    <w:p w14:paraId="416FAF0F">
      <w:pPr>
        <w:adjustRightInd w:val="0"/>
        <w:snapToGrid w:val="0"/>
        <w:spacing w:line="500" w:lineRule="exact"/>
        <w:rPr>
          <w:rFonts w:hint="default" w:ascii="仿宋" w:hAnsi="仿宋" w:eastAsia="仿宋" w:cs="仿宋"/>
          <w:bCs/>
          <w:snapToGrid w:val="0"/>
          <w:color w:val="auto"/>
          <w:sz w:val="22"/>
          <w:szCs w:val="22"/>
          <w:highlight w:val="none"/>
          <w:lang w:val="en-US" w:eastAsia="zh-CN"/>
        </w:rPr>
      </w:pPr>
      <w:r>
        <w:rPr>
          <w:rFonts w:hint="eastAsia" w:ascii="仿宋" w:hAnsi="仿宋" w:eastAsia="仿宋" w:cs="仿宋"/>
          <w:bCs/>
          <w:snapToGrid w:val="0"/>
          <w:color w:val="auto"/>
          <w:sz w:val="30"/>
          <w:szCs w:val="30"/>
          <w:highlight w:val="none"/>
        </w:rPr>
        <w:t>采购代理机构：</w:t>
      </w:r>
      <w:r>
        <w:rPr>
          <w:rFonts w:hint="eastAsia" w:ascii="仿宋" w:hAnsi="仿宋" w:eastAsia="仿宋" w:cs="仿宋"/>
          <w:bCs/>
          <w:snapToGrid w:val="0"/>
          <w:color w:val="auto"/>
          <w:sz w:val="30"/>
          <w:szCs w:val="30"/>
          <w:highlight w:val="none"/>
          <w:u w:val="single"/>
          <w:lang w:eastAsia="zh-CN"/>
        </w:rPr>
        <w:t>湖州泓达工程管理咨询有限公司</w:t>
      </w:r>
      <w:r>
        <w:rPr>
          <w:rFonts w:hint="eastAsia" w:ascii="仿宋" w:hAnsi="仿宋" w:eastAsia="仿宋" w:cs="仿宋"/>
          <w:bCs/>
          <w:snapToGrid w:val="0"/>
          <w:color w:val="auto"/>
          <w:sz w:val="30"/>
          <w:szCs w:val="30"/>
          <w:highlight w:val="none"/>
          <w:u w:val="single"/>
        </w:rPr>
        <w:t>（盖章）</w:t>
      </w:r>
      <w:r>
        <w:rPr>
          <w:rFonts w:hint="eastAsia" w:ascii="仿宋" w:hAnsi="仿宋" w:eastAsia="仿宋" w:cs="仿宋"/>
          <w:bCs/>
          <w:snapToGrid w:val="0"/>
          <w:color w:val="auto"/>
          <w:sz w:val="30"/>
          <w:szCs w:val="30"/>
          <w:highlight w:val="none"/>
          <w:u w:val="single"/>
          <w:lang w:val="en-US" w:eastAsia="zh-CN"/>
        </w:rPr>
        <w:t xml:space="preserve">                  </w:t>
      </w:r>
      <w:r>
        <w:rPr>
          <w:rFonts w:hint="eastAsia" w:ascii="仿宋" w:hAnsi="仿宋" w:eastAsia="仿宋" w:cs="仿宋"/>
          <w:bCs/>
          <w:snapToGrid w:val="0"/>
          <w:color w:val="auto"/>
          <w:sz w:val="22"/>
          <w:szCs w:val="22"/>
          <w:highlight w:val="none"/>
          <w:u w:val="single"/>
          <w:lang w:val="en-US" w:eastAsia="zh-CN"/>
        </w:rPr>
        <w:t xml:space="preserve">                 </w:t>
      </w:r>
    </w:p>
    <w:p w14:paraId="04E2C85D">
      <w:pPr>
        <w:spacing w:line="360" w:lineRule="auto"/>
        <w:rPr>
          <w:rFonts w:ascii="仿宋" w:hAnsi="仿宋" w:eastAsia="仿宋" w:cs="仿宋"/>
          <w:b/>
          <w:color w:val="auto"/>
          <w:sz w:val="22"/>
          <w:szCs w:val="22"/>
          <w:highlight w:val="none"/>
        </w:rPr>
      </w:pPr>
    </w:p>
    <w:p w14:paraId="0742D4BB">
      <w:pPr>
        <w:spacing w:line="360" w:lineRule="auto"/>
        <w:jc w:val="center"/>
        <w:rPr>
          <w:rFonts w:ascii="仿宋" w:hAnsi="仿宋" w:eastAsia="仿宋" w:cs="仿宋"/>
          <w:b/>
          <w:color w:val="auto"/>
          <w:sz w:val="22"/>
          <w:szCs w:val="22"/>
          <w:highlight w:val="none"/>
        </w:rPr>
      </w:pPr>
    </w:p>
    <w:p w14:paraId="62AA139C">
      <w:pPr>
        <w:ind w:firstLine="190" w:firstLineChars="68"/>
        <w:jc w:val="center"/>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202</w:t>
      </w:r>
      <w:r>
        <w:rPr>
          <w:rFonts w:hint="eastAsia" w:ascii="仿宋" w:hAnsi="仿宋" w:eastAsia="仿宋" w:cs="仿宋"/>
          <w:bCs/>
          <w:snapToGrid w:val="0"/>
          <w:color w:val="auto"/>
          <w:sz w:val="28"/>
          <w:szCs w:val="28"/>
          <w:highlight w:val="none"/>
          <w:lang w:val="en-US" w:eastAsia="zh-CN"/>
        </w:rPr>
        <w:t>4</w:t>
      </w:r>
      <w:r>
        <w:rPr>
          <w:rFonts w:hint="eastAsia" w:ascii="仿宋" w:hAnsi="仿宋" w:eastAsia="仿宋" w:cs="仿宋"/>
          <w:bCs/>
          <w:snapToGrid w:val="0"/>
          <w:color w:val="auto"/>
          <w:sz w:val="28"/>
          <w:szCs w:val="28"/>
          <w:highlight w:val="none"/>
        </w:rPr>
        <w:t>年</w:t>
      </w:r>
      <w:r>
        <w:rPr>
          <w:rFonts w:hint="eastAsia" w:ascii="仿宋" w:hAnsi="仿宋" w:eastAsia="仿宋" w:cs="仿宋"/>
          <w:bCs/>
          <w:snapToGrid w:val="0"/>
          <w:color w:val="auto"/>
          <w:sz w:val="28"/>
          <w:szCs w:val="28"/>
          <w:highlight w:val="none"/>
          <w:lang w:val="en-US" w:eastAsia="zh-CN"/>
        </w:rPr>
        <w:t>12</w:t>
      </w:r>
      <w:r>
        <w:rPr>
          <w:rFonts w:hint="eastAsia" w:ascii="仿宋" w:hAnsi="仿宋" w:eastAsia="仿宋" w:cs="仿宋"/>
          <w:bCs/>
          <w:snapToGrid w:val="0"/>
          <w:color w:val="auto"/>
          <w:sz w:val="28"/>
          <w:szCs w:val="28"/>
          <w:highlight w:val="none"/>
        </w:rPr>
        <w:t>月</w:t>
      </w:r>
    </w:p>
    <w:p w14:paraId="64817BB2">
      <w:pPr>
        <w:spacing w:line="480" w:lineRule="auto"/>
        <w:rPr>
          <w:rFonts w:ascii="仿宋" w:hAnsi="仿宋" w:eastAsia="仿宋" w:cs="仿宋"/>
          <w:b/>
          <w:color w:val="auto"/>
          <w:sz w:val="44"/>
          <w:szCs w:val="44"/>
          <w:highlight w:val="none"/>
        </w:rPr>
      </w:pPr>
    </w:p>
    <w:p w14:paraId="297E8CFC">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5BD3971D">
      <w:pPr>
        <w:spacing w:line="48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第一章  公开招标采购公告</w:t>
      </w:r>
    </w:p>
    <w:p w14:paraId="343D390F">
      <w:pPr>
        <w:pStyle w:val="3"/>
        <w:tabs>
          <w:tab w:val="left" w:pos="0"/>
        </w:tabs>
        <w:autoSpaceDE w:val="0"/>
        <w:autoSpaceDN w:val="0"/>
        <w:adjustRightInd w:val="0"/>
        <w:spacing w:line="360" w:lineRule="auto"/>
        <w:jc w:val="center"/>
        <w:rPr>
          <w:rFonts w:ascii="仿宋" w:hAnsi="仿宋" w:eastAsia="仿宋" w:cs="仿宋"/>
          <w:color w:val="auto"/>
          <w:sz w:val="32"/>
          <w:highlight w:val="none"/>
        </w:rPr>
      </w:pPr>
      <w:bookmarkStart w:id="1" w:name="_Toc35393797"/>
      <w:bookmarkStart w:id="2" w:name="_Toc28359011"/>
      <w:r>
        <w:rPr>
          <w:rFonts w:hint="eastAsia" w:ascii="仿宋" w:hAnsi="仿宋" w:eastAsia="仿宋" w:cs="仿宋"/>
          <w:color w:val="auto"/>
          <w:sz w:val="32"/>
          <w:highlight w:val="none"/>
          <w:lang w:eastAsia="zh-CN"/>
        </w:rPr>
        <w:t>湖东街道“民生服务”协调处理服务采购项目</w:t>
      </w:r>
      <w:r>
        <w:rPr>
          <w:rFonts w:hint="eastAsia" w:ascii="仿宋" w:hAnsi="仿宋" w:eastAsia="仿宋" w:cs="仿宋"/>
          <w:color w:val="auto"/>
          <w:sz w:val="32"/>
          <w:highlight w:val="none"/>
        </w:rPr>
        <w:t>公开招标公告</w:t>
      </w:r>
      <w:bookmarkEnd w:id="1"/>
      <w:bookmarkEnd w:id="2"/>
    </w:p>
    <w:p w14:paraId="72304253">
      <w:pPr>
        <w:pBdr>
          <w:top w:val="single" w:color="auto" w:sz="4" w:space="1"/>
          <w:left w:val="single" w:color="auto" w:sz="4" w:space="4"/>
          <w:bottom w:val="single" w:color="auto" w:sz="4" w:space="1"/>
          <w:right w:val="single" w:color="auto" w:sz="4" w:space="4"/>
        </w:pBdr>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87DB1DF">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湖东街道“民生服务”协调处理服务采购项目</w:t>
      </w:r>
      <w:r>
        <w:rPr>
          <w:rFonts w:hint="eastAsia" w:ascii="仿宋" w:hAnsi="仿宋" w:eastAsia="仿宋" w:cs="仿宋"/>
          <w:color w:val="auto"/>
          <w:sz w:val="24"/>
          <w:highlight w:val="none"/>
        </w:rPr>
        <w:t>公开招标公告采购项目的潜在供应商应在浙江政府采购网：</w:t>
      </w:r>
      <w:r>
        <w:rPr>
          <w:b w:val="0"/>
          <w:bCs w:val="0"/>
          <w:color w:val="auto"/>
          <w:highlight w:val="none"/>
          <w:u w:val="none"/>
        </w:rPr>
        <w:fldChar w:fldCharType="begin"/>
      </w:r>
      <w:r>
        <w:rPr>
          <w:b w:val="0"/>
          <w:bCs w:val="0"/>
          <w:color w:val="auto"/>
          <w:highlight w:val="none"/>
          <w:u w:val="none"/>
        </w:rPr>
        <w:instrText xml:space="preserve"> HYPERLINK "http://zfcg.czt.zj.gov.cn/获取采购文件，并于2020年" </w:instrText>
      </w:r>
      <w:r>
        <w:rPr>
          <w:b w:val="0"/>
          <w:bCs w:val="0"/>
          <w:color w:val="auto"/>
          <w:highlight w:val="none"/>
          <w:u w:val="none"/>
        </w:rPr>
        <w:fldChar w:fldCharType="separate"/>
      </w:r>
      <w:r>
        <w:rPr>
          <w:rStyle w:val="27"/>
          <w:rFonts w:hint="eastAsia" w:ascii="仿宋" w:hAnsi="仿宋" w:eastAsia="仿宋" w:cs="仿宋"/>
          <w:b w:val="0"/>
          <w:bCs w:val="0"/>
          <w:color w:val="auto"/>
          <w:sz w:val="24"/>
          <w:highlight w:val="none"/>
          <w:u w:val="none"/>
        </w:rPr>
        <w:t>http://zfcg.czt.zj.gov.cn/获取采购文件，并于202</w:t>
      </w:r>
      <w:r>
        <w:rPr>
          <w:rStyle w:val="27"/>
          <w:rFonts w:hint="eastAsia" w:ascii="仿宋" w:hAnsi="仿宋" w:eastAsia="仿宋" w:cs="仿宋"/>
          <w:b w:val="0"/>
          <w:bCs w:val="0"/>
          <w:color w:val="auto"/>
          <w:sz w:val="24"/>
          <w:highlight w:val="none"/>
          <w:u w:val="none"/>
          <w:lang w:val="en-US" w:eastAsia="zh-CN"/>
        </w:rPr>
        <w:t>4</w:t>
      </w:r>
      <w:r>
        <w:rPr>
          <w:rStyle w:val="27"/>
          <w:rFonts w:hint="eastAsia" w:ascii="仿宋" w:hAnsi="仿宋" w:eastAsia="仿宋" w:cs="仿宋"/>
          <w:b w:val="0"/>
          <w:bCs w:val="0"/>
          <w:color w:val="auto"/>
          <w:sz w:val="24"/>
          <w:highlight w:val="none"/>
          <w:u w:val="none"/>
        </w:rPr>
        <w:t>年</w:t>
      </w:r>
      <w:r>
        <w:rPr>
          <w:rStyle w:val="27"/>
          <w:rFonts w:hint="eastAsia" w:ascii="仿宋" w:hAnsi="仿宋" w:eastAsia="仿宋" w:cs="仿宋"/>
          <w:b w:val="0"/>
          <w:bCs w:val="0"/>
          <w:color w:val="auto"/>
          <w:sz w:val="24"/>
          <w:highlight w:val="none"/>
          <w:u w:val="none"/>
        </w:rPr>
        <w:fldChar w:fldCharType="end"/>
      </w:r>
      <w:r>
        <w:rPr>
          <w:rStyle w:val="27"/>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rPr>
        <w:t>月日1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0分（北京时间）前提交（上传）响应文件。</w:t>
      </w:r>
    </w:p>
    <w:p w14:paraId="2CFAEC44">
      <w:pPr>
        <w:pStyle w:val="4"/>
        <w:spacing w:line="360" w:lineRule="auto"/>
        <w:rPr>
          <w:rFonts w:ascii="仿宋" w:hAnsi="仿宋" w:eastAsia="仿宋" w:cs="仿宋"/>
          <w:color w:val="auto"/>
          <w:sz w:val="28"/>
          <w:szCs w:val="28"/>
          <w:highlight w:val="none"/>
        </w:rPr>
      </w:pPr>
      <w:bookmarkStart w:id="3" w:name="_Toc35393798"/>
      <w:bookmarkStart w:id="4" w:name="_Toc28359089"/>
      <w:bookmarkStart w:id="5" w:name="_Toc28359012"/>
      <w:bookmarkStart w:id="6" w:name="_Toc35393629"/>
      <w:r>
        <w:rPr>
          <w:rFonts w:hint="eastAsia" w:ascii="仿宋" w:hAnsi="仿宋" w:eastAsia="仿宋" w:cs="仿宋"/>
          <w:color w:val="auto"/>
          <w:sz w:val="28"/>
          <w:szCs w:val="28"/>
          <w:highlight w:val="none"/>
        </w:rPr>
        <w:t>一、项目基本情况</w:t>
      </w:r>
      <w:bookmarkEnd w:id="3"/>
      <w:bookmarkEnd w:id="4"/>
      <w:bookmarkEnd w:id="5"/>
      <w:bookmarkEnd w:id="6"/>
    </w:p>
    <w:p w14:paraId="2D2AEFEB">
      <w:pPr>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泓达采字2024-026</w:t>
      </w:r>
    </w:p>
    <w:p w14:paraId="074DAC95">
      <w:pPr>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湖东街道“民生服务”协调处理服务采购项目</w:t>
      </w:r>
    </w:p>
    <w:tbl>
      <w:tblPr>
        <w:tblStyle w:val="24"/>
        <w:tblW w:w="507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8"/>
        <w:gridCol w:w="5159"/>
        <w:gridCol w:w="965"/>
        <w:gridCol w:w="1522"/>
        <w:gridCol w:w="1023"/>
      </w:tblGrid>
      <w:tr w14:paraId="2A40B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14:paraId="17AB6F87">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699" w:type="pct"/>
            <w:tcBorders>
              <w:top w:val="single" w:color="auto" w:sz="4" w:space="0"/>
              <w:left w:val="single" w:color="auto" w:sz="4" w:space="0"/>
              <w:bottom w:val="single" w:color="auto" w:sz="4" w:space="0"/>
              <w:right w:val="single" w:color="auto" w:sz="4" w:space="0"/>
            </w:tcBorders>
            <w:noWrap/>
            <w:vAlign w:val="center"/>
          </w:tcPr>
          <w:p w14:paraId="236B5BF5">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采购内容</w:t>
            </w:r>
          </w:p>
        </w:tc>
        <w:tc>
          <w:tcPr>
            <w:tcW w:w="504" w:type="pct"/>
            <w:tcBorders>
              <w:top w:val="single" w:color="auto" w:sz="4" w:space="0"/>
              <w:left w:val="single" w:color="auto" w:sz="4" w:space="0"/>
              <w:bottom w:val="single" w:color="auto" w:sz="4" w:space="0"/>
              <w:right w:val="single" w:color="auto" w:sz="4" w:space="0"/>
            </w:tcBorders>
            <w:noWrap/>
            <w:vAlign w:val="center"/>
          </w:tcPr>
          <w:p w14:paraId="6D8BA575">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796" w:type="pct"/>
            <w:tcBorders>
              <w:top w:val="single" w:color="auto" w:sz="4" w:space="0"/>
              <w:left w:val="single" w:color="auto" w:sz="4" w:space="0"/>
              <w:bottom w:val="single" w:color="auto" w:sz="4" w:space="0"/>
              <w:right w:val="single" w:color="auto" w:sz="4" w:space="0"/>
            </w:tcBorders>
            <w:noWrap/>
            <w:vAlign w:val="center"/>
          </w:tcPr>
          <w:p w14:paraId="48818BF2">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预算金额</w:t>
            </w:r>
          </w:p>
          <w:p w14:paraId="3B7F4555">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（人民币）</w:t>
            </w:r>
          </w:p>
        </w:tc>
        <w:tc>
          <w:tcPr>
            <w:tcW w:w="535" w:type="pct"/>
            <w:tcBorders>
              <w:top w:val="single" w:color="auto" w:sz="4" w:space="0"/>
              <w:left w:val="single" w:color="auto" w:sz="4" w:space="0"/>
              <w:bottom w:val="single" w:color="auto" w:sz="4" w:space="0"/>
              <w:right w:val="single" w:color="auto" w:sz="4" w:space="0"/>
            </w:tcBorders>
            <w:noWrap/>
            <w:vAlign w:val="center"/>
          </w:tcPr>
          <w:p w14:paraId="535C3AE2">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068F4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14:paraId="6FA80BFA">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699" w:type="pct"/>
            <w:tcBorders>
              <w:top w:val="single" w:color="auto" w:sz="4" w:space="0"/>
              <w:left w:val="single" w:color="auto" w:sz="4" w:space="0"/>
              <w:bottom w:val="single" w:color="auto" w:sz="4" w:space="0"/>
              <w:right w:val="single" w:color="auto" w:sz="4" w:space="0"/>
            </w:tcBorders>
            <w:noWrap/>
            <w:vAlign w:val="center"/>
          </w:tcPr>
          <w:p w14:paraId="17065222">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color w:val="auto"/>
                <w:sz w:val="24"/>
                <w:highlight w:val="none"/>
              </w:rPr>
              <w:t>组建一支民生服务协调处理专业队伍等服务</w:t>
            </w:r>
          </w:p>
        </w:tc>
        <w:tc>
          <w:tcPr>
            <w:tcW w:w="504" w:type="pct"/>
            <w:tcBorders>
              <w:top w:val="single" w:color="auto" w:sz="4" w:space="0"/>
              <w:left w:val="single" w:color="auto" w:sz="4" w:space="0"/>
              <w:bottom w:val="single" w:color="auto" w:sz="4" w:space="0"/>
              <w:right w:val="single" w:color="auto" w:sz="4" w:space="0"/>
            </w:tcBorders>
            <w:noWrap/>
            <w:vAlign w:val="center"/>
          </w:tcPr>
          <w:p w14:paraId="5D11DB41">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项</w:t>
            </w:r>
          </w:p>
        </w:tc>
        <w:tc>
          <w:tcPr>
            <w:tcW w:w="796" w:type="pct"/>
            <w:tcBorders>
              <w:top w:val="single" w:color="auto" w:sz="4" w:space="0"/>
              <w:left w:val="single" w:color="auto" w:sz="4" w:space="0"/>
              <w:bottom w:val="single" w:color="auto" w:sz="4" w:space="0"/>
              <w:right w:val="single" w:color="auto" w:sz="4" w:space="0"/>
            </w:tcBorders>
            <w:noWrap/>
            <w:vAlign w:val="center"/>
          </w:tcPr>
          <w:p w14:paraId="3B4836C2">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85</w:t>
            </w:r>
            <w:r>
              <w:rPr>
                <w:rFonts w:hint="eastAsia" w:ascii="仿宋" w:hAnsi="仿宋" w:eastAsia="仿宋" w:cs="仿宋"/>
                <w:bCs/>
                <w:color w:val="auto"/>
                <w:sz w:val="24"/>
                <w:highlight w:val="none"/>
              </w:rPr>
              <w:t>万元</w:t>
            </w:r>
          </w:p>
        </w:tc>
        <w:tc>
          <w:tcPr>
            <w:tcW w:w="535" w:type="pct"/>
            <w:tcBorders>
              <w:top w:val="single" w:color="auto" w:sz="4" w:space="0"/>
              <w:left w:val="single" w:color="auto" w:sz="4" w:space="0"/>
              <w:bottom w:val="single" w:color="auto" w:sz="4" w:space="0"/>
              <w:right w:val="single" w:color="auto" w:sz="4" w:space="0"/>
            </w:tcBorders>
            <w:noWrap/>
            <w:vAlign w:val="center"/>
          </w:tcPr>
          <w:p w14:paraId="64B93BC5">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color w:val="auto"/>
                <w:sz w:val="24"/>
                <w:highlight w:val="none"/>
              </w:rPr>
              <w:t>详见采购需求</w:t>
            </w:r>
          </w:p>
        </w:tc>
      </w:tr>
      <w:tr w14:paraId="025F7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14:paraId="4F9DB0AA">
            <w:pPr>
              <w:snapToGrid w:val="0"/>
              <w:spacing w:line="360" w:lineRule="auto"/>
              <w:jc w:val="center"/>
              <w:rPr>
                <w:rFonts w:ascii="仿宋" w:hAnsi="仿宋" w:eastAsia="仿宋" w:cs="仿宋"/>
                <w:bCs/>
                <w:color w:val="auto"/>
                <w:sz w:val="24"/>
                <w:highlight w:val="none"/>
              </w:rPr>
            </w:pPr>
          </w:p>
        </w:tc>
        <w:tc>
          <w:tcPr>
            <w:tcW w:w="4535" w:type="pct"/>
            <w:gridSpan w:val="4"/>
            <w:tcBorders>
              <w:top w:val="single" w:color="auto" w:sz="4" w:space="0"/>
              <w:left w:val="single" w:color="auto" w:sz="4" w:space="0"/>
              <w:bottom w:val="single" w:color="auto" w:sz="4" w:space="0"/>
              <w:right w:val="single" w:color="auto" w:sz="4" w:space="0"/>
            </w:tcBorders>
            <w:noWrap/>
            <w:vAlign w:val="center"/>
          </w:tcPr>
          <w:p w14:paraId="70AF2082">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lang w:eastAsia="zh-CN"/>
              </w:rPr>
              <w:t>注：</w:t>
            </w:r>
            <w:r>
              <w:rPr>
                <w:rFonts w:hint="eastAsia" w:ascii="仿宋" w:hAnsi="仿宋" w:eastAsia="仿宋" w:cs="仿宋"/>
                <w:bCs/>
                <w:color w:val="auto"/>
                <w:sz w:val="24"/>
                <w:highlight w:val="none"/>
              </w:rPr>
              <w:t>投标报价时不得超过预算金额，否则作无效标处理。</w:t>
            </w:r>
          </w:p>
        </w:tc>
      </w:tr>
    </w:tbl>
    <w:p w14:paraId="1E84D408">
      <w:pPr>
        <w:spacing w:before="120" w:beforeLines="50" w:after="120" w:afterLines="5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采购方式：公开招标</w:t>
      </w:r>
    </w:p>
    <w:p w14:paraId="5A281162">
      <w:pPr>
        <w:pStyle w:val="4"/>
        <w:spacing w:line="360" w:lineRule="auto"/>
        <w:rPr>
          <w:rFonts w:ascii="仿宋" w:hAnsi="仿宋" w:eastAsia="仿宋" w:cs="仿宋"/>
          <w:color w:val="auto"/>
          <w:sz w:val="28"/>
          <w:szCs w:val="28"/>
          <w:highlight w:val="none"/>
        </w:rPr>
      </w:pPr>
      <w:bookmarkStart w:id="7" w:name="_Toc35393799"/>
      <w:bookmarkStart w:id="8" w:name="_Toc35393630"/>
      <w:bookmarkStart w:id="9" w:name="_Toc28359090"/>
      <w:bookmarkStart w:id="10" w:name="_Toc28359013"/>
      <w:r>
        <w:rPr>
          <w:rFonts w:hint="eastAsia" w:ascii="仿宋" w:hAnsi="仿宋" w:eastAsia="仿宋" w:cs="仿宋"/>
          <w:color w:val="auto"/>
          <w:sz w:val="28"/>
          <w:szCs w:val="28"/>
          <w:highlight w:val="none"/>
        </w:rPr>
        <w:t>二、申请人的资格要求：</w:t>
      </w:r>
      <w:bookmarkEnd w:id="7"/>
      <w:bookmarkEnd w:id="8"/>
      <w:bookmarkEnd w:id="9"/>
      <w:bookmarkEnd w:id="10"/>
    </w:p>
    <w:p w14:paraId="765B0429">
      <w:pPr>
        <w:ind w:firstLine="360" w:firstLineChars="150"/>
        <w:rPr>
          <w:rFonts w:ascii="仿宋" w:hAnsi="仿宋" w:eastAsia="仿宋" w:cs="仿宋"/>
          <w:color w:val="auto"/>
          <w:sz w:val="24"/>
          <w:highlight w:val="none"/>
        </w:rPr>
      </w:pPr>
      <w:bookmarkStart w:id="11" w:name="_Toc28359014"/>
      <w:bookmarkStart w:id="12" w:name="_Toc28359091"/>
      <w:r>
        <w:rPr>
          <w:rFonts w:hint="eastAsia" w:ascii="仿宋" w:hAnsi="仿宋" w:eastAsia="仿宋" w:cs="仿宋"/>
          <w:color w:val="auto"/>
          <w:sz w:val="24"/>
          <w:highlight w:val="none"/>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 ；</w:t>
      </w:r>
    </w:p>
    <w:p w14:paraId="698ADB17">
      <w:pPr>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2、至本项目投标响应截止时间前，供应商未列入失信被执行人、重大税收违法案件当事人名单、政府采购严重违法失信行为记录名单的（以“信用中国”网站www.creditchina.gov.cn、“中国政府采购网”www.ccgp.gov.cn）查询结果为准）；</w:t>
      </w:r>
    </w:p>
    <w:p w14:paraId="7788B9DA">
      <w:pPr>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3、本项目不接受联合体，拒绝转包和分包。</w:t>
      </w:r>
    </w:p>
    <w:p w14:paraId="7FE1E282">
      <w:pPr>
        <w:pStyle w:val="4"/>
        <w:spacing w:line="360" w:lineRule="auto"/>
        <w:rPr>
          <w:rFonts w:ascii="仿宋" w:hAnsi="仿宋" w:eastAsia="仿宋" w:cs="仿宋"/>
          <w:color w:val="auto"/>
          <w:sz w:val="28"/>
          <w:szCs w:val="28"/>
          <w:highlight w:val="none"/>
        </w:rPr>
      </w:pPr>
      <w:bookmarkStart w:id="13" w:name="_Toc35393800"/>
      <w:bookmarkStart w:id="14" w:name="_Toc35393631"/>
      <w:r>
        <w:rPr>
          <w:rFonts w:hint="eastAsia" w:ascii="仿宋" w:hAnsi="仿宋" w:eastAsia="仿宋" w:cs="仿宋"/>
          <w:color w:val="auto"/>
          <w:sz w:val="28"/>
          <w:szCs w:val="28"/>
          <w:highlight w:val="none"/>
        </w:rPr>
        <w:t>三、获取采购文件</w:t>
      </w:r>
      <w:bookmarkEnd w:id="11"/>
      <w:bookmarkEnd w:id="12"/>
      <w:bookmarkEnd w:id="13"/>
      <w:bookmarkEnd w:id="14"/>
    </w:p>
    <w:p w14:paraId="4C9466B8">
      <w:pPr>
        <w:spacing w:line="360" w:lineRule="auto"/>
        <w:ind w:firstLine="540"/>
        <w:rPr>
          <w:rFonts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公开招标公告发布之日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，线上获取法定节假日均可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潜在供应商获取公开招标文件前应当在电子交易平台上注册账号并登录，截止时间后不再接受潜在供应商获取公开招标文件。</w:t>
      </w:r>
    </w:p>
    <w:p w14:paraId="18F49FF9">
      <w:pPr>
        <w:spacing w:line="360" w:lineRule="auto"/>
        <w:ind w:firstLine="540"/>
        <w:rPr>
          <w:rFonts w:ascii="仿宋" w:hAnsi="仿宋" w:eastAsia="仿宋" w:cs="仿宋"/>
          <w:color w:val="auto"/>
          <w:sz w:val="24"/>
          <w:highlight w:val="none"/>
          <w:u w:val="single"/>
        </w:rPr>
      </w:pPr>
      <w:r>
        <w:rPr>
          <w:rFonts w:hint="eastAsia" w:ascii="仿宋" w:hAnsi="仿宋" w:eastAsia="仿宋" w:cs="仿宋"/>
          <w:color w:val="auto"/>
          <w:sz w:val="24"/>
          <w:highlight w:val="none"/>
        </w:rPr>
        <w:t>地点：本次公开招标文件实行网上免费获取，无需供应商现场报名。</w:t>
      </w:r>
    </w:p>
    <w:p w14:paraId="1B4FBF9D">
      <w:pPr>
        <w:spacing w:line="360" w:lineRule="auto"/>
        <w:ind w:firstLine="540"/>
        <w:rPr>
          <w:rFonts w:ascii="仿宋" w:hAnsi="仿宋" w:eastAsia="仿宋" w:cs="仿宋"/>
          <w:color w:val="auto"/>
          <w:sz w:val="24"/>
          <w:highlight w:val="none"/>
          <w:u w:val="single"/>
        </w:rPr>
      </w:pPr>
      <w:r>
        <w:rPr>
          <w:rFonts w:hint="eastAsia" w:ascii="仿宋" w:hAnsi="仿宋" w:eastAsia="仿宋" w:cs="仿宋"/>
          <w:color w:val="auto"/>
          <w:sz w:val="24"/>
          <w:highlight w:val="none"/>
        </w:rPr>
        <w:t>方式：网上获取</w:t>
      </w:r>
    </w:p>
    <w:p w14:paraId="79691A1E">
      <w:pPr>
        <w:spacing w:line="360" w:lineRule="auto"/>
        <w:ind w:firstLine="540"/>
        <w:rPr>
          <w:rFonts w:ascii="仿宋" w:hAnsi="仿宋" w:eastAsia="仿宋" w:cs="仿宋"/>
          <w:color w:val="auto"/>
          <w:sz w:val="24"/>
          <w:highlight w:val="none"/>
        </w:rPr>
      </w:pPr>
      <w:r>
        <w:rPr>
          <w:rFonts w:hint="eastAsia" w:ascii="仿宋" w:hAnsi="仿宋" w:eastAsia="仿宋" w:cs="仿宋"/>
          <w:color w:val="auto"/>
          <w:sz w:val="24"/>
          <w:highlight w:val="none"/>
        </w:rPr>
        <w:t>售价：网上免费获取</w:t>
      </w:r>
    </w:p>
    <w:p w14:paraId="56FD52C9">
      <w:pPr>
        <w:spacing w:line="360" w:lineRule="auto"/>
        <w:ind w:firstLine="540"/>
        <w:rPr>
          <w:rFonts w:ascii="仿宋" w:hAnsi="仿宋" w:eastAsia="仿宋" w:cs="仿宋"/>
          <w:color w:val="auto"/>
          <w:sz w:val="24"/>
          <w:highlight w:val="none"/>
        </w:rPr>
      </w:pPr>
      <w:r>
        <w:rPr>
          <w:rFonts w:hint="eastAsia" w:ascii="仿宋" w:hAnsi="仿宋" w:eastAsia="仿宋" w:cs="仿宋"/>
          <w:color w:val="auto"/>
          <w:sz w:val="24"/>
          <w:highlight w:val="none"/>
        </w:rPr>
        <w:t>注：公开招标文件同时以本公告附件形式发布，该公开招标文件仅供阅览使用，潜在供应商只有在“政府采购云平台”完成注册并下载了公开招标文件后才视作依法获取公开招标文件，未在政采云平台上获取公开招标文件的潜在供应商均无资格参加本次招标。已依法获取公开招标文件的供应商不代表已通过资格审查，资格审查由采购人代表在开标前根据供应商提交的投标响应文件认定。</w:t>
      </w:r>
    </w:p>
    <w:p w14:paraId="735D80C9">
      <w:pPr>
        <w:pStyle w:val="4"/>
        <w:spacing w:line="360" w:lineRule="auto"/>
        <w:rPr>
          <w:rFonts w:ascii="仿宋" w:hAnsi="仿宋" w:eastAsia="仿宋" w:cs="仿宋"/>
          <w:color w:val="auto"/>
          <w:sz w:val="28"/>
          <w:szCs w:val="28"/>
          <w:highlight w:val="none"/>
        </w:rPr>
      </w:pPr>
      <w:bookmarkStart w:id="15" w:name="_Toc28359015"/>
      <w:bookmarkStart w:id="16" w:name="_Toc35393632"/>
      <w:bookmarkStart w:id="17" w:name="_Toc28359092"/>
      <w:bookmarkStart w:id="18" w:name="_Toc35393801"/>
      <w:r>
        <w:rPr>
          <w:rFonts w:hint="eastAsia" w:ascii="仿宋" w:hAnsi="仿宋" w:eastAsia="仿宋" w:cs="仿宋"/>
          <w:color w:val="auto"/>
          <w:sz w:val="28"/>
          <w:szCs w:val="28"/>
          <w:highlight w:val="none"/>
        </w:rPr>
        <w:t>四、响应文件提交</w:t>
      </w:r>
      <w:bookmarkEnd w:id="15"/>
      <w:bookmarkEnd w:id="16"/>
      <w:bookmarkEnd w:id="17"/>
      <w:bookmarkEnd w:id="18"/>
    </w:p>
    <w:p w14:paraId="4515B6DC">
      <w:pPr>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日</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0分（北京时间）</w:t>
      </w:r>
    </w:p>
    <w:p w14:paraId="7F1CEA59">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地点：湖州市吴兴区公共资源交易中心开标室（湖州市吴兴区区府路1188号总部自由港E幢4楼，届时详见二楼休息区电子显示屏）</w:t>
      </w:r>
    </w:p>
    <w:p w14:paraId="275A8193">
      <w:pPr>
        <w:pStyle w:val="4"/>
        <w:spacing w:line="360" w:lineRule="auto"/>
        <w:rPr>
          <w:rFonts w:ascii="仿宋" w:hAnsi="仿宋" w:eastAsia="仿宋" w:cs="仿宋"/>
          <w:color w:val="auto"/>
          <w:sz w:val="28"/>
          <w:szCs w:val="28"/>
          <w:highlight w:val="none"/>
        </w:rPr>
      </w:pPr>
      <w:bookmarkStart w:id="19" w:name="_Toc28359093"/>
      <w:bookmarkStart w:id="20" w:name="_Toc35393633"/>
      <w:bookmarkStart w:id="21" w:name="_Toc35393802"/>
      <w:bookmarkStart w:id="22" w:name="_Toc28359016"/>
      <w:r>
        <w:rPr>
          <w:rFonts w:hint="eastAsia" w:ascii="仿宋" w:hAnsi="仿宋" w:eastAsia="仿宋" w:cs="仿宋"/>
          <w:color w:val="auto"/>
          <w:sz w:val="28"/>
          <w:szCs w:val="28"/>
          <w:highlight w:val="none"/>
        </w:rPr>
        <w:t>五、开启</w:t>
      </w:r>
      <w:bookmarkEnd w:id="19"/>
      <w:bookmarkEnd w:id="20"/>
      <w:bookmarkEnd w:id="21"/>
      <w:bookmarkEnd w:id="22"/>
    </w:p>
    <w:p w14:paraId="02089151">
      <w:pPr>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 月 日1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0分（北京时间）</w:t>
      </w:r>
    </w:p>
    <w:p w14:paraId="4789AD9C">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地点：</w:t>
      </w:r>
      <w:r>
        <w:rPr>
          <w:rFonts w:hint="eastAsia" w:ascii="仿宋" w:hAnsi="仿宋" w:eastAsia="仿宋" w:cs="仿宋"/>
          <w:color w:val="auto"/>
          <w:kern w:val="0"/>
          <w:sz w:val="24"/>
          <w:highlight w:val="none"/>
        </w:rPr>
        <w:t>湖州市吴兴区公共资源交易中心开标室（湖州市吴兴区区府路1188号总部自由港E幢4楼，届时详见二楼休息区电子显示屏）</w:t>
      </w:r>
    </w:p>
    <w:p w14:paraId="20292793">
      <w:pPr>
        <w:pStyle w:val="4"/>
        <w:spacing w:line="360" w:lineRule="auto"/>
        <w:rPr>
          <w:rFonts w:ascii="仿宋" w:hAnsi="仿宋" w:eastAsia="仿宋" w:cs="仿宋"/>
          <w:color w:val="auto"/>
          <w:kern w:val="0"/>
          <w:sz w:val="24"/>
          <w:szCs w:val="24"/>
          <w:highlight w:val="none"/>
        </w:rPr>
      </w:pPr>
      <w:bookmarkStart w:id="23" w:name="_Toc35393634"/>
      <w:bookmarkStart w:id="24" w:name="_Toc28359017"/>
      <w:bookmarkStart w:id="25" w:name="_Toc35393803"/>
      <w:bookmarkStart w:id="26" w:name="_Toc28359094"/>
      <w:r>
        <w:rPr>
          <w:rFonts w:hint="eastAsia" w:ascii="仿宋" w:hAnsi="仿宋" w:eastAsia="仿宋" w:cs="仿宋"/>
          <w:color w:val="auto"/>
          <w:sz w:val="28"/>
          <w:szCs w:val="28"/>
          <w:highlight w:val="none"/>
        </w:rPr>
        <w:t>六、公告期限</w:t>
      </w:r>
      <w:bookmarkEnd w:id="23"/>
      <w:bookmarkEnd w:id="24"/>
      <w:bookmarkEnd w:id="25"/>
      <w:bookmarkEnd w:id="26"/>
      <w:r>
        <w:rPr>
          <w:rFonts w:hint="eastAsia" w:ascii="仿宋" w:hAnsi="仿宋" w:eastAsia="仿宋" w:cs="仿宋"/>
          <w:color w:val="auto"/>
          <w:sz w:val="28"/>
          <w:szCs w:val="28"/>
          <w:highlight w:val="none"/>
        </w:rPr>
        <w:t>：</w:t>
      </w:r>
      <w:r>
        <w:rPr>
          <w:rFonts w:hint="eastAsia" w:ascii="仿宋" w:hAnsi="仿宋" w:eastAsia="仿宋" w:cs="仿宋"/>
          <w:b w:val="0"/>
          <w:color w:val="auto"/>
          <w:sz w:val="24"/>
          <w:szCs w:val="24"/>
          <w:highlight w:val="none"/>
        </w:rPr>
        <w:t>至投标截止时间。</w:t>
      </w:r>
    </w:p>
    <w:p w14:paraId="3454FADF">
      <w:pPr>
        <w:pStyle w:val="4"/>
        <w:spacing w:line="360" w:lineRule="auto"/>
        <w:rPr>
          <w:rFonts w:ascii="仿宋" w:hAnsi="仿宋" w:eastAsia="仿宋" w:cs="仿宋"/>
          <w:color w:val="auto"/>
          <w:sz w:val="28"/>
          <w:szCs w:val="28"/>
          <w:highlight w:val="none"/>
        </w:rPr>
      </w:pPr>
      <w:bookmarkStart w:id="27" w:name="_Toc35393635"/>
      <w:bookmarkStart w:id="28" w:name="_Toc35393804"/>
      <w:r>
        <w:rPr>
          <w:rFonts w:hint="eastAsia" w:ascii="仿宋" w:hAnsi="仿宋" w:eastAsia="仿宋" w:cs="仿宋"/>
          <w:color w:val="auto"/>
          <w:sz w:val="28"/>
          <w:szCs w:val="28"/>
          <w:highlight w:val="none"/>
        </w:rPr>
        <w:t>七、其他补充事宜</w:t>
      </w:r>
      <w:bookmarkEnd w:id="27"/>
      <w:bookmarkEnd w:id="28"/>
    </w:p>
    <w:p w14:paraId="71669CE9">
      <w:pPr>
        <w:pStyle w:val="10"/>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一）、潜在供应商已依法获取（依法获取指：供应商按本项目招标公告要求在政采云系统上获取并报名成功）其可质疑的公开招标文件，可以对该文件提出质疑。未按照规定方式依法获取公开招标文件的，不得对公开招标文件提起质疑投诉。</w:t>
      </w:r>
    </w:p>
    <w:p w14:paraId="6CC97243">
      <w:pPr>
        <w:pStyle w:val="10"/>
        <w:ind w:firstLine="600" w:firstLineChars="250"/>
        <w:rPr>
          <w:rFonts w:ascii="仿宋" w:hAnsi="仿宋" w:eastAsia="仿宋" w:cs="仿宋"/>
          <w:b w:val="0"/>
          <w:color w:val="auto"/>
          <w:sz w:val="24"/>
          <w:highlight w:val="none"/>
        </w:rPr>
      </w:pPr>
      <w:r>
        <w:rPr>
          <w:rFonts w:hint="eastAsia" w:ascii="仿宋" w:hAnsi="仿宋" w:eastAsia="仿宋" w:cs="仿宋"/>
          <w:b w:val="0"/>
          <w:color w:val="auto"/>
          <w:sz w:val="24"/>
          <w:highlight w:val="none"/>
        </w:rPr>
        <w:t>二）、质疑投诉根据《中华人民共和国财政部令第 94 号-政府采购质疑和投诉办法》规定,供应商须在法定质疑期内一次性提出针对同一采购程序环节的质疑。质疑函范本、投诉书范本请到浙江政府采购网下载专区下载。</w:t>
      </w:r>
    </w:p>
    <w:p w14:paraId="2F436ADC">
      <w:pPr>
        <w:ind w:firstLine="600" w:firstLineChars="250"/>
        <w:rPr>
          <w:rFonts w:ascii="仿宋" w:hAnsi="仿宋" w:eastAsia="仿宋" w:cs="仿宋"/>
          <w:color w:val="auto"/>
          <w:highlight w:val="none"/>
        </w:rPr>
      </w:pPr>
      <w:r>
        <w:rPr>
          <w:rFonts w:hint="eastAsia" w:ascii="仿宋" w:hAnsi="仿宋" w:eastAsia="仿宋" w:cs="仿宋"/>
          <w:color w:val="auto"/>
          <w:sz w:val="24"/>
          <w:highlight w:val="none"/>
        </w:rPr>
        <w:t>三）、答疑内容是公开招标文件的组成部分，并将在网上发布补充（答疑、澄清）文件， 潜在供应商应自行关注网站公告，采购人不再一一通知，供应商因自身贻误行为导致投标响应失效的，责任自负。</w:t>
      </w:r>
    </w:p>
    <w:p w14:paraId="16C92C6D">
      <w:pPr>
        <w:pStyle w:val="10"/>
        <w:ind w:left="420" w:leftChars="200" w:firstLine="240"/>
        <w:rPr>
          <w:rFonts w:ascii="仿宋" w:hAnsi="仿宋" w:eastAsia="仿宋" w:cs="仿宋"/>
          <w:b w:val="0"/>
          <w:color w:val="auto"/>
          <w:sz w:val="24"/>
          <w:highlight w:val="none"/>
        </w:rPr>
      </w:pPr>
      <w:r>
        <w:rPr>
          <w:rFonts w:hint="eastAsia" w:ascii="仿宋" w:hAnsi="仿宋" w:eastAsia="仿宋" w:cs="仿宋"/>
          <w:b w:val="0"/>
          <w:color w:val="auto"/>
          <w:sz w:val="24"/>
          <w:highlight w:val="none"/>
        </w:rPr>
        <w:t>四）、各供应商不需要到现场参加开标。（备份发文件由供应商自愿决定是否邮寄）</w:t>
      </w:r>
    </w:p>
    <w:p w14:paraId="7546CB17">
      <w:pPr>
        <w:pStyle w:val="15"/>
        <w:ind w:firstLine="720" w:firstLineChars="300"/>
        <w:rPr>
          <w:rFonts w:ascii="仿宋" w:hAnsi="仿宋" w:eastAsia="仿宋" w:cs="仿宋"/>
          <w:b w:val="0"/>
          <w:color w:val="auto"/>
          <w:sz w:val="24"/>
          <w:highlight w:val="none"/>
        </w:rPr>
      </w:pPr>
      <w:r>
        <w:rPr>
          <w:rFonts w:hint="eastAsia" w:ascii="仿宋" w:hAnsi="仿宋" w:eastAsia="仿宋" w:cs="仿宋"/>
          <w:b w:val="0"/>
          <w:color w:val="auto"/>
          <w:sz w:val="24"/>
          <w:highlight w:val="none"/>
        </w:rPr>
        <w:t>供应商不参加现场开标的，采用邮寄方式递交备份投标文件（以介质存储的数据电文形式的备份投标文件，按政采云平台项目采购-电子交易操作指南中上传的电子投标文件格式，以U盘形式存储提供）。邮寄地址：</w:t>
      </w:r>
      <w:r>
        <w:rPr>
          <w:rFonts w:hint="eastAsia" w:ascii="仿宋" w:hAnsi="仿宋" w:eastAsia="仿宋" w:cs="仿宋"/>
          <w:b w:val="0"/>
          <w:color w:val="auto"/>
          <w:sz w:val="24"/>
          <w:highlight w:val="none"/>
          <w:lang w:val="zh-CN"/>
        </w:rPr>
        <w:t>湖州泓达工程管理咨询有限公司（</w:t>
      </w:r>
      <w:r>
        <w:rPr>
          <w:rFonts w:hint="eastAsia" w:ascii="仿宋" w:hAnsi="仿宋" w:eastAsia="仿宋" w:cs="仿宋"/>
          <w:color w:val="000000"/>
          <w:kern w:val="0"/>
          <w:sz w:val="24"/>
          <w:lang w:eastAsia="zh-CN"/>
        </w:rPr>
        <w:t>湖州市吴兴区八里店镇戴山路1888号吴兴科技创业园B幢5楼（八里店镇政府内）</w:t>
      </w:r>
      <w:r>
        <w:rPr>
          <w:rFonts w:hint="eastAsia" w:ascii="仿宋" w:hAnsi="仿宋" w:eastAsia="仿宋" w:cs="仿宋"/>
          <w:b w:val="0"/>
          <w:color w:val="auto"/>
          <w:sz w:val="24"/>
          <w:highlight w:val="none"/>
          <w:lang w:val="zh-CN"/>
        </w:rPr>
        <w:t>）</w:t>
      </w:r>
      <w:r>
        <w:rPr>
          <w:rFonts w:hint="eastAsia" w:ascii="仿宋" w:hAnsi="仿宋" w:eastAsia="仿宋" w:cs="仿宋"/>
          <w:b w:val="0"/>
          <w:color w:val="auto"/>
          <w:sz w:val="24"/>
          <w:highlight w:val="none"/>
        </w:rPr>
        <w:t>；联系人：</w:t>
      </w:r>
      <w:r>
        <w:rPr>
          <w:rFonts w:hint="eastAsia" w:ascii="仿宋" w:hAnsi="仿宋" w:eastAsia="仿宋" w:cs="仿宋"/>
          <w:b w:val="0"/>
          <w:color w:val="auto"/>
          <w:sz w:val="24"/>
          <w:highlight w:val="none"/>
          <w:lang w:eastAsia="zh-CN"/>
        </w:rPr>
        <w:t>高婧靓</w:t>
      </w:r>
      <w:r>
        <w:rPr>
          <w:rFonts w:hint="eastAsia" w:ascii="仿宋" w:hAnsi="仿宋" w:eastAsia="仿宋" w:cs="仿宋"/>
          <w:b w:val="0"/>
          <w:color w:val="auto"/>
          <w:sz w:val="24"/>
          <w:highlight w:val="none"/>
        </w:rPr>
        <w:t>，联系电话：0572-20</w:t>
      </w:r>
      <w:r>
        <w:rPr>
          <w:rFonts w:hint="eastAsia" w:ascii="仿宋" w:hAnsi="仿宋" w:eastAsia="仿宋" w:cs="仿宋"/>
          <w:b w:val="0"/>
          <w:color w:val="auto"/>
          <w:sz w:val="24"/>
          <w:highlight w:val="none"/>
          <w:lang w:val="en-US" w:eastAsia="zh-CN"/>
        </w:rPr>
        <w:t>68728</w:t>
      </w:r>
      <w:r>
        <w:rPr>
          <w:rFonts w:hint="eastAsia" w:ascii="仿宋" w:hAnsi="仿宋" w:eastAsia="仿宋" w:cs="仿宋"/>
          <w:b w:val="0"/>
          <w:color w:val="auto"/>
          <w:sz w:val="24"/>
          <w:highlight w:val="none"/>
        </w:rPr>
        <w:t>。</w:t>
      </w:r>
    </w:p>
    <w:p w14:paraId="5E7FE40F">
      <w:pPr>
        <w:pStyle w:val="10"/>
        <w:ind w:left="420" w:leftChars="200" w:firstLine="240"/>
        <w:rPr>
          <w:rFonts w:ascii="仿宋" w:hAnsi="仿宋" w:eastAsia="仿宋" w:cs="仿宋"/>
          <w:b w:val="0"/>
          <w:color w:val="auto"/>
          <w:sz w:val="24"/>
          <w:highlight w:val="none"/>
        </w:rPr>
      </w:pPr>
      <w:r>
        <w:rPr>
          <w:rFonts w:hint="eastAsia" w:ascii="仿宋" w:hAnsi="仿宋" w:eastAsia="仿宋" w:cs="仿宋"/>
          <w:b w:val="0"/>
          <w:color w:val="auto"/>
          <w:sz w:val="24"/>
          <w:highlight w:val="none"/>
        </w:rPr>
        <w:t>（1）公告之日起至投标截止时间，供应商需留足投标响应备份文件邮寄时间,确保投标响应备份文件于投标截止时间前送达，因自身贻误行为导致投标失败的，责任自负。</w:t>
      </w:r>
    </w:p>
    <w:p w14:paraId="0C129D0B">
      <w:pPr>
        <w:pStyle w:val="10"/>
        <w:ind w:left="420" w:leftChars="200" w:firstLine="240"/>
        <w:rPr>
          <w:rFonts w:ascii="仿宋" w:hAnsi="仿宋" w:eastAsia="仿宋" w:cs="仿宋"/>
          <w:b w:val="0"/>
          <w:color w:val="auto"/>
          <w:sz w:val="24"/>
          <w:highlight w:val="none"/>
        </w:rPr>
      </w:pPr>
      <w:r>
        <w:rPr>
          <w:rFonts w:hint="eastAsia" w:ascii="仿宋" w:hAnsi="仿宋" w:eastAsia="仿宋" w:cs="仿宋"/>
          <w:b w:val="0"/>
          <w:color w:val="auto"/>
          <w:sz w:val="24"/>
          <w:highlight w:val="none"/>
        </w:rPr>
        <w:t>（2）邮寄时，外包封袋上可不注明投标单位名称，但应注明投标单位的联系人、联系电话及投标项目名称。</w:t>
      </w:r>
    </w:p>
    <w:p w14:paraId="354345D5">
      <w:pPr>
        <w:pStyle w:val="10"/>
        <w:ind w:firstLine="720" w:firstLineChars="300"/>
        <w:rPr>
          <w:rFonts w:ascii="仿宋" w:hAnsi="仿宋" w:eastAsia="仿宋" w:cs="仿宋"/>
          <w:b w:val="0"/>
          <w:color w:val="auto"/>
          <w:sz w:val="24"/>
          <w:highlight w:val="none"/>
        </w:rPr>
      </w:pPr>
      <w:r>
        <w:rPr>
          <w:rFonts w:hint="eastAsia" w:ascii="仿宋" w:hAnsi="仿宋" w:eastAsia="仿宋" w:cs="仿宋"/>
          <w:b w:val="0"/>
          <w:color w:val="auto"/>
          <w:sz w:val="24"/>
          <w:highlight w:val="none"/>
        </w:rPr>
        <w:t>五）、CA 锁解密时间为开标当日投标截止时间后，各供应商须提供符合要求的 CA 加密后的电子响应文件、有效的 CA 锁供开标解密。投标截止时间止未完成上传的电子响应文件或未按公开招标文件要求密封、包装的数据电子备份响应文件（U 盘）将拒绝接收，作无效标处理。整个开标过程中若因投标供应商问题造成电子响应文件无法正常解密的，均认定为未提交电子响应文件，作无效标处理。若因网络或者其他非供应商问题造成电子响应文件无法正常解密的，启用数据电子备份响应文件。若正常解密成功，则数据电子备份响应文件（U 盘）不予开启。在下一顺位的响应文件启用时，前一顺位的响应文件自动失效。</w:t>
      </w:r>
    </w:p>
    <w:p w14:paraId="32FF1C97">
      <w:pPr>
        <w:pStyle w:val="10"/>
        <w:ind w:firstLine="240"/>
        <w:rPr>
          <w:rFonts w:ascii="仿宋" w:hAnsi="仿宋" w:eastAsia="仿宋" w:cs="仿宋"/>
          <w:color w:val="auto"/>
          <w:highlight w:val="none"/>
        </w:rPr>
      </w:pPr>
      <w:r>
        <w:rPr>
          <w:rFonts w:hint="eastAsia" w:ascii="仿宋" w:hAnsi="仿宋" w:eastAsia="仿宋" w:cs="仿宋"/>
          <w:b w:val="0"/>
          <w:color w:val="auto"/>
          <w:sz w:val="24"/>
          <w:highlight w:val="none"/>
        </w:rPr>
        <w:t>六）</w:t>
      </w:r>
      <w:r>
        <w:rPr>
          <w:rFonts w:hint="eastAsia" w:ascii="仿宋" w:hAnsi="仿宋" w:eastAsia="仿宋" w:cs="仿宋"/>
          <w:color w:val="auto"/>
          <w:sz w:val="24"/>
          <w:highlight w:val="none"/>
        </w:rPr>
        <w:t>、根据《政府采购促进中小企业发展管理办法》（财库（2020）46号），本项目是否专门面向中小企业采购：是</w:t>
      </w:r>
    </w:p>
    <w:p w14:paraId="0EE82B0F">
      <w:pPr>
        <w:pStyle w:val="4"/>
        <w:spacing w:line="360" w:lineRule="auto"/>
        <w:rPr>
          <w:rFonts w:ascii="仿宋" w:hAnsi="仿宋" w:eastAsia="仿宋" w:cs="仿宋"/>
          <w:color w:val="auto"/>
          <w:kern w:val="0"/>
          <w:sz w:val="24"/>
          <w:highlight w:val="none"/>
        </w:rPr>
      </w:pPr>
      <w:r>
        <w:rPr>
          <w:rFonts w:hint="eastAsia" w:ascii="仿宋" w:hAnsi="仿宋" w:eastAsia="仿宋" w:cs="仿宋"/>
          <w:color w:val="auto"/>
          <w:sz w:val="28"/>
          <w:szCs w:val="28"/>
          <w:highlight w:val="none"/>
        </w:rPr>
        <w:t>八、</w:t>
      </w:r>
      <w:r>
        <w:rPr>
          <w:rFonts w:hint="eastAsia" w:ascii="仿宋" w:hAnsi="仿宋" w:eastAsia="仿宋" w:cs="仿宋"/>
          <w:color w:val="auto"/>
          <w:kern w:val="0"/>
          <w:sz w:val="28"/>
          <w:szCs w:val="28"/>
          <w:highlight w:val="none"/>
        </w:rPr>
        <w:t>中标（成交）供应商融资途径信息</w:t>
      </w:r>
    </w:p>
    <w:p w14:paraId="689DA547">
      <w:pPr>
        <w:pStyle w:val="4"/>
        <w:spacing w:line="360" w:lineRule="auto"/>
        <w:ind w:firstLine="480" w:firstLineChars="200"/>
        <w:rPr>
          <w:rFonts w:ascii="仿宋" w:hAnsi="仿宋" w:eastAsia="仿宋" w:cs="仿宋"/>
          <w:b w:val="0"/>
          <w:bCs w:val="0"/>
          <w:color w:val="auto"/>
          <w:kern w:val="0"/>
          <w:sz w:val="24"/>
          <w:highlight w:val="none"/>
        </w:rPr>
      </w:pPr>
      <w:bookmarkStart w:id="29" w:name="_Toc28359095"/>
      <w:bookmarkStart w:id="30" w:name="_Toc35393636"/>
      <w:bookmarkStart w:id="31" w:name="_Toc35393805"/>
      <w:bookmarkStart w:id="32" w:name="_Toc28359018"/>
      <w:r>
        <w:rPr>
          <w:rFonts w:hint="eastAsia" w:ascii="仿宋" w:hAnsi="仿宋" w:eastAsia="仿宋" w:cs="仿宋"/>
          <w:b w:val="0"/>
          <w:bCs w:val="0"/>
          <w:color w:val="auto"/>
          <w:kern w:val="0"/>
          <w:sz w:val="24"/>
          <w:highlight w:val="none"/>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158D5B2">
      <w:pPr>
        <w:pStyle w:val="4"/>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九、凡对本次采购提出询问，请按以下方式联系。</w:t>
      </w:r>
      <w:bookmarkEnd w:id="29"/>
      <w:bookmarkEnd w:id="30"/>
      <w:bookmarkEnd w:id="31"/>
      <w:bookmarkEnd w:id="32"/>
    </w:p>
    <w:p w14:paraId="77A109B8">
      <w:pPr>
        <w:pStyle w:val="4"/>
        <w:spacing w:line="240" w:lineRule="auto"/>
        <w:ind w:firstLine="720" w:firstLineChars="300"/>
        <w:rPr>
          <w:rFonts w:ascii="仿宋" w:hAnsi="仿宋" w:eastAsia="仿宋" w:cs="仿宋"/>
          <w:b w:val="0"/>
          <w:color w:val="auto"/>
          <w:sz w:val="24"/>
          <w:szCs w:val="24"/>
          <w:highlight w:val="none"/>
        </w:rPr>
      </w:pPr>
      <w:bookmarkStart w:id="33" w:name="_Toc28359019"/>
      <w:bookmarkStart w:id="34" w:name="_Toc28359096"/>
      <w:bookmarkStart w:id="35" w:name="_Toc35393637"/>
      <w:bookmarkStart w:id="36" w:name="_Toc35393806"/>
      <w:r>
        <w:rPr>
          <w:rFonts w:hint="eastAsia" w:ascii="仿宋" w:hAnsi="仿宋" w:eastAsia="仿宋" w:cs="仿宋"/>
          <w:b w:val="0"/>
          <w:color w:val="auto"/>
          <w:sz w:val="24"/>
          <w:szCs w:val="24"/>
          <w:highlight w:val="none"/>
        </w:rPr>
        <w:t>1.采购人信息</w:t>
      </w:r>
      <w:bookmarkEnd w:id="33"/>
      <w:bookmarkEnd w:id="34"/>
      <w:bookmarkEnd w:id="35"/>
      <w:bookmarkEnd w:id="36"/>
    </w:p>
    <w:p w14:paraId="338F1EEA">
      <w:pPr>
        <w:ind w:left="1079" w:leftChars="371" w:hanging="300" w:hangingChars="125"/>
        <w:jc w:val="left"/>
        <w:rPr>
          <w:rFonts w:hint="eastAsia" w:ascii="仿宋" w:hAnsi="仿宋" w:eastAsia="仿宋" w:cs="仿宋"/>
          <w:color w:val="auto"/>
          <w:sz w:val="24"/>
          <w:highlight w:val="none"/>
          <w:lang w:eastAsia="zh-CN"/>
        </w:rPr>
      </w:pPr>
      <w:bookmarkStart w:id="37" w:name="_Toc28359020"/>
      <w:bookmarkStart w:id="38" w:name="_Toc35393638"/>
      <w:bookmarkStart w:id="39" w:name="_Toc28359097"/>
      <w:bookmarkStart w:id="40" w:name="_Toc35393807"/>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湖州市吴兴区人民政府湖东街道办事处</w:t>
      </w:r>
    </w:p>
    <w:p w14:paraId="6609112A">
      <w:pPr>
        <w:ind w:left="1079" w:leftChars="371" w:hanging="300" w:hangingChars="125"/>
        <w:jc w:val="left"/>
        <w:rPr>
          <w:rFonts w:ascii="仿宋" w:hAnsi="仿宋" w:eastAsia="仿宋" w:cs="仿宋"/>
          <w:color w:val="auto"/>
          <w:sz w:val="24"/>
          <w:highlight w:val="none"/>
        </w:rPr>
      </w:pPr>
      <w:r>
        <w:rPr>
          <w:rFonts w:hint="eastAsia" w:ascii="仿宋" w:hAnsi="仿宋" w:eastAsia="仿宋" w:cs="仿宋"/>
          <w:color w:val="auto"/>
          <w:sz w:val="24"/>
          <w:highlight w:val="none"/>
        </w:rPr>
        <w:t>地    址：湖州市吴兴区湖东街道蜀山路199号</w:t>
      </w:r>
    </w:p>
    <w:p w14:paraId="682AE980">
      <w:pPr>
        <w:ind w:left="1079" w:leftChars="371" w:hanging="300" w:hangingChars="125"/>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莫先生</w:t>
      </w:r>
    </w:p>
    <w:p w14:paraId="09BE3B8E">
      <w:pPr>
        <w:ind w:left="1079" w:leftChars="371" w:hanging="300" w:hangingChars="125"/>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zh-CN"/>
        </w:rPr>
        <w:t>0572-2926539</w:t>
      </w:r>
    </w:p>
    <w:p w14:paraId="098E00BE">
      <w:pPr>
        <w:pStyle w:val="15"/>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质疑联系人：陈女士</w:t>
      </w:r>
    </w:p>
    <w:p w14:paraId="10B66945">
      <w:pPr>
        <w:pStyle w:val="15"/>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联系电话：0572-2052970</w:t>
      </w:r>
    </w:p>
    <w:p w14:paraId="7B46DF31">
      <w:pPr>
        <w:pStyle w:val="4"/>
        <w:spacing w:line="240" w:lineRule="auto"/>
        <w:ind w:firstLine="720" w:firstLineChars="300"/>
        <w:rPr>
          <w:rFonts w:ascii="仿宋" w:hAnsi="仿宋" w:eastAsia="仿宋" w:cs="仿宋"/>
          <w:b w:val="0"/>
          <w:color w:val="auto"/>
          <w:sz w:val="24"/>
          <w:szCs w:val="24"/>
          <w:highlight w:val="none"/>
        </w:rPr>
      </w:pPr>
    </w:p>
    <w:p w14:paraId="6C84AFE3">
      <w:pPr>
        <w:pStyle w:val="4"/>
        <w:spacing w:line="240" w:lineRule="auto"/>
        <w:ind w:firstLine="720" w:firstLineChars="300"/>
        <w:rPr>
          <w:rFonts w:hint="eastAsia" w:ascii="仿宋" w:hAnsi="仿宋" w:eastAsia="仿宋" w:cs="仿宋"/>
          <w:b w:val="0"/>
          <w:color w:val="auto"/>
          <w:sz w:val="24"/>
          <w:szCs w:val="24"/>
          <w:highlight w:val="none"/>
        </w:rPr>
      </w:pPr>
    </w:p>
    <w:p w14:paraId="58829D24">
      <w:pPr>
        <w:pStyle w:val="4"/>
        <w:spacing w:line="240" w:lineRule="auto"/>
        <w:ind w:firstLine="720" w:firstLineChars="30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2.采购代理机构信息</w:t>
      </w:r>
      <w:bookmarkEnd w:id="37"/>
      <w:bookmarkEnd w:id="38"/>
      <w:bookmarkEnd w:id="39"/>
      <w:bookmarkEnd w:id="40"/>
    </w:p>
    <w:p w14:paraId="5438624C">
      <w:pPr>
        <w:pStyle w:val="15"/>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湖州泓达工程管理咨询有限公司</w:t>
      </w:r>
    </w:p>
    <w:p w14:paraId="5472E378">
      <w:pPr>
        <w:pStyle w:val="15"/>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000000"/>
          <w:kern w:val="0"/>
          <w:sz w:val="24"/>
          <w:lang w:eastAsia="zh-CN"/>
        </w:rPr>
        <w:t xml:space="preserve">湖州市吴兴区八里店镇戴山路1888号吴兴科技创业园B幢5楼（八里店镇政府内）   </w:t>
      </w:r>
    </w:p>
    <w:p w14:paraId="3F0DDD36">
      <w:pPr>
        <w:pStyle w:val="15"/>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高婧靓</w:t>
      </w:r>
    </w:p>
    <w:p w14:paraId="0D81A70A">
      <w:pPr>
        <w:pStyle w:val="15"/>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联系电话：0572-20</w:t>
      </w:r>
      <w:r>
        <w:rPr>
          <w:rFonts w:hint="eastAsia" w:ascii="仿宋" w:hAnsi="仿宋" w:eastAsia="仿宋" w:cs="仿宋"/>
          <w:color w:val="auto"/>
          <w:sz w:val="24"/>
          <w:szCs w:val="24"/>
          <w:highlight w:val="none"/>
          <w:lang w:val="en-US" w:eastAsia="zh-CN"/>
        </w:rPr>
        <w:t>68728</w:t>
      </w:r>
    </w:p>
    <w:p w14:paraId="3A532B3F">
      <w:pPr>
        <w:pStyle w:val="15"/>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bookmarkStart w:id="49" w:name="_GoBack"/>
      <w:bookmarkEnd w:id="49"/>
      <w:r>
        <w:rPr>
          <w:rFonts w:hint="eastAsia" w:ascii="仿宋" w:hAnsi="仿宋" w:eastAsia="仿宋" w:cs="仿宋"/>
          <w:color w:val="auto"/>
          <w:sz w:val="24"/>
          <w:szCs w:val="24"/>
          <w:highlight w:val="none"/>
          <w:lang w:eastAsia="zh-CN"/>
        </w:rPr>
        <w:t>沈萍萍</w:t>
      </w:r>
    </w:p>
    <w:p w14:paraId="465BA5D7">
      <w:pPr>
        <w:pStyle w:val="15"/>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联系电话：0572-20</w:t>
      </w:r>
      <w:r>
        <w:rPr>
          <w:rFonts w:hint="eastAsia" w:ascii="仿宋" w:hAnsi="仿宋" w:eastAsia="仿宋" w:cs="仿宋"/>
          <w:color w:val="auto"/>
          <w:sz w:val="24"/>
          <w:szCs w:val="24"/>
          <w:highlight w:val="none"/>
          <w:lang w:val="en-US" w:eastAsia="zh-CN"/>
        </w:rPr>
        <w:t>68728</w:t>
      </w:r>
    </w:p>
    <w:p w14:paraId="461CC1C8">
      <w:pPr>
        <w:pStyle w:val="15"/>
        <w:ind w:firstLine="720" w:firstLineChars="300"/>
        <w:rPr>
          <w:rFonts w:ascii="仿宋" w:hAnsi="仿宋" w:eastAsia="仿宋" w:cs="仿宋"/>
          <w:color w:val="auto"/>
          <w:sz w:val="24"/>
          <w:szCs w:val="24"/>
          <w:highlight w:val="none"/>
        </w:rPr>
      </w:pPr>
      <w:bookmarkStart w:id="41" w:name="_Toc28359098"/>
      <w:bookmarkStart w:id="42" w:name="_Toc35393808"/>
      <w:bookmarkStart w:id="43" w:name="_Toc28359021"/>
      <w:bookmarkStart w:id="44" w:name="_Toc35393639"/>
    </w:p>
    <w:p w14:paraId="529ECAD4">
      <w:pPr>
        <w:pStyle w:val="15"/>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End w:id="41"/>
      <w:bookmarkEnd w:id="42"/>
      <w:bookmarkEnd w:id="43"/>
      <w:bookmarkEnd w:id="44"/>
      <w:r>
        <w:rPr>
          <w:rFonts w:hint="eastAsia" w:ascii="仿宋" w:hAnsi="仿宋" w:eastAsia="仿宋" w:cs="仿宋"/>
          <w:color w:val="auto"/>
          <w:sz w:val="24"/>
          <w:szCs w:val="24"/>
          <w:highlight w:val="none"/>
        </w:rPr>
        <w:t xml:space="preserve"> 政府采购行政监管及投诉受理部门</w:t>
      </w:r>
    </w:p>
    <w:p w14:paraId="28D03DB6">
      <w:pPr>
        <w:pStyle w:val="15"/>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称：湖州市吴兴区财政局             </w:t>
      </w:r>
    </w:p>
    <w:p w14:paraId="1ED49119">
      <w:pPr>
        <w:pStyle w:val="15"/>
        <w:ind w:firstLine="720" w:firstLineChars="300"/>
        <w:rPr>
          <w:rFonts w:ascii="仿宋" w:hAnsi="仿宋" w:eastAsia="仿宋" w:cs="仿宋"/>
          <w:color w:val="auto"/>
          <w:kern w:val="0"/>
          <w:sz w:val="24"/>
          <w:highlight w:val="none"/>
        </w:rPr>
      </w:pPr>
      <w:r>
        <w:rPr>
          <w:rFonts w:hint="eastAsia" w:ascii="仿宋" w:hAnsi="仿宋" w:eastAsia="仿宋" w:cs="仿宋"/>
          <w:color w:val="auto"/>
          <w:sz w:val="24"/>
          <w:szCs w:val="24"/>
          <w:highlight w:val="none"/>
        </w:rPr>
        <w:t>地 址：湖州市吴兴区吴兴大道1号 </w:t>
      </w:r>
      <w:r>
        <w:rPr>
          <w:rFonts w:hint="eastAsia" w:ascii="仿宋" w:hAnsi="仿宋" w:eastAsia="仿宋" w:cs="仿宋"/>
          <w:color w:val="auto"/>
          <w:kern w:val="0"/>
          <w:sz w:val="24"/>
          <w:highlight w:val="none"/>
        </w:rPr>
        <w:t>                      </w:t>
      </w:r>
    </w:p>
    <w:p w14:paraId="6B411118">
      <w:pPr>
        <w:widowControl/>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联系人 ：沈主任            </w:t>
      </w:r>
    </w:p>
    <w:p w14:paraId="22FCF2BA">
      <w:pPr>
        <w:widowControl/>
        <w:spacing w:after="75"/>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监督投诉电话：0572-2289702</w:t>
      </w:r>
    </w:p>
    <w:p w14:paraId="18E0B816">
      <w:pPr>
        <w:numPr>
          <w:ilvl w:val="0"/>
          <w:numId w:val="0"/>
        </w:numPr>
        <w:spacing w:line="48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bookmarkEnd w:id="0"/>
      <w:r>
        <w:rPr>
          <w:rFonts w:hint="eastAsia" w:ascii="仿宋" w:hAnsi="仿宋" w:eastAsia="仿宋" w:cs="仿宋"/>
          <w:color w:val="auto"/>
          <w:highlight w:val="none"/>
          <w:lang w:val="en-US" w:eastAsia="zh-CN"/>
        </w:rPr>
        <w:t xml:space="preserve">                         </w:t>
      </w:r>
    </w:p>
    <w:p w14:paraId="62923F58">
      <w:pPr>
        <w:numPr>
          <w:ilvl w:val="0"/>
          <w:numId w:val="0"/>
        </w:numPr>
        <w:spacing w:line="480" w:lineRule="auto"/>
        <w:ind w:firstLine="3092" w:firstLineChars="700"/>
        <w:jc w:val="both"/>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第二章</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招标采购需求</w:t>
      </w:r>
      <w:bookmarkStart w:id="45" w:name="_Toc152043787"/>
    </w:p>
    <w:p w14:paraId="3B6F0D0F">
      <w:pPr>
        <w:spacing w:line="440" w:lineRule="exact"/>
        <w:ind w:left="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一、项目概况</w:t>
      </w:r>
    </w:p>
    <w:p w14:paraId="5906AF96">
      <w:pPr>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湖州市吴兴区湖东街道现有户籍人口3.8万余人，流动人口1.3万余人，流动人口占比约34.21%，地处城郊结合部，随着辖区内</w:t>
      </w:r>
      <w:r>
        <w:rPr>
          <w:rFonts w:hint="eastAsia" w:ascii="仿宋" w:hAnsi="仿宋" w:eastAsia="仿宋" w:cs="仿宋"/>
          <w:color w:val="auto"/>
          <w:kern w:val="0"/>
          <w:sz w:val="24"/>
          <w:szCs w:val="24"/>
          <w:highlight w:val="none"/>
          <w:lang w:eastAsia="zh-CN"/>
        </w:rPr>
        <w:t>楼盘</w:t>
      </w:r>
      <w:r>
        <w:rPr>
          <w:rFonts w:hint="eastAsia" w:ascii="仿宋" w:hAnsi="仿宋" w:eastAsia="仿宋" w:cs="仿宋"/>
          <w:color w:val="auto"/>
          <w:kern w:val="0"/>
          <w:sz w:val="24"/>
          <w:szCs w:val="24"/>
          <w:highlight w:val="none"/>
        </w:rPr>
        <w:t>、商户、人口的不断增加，社会经济逐步发展，人员交往频繁，但随之而来矛盾纠纷高发、报警求助频繁。2</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年湖东</w:t>
      </w:r>
      <w:r>
        <w:rPr>
          <w:rFonts w:hint="eastAsia" w:ascii="仿宋" w:hAnsi="仿宋" w:eastAsia="仿宋" w:cs="仿宋"/>
          <w:color w:val="auto"/>
          <w:kern w:val="0"/>
          <w:sz w:val="24"/>
          <w:szCs w:val="24"/>
          <w:highlight w:val="none"/>
          <w:lang w:eastAsia="zh-CN"/>
        </w:rPr>
        <w:t>派出所</w:t>
      </w:r>
      <w:r>
        <w:rPr>
          <w:rFonts w:hint="eastAsia" w:ascii="仿宋" w:hAnsi="仿宋" w:eastAsia="仿宋" w:cs="仿宋"/>
          <w:color w:val="auto"/>
          <w:kern w:val="0"/>
          <w:sz w:val="24"/>
          <w:szCs w:val="24"/>
          <w:highlight w:val="none"/>
        </w:rPr>
        <w:t>总接警达</w:t>
      </w:r>
      <w:r>
        <w:rPr>
          <w:rFonts w:hint="eastAsia" w:ascii="仿宋" w:hAnsi="仿宋" w:eastAsia="仿宋" w:cs="仿宋"/>
          <w:color w:val="auto"/>
          <w:kern w:val="0"/>
          <w:sz w:val="24"/>
          <w:szCs w:val="24"/>
          <w:highlight w:val="none"/>
          <w:lang w:val="en-US" w:eastAsia="zh-CN"/>
        </w:rPr>
        <w:t>5786</w:t>
      </w:r>
      <w:r>
        <w:rPr>
          <w:rFonts w:hint="eastAsia" w:ascii="仿宋" w:hAnsi="仿宋" w:eastAsia="仿宋" w:cs="仿宋"/>
          <w:color w:val="auto"/>
          <w:kern w:val="0"/>
          <w:sz w:val="24"/>
          <w:szCs w:val="24"/>
          <w:highlight w:val="none"/>
        </w:rPr>
        <w:t>起，其中矛盾纠纷、群众求助等“非</w:t>
      </w:r>
      <w:r>
        <w:rPr>
          <w:rFonts w:hint="eastAsia" w:ascii="仿宋" w:hAnsi="仿宋" w:eastAsia="仿宋" w:cs="仿宋"/>
          <w:color w:val="auto"/>
          <w:kern w:val="0"/>
          <w:sz w:val="24"/>
          <w:szCs w:val="24"/>
          <w:highlight w:val="none"/>
          <w:lang w:eastAsia="zh-CN"/>
        </w:rPr>
        <w:t>警务</w:t>
      </w:r>
      <w:r>
        <w:rPr>
          <w:rFonts w:hint="eastAsia" w:ascii="仿宋" w:hAnsi="仿宋" w:eastAsia="仿宋" w:cs="仿宋"/>
          <w:color w:val="auto"/>
          <w:kern w:val="0"/>
          <w:sz w:val="24"/>
          <w:szCs w:val="24"/>
          <w:highlight w:val="none"/>
        </w:rPr>
        <w:t>民生服务类”（以下简称“民生服务”）警情占比约40%。为坚持和发展新时代“枫桥经验”，借鉴“12345，服务找政府；公安110，为民保安宁”的经验做法，构建“政府主导、政法主推、镇街主抓、部门主责、社会参与”警源治理工作格局，根据省、市政法委的统一部署，对“民生服务”协调处理事务进行科学分析研判、分类分级分流处置，确保“民生服务”协调事务得到快速处置、高效化解，组建湖东“民生服务”队伍。</w:t>
      </w:r>
    </w:p>
    <w:p w14:paraId="7DA35FE6">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二、总体要求</w:t>
      </w:r>
    </w:p>
    <w:p w14:paraId="6E5B4711">
      <w:pPr>
        <w:pStyle w:val="22"/>
        <w:shd w:val="clear" w:color="auto" w:fill="FFFFFF"/>
        <w:spacing w:before="0" w:beforeAutospacing="0" w:after="0" w:afterAutospacing="0"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（一）指导思想。</w:t>
      </w:r>
    </w:p>
    <w:p w14:paraId="22B3A8E6">
      <w:pPr>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坚持以人民为中心，深入贯彻落实习近平法治思想，全面贯彻党的二十大和二十届历次会议精神，坚持和发展新时代“枫桥经验”，借鉴“12345，服务找政府；公安110，为民保安宁”的经验做法，积极推动公安机关、政府其他职能部门、社会组织各归其位、各担其责，努力构建“政府主导、政法主推、镇街主抓、部门主责、社会参与”警源治理工作格局，不断提升政府公共服务和社会救助服务能力，从源头上解决“民生服务”问题消耗警力资源过多、闭环处置缺位等问题，使公安机关更好聚焦主责主业，更有力地维护地区社会和谐稳定，更高效地保障人民群众安居乐业。</w:t>
      </w:r>
    </w:p>
    <w:p w14:paraId="4F18CF05">
      <w:pPr>
        <w:pStyle w:val="22"/>
        <w:shd w:val="clear" w:color="auto" w:fill="FFFFFF"/>
        <w:spacing w:before="0" w:beforeAutospacing="0" w:after="0" w:afterAutospacing="0" w:line="440" w:lineRule="exact"/>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（二）“民生服务”协调分流处置管理目标</w:t>
      </w:r>
    </w:p>
    <w:p w14:paraId="116F6EE7">
      <w:pPr>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根据省、市政法委的统一部署，对“民生服务”协调处理事务进行科学分析研判、分类分级分流处置，“民生服务”协调分流处置率达到98%以上，化解稳控率达90%以上，确保“民生服务”协调事务得到快速处置、高效化解。</w:t>
      </w:r>
    </w:p>
    <w:p w14:paraId="5FDA974E">
      <w:pPr>
        <w:adjustRightInd w:val="0"/>
        <w:spacing w:line="440" w:lineRule="exact"/>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三、主要工作内容和购买金额</w:t>
      </w:r>
    </w:p>
    <w:p w14:paraId="11CBF67E">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1、工作内容：</w:t>
      </w:r>
    </w:p>
    <w:p w14:paraId="68F6BFD1">
      <w:pPr>
        <w:pStyle w:val="22"/>
        <w:shd w:val="clear" w:color="auto" w:fill="FFFFFF"/>
        <w:spacing w:before="0" w:beforeAutospacing="0" w:after="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①“非</w:t>
      </w:r>
      <w:r>
        <w:rPr>
          <w:rFonts w:hint="eastAsia" w:ascii="仿宋" w:hAnsi="仿宋" w:eastAsia="仿宋" w:cs="仿宋"/>
          <w:color w:val="auto"/>
          <w:sz w:val="24"/>
          <w:szCs w:val="24"/>
          <w:highlight w:val="none"/>
          <w:lang w:eastAsia="zh-CN"/>
        </w:rPr>
        <w:t>警务</w:t>
      </w:r>
      <w:r>
        <w:rPr>
          <w:rFonts w:hint="eastAsia" w:ascii="仿宋" w:hAnsi="仿宋" w:eastAsia="仿宋" w:cs="仿宋"/>
          <w:color w:val="auto"/>
          <w:sz w:val="24"/>
          <w:szCs w:val="24"/>
          <w:highlight w:val="none"/>
        </w:rPr>
        <w:t>民生服务类”警情现场处置，防止因到达现场不及时造成矛盾激化升级造成社会危害；</w:t>
      </w:r>
    </w:p>
    <w:p w14:paraId="6EF8DA14">
      <w:pPr>
        <w:pStyle w:val="22"/>
        <w:shd w:val="clear" w:color="auto" w:fill="FFFFFF"/>
        <w:spacing w:before="0" w:beforeAutospacing="0" w:after="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②矛盾纠纷的后续调处与化解，防止因化解不到位造成矛盾激化升级造成社会危害；</w:t>
      </w:r>
    </w:p>
    <w:p w14:paraId="6DA80A61">
      <w:pPr>
        <w:pStyle w:val="22"/>
        <w:shd w:val="clear" w:color="auto" w:fill="FFFFFF"/>
        <w:spacing w:before="0" w:beforeAutospacing="0" w:after="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③对未能及时化解的矛盾纠纷、群众求助类警情事项建立台账，定期跟踪回访和宣传教育，防止矛盾激化升级造成社会危害；</w:t>
      </w:r>
    </w:p>
    <w:p w14:paraId="7ABB19C4">
      <w:pPr>
        <w:pStyle w:val="22"/>
        <w:shd w:val="clear" w:color="auto" w:fill="FFFFFF"/>
        <w:spacing w:before="0" w:beforeAutospacing="0" w:after="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④协作公安机关、基层组织深入基层，主动发现矛盾纠纷、风险隐患，提升矛盾纠纷和风险隐患的主动发现能力。</w:t>
      </w:r>
    </w:p>
    <w:p w14:paraId="4E3989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2、工作对象：公安机关推送的符合“民生服务类”协调事务。</w:t>
      </w:r>
    </w:p>
    <w:p w14:paraId="7183579E">
      <w:pPr>
        <w:pStyle w:val="23"/>
        <w:keepNext w:val="0"/>
        <w:keepLines w:val="0"/>
        <w:pageBreakBefore w:val="0"/>
        <w:widowControl w:val="0"/>
        <w:tabs>
          <w:tab w:val="left" w:pos="0"/>
          <w:tab w:val="left" w:pos="993"/>
          <w:tab w:val="left" w:pos="1134"/>
        </w:tabs>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3、每年处理数量：不少于</w:t>
      </w:r>
      <w:r>
        <w:rPr>
          <w:rFonts w:hint="eastAsia" w:ascii="仿宋" w:hAnsi="仿宋" w:eastAsia="仿宋" w:cs="仿宋"/>
          <w:color w:val="auto"/>
          <w:sz w:val="24"/>
          <w:szCs w:val="24"/>
          <w:highlight w:val="none"/>
          <w:lang w:val="en-US" w:eastAsia="zh-CN"/>
        </w:rPr>
        <w:t>2000</w:t>
      </w:r>
      <w:r>
        <w:rPr>
          <w:rFonts w:hint="eastAsia" w:ascii="仿宋" w:hAnsi="仿宋" w:eastAsia="仿宋" w:cs="仿宋"/>
          <w:color w:val="auto"/>
          <w:sz w:val="24"/>
          <w:szCs w:val="24"/>
          <w:highlight w:val="none"/>
        </w:rPr>
        <w:t>起。</w:t>
      </w:r>
    </w:p>
    <w:p w14:paraId="519EBF3B">
      <w:pPr>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四、项目需求</w:t>
      </w:r>
    </w:p>
    <w:p w14:paraId="2B9444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w:t>
      </w:r>
      <w:r>
        <w:rPr>
          <w:rFonts w:hint="eastAsia" w:ascii="仿宋" w:hAnsi="仿宋" w:eastAsia="仿宋" w:cs="仿宋"/>
          <w:b/>
          <w:bCs/>
          <w:color w:val="auto"/>
          <w:sz w:val="24"/>
          <w:szCs w:val="24"/>
          <w:highlight w:val="none"/>
        </w:rPr>
        <w:t>（一）人员要求：</w:t>
      </w:r>
      <w:r>
        <w:rPr>
          <w:rFonts w:hint="eastAsia" w:ascii="仿宋" w:hAnsi="仿宋" w:eastAsia="仿宋" w:cs="仿宋"/>
          <w:color w:val="auto"/>
          <w:sz w:val="24"/>
          <w:szCs w:val="24"/>
          <w:highlight w:val="none"/>
        </w:rPr>
        <w:t>要求投标人聘用不少于9人的专职队伍从事该项工作，人员要求：高中文化程度及以上，年龄在25周岁至</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周岁，男性，身高176㎝以上，有组织协调、群众工作能力、矛盾纠纷调解能力者优先，退伍军人、中共党员优先，无违法犯罪前科和不良生活习性。</w:t>
      </w:r>
    </w:p>
    <w:p w14:paraId="60E7C6E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lang w:eastAsia="en-US"/>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en-US"/>
        </w:rPr>
        <w:t>服务要求:</w:t>
      </w:r>
    </w:p>
    <w:p w14:paraId="7FB8917C">
      <w:pPr>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1、投标人具备完善的管理制度和工作流程，具备较强的保障能力和应急服务能力，由投标人按投标方案及合同约定提</w:t>
      </w:r>
      <w:r>
        <w:rPr>
          <w:rFonts w:hint="eastAsia" w:ascii="仿宋" w:hAnsi="仿宋" w:eastAsia="仿宋" w:cs="仿宋"/>
          <w:color w:val="auto"/>
          <w:kern w:val="0"/>
          <w:sz w:val="24"/>
          <w:szCs w:val="24"/>
          <w:highlight w:val="none"/>
        </w:rPr>
        <w:t>供服务项目实施人员，在采购人指派下开展各项工作。</w:t>
      </w:r>
    </w:p>
    <w:p w14:paraId="7F4AEDA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备履行项目的人才储备能力，能确保项目服务稳定，项目服务人员工作连续性。民生服务协调工作具有较强连贯性，需要项目服务人员稳定持续工作。服务项目期间，采购人不支持投标人为项目所有实施人员提供的年休假、婚假、产假等，项目服务人员因各种原因导致无法连续工作的，投标人负责提供补充或替换人员。</w:t>
      </w:r>
    </w:p>
    <w:p w14:paraId="1C37DD0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3、投标人服务人员统一着装以及处置民生服务必要的装备由投标人自行配备，另外投标人需考虑项目实施过程中所需的交通用汽车。</w:t>
      </w:r>
    </w:p>
    <w:p w14:paraId="310CBFC3">
      <w:pPr>
        <w:autoSpaceDE w:val="0"/>
        <w:autoSpaceDN w:val="0"/>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4、检查、考核</w:t>
      </w:r>
    </w:p>
    <w:p w14:paraId="70BDA388">
      <w:pPr>
        <w:autoSpaceDE w:val="0"/>
        <w:autoSpaceDN w:val="0"/>
        <w:spacing w:line="440" w:lineRule="exact"/>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rPr>
        <w:t>合同期内采购人中标服务商的服务质量进行考核,若达不到采购人规定要求,采购人对中标服务商提出限期整改。限期整改仍达不到采购人要求的,采购人有权终止合同,中标服务商返还采购人已经支付的费用,并由中标服务商承担合同价款30%违约金,造成采购人其他损失的由中标人继续承担赔偿责任。</w:t>
      </w:r>
    </w:p>
    <w:p w14:paraId="4E68D30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（三）服务内容（包括但不限于）</w:t>
      </w:r>
    </w:p>
    <w:p w14:paraId="52EB57CB">
      <w:pPr>
        <w:pStyle w:val="22"/>
        <w:shd w:val="clear" w:color="auto" w:fill="FFFFFF"/>
        <w:spacing w:before="0" w:beforeAutospacing="0" w:after="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①“非</w:t>
      </w:r>
      <w:r>
        <w:rPr>
          <w:rFonts w:hint="eastAsia" w:ascii="仿宋" w:hAnsi="仿宋" w:eastAsia="仿宋" w:cs="仿宋"/>
          <w:color w:val="auto"/>
          <w:sz w:val="24"/>
          <w:szCs w:val="24"/>
          <w:highlight w:val="none"/>
          <w:lang w:eastAsia="zh-CN"/>
        </w:rPr>
        <w:t>警务</w:t>
      </w:r>
      <w:r>
        <w:rPr>
          <w:rFonts w:hint="eastAsia" w:ascii="仿宋" w:hAnsi="仿宋" w:eastAsia="仿宋" w:cs="仿宋"/>
          <w:color w:val="auto"/>
          <w:sz w:val="24"/>
          <w:szCs w:val="24"/>
          <w:highlight w:val="none"/>
        </w:rPr>
        <w:t>民生服务类”警情现场处置，防止因到达现场不及时造成矛盾激化升级造成社会危害；</w:t>
      </w:r>
    </w:p>
    <w:p w14:paraId="51D8C5A9">
      <w:pPr>
        <w:pStyle w:val="22"/>
        <w:shd w:val="clear" w:color="auto" w:fill="FFFFFF"/>
        <w:spacing w:before="0" w:beforeAutospacing="0" w:after="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②矛盾纠纷的后续调处与化解，防止因化解不到位造成矛盾激化升级造成社会危害；</w:t>
      </w:r>
    </w:p>
    <w:p w14:paraId="6DBF8377">
      <w:pPr>
        <w:pStyle w:val="22"/>
        <w:shd w:val="clear" w:color="auto" w:fill="FFFFFF"/>
        <w:spacing w:before="0" w:beforeAutospacing="0" w:after="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③对未能及时化解的矛盾纠纷、群众求助类警情事项建立台账，定期跟踪回访和宣传教育，防止矛盾激化升级造成社会危害；</w:t>
      </w:r>
    </w:p>
    <w:p w14:paraId="44C5F633">
      <w:pPr>
        <w:pStyle w:val="22"/>
        <w:shd w:val="clear" w:color="auto" w:fill="FFFFFF"/>
        <w:spacing w:before="0" w:beforeAutospacing="0" w:after="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④协作公安机关、基层组织深入基层，主动发现矛盾纠纷、风险隐患，提升矛盾纠纷和风险隐患的主动发现能力；</w:t>
      </w:r>
    </w:p>
    <w:p w14:paraId="4A360319">
      <w:pPr>
        <w:pStyle w:val="22"/>
        <w:shd w:val="clear" w:color="auto" w:fill="FFFFFF"/>
        <w:spacing w:before="0" w:beforeAutospacing="0" w:after="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⑤公安机关安排其他有关民生服务类工作。</w:t>
      </w:r>
    </w:p>
    <w:p w14:paraId="4047E9C5">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en-US"/>
        </w:rPr>
        <w:t>人员要求</w:t>
      </w:r>
    </w:p>
    <w:p w14:paraId="49D121EC">
      <w:pPr>
        <w:spacing w:line="440" w:lineRule="exact"/>
        <w:rPr>
          <w:rFonts w:hint="eastAsia" w:ascii="仿宋" w:hAnsi="仿宋" w:eastAsia="仿宋" w:cs="仿宋"/>
          <w:color w:val="auto"/>
          <w:spacing w:val="-11"/>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11"/>
          <w:kern w:val="0"/>
          <w:sz w:val="24"/>
          <w:szCs w:val="24"/>
          <w:highlight w:val="none"/>
        </w:rPr>
        <w:t>根据</w:t>
      </w:r>
      <w:r>
        <w:rPr>
          <w:rFonts w:hint="eastAsia" w:ascii="仿宋" w:hAnsi="仿宋" w:eastAsia="仿宋" w:cs="仿宋"/>
          <w:color w:val="auto"/>
          <w:kern w:val="0"/>
          <w:sz w:val="24"/>
          <w:szCs w:val="24"/>
          <w:highlight w:val="none"/>
        </w:rPr>
        <w:t>“民生服务”协调处置、调处</w:t>
      </w:r>
      <w:r>
        <w:rPr>
          <w:rFonts w:hint="eastAsia" w:ascii="仿宋" w:hAnsi="仿宋" w:eastAsia="仿宋" w:cs="仿宋"/>
          <w:color w:val="auto"/>
          <w:spacing w:val="-11"/>
          <w:kern w:val="0"/>
          <w:sz w:val="24"/>
          <w:szCs w:val="24"/>
          <w:highlight w:val="none"/>
        </w:rPr>
        <w:t>的需求，要求配置完整的人员构架服务体系（如接收、派单、处置、协调、跟踪、反馈等），在本项目服务周期内必须保障人员的稳定性，且须指定一名项目总负责人，有团队管理经验，协助采购人完成管理工作。</w:t>
      </w:r>
    </w:p>
    <w:p w14:paraId="40F01370">
      <w:pPr>
        <w:autoSpaceDE w:val="0"/>
        <w:autoSpaceDN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sz w:val="24"/>
          <w:szCs w:val="24"/>
          <w:highlight w:val="none"/>
        </w:rPr>
        <w:t>2、</w:t>
      </w:r>
      <w:r>
        <w:rPr>
          <w:rFonts w:hint="eastAsia" w:ascii="仿宋" w:hAnsi="仿宋" w:eastAsia="仿宋" w:cs="仿宋"/>
          <w:color w:val="auto"/>
          <w:spacing w:val="-11"/>
          <w:kern w:val="0"/>
          <w:sz w:val="24"/>
          <w:szCs w:val="24"/>
          <w:highlight w:val="none"/>
        </w:rPr>
        <w:t>要求服务人员较强的法律专业知识和群众工作能力，具有矛盾纠纷调处化解经验或者两年以上汽车驾驶年限以上、无同等以上交通事故、重大交通违法行为等相关专业背景为佳。</w:t>
      </w:r>
    </w:p>
    <w:p w14:paraId="71B4839D">
      <w:pPr>
        <w:autoSpaceDE w:val="0"/>
        <w:autoSpaceDN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3、服务人员具有较强的团队协作能力、沟通能力、表达能力，工作责任心强；服从命令，听从指挥，遵守各项规章制度；具有信息安全及保密意识。</w:t>
      </w:r>
    </w:p>
    <w:p w14:paraId="24E0114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4、项目服务人员职责包括但不限于：与湖州市公安局吴兴区分局湖</w:t>
      </w:r>
      <w:r>
        <w:rPr>
          <w:rFonts w:hint="eastAsia" w:ascii="仿宋" w:hAnsi="仿宋" w:eastAsia="仿宋" w:cs="仿宋"/>
          <w:color w:val="auto"/>
          <w:sz w:val="24"/>
          <w:szCs w:val="24"/>
          <w:highlight w:val="none"/>
          <w:lang w:eastAsia="zh-CN"/>
        </w:rPr>
        <w:t>派出所</w:t>
      </w:r>
      <w:r>
        <w:rPr>
          <w:rFonts w:hint="eastAsia" w:ascii="仿宋" w:hAnsi="仿宋" w:eastAsia="仿宋" w:cs="仿宋"/>
          <w:color w:val="auto"/>
          <w:sz w:val="24"/>
          <w:szCs w:val="24"/>
          <w:highlight w:val="none"/>
        </w:rPr>
        <w:t>、湖东街道社会治理中心的沟通对接、工作人员必须按时间节点保质保量完成项目任务。</w:t>
      </w:r>
    </w:p>
    <w:p w14:paraId="0515AB25">
      <w:pPr>
        <w:spacing w:line="440" w:lineRule="exac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sz w:val="24"/>
          <w:szCs w:val="24"/>
          <w:highlight w:val="none"/>
        </w:rPr>
        <w:t>5、</w:t>
      </w:r>
      <w:r>
        <w:rPr>
          <w:rFonts w:hint="eastAsia" w:ascii="仿宋" w:hAnsi="仿宋" w:eastAsia="仿宋" w:cs="仿宋"/>
          <w:color w:val="auto"/>
          <w:spacing w:val="-6"/>
          <w:kern w:val="0"/>
          <w:sz w:val="24"/>
          <w:szCs w:val="24"/>
          <w:highlight w:val="none"/>
        </w:rPr>
        <w:t>服务人员要严格按照采购人要求的工作时间出勤，不得迟到、早退，无故缺勤。接受采购人的业务培训，如培训后不能胜任工作或不服从采购人指派,采购人有权更换服务人员。</w:t>
      </w:r>
    </w:p>
    <w:p w14:paraId="614833E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w:t>
      </w:r>
      <w:r>
        <w:rPr>
          <w:rFonts w:hint="eastAsia" w:ascii="仿宋" w:hAnsi="仿宋" w:eastAsia="仿宋" w:cs="仿宋"/>
          <w:b/>
          <w:bCs/>
          <w:color w:val="auto"/>
          <w:sz w:val="24"/>
          <w:szCs w:val="24"/>
          <w:highlight w:val="none"/>
          <w:lang w:eastAsia="en-US"/>
        </w:rPr>
        <w:t>工作要求</w:t>
      </w:r>
    </w:p>
    <w:p w14:paraId="7AD92FC8">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按照《人民调解法》的要求，参照《110接处警规范》依法处置公安机关转交的民生类处置调处等工作，要求投标人根据自身经验，结合湖东街道的实际情况，对项目中的重点难点有清晰的认知，并具有处理问题、解决问题的能力。</w:t>
      </w:r>
    </w:p>
    <w:p w14:paraId="0285BE23">
      <w:pPr>
        <w:spacing w:line="440" w:lineRule="exact"/>
        <w:rPr>
          <w:rFonts w:hint="eastAsia" w:ascii="仿宋" w:hAnsi="仿宋" w:eastAsia="仿宋" w:cs="仿宋"/>
          <w:color w:val="auto"/>
          <w:spacing w:val="-11"/>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11"/>
          <w:kern w:val="0"/>
          <w:sz w:val="24"/>
          <w:szCs w:val="24"/>
          <w:highlight w:val="none"/>
        </w:rPr>
        <w:t>投标人按采购人要求“民生服务”协调处置规范要求在规定时间内保质保量完成各阶段工作，必须服从采购人工作纪律要求和廉政要求。</w:t>
      </w:r>
    </w:p>
    <w:p w14:paraId="6C5F0BCD">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3、严格遵守保密规定，严守工作秘密，自愿承担因失泄密而造成的法律、纪律后果。</w:t>
      </w:r>
    </w:p>
    <w:p w14:paraId="513CC1A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4、自愿服从采购人的工作时间、工作内容等管理和业务指导，保质保量完成采购人交办的工作任务。</w:t>
      </w:r>
    </w:p>
    <w:p w14:paraId="4EB0222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5、按时参加湖东街道社会治理中心、吴兴公安分局和湖东</w:t>
      </w:r>
      <w:r>
        <w:rPr>
          <w:rFonts w:hint="eastAsia" w:ascii="仿宋" w:hAnsi="仿宋" w:eastAsia="仿宋" w:cs="仿宋"/>
          <w:color w:val="auto"/>
          <w:sz w:val="24"/>
          <w:szCs w:val="24"/>
          <w:highlight w:val="none"/>
          <w:lang w:eastAsia="zh-CN"/>
        </w:rPr>
        <w:t>派出所</w:t>
      </w:r>
      <w:r>
        <w:rPr>
          <w:rFonts w:hint="eastAsia" w:ascii="仿宋" w:hAnsi="仿宋" w:eastAsia="仿宋" w:cs="仿宋"/>
          <w:color w:val="auto"/>
          <w:sz w:val="24"/>
          <w:szCs w:val="24"/>
          <w:highlight w:val="none"/>
        </w:rPr>
        <w:t>组织的业务培训、工作会议，定期自我剖析、总结经验、查找问题短板，落实整改措施。</w:t>
      </w:r>
    </w:p>
    <w:p w14:paraId="7EDED25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6、考核激励机制。参照社区网格化管理责任制，做到“定人、定格、定任务”；结合工作实际考核结果，实行分级管理、晋升机制，以促进队伍的活力建设。</w:t>
      </w:r>
    </w:p>
    <w:p w14:paraId="65B1991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（六）考核要求 </w:t>
      </w:r>
    </w:p>
    <w:p w14:paraId="150FBB0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1、为能使供应商提供优质服务，通过实施日常考核促进供应商业务工作水平长期的保持和不断的提升，约束其工作开展，确保工作质量符合湖州市公安局吴兴分局湖东</w:t>
      </w:r>
      <w:r>
        <w:rPr>
          <w:rFonts w:hint="eastAsia" w:ascii="仿宋" w:hAnsi="仿宋" w:eastAsia="仿宋" w:cs="仿宋"/>
          <w:color w:val="auto"/>
          <w:sz w:val="24"/>
          <w:szCs w:val="24"/>
          <w:highlight w:val="none"/>
          <w:lang w:eastAsia="zh-CN"/>
        </w:rPr>
        <w:t>派出所</w:t>
      </w:r>
      <w:r>
        <w:rPr>
          <w:rFonts w:hint="eastAsia" w:ascii="仿宋" w:hAnsi="仿宋" w:eastAsia="仿宋" w:cs="仿宋"/>
          <w:color w:val="auto"/>
          <w:sz w:val="24"/>
          <w:szCs w:val="24"/>
          <w:highlight w:val="none"/>
        </w:rPr>
        <w:t>、湖东街道社会治理中心要求，同时为供应商人力资源优化配置、薪酬分配、教育培训、员工职业生涯规划提供必要的依据，激励员工不断改进绩效，提高供应商整体绩效，实现员工和供应商的共同发展。</w:t>
      </w:r>
    </w:p>
    <w:p w14:paraId="7707A41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加强对矛盾调解服务人员的管理，确保采购人各岗位的服务质量。对供应商的考核内容包括以下七方面：考勤打卡、工作业绩、客户投诉、专项工作完成情况、明察暗访、费用使用与结算、业务培训等。对矛盾调解服务人员需制定绩效考核制度，按月进行考核，由供应商、采购人分管负责人共同参与评分，对供应商的考核分与管理费挂钩。</w:t>
      </w:r>
    </w:p>
    <w:p w14:paraId="6241A70A">
      <w:pPr>
        <w:spacing w:line="440" w:lineRule="exact"/>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五、商务条款：</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6810"/>
      </w:tblGrid>
      <w:tr w14:paraId="236E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2" w:type="dxa"/>
            <w:noWrap w:val="0"/>
            <w:vAlign w:val="center"/>
          </w:tcPr>
          <w:p w14:paraId="4BE25A7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▲项目投标报价要求</w:t>
            </w:r>
          </w:p>
        </w:tc>
        <w:tc>
          <w:tcPr>
            <w:tcW w:w="6810" w:type="dxa"/>
            <w:noWrap w:val="0"/>
            <w:vAlign w:val="center"/>
          </w:tcPr>
          <w:p w14:paraId="67E077A6">
            <w:pPr>
              <w:numPr>
                <w:ilvl w:val="0"/>
                <w:numId w:val="3"/>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为完成整个项目的报价，包括人员工资薪酬（如项目负责人、管理联络人员、后勤保障人员等）、人工管理费、加班费、餐饮费、差旅费、住宿费、宣传用品、防疫用品、培训费用、办公费用、交通费用、安全责任风险所需考虑的费用、保险费用、税金等所有费用，投标人所投报的投标报价为投标人所能承受的整个项目的报价(为本采购项目总价)，如有漏项，视同已包含在其它项目中，合同总价和单价不做调整。</w:t>
            </w:r>
          </w:p>
          <w:p w14:paraId="0A6E36B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2、按国家规定由中标人缴纳的各种税收已包含在投标总价内，由中标人向税务机关缴纳。</w:t>
            </w:r>
          </w:p>
          <w:p w14:paraId="6BD7C017">
            <w:pPr>
              <w:pStyle w:val="9"/>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3、项目的整体服务周期为壹年（12个月），在服务期间所需提供的一切工作费用由投标人在投标报价中自行考虑。         </w:t>
            </w:r>
          </w:p>
        </w:tc>
      </w:tr>
      <w:tr w14:paraId="5A99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72" w:type="dxa"/>
            <w:noWrap w:val="0"/>
            <w:vAlign w:val="center"/>
          </w:tcPr>
          <w:p w14:paraId="6A7D2DA5">
            <w:pPr>
              <w:pStyle w:val="9"/>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▲服务时间及地点</w:t>
            </w:r>
          </w:p>
          <w:p w14:paraId="5878CF14">
            <w:pPr>
              <w:pStyle w:val="22"/>
              <w:spacing w:before="0" w:beforeAutospacing="0" w:after="0" w:afterAutospacing="0" w:line="300" w:lineRule="exact"/>
              <w:jc w:val="center"/>
              <w:rPr>
                <w:rFonts w:hint="eastAsia" w:ascii="仿宋" w:hAnsi="仿宋" w:eastAsia="仿宋" w:cs="仿宋"/>
                <w:color w:val="auto"/>
                <w:sz w:val="24"/>
                <w:szCs w:val="24"/>
                <w:highlight w:val="none"/>
                <w:shd w:val="clear" w:color="auto" w:fill="FFFFFF"/>
              </w:rPr>
            </w:pPr>
          </w:p>
        </w:tc>
        <w:tc>
          <w:tcPr>
            <w:tcW w:w="6810" w:type="dxa"/>
            <w:noWrap w:val="0"/>
            <w:vAlign w:val="center"/>
          </w:tcPr>
          <w:p w14:paraId="678B015C">
            <w:pPr>
              <w:pStyle w:val="9"/>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1、服务时间：项目的整体服务周期为壹年（12个月自合同签订时间起计算），服务人员按采购人上班工作时间安排工作，具体以采购人要求为准。</w:t>
            </w:r>
          </w:p>
          <w:p w14:paraId="706D607A">
            <w:pPr>
              <w:pStyle w:val="9"/>
              <w:spacing w:line="440" w:lineRule="exact"/>
              <w:ind w:firstLine="482"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2、地点：湖东街道</w:t>
            </w:r>
          </w:p>
        </w:tc>
      </w:tr>
      <w:tr w14:paraId="6007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372" w:type="dxa"/>
            <w:noWrap w:val="0"/>
            <w:vAlign w:val="center"/>
          </w:tcPr>
          <w:p w14:paraId="3B3C2D84">
            <w:pPr>
              <w:autoSpaceDE w:val="0"/>
              <w:autoSpaceDN w:val="0"/>
              <w:spacing w:line="300" w:lineRule="exact"/>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服务期间</w:t>
            </w:r>
          </w:p>
          <w:p w14:paraId="02633A58">
            <w:pPr>
              <w:pStyle w:val="22"/>
              <w:spacing w:before="0" w:beforeAutospacing="0" w:after="0" w:afterAutospacing="0" w:line="300" w:lineRule="exact"/>
              <w:jc w:val="center"/>
              <w:rPr>
                <w:rFonts w:hint="eastAsia" w:ascii="仿宋" w:hAnsi="仿宋" w:eastAsia="仿宋" w:cs="仿宋"/>
                <w:color w:val="auto"/>
                <w:sz w:val="24"/>
                <w:szCs w:val="24"/>
                <w:highlight w:val="none"/>
                <w:shd w:val="clear" w:color="auto" w:fill="FFFFFF"/>
              </w:rPr>
            </w:pPr>
          </w:p>
        </w:tc>
        <w:tc>
          <w:tcPr>
            <w:tcW w:w="6810" w:type="dxa"/>
            <w:noWrap w:val="0"/>
            <w:vAlign w:val="center"/>
          </w:tcPr>
          <w:p w14:paraId="5AE9FDC4">
            <w:pPr>
              <w:pStyle w:val="9"/>
              <w:spacing w:after="0"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具备履行项目的人才储备能力，能确保项目服务稳定，项目服务人员工作连续性。民生服务协调工作要求具有一定的法律知识和较强群众工作能力，需要项目服务人员稳定持续工作。服务项目期间，采购人不支持投标人为项目所有实施人员提供的年休假、婚假、产假等，项目服务人员因各种原因导致无法连续工作的，投标人负责提供补充或替换人员。</w:t>
            </w:r>
          </w:p>
          <w:p w14:paraId="367B4F19">
            <w:pPr>
              <w:pStyle w:val="9"/>
              <w:spacing w:after="0"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民生服务协调工作对人员需求，要求配置完整的人员构架服务体系（如项目负责人、联络保障人员等），在本项目服务周期内必须保障人员的稳定性，且须指定一名项目总负责人，有团队管理经验，协助采购人完成管理工作。</w:t>
            </w:r>
          </w:p>
          <w:p w14:paraId="570D48B9">
            <w:pPr>
              <w:pStyle w:val="9"/>
              <w:spacing w:after="0"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3、投标人服务人员的统一服装、处置民生服务必要的装备等由投标人自行配备，另外投标人需考虑项目实施过程中所需的交通用汽车。</w:t>
            </w:r>
          </w:p>
          <w:p w14:paraId="18C1DCA4">
            <w:pPr>
              <w:pStyle w:val="9"/>
              <w:spacing w:line="440" w:lineRule="exact"/>
              <w:ind w:firstLine="482"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rPr>
              <w:t>4、服务期内，与办公设备及车辆维修、车辆油耗相关的所有费用由供应商负责。</w:t>
            </w:r>
          </w:p>
        </w:tc>
      </w:tr>
      <w:tr w14:paraId="5AA6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72" w:type="dxa"/>
            <w:noWrap w:val="0"/>
            <w:vAlign w:val="center"/>
          </w:tcPr>
          <w:p w14:paraId="09D84564">
            <w:pPr>
              <w:autoSpaceDE w:val="0"/>
              <w:autoSpaceDN w:val="0"/>
              <w:spacing w:line="300" w:lineRule="exact"/>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服务标准及要求</w:t>
            </w:r>
          </w:p>
          <w:p w14:paraId="2BB5398D">
            <w:pPr>
              <w:autoSpaceDE w:val="0"/>
              <w:autoSpaceDN w:val="0"/>
              <w:spacing w:line="300" w:lineRule="exact"/>
              <w:jc w:val="center"/>
              <w:rPr>
                <w:rFonts w:hint="eastAsia" w:ascii="仿宋" w:hAnsi="仿宋" w:eastAsia="仿宋" w:cs="仿宋"/>
                <w:color w:val="auto"/>
                <w:sz w:val="24"/>
                <w:szCs w:val="24"/>
                <w:highlight w:val="none"/>
                <w:lang w:eastAsia="en-US"/>
              </w:rPr>
            </w:pPr>
          </w:p>
          <w:p w14:paraId="3847E568">
            <w:pPr>
              <w:pStyle w:val="22"/>
              <w:spacing w:before="0" w:beforeAutospacing="0" w:after="0" w:afterAutospacing="0" w:line="300" w:lineRule="exact"/>
              <w:jc w:val="center"/>
              <w:rPr>
                <w:rFonts w:hint="eastAsia" w:ascii="仿宋" w:hAnsi="仿宋" w:eastAsia="仿宋" w:cs="仿宋"/>
                <w:color w:val="auto"/>
                <w:sz w:val="24"/>
                <w:szCs w:val="24"/>
                <w:highlight w:val="none"/>
                <w:shd w:val="clear" w:color="auto" w:fill="FFFFFF"/>
              </w:rPr>
            </w:pPr>
          </w:p>
        </w:tc>
        <w:tc>
          <w:tcPr>
            <w:tcW w:w="6810" w:type="dxa"/>
            <w:noWrap w:val="0"/>
            <w:vAlign w:val="center"/>
          </w:tcPr>
          <w:p w14:paraId="78050BE5">
            <w:pPr>
              <w:pStyle w:val="9"/>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1、验收将依据合同及其附件，国家相关规范、标准，以及湖州市相关管理规定，由采购人确定的时间和方式进行验收。</w:t>
            </w:r>
          </w:p>
          <w:p w14:paraId="415889FE">
            <w:pPr>
              <w:pStyle w:val="9"/>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体验收标准和流程：采购人对投标人提供的参与项目服务人员进行筛选，符合项目条件且能胜任采购人所需项目岗位工作的，予以留任。在项目履行期间内，采购人对投标人留任人员定期考核，并根据考核内容出具项目验收文件。</w:t>
            </w:r>
          </w:p>
          <w:p w14:paraId="458B77BD">
            <w:pPr>
              <w:pStyle w:val="9"/>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3、投标人应提交的验收资料：投标人提供参与项目服务人员的相关资料；投标人留任人员的工作日志、考勤表等。</w:t>
            </w:r>
          </w:p>
          <w:p w14:paraId="45B2540B">
            <w:pPr>
              <w:pStyle w:val="9"/>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4、投标人应根据采购人要求组织有关人员按照相关要求进行验收，验收合格的，由采购人出具项目验收证明。验收不合格的，投标人依约承担违约责任。</w:t>
            </w:r>
          </w:p>
        </w:tc>
      </w:tr>
      <w:tr w14:paraId="4D24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2" w:type="dxa"/>
            <w:noWrap w:val="0"/>
            <w:vAlign w:val="center"/>
          </w:tcPr>
          <w:p w14:paraId="2736B859">
            <w:pPr>
              <w:pStyle w:val="22"/>
              <w:spacing w:before="0" w:beforeAutospacing="0" w:after="0" w:afterAutospacing="0" w:line="280" w:lineRule="exact"/>
              <w:jc w:val="center"/>
              <w:rPr>
                <w:rFonts w:hint="eastAsia" w:ascii="仿宋" w:hAnsi="仿宋" w:eastAsia="仿宋" w:cs="仿宋"/>
                <w:color w:val="auto"/>
                <w:kern w:val="2"/>
                <w:sz w:val="24"/>
                <w:szCs w:val="24"/>
                <w:highlight w:val="none"/>
                <w:lang w:eastAsia="en-US"/>
              </w:rPr>
            </w:pPr>
            <w:r>
              <w:rPr>
                <w:rFonts w:hint="eastAsia" w:ascii="仿宋" w:hAnsi="仿宋" w:eastAsia="仿宋" w:cs="仿宋"/>
                <w:color w:val="auto"/>
                <w:sz w:val="24"/>
                <w:szCs w:val="24"/>
                <w:highlight w:val="none"/>
                <w:lang w:bidi="ar"/>
              </w:rPr>
              <w:t>▲</w:t>
            </w:r>
            <w:r>
              <w:rPr>
                <w:rFonts w:hint="eastAsia" w:ascii="仿宋" w:hAnsi="仿宋" w:eastAsia="仿宋" w:cs="仿宋"/>
                <w:color w:val="auto"/>
                <w:kern w:val="2"/>
                <w:sz w:val="24"/>
                <w:szCs w:val="24"/>
                <w:highlight w:val="none"/>
                <w:lang w:eastAsia="en-US"/>
              </w:rPr>
              <w:t>付款条件</w:t>
            </w:r>
          </w:p>
        </w:tc>
        <w:tc>
          <w:tcPr>
            <w:tcW w:w="6810" w:type="dxa"/>
            <w:noWrap w:val="0"/>
            <w:vAlign w:val="center"/>
          </w:tcPr>
          <w:p w14:paraId="5D958B42">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根据《保障中小企业款项支付条例》、省财政厅《关于坚决打赢疫情防控阻击战进一步做好政府采购资金支持企业发展工作的通知》（浙财采监【2022】3号）要求，制定如以下付款方式：</w:t>
            </w:r>
          </w:p>
          <w:p w14:paraId="4611AA96">
            <w:pPr>
              <w:spacing w:line="44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此次招标采取一次招标支付资金的方式进行，采购人自采购合同生效及具备实施条件后7个工作日内支付当年合同金额的40%作为预付款（即合同总金额的</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0%）；</w:t>
            </w:r>
            <w:r>
              <w:rPr>
                <w:rFonts w:hint="eastAsia" w:ascii="仿宋" w:hAnsi="仿宋" w:eastAsia="仿宋" w:cs="仿宋"/>
                <w:bCs/>
                <w:color w:val="auto"/>
                <w:kern w:val="0"/>
                <w:sz w:val="24"/>
                <w:szCs w:val="24"/>
                <w:highlight w:val="none"/>
              </w:rPr>
              <w:t>余款按每月平均支付金额。</w:t>
            </w:r>
          </w:p>
          <w:p w14:paraId="11B14D72">
            <w:pPr>
              <w:pStyle w:val="9"/>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sz w:val="24"/>
                <w:szCs w:val="24"/>
                <w:highlight w:val="none"/>
              </w:rPr>
              <w:t>中标人</w:t>
            </w:r>
            <w:r>
              <w:rPr>
                <w:rFonts w:hint="eastAsia" w:ascii="仿宋" w:hAnsi="仿宋" w:eastAsia="仿宋" w:cs="仿宋"/>
                <w:bCs/>
                <w:color w:val="auto"/>
                <w:sz w:val="24"/>
                <w:szCs w:val="24"/>
                <w:highlight w:val="none"/>
                <w:lang w:eastAsia="en-US"/>
              </w:rPr>
              <w:t>在结算合同价款时须</w:t>
            </w:r>
            <w:r>
              <w:rPr>
                <w:rFonts w:hint="eastAsia" w:ascii="仿宋" w:hAnsi="仿宋" w:eastAsia="仿宋" w:cs="仿宋"/>
                <w:bCs/>
                <w:color w:val="auto"/>
                <w:sz w:val="24"/>
                <w:szCs w:val="24"/>
                <w:highlight w:val="none"/>
              </w:rPr>
              <w:t>按采购人要求</w:t>
            </w:r>
            <w:r>
              <w:rPr>
                <w:rFonts w:hint="eastAsia" w:ascii="仿宋" w:hAnsi="仿宋" w:eastAsia="仿宋" w:cs="仿宋"/>
                <w:bCs/>
                <w:color w:val="auto"/>
                <w:sz w:val="24"/>
                <w:szCs w:val="24"/>
                <w:highlight w:val="none"/>
                <w:lang w:eastAsia="en-US"/>
              </w:rPr>
              <w:t>提供</w:t>
            </w:r>
            <w:r>
              <w:rPr>
                <w:rFonts w:hint="eastAsia" w:ascii="仿宋" w:hAnsi="仿宋" w:eastAsia="仿宋" w:cs="仿宋"/>
                <w:bCs/>
                <w:color w:val="auto"/>
                <w:sz w:val="24"/>
                <w:szCs w:val="24"/>
                <w:highlight w:val="none"/>
              </w:rPr>
              <w:t>相关结算材料（如</w:t>
            </w:r>
            <w:r>
              <w:rPr>
                <w:rFonts w:hint="eastAsia" w:ascii="仿宋" w:hAnsi="仿宋" w:eastAsia="仿宋" w:cs="仿宋"/>
                <w:bCs/>
                <w:color w:val="auto"/>
                <w:sz w:val="24"/>
                <w:szCs w:val="24"/>
                <w:highlight w:val="none"/>
                <w:lang w:eastAsia="en-US"/>
              </w:rPr>
              <w:t>发票</w:t>
            </w:r>
            <w:r>
              <w:rPr>
                <w:rFonts w:hint="eastAsia" w:ascii="仿宋" w:hAnsi="仿宋" w:eastAsia="仿宋" w:cs="仿宋"/>
                <w:bCs/>
                <w:color w:val="auto"/>
                <w:sz w:val="24"/>
                <w:szCs w:val="24"/>
                <w:highlight w:val="none"/>
              </w:rPr>
              <w:t>等）。</w:t>
            </w:r>
            <w:r>
              <w:rPr>
                <w:rFonts w:hint="eastAsia" w:ascii="仿宋" w:hAnsi="仿宋" w:eastAsia="仿宋" w:cs="仿宋"/>
                <w:bCs/>
                <w:color w:val="auto"/>
                <w:kern w:val="0"/>
                <w:sz w:val="24"/>
                <w:szCs w:val="24"/>
                <w:highlight w:val="none"/>
                <w:lang w:eastAsia="en-US"/>
              </w:rPr>
              <w:t>如合同履行时间发生变化的，合同价款支付时间经甲乙双方协商后进行调整。</w:t>
            </w:r>
          </w:p>
        </w:tc>
      </w:tr>
    </w:tbl>
    <w:p w14:paraId="7B6E3848">
      <w:pPr>
        <w:spacing w:line="440" w:lineRule="exact"/>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六、其他要求：</w:t>
      </w:r>
    </w:p>
    <w:p w14:paraId="3B2F135D">
      <w:pPr>
        <w:spacing w:line="46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1.本项目采购标的对应的中小企业划分标准所属行业为</w:t>
      </w:r>
      <w:r>
        <w:rPr>
          <w:rFonts w:hint="eastAsia" w:ascii="仿宋" w:hAnsi="仿宋" w:eastAsia="仿宋" w:cs="仿宋"/>
          <w:b/>
          <w:bCs/>
          <w:color w:val="auto"/>
          <w:sz w:val="24"/>
          <w:szCs w:val="24"/>
          <w:highlight w:val="none"/>
        </w:rPr>
        <w:t>其他未列明行业。</w:t>
      </w:r>
    </w:p>
    <w:p w14:paraId="71A02CA9">
      <w:pPr>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2.依据《政府采购促进中小企业发展管理办法》（财库【2020】46号）规定享受扶持政策获得政府采购合同的，小微企业不得将合同分包给大中型企业，中型企业不得将合同分包给大型企业。</w:t>
      </w:r>
    </w:p>
    <w:p w14:paraId="53AD1446">
      <w:pPr>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3.项目实施过程中要求供应商不存在任何侵权问题，如出现侵权造成的法律后果，由供应商负责。项目设计成果及知识产权归项目采购人所有，供应商不得私自使用。</w:t>
      </w:r>
    </w:p>
    <w:p w14:paraId="47C628CB">
      <w:pPr>
        <w:pStyle w:val="17"/>
        <w:rPr>
          <w:color w:val="auto"/>
          <w:highlight w:val="none"/>
        </w:rPr>
      </w:pPr>
    </w:p>
    <w:p w14:paraId="05FA8E34">
      <w:pPr>
        <w:spacing w:line="420" w:lineRule="exact"/>
        <w:ind w:firstLine="420"/>
        <w:jc w:val="center"/>
        <w:rPr>
          <w:rFonts w:ascii="宋体" w:hAnsi="宋体" w:cs="宋体"/>
          <w:b/>
          <w:bCs/>
          <w:i/>
          <w:color w:val="auto"/>
          <w:sz w:val="24"/>
          <w:highlight w:val="none"/>
          <w:u w:val="single"/>
        </w:rPr>
      </w:pPr>
      <w:r>
        <w:rPr>
          <w:rFonts w:hint="eastAsia" w:ascii="仿宋" w:hAnsi="仿宋" w:eastAsia="仿宋" w:cs="仿宋"/>
          <w:color w:val="auto"/>
          <w:sz w:val="24"/>
          <w:highlight w:val="none"/>
        </w:rPr>
        <w:t>本招标文件中带 “▲”的有关技术和商务条款为实质性条款，投标人必须在投标文件中作出实质性响应，否则投标无效。本招标文件中带“★”的条款为重要条款。</w:t>
      </w:r>
    </w:p>
    <w:p w14:paraId="0804F9C6">
      <w:pPr>
        <w:pStyle w:val="23"/>
        <w:ind w:firstLine="422"/>
        <w:rPr>
          <w:color w:val="auto"/>
          <w:highlight w:val="none"/>
        </w:rPr>
      </w:pPr>
    </w:p>
    <w:p w14:paraId="306BD9C3">
      <w:pP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5B7E2BD8">
      <w:pPr>
        <w:spacing w:line="480" w:lineRule="auto"/>
        <w:ind w:firstLine="3092" w:firstLineChars="700"/>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第三章  投标须知</w:t>
      </w:r>
    </w:p>
    <w:p w14:paraId="77252715">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前附表</w:t>
      </w:r>
    </w:p>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8932"/>
      </w:tblGrid>
      <w:tr w14:paraId="173EE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29FFEA0B">
            <w:pPr>
              <w:snapToGrid w:val="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序号</w:t>
            </w:r>
          </w:p>
        </w:tc>
        <w:tc>
          <w:tcPr>
            <w:tcW w:w="4741" w:type="pct"/>
            <w:tcBorders>
              <w:top w:val="single" w:color="auto" w:sz="4" w:space="0"/>
              <w:left w:val="single" w:color="auto" w:sz="4" w:space="0"/>
              <w:bottom w:val="single" w:color="auto" w:sz="4" w:space="0"/>
              <w:right w:val="single" w:color="auto" w:sz="4" w:space="0"/>
            </w:tcBorders>
            <w:noWrap/>
            <w:vAlign w:val="center"/>
          </w:tcPr>
          <w:p w14:paraId="107507F4">
            <w:pPr>
              <w:snapToGrid w:val="0"/>
              <w:ind w:firstLine="3240" w:firstLineChars="1350"/>
              <w:rPr>
                <w:rFonts w:ascii="仿宋" w:hAnsi="仿宋" w:eastAsia="仿宋" w:cs="仿宋"/>
                <w:color w:val="auto"/>
                <w:sz w:val="24"/>
                <w:szCs w:val="20"/>
                <w:highlight w:val="none"/>
              </w:rPr>
            </w:pPr>
            <w:r>
              <w:rPr>
                <w:rFonts w:hint="eastAsia" w:ascii="仿宋" w:hAnsi="仿宋" w:eastAsia="仿宋" w:cs="仿宋"/>
                <w:color w:val="auto"/>
                <w:sz w:val="24"/>
                <w:highlight w:val="none"/>
              </w:rPr>
              <w:t>内容、要求</w:t>
            </w:r>
          </w:p>
        </w:tc>
      </w:tr>
      <w:tr w14:paraId="665BD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60AD983C">
            <w:pPr>
              <w:snapToGrid w:val="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1</w:t>
            </w:r>
          </w:p>
        </w:tc>
        <w:tc>
          <w:tcPr>
            <w:tcW w:w="4741" w:type="pct"/>
            <w:tcBorders>
              <w:top w:val="single" w:color="auto" w:sz="4" w:space="0"/>
              <w:left w:val="single" w:color="auto" w:sz="4" w:space="0"/>
              <w:bottom w:val="single" w:color="auto" w:sz="4" w:space="0"/>
              <w:right w:val="single" w:color="auto" w:sz="4" w:space="0"/>
            </w:tcBorders>
            <w:noWrap/>
            <w:vAlign w:val="center"/>
          </w:tcPr>
          <w:p w14:paraId="144DFDF5">
            <w:pPr>
              <w:snapToGrid w:val="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湖东街道“民生服务”协调处理服务采购项目</w:t>
            </w:r>
          </w:p>
        </w:tc>
      </w:tr>
      <w:tr w14:paraId="31F8C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5EA4F55E">
            <w:pPr>
              <w:snapToGrid w:val="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2</w:t>
            </w:r>
          </w:p>
        </w:tc>
        <w:tc>
          <w:tcPr>
            <w:tcW w:w="4741" w:type="pct"/>
            <w:tcBorders>
              <w:top w:val="single" w:color="auto" w:sz="4" w:space="0"/>
              <w:left w:val="single" w:color="auto" w:sz="4" w:space="0"/>
              <w:bottom w:val="single" w:color="auto" w:sz="4" w:space="0"/>
              <w:right w:val="single" w:color="auto" w:sz="4" w:space="0"/>
            </w:tcBorders>
            <w:noWrap/>
            <w:vAlign w:val="center"/>
          </w:tcPr>
          <w:p w14:paraId="492B2EAA">
            <w:pPr>
              <w:snapToGrid w:val="0"/>
              <w:rPr>
                <w:rFonts w:ascii="仿宋" w:hAnsi="仿宋" w:eastAsia="仿宋" w:cs="仿宋"/>
                <w:color w:val="auto"/>
                <w:sz w:val="24"/>
                <w:szCs w:val="20"/>
                <w:highlight w:val="none"/>
              </w:rPr>
            </w:pPr>
            <w:r>
              <w:rPr>
                <w:rFonts w:hint="eastAsia" w:ascii="仿宋" w:hAnsi="仿宋" w:eastAsia="仿宋" w:cs="仿宋"/>
                <w:color w:val="auto"/>
                <w:sz w:val="24"/>
                <w:highlight w:val="none"/>
              </w:rPr>
              <w:t>采购内容及数量：详见招标需求</w:t>
            </w:r>
          </w:p>
        </w:tc>
      </w:tr>
      <w:tr w14:paraId="7719E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51682544">
            <w:pPr>
              <w:snapToGrid w:val="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3</w:t>
            </w:r>
          </w:p>
        </w:tc>
        <w:tc>
          <w:tcPr>
            <w:tcW w:w="4741" w:type="pct"/>
            <w:tcBorders>
              <w:top w:val="single" w:color="auto" w:sz="4" w:space="0"/>
              <w:left w:val="single" w:color="auto" w:sz="4" w:space="0"/>
              <w:bottom w:val="single" w:color="auto" w:sz="4" w:space="0"/>
              <w:right w:val="single" w:color="auto" w:sz="4" w:space="0"/>
            </w:tcBorders>
            <w:noWrap/>
            <w:vAlign w:val="center"/>
          </w:tcPr>
          <w:p w14:paraId="141649F9">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投标报价及费用：</w:t>
            </w:r>
          </w:p>
          <w:p w14:paraId="7546BD22">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1、本项目投标应以人民币报价；</w:t>
            </w:r>
          </w:p>
          <w:p w14:paraId="1D65705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2、不论投标结果如何，供应商均应自行承担所有与投标有关的全部费用；</w:t>
            </w:r>
          </w:p>
          <w:p w14:paraId="5C215BC3">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3、本项目代理服务费按</w:t>
            </w:r>
            <w:r>
              <w:rPr>
                <w:rFonts w:hint="eastAsia" w:ascii="仿宋" w:hAnsi="仿宋" w:eastAsia="仿宋" w:cs="仿宋"/>
                <w:color w:val="auto"/>
                <w:sz w:val="24"/>
                <w:highlight w:val="none"/>
                <w:lang w:val="en-US" w:eastAsia="zh-CN"/>
              </w:rPr>
              <w:t>8925</w:t>
            </w:r>
            <w:r>
              <w:rPr>
                <w:rFonts w:hint="eastAsia" w:ascii="仿宋" w:hAnsi="仿宋" w:eastAsia="仿宋" w:cs="仿宋"/>
                <w:color w:val="auto"/>
                <w:sz w:val="24"/>
                <w:highlight w:val="none"/>
              </w:rPr>
              <w:t>向中标供应商收取。</w:t>
            </w:r>
          </w:p>
          <w:p w14:paraId="7F2894D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lang w:eastAsia="zh-CN"/>
              </w:rPr>
              <w:t>湖州泓达工程管理咨询有限公司</w:t>
            </w:r>
          </w:p>
          <w:p w14:paraId="5090104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开户银行：湖州银行股份有限公司湖东小微综合支行</w:t>
            </w:r>
          </w:p>
          <w:p w14:paraId="64293AF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银行账号：811000010486</w:t>
            </w:r>
          </w:p>
          <w:p w14:paraId="7B9A15F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采购代理服务费缴纳凭证将作为采购人合同付款和验收的前提条件，中标供应商未按公开招标采购文件规定和投标文件投标时承诺缴纳采购代理服务费的，合同款不予支付、合同验收不予通过。</w:t>
            </w:r>
          </w:p>
        </w:tc>
      </w:tr>
      <w:tr w14:paraId="7614D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6C2B376D">
            <w:pPr>
              <w:snapToGrid w:val="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4</w:t>
            </w:r>
          </w:p>
        </w:tc>
        <w:tc>
          <w:tcPr>
            <w:tcW w:w="4741" w:type="pct"/>
            <w:tcBorders>
              <w:top w:val="single" w:color="auto" w:sz="4" w:space="0"/>
              <w:left w:val="single" w:color="auto" w:sz="4" w:space="0"/>
              <w:bottom w:val="single" w:color="auto" w:sz="4" w:space="0"/>
              <w:right w:val="single" w:color="auto" w:sz="4" w:space="0"/>
            </w:tcBorders>
            <w:noWrap/>
            <w:vAlign w:val="center"/>
          </w:tcPr>
          <w:p w14:paraId="353BE280">
            <w:pPr>
              <w:snapToGrid w:val="0"/>
              <w:rPr>
                <w:rFonts w:ascii="仿宋" w:hAnsi="仿宋" w:eastAsia="仿宋" w:cs="仿宋"/>
                <w:color w:val="auto"/>
                <w:sz w:val="24"/>
                <w:szCs w:val="20"/>
                <w:highlight w:val="none"/>
              </w:rPr>
            </w:pPr>
            <w:r>
              <w:rPr>
                <w:rFonts w:hint="eastAsia" w:ascii="仿宋" w:hAnsi="仿宋" w:eastAsia="仿宋" w:cs="仿宋"/>
                <w:color w:val="auto"/>
                <w:sz w:val="24"/>
                <w:highlight w:val="none"/>
              </w:rPr>
              <w:t>答疑与澄清：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组织机构将在规定的时间内统一进行澄清和修改，并以电子邮件形式通知所有认购公开招标采购文件的供应商。供应商未按规定要求提出的，则视同认可公开招标采购文件，但法律法规及规范性文件有明确规定的除外。</w:t>
            </w:r>
          </w:p>
        </w:tc>
      </w:tr>
      <w:tr w14:paraId="0B0DA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6E40AF77">
            <w:pPr>
              <w:snapToGrid w:val="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5</w:t>
            </w:r>
          </w:p>
        </w:tc>
        <w:tc>
          <w:tcPr>
            <w:tcW w:w="4741" w:type="pct"/>
            <w:tcBorders>
              <w:top w:val="single" w:color="auto" w:sz="4" w:space="0"/>
              <w:left w:val="single" w:color="auto" w:sz="4" w:space="0"/>
              <w:bottom w:val="single" w:color="auto" w:sz="4" w:space="0"/>
              <w:right w:val="single" w:color="auto" w:sz="4" w:space="0"/>
            </w:tcBorders>
            <w:noWrap/>
            <w:vAlign w:val="center"/>
          </w:tcPr>
          <w:p w14:paraId="457A5135">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采购预算：</w:t>
            </w:r>
            <w:r>
              <w:rPr>
                <w:rFonts w:hint="eastAsia" w:ascii="仿宋" w:hAnsi="仿宋" w:eastAsia="仿宋" w:cs="仿宋"/>
                <w:color w:val="auto"/>
                <w:sz w:val="24"/>
                <w:highlight w:val="none"/>
                <w:lang w:val="en-US" w:eastAsia="zh-CN"/>
              </w:rPr>
              <w:t>85</w:t>
            </w:r>
            <w:r>
              <w:rPr>
                <w:rFonts w:hint="eastAsia" w:ascii="仿宋" w:hAnsi="仿宋" w:eastAsia="仿宋" w:cs="仿宋"/>
                <w:color w:val="auto"/>
                <w:sz w:val="24"/>
                <w:highlight w:val="none"/>
              </w:rPr>
              <w:t>万元</w:t>
            </w:r>
            <w:r>
              <w:rPr>
                <w:rFonts w:hint="eastAsia" w:ascii="仿宋" w:hAnsi="仿宋" w:eastAsia="仿宋" w:cs="仿宋"/>
                <w:b/>
                <w:color w:val="auto"/>
                <w:sz w:val="24"/>
                <w:highlight w:val="none"/>
              </w:rPr>
              <w:t>；</w:t>
            </w:r>
          </w:p>
        </w:tc>
      </w:tr>
      <w:tr w14:paraId="654E5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142B4226">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741" w:type="pct"/>
            <w:tcBorders>
              <w:top w:val="single" w:color="auto" w:sz="4" w:space="0"/>
              <w:left w:val="single" w:color="auto" w:sz="4" w:space="0"/>
              <w:bottom w:val="single" w:color="auto" w:sz="4" w:space="0"/>
              <w:right w:val="single" w:color="auto" w:sz="4" w:space="0"/>
            </w:tcBorders>
            <w:noWrap/>
            <w:vAlign w:val="center"/>
          </w:tcPr>
          <w:p w14:paraId="3664291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投标文件组成：</w:t>
            </w:r>
          </w:p>
          <w:p w14:paraId="2A83F14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(1)投标文件组成：资格文件、技术商务资信及其他文件、报价文件。</w:t>
            </w:r>
          </w:p>
          <w:p w14:paraId="0DA85E3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(2)投标文件编制：</w:t>
            </w:r>
          </w:p>
          <w:p w14:paraId="7C1A1979">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供应商应先安装“政采云电子交易客户端”，并按照本采购文件和“政采云平台”的要求，通过“政采云电子交易客户端”编制并加密投标文件。</w:t>
            </w:r>
          </w:p>
          <w:p w14:paraId="1B51716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(3)投标文件的形式：</w:t>
            </w:r>
          </w:p>
          <w:p w14:paraId="15B3C58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电子投标文件：（“电子加密投标文件”，允许供应商提供“备份投标文件”，在投标文件编制完成后同时生成）。</w:t>
            </w:r>
          </w:p>
          <w:p w14:paraId="5CA6485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(4)投标文件份数：</w:t>
            </w:r>
          </w:p>
          <w:p w14:paraId="75653A33">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“电子加密投标文件”：在线上传递交一份；允许投标人递交备份投标文件，仅提交备份投标文件的，投标无效。</w:t>
            </w:r>
          </w:p>
        </w:tc>
      </w:tr>
      <w:tr w14:paraId="784E5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754D414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4741" w:type="pct"/>
            <w:tcBorders>
              <w:top w:val="single" w:color="auto" w:sz="4" w:space="0"/>
              <w:left w:val="single" w:color="auto" w:sz="4" w:space="0"/>
              <w:bottom w:val="single" w:color="auto" w:sz="4" w:space="0"/>
              <w:right w:val="single" w:color="auto" w:sz="4" w:space="0"/>
            </w:tcBorders>
            <w:noWrap/>
            <w:vAlign w:val="center"/>
          </w:tcPr>
          <w:p w14:paraId="4A85F712">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投标文件编制：供应商应先安装“政采云电子交易客户端”，并按照公开招标采购文件和“政府采购云平台”的要求，通过“政采云电子交易客户端”编制并加密投标文件。</w:t>
            </w:r>
          </w:p>
          <w:p w14:paraId="716C328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投标文件签章：电子签章，按公开招标采购文件标注的要求进行盖章、签署（电子签章）。</w:t>
            </w:r>
          </w:p>
        </w:tc>
      </w:tr>
      <w:tr w14:paraId="1BA81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3702E8A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4741" w:type="pct"/>
            <w:tcBorders>
              <w:top w:val="single" w:color="auto" w:sz="4" w:space="0"/>
              <w:left w:val="single" w:color="auto" w:sz="4" w:space="0"/>
              <w:bottom w:val="single" w:color="auto" w:sz="4" w:space="0"/>
              <w:right w:val="single" w:color="auto" w:sz="4" w:space="0"/>
            </w:tcBorders>
            <w:noWrap/>
            <w:vAlign w:val="center"/>
          </w:tcPr>
          <w:p w14:paraId="16DA50B5">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投标文件的份数：“电子加密投标文件”在线上传递交一份。</w:t>
            </w:r>
          </w:p>
          <w:p w14:paraId="153A3C76">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投标文件的形式：电子加密投标文件（即“电子加密投标文件”[文件格式.jmbs]）；</w:t>
            </w:r>
          </w:p>
          <w:p w14:paraId="4A3AA315">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注：“电子加密投标文件”是指通过“政采云电子交易客户端”完成投标文件编制后生成并加密的数据电文形式的投标文件。</w:t>
            </w:r>
          </w:p>
        </w:tc>
      </w:tr>
      <w:tr w14:paraId="533AB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3F6BF01C">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4741" w:type="pct"/>
            <w:tcBorders>
              <w:top w:val="single" w:color="auto" w:sz="4" w:space="0"/>
              <w:left w:val="single" w:color="auto" w:sz="4" w:space="0"/>
              <w:bottom w:val="single" w:color="auto" w:sz="4" w:space="0"/>
              <w:right w:val="single" w:color="auto" w:sz="4" w:space="0"/>
            </w:tcBorders>
            <w:noWrap/>
            <w:vAlign w:val="center"/>
          </w:tcPr>
          <w:p w14:paraId="4FD3552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备份投标文件形式：备份投标文件（即“备份投标文件” [文件格式.bfbs]）；</w:t>
            </w:r>
          </w:p>
          <w:p w14:paraId="355BA5C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注：“备份投标文件”是指与“电子加密投标文件”同时生成的数据电文形式的未加密的电子文件（备份标书），其他方式编制的备份投标文件视为无效备份投标文件。</w:t>
            </w:r>
          </w:p>
        </w:tc>
      </w:tr>
      <w:tr w14:paraId="1A025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7E72454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4741" w:type="pct"/>
            <w:tcBorders>
              <w:top w:val="single" w:color="auto" w:sz="4" w:space="0"/>
              <w:left w:val="single" w:color="auto" w:sz="4" w:space="0"/>
              <w:bottom w:val="single" w:color="auto" w:sz="4" w:space="0"/>
              <w:right w:val="single" w:color="auto" w:sz="4" w:space="0"/>
            </w:tcBorders>
            <w:noWrap/>
            <w:vAlign w:val="center"/>
          </w:tcPr>
          <w:p w14:paraId="7170738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投标文件的上传和递交：“电子加密投标文件”的上传、递交：</w:t>
            </w:r>
          </w:p>
          <w:p w14:paraId="32319EE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（1）投标供应商应在投标截止时间前将“电子加密投标文件”成功上传递交至“政府采购云平台”，否则投标无效。</w:t>
            </w:r>
          </w:p>
          <w:p w14:paraId="4FFE6DF6">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（2）“电子加密投标文件”成功上传递交后，投标供应商可自行打印投标文件接收回执。</w:t>
            </w:r>
          </w:p>
          <w:p w14:paraId="52F22A84">
            <w:pPr>
              <w:snapToGrid w:val="0"/>
              <w:rPr>
                <w:rFonts w:ascii="仿宋" w:hAnsi="仿宋" w:eastAsia="仿宋" w:cs="仿宋"/>
                <w:bCs/>
                <w:color w:val="auto"/>
                <w:sz w:val="24"/>
                <w:highlight w:val="none"/>
              </w:rPr>
            </w:pPr>
            <w:r>
              <w:rPr>
                <w:rFonts w:hint="eastAsia" w:ascii="仿宋" w:hAnsi="仿宋" w:eastAsia="仿宋" w:cs="仿宋"/>
                <w:color w:val="auto"/>
                <w:sz w:val="24"/>
                <w:highlight w:val="none"/>
              </w:rPr>
              <w:t>（3）通过“政府采购云平台”成功上传递交的“电子加密投标文件”应按时解密。</w:t>
            </w:r>
          </w:p>
        </w:tc>
      </w:tr>
      <w:tr w14:paraId="4C435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560BF202">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4741" w:type="pct"/>
            <w:tcBorders>
              <w:top w:val="single" w:color="auto" w:sz="4" w:space="0"/>
              <w:left w:val="single" w:color="auto" w:sz="4" w:space="0"/>
              <w:bottom w:val="single" w:color="auto" w:sz="4" w:space="0"/>
              <w:right w:val="single" w:color="auto" w:sz="4" w:space="0"/>
            </w:tcBorders>
            <w:noWrap/>
            <w:vAlign w:val="center"/>
          </w:tcPr>
          <w:p w14:paraId="77047442">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“备份投标文件”的密封包装、递交（自愿决定是否邮寄）：</w:t>
            </w:r>
          </w:p>
          <w:p w14:paraId="0F2BA7E5">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（1）投标供应商在“政府采购云平台”完成“电子加密投标文件”的上传递交后，还可以在投标截止时间前另行递交以介质</w:t>
            </w:r>
            <w:r>
              <w:rPr>
                <w:rFonts w:hint="eastAsia" w:ascii="仿宋" w:hAnsi="仿宋" w:eastAsia="仿宋" w:cs="仿宋"/>
                <w:bCs/>
                <w:color w:val="auto"/>
                <w:sz w:val="24"/>
                <w:highlight w:val="none"/>
              </w:rPr>
              <w:t>存储</w:t>
            </w:r>
            <w:r>
              <w:rPr>
                <w:rFonts w:hint="eastAsia" w:ascii="仿宋" w:hAnsi="仿宋" w:eastAsia="仿宋" w:cs="仿宋"/>
                <w:color w:val="auto"/>
                <w:sz w:val="24"/>
                <w:highlight w:val="none"/>
              </w:rPr>
              <w:t>（U盘）的</w:t>
            </w:r>
            <w:r>
              <w:rPr>
                <w:rFonts w:hint="eastAsia" w:ascii="仿宋" w:hAnsi="仿宋" w:eastAsia="仿宋" w:cs="仿宋"/>
                <w:bCs/>
                <w:color w:val="auto"/>
                <w:sz w:val="24"/>
                <w:highlight w:val="none"/>
              </w:rPr>
              <w:t>数据电文形式</w:t>
            </w:r>
            <w:r>
              <w:rPr>
                <w:rFonts w:hint="eastAsia" w:ascii="仿宋" w:hAnsi="仿宋" w:eastAsia="仿宋" w:cs="仿宋"/>
                <w:color w:val="auto"/>
                <w:sz w:val="24"/>
                <w:highlight w:val="none"/>
              </w:rPr>
              <w:t>的“备份投标文件”（一份）。</w:t>
            </w:r>
          </w:p>
          <w:p w14:paraId="28EE7E9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（2）“备份投标文件”应当密封包装，并在包装上标注投标项目名称、投标单位名称并加盖公章。没有密封包装或者逾期送达至指定地点的“备份投标文件”将不予接收。</w:t>
            </w:r>
          </w:p>
          <w:p w14:paraId="0D6A59CE">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（3）通过“政府采购云平台”成功上传递交的“电子加密投标文件”且按时解密的，“备份投标文件”自动失效。</w:t>
            </w:r>
          </w:p>
          <w:p w14:paraId="2D2FF76A">
            <w:pPr>
              <w:snapToGrid w:val="0"/>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“备份响应文件”（U盘）可以通过邮寄方式或当面递交方式送达（如邮寄则须统一采用EMS）</w:t>
            </w:r>
          </w:p>
          <w:p w14:paraId="754C9F19">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1、“备份响应文件”（U盘）邮寄及当面递交截止时间：投标供应商应于开标前一个工作日内下午17:00时前准时送达，逾期不予受理。投标供应商须留足邮寄、当面递交时间,确保“备份响应文件”（U盘）于规定的时间前送达指定地点，未按时送达的，均按未提供处理。</w:t>
            </w:r>
          </w:p>
          <w:p w14:paraId="7729D0B5">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“备份响应文件”邮寄、递交地址：</w:t>
            </w:r>
            <w:r>
              <w:rPr>
                <w:rFonts w:hint="eastAsia" w:ascii="仿宋" w:hAnsi="仿宋" w:eastAsia="仿宋" w:cs="仿宋"/>
                <w:color w:val="auto"/>
                <w:sz w:val="24"/>
                <w:highlight w:val="none"/>
                <w:lang w:eastAsia="zh-CN"/>
              </w:rPr>
              <w:t>湖州泓达工程管理咨询有限公司【</w:t>
            </w:r>
            <w:r>
              <w:rPr>
                <w:rFonts w:hint="eastAsia" w:ascii="仿宋" w:hAnsi="仿宋" w:eastAsia="仿宋" w:cs="仿宋"/>
                <w:color w:val="000000"/>
                <w:kern w:val="0"/>
                <w:sz w:val="24"/>
                <w:lang w:eastAsia="zh-CN"/>
              </w:rPr>
              <w:t>湖州市吴兴区八里店镇戴山路1888号吴兴科技创业园B幢5楼（八里店镇政府内）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高婧靓</w:t>
            </w:r>
            <w:r>
              <w:rPr>
                <w:rFonts w:hint="eastAsia" w:ascii="仿宋" w:hAnsi="仿宋" w:eastAsia="仿宋" w:cs="仿宋"/>
                <w:color w:val="auto"/>
                <w:sz w:val="24"/>
                <w:highlight w:val="none"/>
              </w:rPr>
              <w:t>，联系电话：0572-20</w:t>
            </w:r>
            <w:r>
              <w:rPr>
                <w:rFonts w:hint="eastAsia" w:ascii="仿宋" w:hAnsi="仿宋" w:eastAsia="仿宋" w:cs="仿宋"/>
                <w:color w:val="auto"/>
                <w:sz w:val="24"/>
                <w:highlight w:val="none"/>
                <w:lang w:val="en-US" w:eastAsia="zh-CN"/>
              </w:rPr>
              <w:t>68728</w:t>
            </w:r>
            <w:r>
              <w:rPr>
                <w:rFonts w:hint="eastAsia" w:ascii="仿宋" w:hAnsi="仿宋" w:eastAsia="仿宋" w:cs="仿宋"/>
                <w:color w:val="auto"/>
                <w:sz w:val="24"/>
                <w:highlight w:val="none"/>
              </w:rPr>
              <w:t>。</w:t>
            </w:r>
          </w:p>
        </w:tc>
      </w:tr>
      <w:tr w14:paraId="2F4B8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1DDC8D7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4741" w:type="pct"/>
            <w:tcBorders>
              <w:top w:val="single" w:color="auto" w:sz="4" w:space="0"/>
              <w:left w:val="single" w:color="auto" w:sz="4" w:space="0"/>
              <w:bottom w:val="single" w:color="auto" w:sz="4" w:space="0"/>
              <w:right w:val="single" w:color="auto" w:sz="4" w:space="0"/>
            </w:tcBorders>
            <w:noWrap/>
            <w:vAlign w:val="center"/>
          </w:tcPr>
          <w:p w14:paraId="431A37A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电子加密投标文件的解密和异常情况处理：</w:t>
            </w:r>
          </w:p>
          <w:p w14:paraId="3A808FED">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1）开标会议开始后，采购组织机构将向各投标供应商发出“电子加密投标文件”的解密通知，各投标供应商代表应当在接到解密通知后30分钟内自行完成“电子加密投标文件”的在线解密。若正常解密成功，则“备份投标文件”不予开启。在下一顺位的投标文件启用时，前一顺位的投标自动失效。 </w:t>
            </w:r>
          </w:p>
          <w:p w14:paraId="59E940F9">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2）通过“政府采购云平台”成功上传递交的“电子加密投标文件”无法按时解密，视为投标文件撤回。投标供应商如额外递交了“备份投标文件”的，以“备份投标文件”为依据（由采购组织机构按“政府采购云平台”操作规范将“备份投标文件”上传至“政府采购云平台”，上传成功后，“电子加密投标文件”自动失效），否则视为投标文件撤回。因投标供应商自身原因造成“备份投标文件”无法打开的，作无效标处理。</w:t>
            </w:r>
          </w:p>
          <w:p w14:paraId="7659148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（3）投标截止时间前，投标供应商仅递交了“备份投标文件”而未将“电子加密投标文件”成功上传至“政府采购云平台”的，投标无效。</w:t>
            </w:r>
          </w:p>
        </w:tc>
      </w:tr>
      <w:tr w14:paraId="4A4A7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48D81D9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4741" w:type="pct"/>
            <w:tcBorders>
              <w:top w:val="single" w:color="auto" w:sz="4" w:space="0"/>
              <w:left w:val="single" w:color="auto" w:sz="4" w:space="0"/>
              <w:bottom w:val="single" w:color="auto" w:sz="4" w:space="0"/>
              <w:right w:val="single" w:color="auto" w:sz="4" w:space="0"/>
            </w:tcBorders>
            <w:noWrap/>
            <w:vAlign w:val="center"/>
          </w:tcPr>
          <w:p w14:paraId="359F952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开标时间与地点：以公开招标采购公告为准 </w:t>
            </w:r>
          </w:p>
        </w:tc>
      </w:tr>
      <w:tr w14:paraId="53C6C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4204D2E8">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4741" w:type="pct"/>
            <w:tcBorders>
              <w:top w:val="single" w:color="auto" w:sz="4" w:space="0"/>
              <w:left w:val="single" w:color="auto" w:sz="4" w:space="0"/>
              <w:bottom w:val="single" w:color="auto" w:sz="4" w:space="0"/>
              <w:right w:val="single" w:color="auto" w:sz="4" w:space="0"/>
            </w:tcBorders>
            <w:noWrap/>
            <w:vAlign w:val="center"/>
          </w:tcPr>
          <w:p w14:paraId="71E3319C">
            <w:pPr>
              <w:autoSpaceDE w:val="0"/>
              <w:autoSpaceDN w:val="0"/>
              <w:snapToGrid w:val="0"/>
              <w:textAlignment w:val="bottom"/>
              <w:rPr>
                <w:rFonts w:ascii="仿宋" w:hAnsi="仿宋" w:eastAsia="仿宋" w:cs="仿宋"/>
                <w:color w:val="auto"/>
                <w:sz w:val="24"/>
                <w:szCs w:val="20"/>
                <w:highlight w:val="none"/>
              </w:rPr>
            </w:pPr>
            <w:r>
              <w:rPr>
                <w:rFonts w:hint="eastAsia" w:ascii="仿宋" w:hAnsi="仿宋" w:eastAsia="仿宋" w:cs="仿宋"/>
                <w:color w:val="auto"/>
                <w:sz w:val="24"/>
                <w:highlight w:val="none"/>
              </w:rPr>
              <w:t>评标办法：附后</w:t>
            </w:r>
          </w:p>
        </w:tc>
      </w:tr>
      <w:tr w14:paraId="19B44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708BBF0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4741" w:type="pct"/>
            <w:tcBorders>
              <w:top w:val="single" w:color="auto" w:sz="4" w:space="0"/>
              <w:left w:val="single" w:color="auto" w:sz="4" w:space="0"/>
              <w:bottom w:val="single" w:color="auto" w:sz="4" w:space="0"/>
              <w:right w:val="single" w:color="auto" w:sz="4" w:space="0"/>
            </w:tcBorders>
            <w:noWrap/>
            <w:vAlign w:val="center"/>
          </w:tcPr>
          <w:p w14:paraId="6C8600DF">
            <w:pPr>
              <w:autoSpaceDE w:val="0"/>
              <w:autoSpaceDN w:val="0"/>
              <w:snapToGrid w:val="0"/>
              <w:jc w:val="lef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中标结果公示：开评标结束后2天内，中标结果公示于：</w:t>
            </w:r>
          </w:p>
          <w:p w14:paraId="3B3AE8D7">
            <w:pPr>
              <w:autoSpaceDE w:val="0"/>
              <w:autoSpaceDN w:val="0"/>
              <w:snapToGrid w:val="0"/>
              <w:jc w:val="lef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浙江省政府采购网 （http://zfcg.czt.zj.gov.cn/）；</w:t>
            </w:r>
          </w:p>
          <w:p w14:paraId="712D6AF6">
            <w:pPr>
              <w:autoSpaceDE w:val="0"/>
              <w:autoSpaceDN w:val="0"/>
              <w:snapToGrid w:val="0"/>
              <w:jc w:val="left"/>
              <w:textAlignment w:val="bottom"/>
              <w:rPr>
                <w:rFonts w:ascii="仿宋" w:hAnsi="仿宋" w:eastAsia="仿宋" w:cs="仿宋"/>
                <w:color w:val="auto"/>
                <w:spacing w:val="-20"/>
                <w:sz w:val="24"/>
                <w:highlight w:val="none"/>
              </w:rPr>
            </w:pPr>
            <w:r>
              <w:rPr>
                <w:rFonts w:hint="eastAsia" w:ascii="仿宋" w:hAnsi="仿宋" w:eastAsia="仿宋" w:cs="仿宋"/>
                <w:color w:val="auto"/>
                <w:sz w:val="24"/>
                <w:highlight w:val="none"/>
              </w:rPr>
              <w:t>湖州市公共资源交易中心  （http://ggzy.huzhou.gov.cn/）；</w:t>
            </w:r>
          </w:p>
        </w:tc>
      </w:tr>
      <w:tr w14:paraId="3608A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456B277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4741" w:type="pct"/>
            <w:tcBorders>
              <w:top w:val="single" w:color="auto" w:sz="4" w:space="0"/>
              <w:left w:val="single" w:color="auto" w:sz="4" w:space="0"/>
              <w:bottom w:val="single" w:color="auto" w:sz="4" w:space="0"/>
              <w:right w:val="single" w:color="auto" w:sz="4" w:space="0"/>
            </w:tcBorders>
            <w:noWrap/>
            <w:vAlign w:val="center"/>
          </w:tcPr>
          <w:p w14:paraId="467636CE">
            <w:pPr>
              <w:autoSpaceDE w:val="0"/>
              <w:autoSpaceDN w:val="0"/>
              <w:snapToGrid w:val="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《中标通知书》：公示结束无疑义后，向中标供应商发出《中标通知书》。</w:t>
            </w:r>
          </w:p>
        </w:tc>
      </w:tr>
      <w:tr w14:paraId="26A11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470F7BD3">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4741" w:type="pct"/>
            <w:tcBorders>
              <w:top w:val="single" w:color="auto" w:sz="4" w:space="0"/>
              <w:left w:val="single" w:color="auto" w:sz="4" w:space="0"/>
              <w:bottom w:val="single" w:color="auto" w:sz="4" w:space="0"/>
              <w:right w:val="single" w:color="auto" w:sz="4" w:space="0"/>
            </w:tcBorders>
            <w:noWrap/>
            <w:vAlign w:val="center"/>
          </w:tcPr>
          <w:p w14:paraId="0FF850CA">
            <w:pPr>
              <w:autoSpaceDE w:val="0"/>
              <w:autoSpaceDN w:val="0"/>
              <w:snapToGrid w:val="0"/>
              <w:textAlignment w:val="bottom"/>
              <w:rPr>
                <w:rFonts w:ascii="仿宋" w:hAnsi="仿宋" w:eastAsia="仿宋" w:cs="仿宋"/>
                <w:color w:val="auto"/>
                <w:sz w:val="24"/>
                <w:szCs w:val="20"/>
                <w:highlight w:val="none"/>
              </w:rPr>
            </w:pPr>
            <w:r>
              <w:rPr>
                <w:rFonts w:hint="eastAsia" w:ascii="仿宋" w:hAnsi="仿宋" w:eastAsia="仿宋" w:cs="仿宋"/>
                <w:color w:val="auto"/>
                <w:sz w:val="24"/>
                <w:highlight w:val="none"/>
              </w:rPr>
              <w:t>签订合同时间：《中标通知书》发出后30日内</w:t>
            </w:r>
          </w:p>
        </w:tc>
      </w:tr>
      <w:tr w14:paraId="78DF0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2575B907">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4741" w:type="pct"/>
            <w:tcBorders>
              <w:top w:val="single" w:color="auto" w:sz="4" w:space="0"/>
              <w:left w:val="single" w:color="auto" w:sz="4" w:space="0"/>
              <w:bottom w:val="single" w:color="auto" w:sz="4" w:space="0"/>
              <w:right w:val="single" w:color="auto" w:sz="4" w:space="0"/>
            </w:tcBorders>
            <w:noWrap/>
            <w:vAlign w:val="center"/>
          </w:tcPr>
          <w:p w14:paraId="1D0AC484">
            <w:pPr>
              <w:autoSpaceDE w:val="0"/>
              <w:autoSpaceDN w:val="0"/>
              <w:snapToGrid w:val="0"/>
              <w:textAlignment w:val="bottom"/>
              <w:rPr>
                <w:rFonts w:ascii="仿宋" w:hAnsi="仿宋" w:eastAsia="仿宋" w:cs="仿宋"/>
                <w:color w:val="auto"/>
                <w:sz w:val="24"/>
                <w:szCs w:val="20"/>
                <w:highlight w:val="none"/>
              </w:rPr>
            </w:pPr>
            <w:r>
              <w:rPr>
                <w:rFonts w:hint="eastAsia" w:ascii="仿宋" w:hAnsi="仿宋" w:eastAsia="仿宋" w:cs="仿宋"/>
                <w:color w:val="auto"/>
                <w:sz w:val="24"/>
                <w:highlight w:val="none"/>
              </w:rPr>
              <w:t>履约保证金的收取及退还:无</w:t>
            </w:r>
          </w:p>
        </w:tc>
      </w:tr>
      <w:tr w14:paraId="0C32F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3A92284D">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4741" w:type="pct"/>
            <w:tcBorders>
              <w:top w:val="single" w:color="auto" w:sz="4" w:space="0"/>
              <w:left w:val="single" w:color="auto" w:sz="4" w:space="0"/>
              <w:bottom w:val="single" w:color="auto" w:sz="4" w:space="0"/>
              <w:right w:val="single" w:color="auto" w:sz="4" w:space="0"/>
            </w:tcBorders>
            <w:noWrap/>
            <w:vAlign w:val="center"/>
          </w:tcPr>
          <w:p w14:paraId="0A8D0B66">
            <w:pPr>
              <w:autoSpaceDE w:val="0"/>
              <w:autoSpaceDN w:val="0"/>
              <w:snapToGrid w:val="0"/>
              <w:textAlignment w:val="bottom"/>
              <w:rPr>
                <w:rFonts w:ascii="仿宋" w:hAnsi="仿宋" w:eastAsia="仿宋" w:cs="仿宋"/>
                <w:color w:val="auto"/>
                <w:sz w:val="24"/>
                <w:szCs w:val="20"/>
                <w:highlight w:val="none"/>
              </w:rPr>
            </w:pPr>
            <w:r>
              <w:rPr>
                <w:rFonts w:hint="eastAsia" w:ascii="仿宋" w:hAnsi="仿宋" w:eastAsia="仿宋" w:cs="仿宋"/>
                <w:color w:val="auto"/>
                <w:sz w:val="24"/>
                <w:highlight w:val="none"/>
              </w:rPr>
              <w:t>采购资金来源：财政资金。</w:t>
            </w:r>
          </w:p>
        </w:tc>
      </w:tr>
      <w:tr w14:paraId="71EDE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05969C86">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4741" w:type="pct"/>
            <w:tcBorders>
              <w:top w:val="single" w:color="auto" w:sz="4" w:space="0"/>
              <w:left w:val="single" w:color="auto" w:sz="4" w:space="0"/>
              <w:bottom w:val="single" w:color="auto" w:sz="4" w:space="0"/>
              <w:right w:val="single" w:color="auto" w:sz="4" w:space="0"/>
            </w:tcBorders>
            <w:noWrap/>
            <w:vAlign w:val="center"/>
          </w:tcPr>
          <w:p w14:paraId="19CBF5EF">
            <w:pPr>
              <w:snapToGrid w:val="0"/>
              <w:rPr>
                <w:rFonts w:ascii="仿宋" w:hAnsi="仿宋" w:eastAsia="仿宋" w:cs="仿宋"/>
                <w:color w:val="auto"/>
                <w:sz w:val="24"/>
                <w:szCs w:val="20"/>
                <w:highlight w:val="none"/>
              </w:rPr>
            </w:pPr>
            <w:r>
              <w:rPr>
                <w:rFonts w:hint="eastAsia" w:ascii="仿宋" w:hAnsi="仿宋" w:eastAsia="仿宋" w:cs="仿宋"/>
                <w:color w:val="auto"/>
                <w:sz w:val="24"/>
                <w:highlight w:val="none"/>
              </w:rPr>
              <w:t>付款方式：详见公开招标采购文件。</w:t>
            </w:r>
          </w:p>
        </w:tc>
      </w:tr>
      <w:tr w14:paraId="15919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65557AC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4741" w:type="pct"/>
            <w:tcBorders>
              <w:top w:val="single" w:color="auto" w:sz="4" w:space="0"/>
              <w:left w:val="single" w:color="auto" w:sz="4" w:space="0"/>
              <w:bottom w:val="single" w:color="auto" w:sz="4" w:space="0"/>
              <w:right w:val="single" w:color="auto" w:sz="4" w:space="0"/>
            </w:tcBorders>
            <w:noWrap/>
            <w:vAlign w:val="center"/>
          </w:tcPr>
          <w:p w14:paraId="485E842F">
            <w:pPr>
              <w:snapToGrid w:val="0"/>
              <w:rPr>
                <w:rFonts w:ascii="仿宋" w:hAnsi="仿宋" w:eastAsia="仿宋" w:cs="仿宋"/>
                <w:color w:val="auto"/>
                <w:sz w:val="24"/>
                <w:szCs w:val="20"/>
                <w:highlight w:val="none"/>
              </w:rPr>
            </w:pPr>
            <w:r>
              <w:rPr>
                <w:rFonts w:hint="eastAsia" w:ascii="仿宋" w:hAnsi="仿宋" w:eastAsia="仿宋" w:cs="仿宋"/>
                <w:color w:val="auto"/>
                <w:sz w:val="24"/>
                <w:highlight w:val="none"/>
              </w:rPr>
              <w:t>投标文件有效期：</w:t>
            </w:r>
            <w:r>
              <w:rPr>
                <w:rFonts w:hint="eastAsia" w:ascii="仿宋" w:hAnsi="仿宋" w:eastAsia="仿宋" w:cs="仿宋"/>
                <w:color w:val="auto"/>
                <w:sz w:val="24"/>
                <w:highlight w:val="none"/>
                <w:u w:val="single"/>
              </w:rPr>
              <w:t>90</w:t>
            </w:r>
            <w:r>
              <w:rPr>
                <w:rFonts w:hint="eastAsia" w:ascii="仿宋" w:hAnsi="仿宋" w:eastAsia="仿宋" w:cs="仿宋"/>
                <w:color w:val="auto"/>
                <w:sz w:val="24"/>
                <w:highlight w:val="none"/>
              </w:rPr>
              <w:t>天</w:t>
            </w:r>
          </w:p>
        </w:tc>
      </w:tr>
      <w:tr w14:paraId="4A8CA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7FCB2D92">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4741" w:type="pct"/>
            <w:tcBorders>
              <w:top w:val="single" w:color="auto" w:sz="4" w:space="0"/>
              <w:left w:val="single" w:color="auto" w:sz="4" w:space="0"/>
              <w:bottom w:val="single" w:color="auto" w:sz="4" w:space="0"/>
              <w:right w:val="single" w:color="auto" w:sz="4" w:space="0"/>
            </w:tcBorders>
            <w:noWrap/>
            <w:vAlign w:val="center"/>
          </w:tcPr>
          <w:p w14:paraId="06DAAEB4">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解释：本公开招标采购文件的解释权属于招标采购单位</w:t>
            </w:r>
          </w:p>
        </w:tc>
      </w:tr>
      <w:tr w14:paraId="5B028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5F1BD263">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4741" w:type="pct"/>
            <w:tcBorders>
              <w:top w:val="single" w:color="auto" w:sz="4" w:space="0"/>
              <w:left w:val="single" w:color="auto" w:sz="4" w:space="0"/>
              <w:bottom w:val="single" w:color="auto" w:sz="4" w:space="0"/>
              <w:right w:val="single" w:color="auto" w:sz="4" w:space="0"/>
            </w:tcBorders>
            <w:noWrap/>
            <w:vAlign w:val="center"/>
          </w:tcPr>
          <w:p w14:paraId="603AB64D">
            <w:pPr>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在确定中标供应商后，签订合同前，中标供应商须提供两份完整的纸质投标文件给采购人和代理机构，纸质投标文件须与电子投标文件格式及内容一致。</w:t>
            </w:r>
          </w:p>
        </w:tc>
      </w:tr>
    </w:tbl>
    <w:p w14:paraId="5ACD0285">
      <w:pPr>
        <w:spacing w:line="360" w:lineRule="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一、说  明</w:t>
      </w:r>
    </w:p>
    <w:p w14:paraId="5B74659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（一）总则</w:t>
      </w:r>
    </w:p>
    <w:p w14:paraId="408E3791">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6694A4E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采购文件适用于</w:t>
      </w:r>
      <w:r>
        <w:rPr>
          <w:rFonts w:hint="eastAsia" w:ascii="仿宋" w:hAnsi="仿宋" w:eastAsia="仿宋" w:cs="仿宋"/>
          <w:color w:val="auto"/>
          <w:sz w:val="24"/>
          <w:szCs w:val="24"/>
          <w:highlight w:val="none"/>
          <w:lang w:eastAsia="zh-CN"/>
        </w:rPr>
        <w:t>湖东街道“民生服务”协调处理服务采购项目</w:t>
      </w:r>
      <w:r>
        <w:rPr>
          <w:rFonts w:hint="eastAsia" w:ascii="仿宋" w:hAnsi="仿宋" w:eastAsia="仿宋" w:cs="仿宋"/>
          <w:color w:val="auto"/>
          <w:sz w:val="24"/>
          <w:szCs w:val="24"/>
          <w:highlight w:val="none"/>
        </w:rPr>
        <w:t>的招标、投标、评标、定标、验收、合同履约、付款等行为（法律、法规另有规定的，从其规定）。</w:t>
      </w:r>
    </w:p>
    <w:p w14:paraId="2ADC3EB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（二）项目基本信息： </w:t>
      </w:r>
    </w:p>
    <w:p w14:paraId="6458227A">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1、项目名称：</w:t>
      </w:r>
      <w:r>
        <w:rPr>
          <w:rFonts w:hint="eastAsia" w:ascii="仿宋" w:hAnsi="仿宋" w:eastAsia="仿宋" w:cs="仿宋"/>
          <w:color w:val="auto"/>
          <w:kern w:val="0"/>
          <w:sz w:val="24"/>
          <w:highlight w:val="none"/>
          <w:lang w:eastAsia="zh-CN"/>
        </w:rPr>
        <w:t>湖东街道“民生服务”协调处理服务采购项目</w:t>
      </w:r>
      <w:r>
        <w:rPr>
          <w:rFonts w:hint="eastAsia" w:ascii="仿宋" w:hAnsi="仿宋" w:eastAsia="仿宋" w:cs="仿宋"/>
          <w:color w:val="auto"/>
          <w:kern w:val="0"/>
          <w:sz w:val="24"/>
          <w:highlight w:val="none"/>
        </w:rPr>
        <w:t>；</w:t>
      </w:r>
    </w:p>
    <w:p w14:paraId="5A477C11">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2、项目编号：</w:t>
      </w:r>
      <w:r>
        <w:rPr>
          <w:rFonts w:hint="eastAsia" w:ascii="仿宋" w:hAnsi="仿宋" w:eastAsia="仿宋" w:cs="仿宋"/>
          <w:color w:val="auto"/>
          <w:kern w:val="0"/>
          <w:sz w:val="24"/>
          <w:highlight w:val="none"/>
          <w:lang w:eastAsia="zh-CN"/>
        </w:rPr>
        <w:t>泓达采字</w:t>
      </w:r>
      <w:r>
        <w:rPr>
          <w:rFonts w:hint="eastAsia" w:ascii="仿宋" w:hAnsi="仿宋" w:eastAsia="仿宋" w:cs="仿宋"/>
          <w:color w:val="auto"/>
          <w:kern w:val="0"/>
          <w:sz w:val="24"/>
          <w:highlight w:val="none"/>
          <w:lang w:val="en-US" w:eastAsia="zh-CN"/>
        </w:rPr>
        <w:t>2024-026</w:t>
      </w:r>
      <w:r>
        <w:rPr>
          <w:rFonts w:hint="eastAsia" w:ascii="仿宋" w:hAnsi="仿宋" w:eastAsia="仿宋" w:cs="仿宋"/>
          <w:color w:val="auto"/>
          <w:kern w:val="0"/>
          <w:sz w:val="24"/>
          <w:highlight w:val="none"/>
        </w:rPr>
        <w:t>；</w:t>
      </w:r>
    </w:p>
    <w:p w14:paraId="1EB74267">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3、采购内容：详见《第二章 招标采购需求》；</w:t>
      </w:r>
    </w:p>
    <w:p w14:paraId="054781B9">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4、采购预算（最高限价）：采购预算</w:t>
      </w:r>
      <w:r>
        <w:rPr>
          <w:rFonts w:hint="eastAsia" w:ascii="仿宋" w:hAnsi="仿宋" w:eastAsia="仿宋" w:cs="仿宋"/>
          <w:color w:val="auto"/>
          <w:kern w:val="0"/>
          <w:sz w:val="24"/>
          <w:highlight w:val="none"/>
          <w:lang w:val="en-US" w:eastAsia="zh-CN"/>
        </w:rPr>
        <w:t>85</w:t>
      </w:r>
      <w:r>
        <w:rPr>
          <w:rFonts w:hint="eastAsia" w:ascii="仿宋" w:hAnsi="仿宋" w:eastAsia="仿宋" w:cs="仿宋"/>
          <w:color w:val="auto"/>
          <w:kern w:val="0"/>
          <w:sz w:val="24"/>
          <w:highlight w:val="none"/>
        </w:rPr>
        <w:t>万元；</w:t>
      </w:r>
    </w:p>
    <w:p w14:paraId="2EB273D2">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5、资金落实情况：财政资金；</w:t>
      </w:r>
    </w:p>
    <w:p w14:paraId="2B8909BC">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6、采购人： </w:t>
      </w:r>
      <w:r>
        <w:rPr>
          <w:rFonts w:hint="eastAsia" w:ascii="仿宋" w:hAnsi="仿宋" w:eastAsia="仿宋" w:cs="仿宋"/>
          <w:color w:val="auto"/>
          <w:kern w:val="0"/>
          <w:sz w:val="24"/>
          <w:highlight w:val="none"/>
          <w:lang w:eastAsia="zh-CN"/>
        </w:rPr>
        <w:t>湖州市吴兴区人民政府湖东街道办事处</w:t>
      </w:r>
      <w:r>
        <w:rPr>
          <w:rFonts w:hint="eastAsia" w:ascii="仿宋" w:hAnsi="仿宋" w:eastAsia="仿宋" w:cs="仿宋"/>
          <w:color w:val="auto"/>
          <w:kern w:val="0"/>
          <w:sz w:val="24"/>
          <w:highlight w:val="none"/>
        </w:rPr>
        <w:t>；</w:t>
      </w:r>
    </w:p>
    <w:p w14:paraId="4F1473ED">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7、采购代理机构：</w:t>
      </w:r>
      <w:r>
        <w:rPr>
          <w:rFonts w:hint="eastAsia" w:ascii="仿宋" w:hAnsi="仿宋" w:eastAsia="仿宋" w:cs="仿宋"/>
          <w:color w:val="auto"/>
          <w:kern w:val="0"/>
          <w:sz w:val="24"/>
          <w:highlight w:val="none"/>
          <w:lang w:eastAsia="zh-CN"/>
        </w:rPr>
        <w:t>湖州泓达工程管理咨询有限公司</w:t>
      </w:r>
      <w:r>
        <w:rPr>
          <w:rFonts w:hint="eastAsia" w:ascii="仿宋" w:hAnsi="仿宋" w:eastAsia="仿宋" w:cs="仿宋"/>
          <w:color w:val="auto"/>
          <w:kern w:val="0"/>
          <w:sz w:val="24"/>
          <w:highlight w:val="none"/>
        </w:rPr>
        <w:t>；</w:t>
      </w:r>
    </w:p>
    <w:p w14:paraId="44F9C08B">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8、交易方式：电子交易；</w:t>
      </w:r>
    </w:p>
    <w:p w14:paraId="6BCCDA61">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9、电子交易平台：政府采购云平台；</w:t>
      </w:r>
    </w:p>
    <w:p w14:paraId="5EEE6185">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10、采购方式：公开招标；</w:t>
      </w:r>
    </w:p>
    <w:p w14:paraId="10D12C3D">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11、采购组织类型：分散采购-分散委托中介。</w:t>
      </w:r>
    </w:p>
    <w:p w14:paraId="08500FE7">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12、合格供应商“基本资格”要求：见《第一章 公开招标采购公告》；</w:t>
      </w:r>
    </w:p>
    <w:p w14:paraId="7F660A50">
      <w:pPr>
        <w:pStyle w:val="15"/>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13、合格供应商“特定资格”要求：见《第一章 公开招标采购公告》。</w:t>
      </w:r>
    </w:p>
    <w:p w14:paraId="6424D56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（三）定义</w:t>
      </w:r>
    </w:p>
    <w:p w14:paraId="1457FF10">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是指依法组织进行政府采购的国家机关、事业单位、团体组织，即本政府采购项目的招标、签订合同、实施管理、验收的单位（按阶段不同，分别理解为招标人、发包人、甲方）。本项目的采购人是指“</w:t>
      </w:r>
      <w:r>
        <w:rPr>
          <w:rFonts w:hint="eastAsia" w:ascii="仿宋" w:hAnsi="仿宋" w:eastAsia="仿宋" w:cs="仿宋"/>
          <w:color w:val="auto"/>
          <w:sz w:val="24"/>
          <w:szCs w:val="24"/>
          <w:highlight w:val="none"/>
          <w:lang w:eastAsia="zh-CN"/>
        </w:rPr>
        <w:t>湖州市吴兴区人民政府湖东街道办事处</w:t>
      </w:r>
      <w:r>
        <w:rPr>
          <w:rFonts w:hint="eastAsia" w:ascii="仿宋" w:hAnsi="仿宋" w:eastAsia="仿宋" w:cs="仿宋"/>
          <w:color w:val="auto"/>
          <w:sz w:val="24"/>
          <w:szCs w:val="24"/>
          <w:highlight w:val="none"/>
        </w:rPr>
        <w:t>”。</w:t>
      </w:r>
    </w:p>
    <w:p w14:paraId="37E7000F">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2、“采购代理机构”：是指受采购人委托，在委托的范围内办理政府采购事宜的机构。本项目的采购代理机构是指“</w:t>
      </w:r>
      <w:r>
        <w:rPr>
          <w:rFonts w:hint="eastAsia" w:ascii="仿宋" w:hAnsi="仿宋" w:eastAsia="仿宋" w:cs="仿宋"/>
          <w:color w:val="auto"/>
          <w:sz w:val="24"/>
          <w:szCs w:val="24"/>
          <w:highlight w:val="none"/>
          <w:lang w:eastAsia="zh-CN"/>
        </w:rPr>
        <w:t>湖州泓达工程管理咨询有限公司</w:t>
      </w:r>
      <w:r>
        <w:rPr>
          <w:rFonts w:hint="eastAsia" w:ascii="仿宋" w:hAnsi="仿宋" w:eastAsia="仿宋" w:cs="仿宋"/>
          <w:color w:val="auto"/>
          <w:sz w:val="24"/>
          <w:szCs w:val="24"/>
          <w:highlight w:val="none"/>
        </w:rPr>
        <w:t>”</w:t>
      </w:r>
    </w:p>
    <w:p w14:paraId="2D6F990B">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3、“采购组织机构”：是指采购人和受采购人委托的采购代理机构。</w:t>
      </w:r>
    </w:p>
    <w:p w14:paraId="7E239A72">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4、“投标供应商”：是指向采购组织机构提交响应招标、参加投标竞争的法人、其他组织或者自然人。</w:t>
      </w:r>
    </w:p>
    <w:p w14:paraId="43C3FFB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5、“投标供应商代表”：是指参加本项目投标活动的投标供应商的法定代表人或</w:t>
      </w:r>
      <w:r>
        <w:rPr>
          <w:rFonts w:hint="eastAsia" w:ascii="仿宋" w:hAnsi="仿宋" w:eastAsia="仿宋" w:cs="仿宋"/>
          <w:bCs/>
          <w:color w:val="auto"/>
          <w:sz w:val="24"/>
          <w:szCs w:val="24"/>
          <w:highlight w:val="none"/>
        </w:rPr>
        <w:t>法</w:t>
      </w:r>
      <w:r>
        <w:rPr>
          <w:rFonts w:hint="eastAsia" w:ascii="仿宋" w:hAnsi="仿宋" w:eastAsia="仿宋" w:cs="仿宋"/>
          <w:color w:val="auto"/>
          <w:sz w:val="24"/>
          <w:szCs w:val="24"/>
          <w:highlight w:val="none"/>
        </w:rPr>
        <w:t>定代表人授权委托人。</w:t>
      </w:r>
    </w:p>
    <w:p w14:paraId="10F008DE">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6、“投标联合体”：是指两个或以上供应商组成联合体，以一个投标供应商的身份参加投标。</w:t>
      </w:r>
    </w:p>
    <w:p w14:paraId="638A7FE4">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7、“中标供应商”：是指经评审小组推荐并经采购人确认的中标或成交单位，即政府采购合同中的“乙方”。</w:t>
      </w:r>
    </w:p>
    <w:p w14:paraId="2554449A">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8、“同级政府采购监督管理部门”：是指“</w:t>
      </w:r>
      <w:r>
        <w:rPr>
          <w:rFonts w:hint="eastAsia" w:ascii="仿宋" w:hAnsi="仿宋" w:eastAsia="仿宋" w:cs="仿宋"/>
          <w:color w:val="auto"/>
          <w:sz w:val="24"/>
          <w:highlight w:val="none"/>
        </w:rPr>
        <w:t>吴兴区财政局</w:t>
      </w:r>
      <w:r>
        <w:rPr>
          <w:rFonts w:hint="eastAsia" w:ascii="仿宋" w:hAnsi="仿宋" w:eastAsia="仿宋" w:cs="仿宋"/>
          <w:color w:val="auto"/>
          <w:sz w:val="24"/>
          <w:szCs w:val="24"/>
          <w:highlight w:val="none"/>
        </w:rPr>
        <w:t>”。</w:t>
      </w:r>
    </w:p>
    <w:p w14:paraId="600834FD">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9、“采购文件（或公开招标采购文件）”：是指本文件。</w:t>
      </w:r>
    </w:p>
    <w:p w14:paraId="737B7121">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10、“书面形式”：是指按要求提供的加盖有单位公章的信函、电子扫描件等等。</w:t>
      </w:r>
    </w:p>
    <w:p w14:paraId="6687CBC1">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11、“项目”：是指投标供应商按</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采购文件规定向采购人提供的产品和服务或工程。</w:t>
      </w:r>
    </w:p>
    <w:p w14:paraId="6EBBAAEA">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12、“制造商”：是指拥有投标产品自主知识产权的单位。</w:t>
      </w:r>
    </w:p>
    <w:p w14:paraId="11EBD0DE">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13、“产品”系指供应商按公开招标采购文件规定，须向采购人提供的一切设备、保险、税金、备品备件、工具、手册及其它有关技术资料和材料。</w:t>
      </w:r>
    </w:p>
    <w:p w14:paraId="2DEA38C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14、“进口产品”：是指通过中国海关报关验放进入中国境内且产自关境外的产品。</w:t>
      </w:r>
    </w:p>
    <w:p w14:paraId="2FDAC52E">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15、“服务”：是指公开招标采购文件规定投标供应商须承担的相关的安装、调试、技术协助、校准、培训、技术指导以及其他类似的义务。</w:t>
      </w:r>
    </w:p>
    <w:p w14:paraId="1A2CA94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16、“▲”：是指实质性要求条款。供应商投标时应对所有“实质性条款（或要求）”作出实质性投标，且不得出现负偏离，否则投标无效。</w:t>
      </w:r>
    </w:p>
    <w:p w14:paraId="46C70E43">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17、中小企业（含中型、小型、微型）：是指符合中小企业划分标准（工信部联企业[2011]300号）的企业。</w:t>
      </w:r>
    </w:p>
    <w:p w14:paraId="30C76FD6">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E79C52">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19、残疾人福利性单位：是指符合《财政部 民政部 中国残疾人联合会关于促进残疾人就业政府采购政策的通知》（财库〔2017〕141号）的规定单位。</w:t>
      </w:r>
    </w:p>
    <w:p w14:paraId="0506C1C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（四）招标方式</w:t>
      </w:r>
    </w:p>
    <w:p w14:paraId="69D09B64">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本次招标采用公开招标方式进行。</w:t>
      </w:r>
    </w:p>
    <w:p w14:paraId="0CEDB57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（五）投标委托</w:t>
      </w:r>
    </w:p>
    <w:p w14:paraId="07C764B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投标供应商的法定代表人可以授权其单位的其他在职员工全权处理本次投标有关的事项，但其授权委托人必须持有法定代表人出具的《法定代表人授权委托书》、法人有效身份证件及</w:t>
      </w:r>
      <w:r>
        <w:rPr>
          <w:rFonts w:hint="eastAsia" w:ascii="仿宋" w:hAnsi="仿宋" w:eastAsia="仿宋" w:cs="仿宋"/>
          <w:bCs/>
          <w:color w:val="auto"/>
          <w:sz w:val="24"/>
          <w:highlight w:val="none"/>
        </w:rPr>
        <w:t>法</w:t>
      </w:r>
      <w:r>
        <w:rPr>
          <w:rFonts w:hint="eastAsia" w:ascii="仿宋" w:hAnsi="仿宋" w:eastAsia="仿宋" w:cs="仿宋"/>
          <w:color w:val="auto"/>
          <w:sz w:val="24"/>
          <w:highlight w:val="none"/>
        </w:rPr>
        <w:t>定代表人授权委托人有效身份证件等资料。《法定代表人授权委托书》必须经法定代表人签字（或盖章），否则视为无效授权（等同未提供）。</w:t>
      </w:r>
    </w:p>
    <w:p w14:paraId="4A1FDE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投标供应商代表为法定代表人须提供有效身份证件及营业执照相关资料。</w:t>
      </w:r>
    </w:p>
    <w:p w14:paraId="4AAD436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（六）投标费用</w:t>
      </w:r>
    </w:p>
    <w:p w14:paraId="61A7D936">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1、投标供应商应自行承担投标过程中的所有相关费用，不论中标与否，采购组织机构在任何情况下不承担有关费用。</w:t>
      </w:r>
    </w:p>
    <w:p w14:paraId="243851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2、在《中标通知书》发出当日一次性结清。本项目招标代理服务费按</w:t>
      </w:r>
      <w:r>
        <w:rPr>
          <w:rFonts w:hint="eastAsia" w:ascii="仿宋" w:hAnsi="仿宋" w:eastAsia="仿宋" w:cs="仿宋"/>
          <w:color w:val="auto"/>
          <w:sz w:val="24"/>
          <w:highlight w:val="none"/>
          <w:lang w:val="en-US" w:eastAsia="zh-CN"/>
        </w:rPr>
        <w:t>8925</w:t>
      </w:r>
      <w:r>
        <w:rPr>
          <w:rFonts w:hint="eastAsia" w:ascii="仿宋" w:hAnsi="仿宋" w:eastAsia="仿宋" w:cs="仿宋"/>
          <w:color w:val="auto"/>
          <w:sz w:val="24"/>
          <w:highlight w:val="none"/>
        </w:rPr>
        <w:t>元支付。由本项目中标人在收到中标通知书当日分别一次性缴纳。</w:t>
      </w:r>
    </w:p>
    <w:p w14:paraId="5B5FDA9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（七）联合体投标</w:t>
      </w:r>
    </w:p>
    <w:p w14:paraId="3F5A058B">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1、本项目不接受联合体投标。</w:t>
      </w:r>
    </w:p>
    <w:p w14:paraId="2F9E359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2、如规定接受联合体投标的，参加投标的联合体应遵守以下规定：</w:t>
      </w:r>
    </w:p>
    <w:p w14:paraId="50059EE2">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（1）两个或以上供应商可以组成一个联合体，以一个投标供应商的身份共同参加投标。</w:t>
      </w:r>
    </w:p>
    <w:p w14:paraId="288D2377">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大中型企业和其他自然人、法人或者其他组织与小型、微型企业可以组成联合体共同参加非专门面向中小企业的政府采购活动。联合协议中如约定，小型、微型企业的协议合同金额占到联合体协议合同总金额30%以上的，在报价评审时可给予联合体2%的价格扣除。联合体各方均为小型、微型企业的，联合体视同为小型、微型企业享受本文件规定的6%价格扣除优惠扶持（比例详见本章第2.2.2条约定）。组成联合体的大中型企业和其他自然人、法人或者其他组织，与小型、微型企业之间不得存在投资关系。</w:t>
      </w:r>
    </w:p>
    <w:p w14:paraId="54339B0F">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（3）两个或以上供应商组成联合体参加本项目投标的，在登记获取</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采购文件时应予以说明备注，并在资格文件中提交《联合投标协议书》，未提交《联合投标协议书》的联合体无效。</w:t>
      </w:r>
    </w:p>
    <w:p w14:paraId="27DE5A11">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以联合体形式参加本项目投标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06EDDAA6">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联合体各方之间须签订《联合投标协议书》，明确约定联合体各方承担的工作和相应的责任，在《联合投标协议书》中指定本项目主办人，并将《联合投标协议书》作投标文件组成的一部分；本项目的主体、关键性工作须由主办人完成，并在《联合投标协议书》中进行说明。</w:t>
      </w:r>
    </w:p>
    <w:p w14:paraId="6AB4A5F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（6）联合体各方签订《联合投标协议书》后，不得再以自己名义单独在本项目中参加投标，也不得组成新的联合体参加本项目投标。</w:t>
      </w:r>
    </w:p>
    <w:p w14:paraId="3E6685DF">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（7）联合体各方共同与采购人签订采购合同，就采购合同约定的事项对采购人承担连带责任。</w:t>
      </w:r>
    </w:p>
    <w:p w14:paraId="362FB76A">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（8）联合体投标文件应由主办人按规定进行签章。</w:t>
      </w:r>
    </w:p>
    <w:p w14:paraId="09E4D2B0">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（9）采购代理服务费可由主办人一方缴纳，也可以由联合体各方共同缴纳（具体缴纳金额须在《联合投标协议书》中明确）。</w:t>
      </w:r>
    </w:p>
    <w:p w14:paraId="7588304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（八）进口产品投标</w:t>
      </w:r>
    </w:p>
    <w:p w14:paraId="661F6FCD">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1、本项目不允许进口产品投标。</w:t>
      </w:r>
    </w:p>
    <w:p w14:paraId="12E764B7">
      <w:pPr>
        <w:pStyle w:val="15"/>
        <w:spacing w:line="360" w:lineRule="auto"/>
        <w:ind w:left="420" w:left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2、如未标明允许进口产品投标的合同项（标项）一律拒绝“进口产品”参加投标。</w:t>
      </w:r>
    </w:p>
    <w:p w14:paraId="22E7B7C7">
      <w:pPr>
        <w:pStyle w:val="15"/>
        <w:spacing w:line="360" w:lineRule="auto"/>
        <w:ind w:left="420" w:left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3、“进口产品”系指通过中国海关报关验放进入中国境内且产自关境外的产品，“国外品牌产品”不等于“进口产品”。</w:t>
      </w:r>
    </w:p>
    <w:p w14:paraId="1249E300">
      <w:pPr>
        <w:pStyle w:val="15"/>
        <w:spacing w:line="360" w:lineRule="auto"/>
        <w:ind w:left="420" w:left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进口产品”投标的必须在投标文件中放入相关产品的中国海关报关验放资料及关境外生产证明资料。上述资料如以中文以外的文字表述的，须同时提供中文翻译；未提供翻译或为未如实提供翻译资料的，所引起的一系列后果由投标人自行承担。</w:t>
      </w:r>
    </w:p>
    <w:p w14:paraId="67D568C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（九）转包与分包</w:t>
      </w:r>
    </w:p>
    <w:p w14:paraId="304C4753">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1、本项目不允许转包，也不可以分包。</w:t>
      </w:r>
    </w:p>
    <w:p w14:paraId="08CCC1AD">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2、如声明允许分包的，投标供应商可以根据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采购文件的规定和采购项目的实际情况进行分包。投标供应商根据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的规定和采购项目的实际情况，拟在中标后将中标项目的非主体、非关键性工作分包的，应当在投标文件中载明分包承担主体，分包承担主体应当具备相应资质条件且不得再次分包。政府采购合同分包履行的，中标、成交供应商就采购项目和分包项目向采购人负责，分包供应商就分包项目承担责任。</w:t>
      </w:r>
    </w:p>
    <w:p w14:paraId="472B1738">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（十）语言文字及计量单位</w:t>
      </w:r>
    </w:p>
    <w:p w14:paraId="69497DBB">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1、语言文字：除专业术语、签名、盖章、名称等特殊情形外，与本项目工作有关的所有材料、来往函电语言均应使用中文，专业术语、名称应附有中文注释。仅以中文以外的文字表述的材料视同未提供。</w:t>
      </w:r>
    </w:p>
    <w:p w14:paraId="4D5458B3">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2、计量单位：公开招标采购文件已有明确规定的，使用</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采购文件规定的计量单位；</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采购文件没有规定的，应采用中华人民共和国法定计量单位，否则视同未响应。</w:t>
      </w:r>
    </w:p>
    <w:p w14:paraId="2C74EFA1">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（十一）质疑和投诉</w:t>
      </w:r>
    </w:p>
    <w:p w14:paraId="3A733BC0">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根据《中华人民共和国财政部令第94号-政府采购质疑和投诉办法》第二章规定。</w:t>
      </w:r>
    </w:p>
    <w:p w14:paraId="056FF7F0">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1.供应商认为采购文件、采购过程、中标或者中标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14:paraId="27783651">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2.提出质疑的供应商（以下简称质疑供应商）应当是参与所质疑项目采购活动的供应商。</w:t>
      </w:r>
    </w:p>
    <w:p w14:paraId="540A549D">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14:paraId="5288AE92">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3.供应商提出质疑应当提交质疑函和必要的证明材料。质疑函应当包括下列内容:</w:t>
      </w:r>
    </w:p>
    <w:p w14:paraId="1A063357">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（1）供应商的姓名或者名称、地址、邮编、联系人及联系电话；</w:t>
      </w:r>
    </w:p>
    <w:p w14:paraId="069A157F">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（2）质疑项目的名称、编号；</w:t>
      </w:r>
    </w:p>
    <w:p w14:paraId="12332E19">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（3）具体、明确的质疑事项和与质疑事项相关的请求；</w:t>
      </w:r>
    </w:p>
    <w:p w14:paraId="3722F2EA">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（4）事实依据；</w:t>
      </w:r>
    </w:p>
    <w:p w14:paraId="24EB013A">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（5）必要的法律依据；</w:t>
      </w:r>
    </w:p>
    <w:p w14:paraId="175BD704">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（6）提出质疑的日期。</w:t>
      </w:r>
    </w:p>
    <w:p w14:paraId="67B62EDB">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供应商为自然人的，应当由本人签字；供应商为法人或者其他组织的，应当由法定代表人、主要负责人，或者其授权代表签字或者盖章，并加盖公章。</w:t>
      </w:r>
    </w:p>
    <w:p w14:paraId="0C3CD406">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4.采购人、采购代理机构不得拒收质疑供应商在法定质疑期内发出的质疑函，应当在收到质疑函后7个工作日内作出答复，并以书面形式通知质疑供应商和其他有关供应商。</w:t>
      </w:r>
    </w:p>
    <w:p w14:paraId="52703A6B">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5.供应商对评审过程、中标或者中标结果提出质疑的，采购人、采购代理机构可以组织原评标委员会、竞争性谈判小组、询价小组或者竞争性投标小组协助答复质疑。</w:t>
      </w:r>
    </w:p>
    <w:p w14:paraId="78564D36">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6.质疑答复应当包括下列内容：</w:t>
      </w:r>
    </w:p>
    <w:p w14:paraId="53E28DA6">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（1）质疑供应商的姓名或者名称；</w:t>
      </w:r>
    </w:p>
    <w:p w14:paraId="5927C32D">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（2）收到质疑函的日期、质疑项目名称及编号；</w:t>
      </w:r>
    </w:p>
    <w:p w14:paraId="708D69A0">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（3）质疑事项、质疑答复的具体内容、事实依据和法律依据；</w:t>
      </w:r>
    </w:p>
    <w:p w14:paraId="2C4D5107">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（4）告知质疑供应商依法投诉的权利；</w:t>
      </w:r>
    </w:p>
    <w:p w14:paraId="4200AFE3">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（5）质疑答复人名称；</w:t>
      </w:r>
    </w:p>
    <w:p w14:paraId="719E058E">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（6）答复质疑的日期。</w:t>
      </w:r>
    </w:p>
    <w:p w14:paraId="7CA0A0E1">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质疑答复的内容不得涉及商业秘密。</w:t>
      </w:r>
    </w:p>
    <w:p w14:paraId="22FCEB6E">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7.采购人、采购代理机构认为供应商质疑不成立，或者成立但未对中标、中标结果构成影响的，继续开展采购活动；认为供应商质疑成立且影响或者可能影响中标、中标结果的，按照下列情况处理：</w:t>
      </w:r>
    </w:p>
    <w:p w14:paraId="1AE2F05A">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（1）对采购文件提出的质疑，依法通过澄清或者修改可以继续开展采购活动的，澄清或者修改采购文件后继续开展采购活动；否则应当修改采购文件后重新开展采购活动。</w:t>
      </w:r>
    </w:p>
    <w:p w14:paraId="4103D5FE">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1F2B97B5">
      <w:pPr>
        <w:spacing w:line="400" w:lineRule="exact"/>
        <w:ind w:firstLine="480" w:firstLineChars="200"/>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质疑答复导致中标、中标结果改变的，采购人或者采购代理机构应当将有关情况书面报告本级财政部门。</w:t>
      </w:r>
    </w:p>
    <w:p w14:paraId="0B596F9E">
      <w:pPr>
        <w:spacing w:line="400" w:lineRule="exact"/>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未按规定格式、内容提出的，采购人、采购代理机构将不予受理。</w:t>
      </w:r>
    </w:p>
    <w:p w14:paraId="60A57915">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（十六）特别说明：</w:t>
      </w:r>
    </w:p>
    <w:p w14:paraId="71A4F57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讨论决定。</w:t>
      </w:r>
    </w:p>
    <w:p w14:paraId="06F4B0D4">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▲2.投标人投标所使用的资格、信誉、荣誉、业绩与企业认证必须为本法人所拥有。投标人投标所使用的采购项目实施人员必须为本法人员工（或必须为本法人或控股公司正式员工）。</w:t>
      </w:r>
    </w:p>
    <w:p w14:paraId="6C217FD9">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▲3.投标人应仔细阅读招标文件的所有内容，按照招标文件的要求提交投标文件，并对所提供的全部资料的真实性承担法律责任。</w:t>
      </w:r>
    </w:p>
    <w:p w14:paraId="0E5A625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A2D33FE">
      <w:pPr>
        <w:spacing w:line="360" w:lineRule="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二、采购文件</w:t>
      </w:r>
    </w:p>
    <w:p w14:paraId="52FE55E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（一）公开招标采购文件的组成</w:t>
      </w:r>
    </w:p>
    <w:p w14:paraId="6A5D1AF3">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1、公开招标采购公告</w:t>
      </w:r>
    </w:p>
    <w:p w14:paraId="55B80D3B">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2、招标采购需求</w:t>
      </w:r>
    </w:p>
    <w:p w14:paraId="36F65879">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3、投标供应商须知</w:t>
      </w:r>
    </w:p>
    <w:p w14:paraId="10159092">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4、评审办法及标准</w:t>
      </w:r>
    </w:p>
    <w:p w14:paraId="5A2B65F5">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5、合同主要条款</w:t>
      </w:r>
    </w:p>
    <w:p w14:paraId="525B1C91">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14:paraId="4A442795">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7、招标采购清单（如有）</w:t>
      </w:r>
    </w:p>
    <w:p w14:paraId="7F492114">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8、附件（如有）</w:t>
      </w:r>
    </w:p>
    <w:p w14:paraId="34736F66">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9、本项目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采购文件的澄清、答复、修改、补充的内容（如有）</w:t>
      </w:r>
    </w:p>
    <w:p w14:paraId="59B96BDF">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（二）投标供应商的风险</w:t>
      </w:r>
    </w:p>
    <w:p w14:paraId="188A0169">
      <w:pPr>
        <w:pStyle w:val="5"/>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投标供应商没有按照公开招标采购文件要求提供全部资料，或者投标供应商没有对公开招标采购文件在各方面作出实质性响应是投标供应商的风险，并可能导致其投标被拒绝。</w:t>
      </w:r>
    </w:p>
    <w:p w14:paraId="5D10C6E3">
      <w:pPr>
        <w:pStyle w:val="5"/>
        <w:tabs>
          <w:tab w:val="left" w:pos="420"/>
          <w:tab w:val="left" w:pos="720"/>
          <w:tab w:val="left" w:pos="900"/>
        </w:tabs>
        <w:spacing w:line="360" w:lineRule="auto"/>
        <w:ind w:left="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（三）公开招标采购文件的澄清</w:t>
      </w:r>
    </w:p>
    <w:p w14:paraId="77C2826A">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采购代理机构对已发出的公开招标采购文件进行必要澄清、答复、修改（更正）或补充的，应当在公开招标采购文件要求提交投标文件截止时间 15日前，在财政部门指定的原政府采购公告信息发布媒体上发布澄清或更正公告，并以电子邮件（原文扫描件）或网上公告等形式告知所有已登记获取采购文件的供应商。</w:t>
      </w:r>
    </w:p>
    <w:p w14:paraId="32E74E85">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公开招标采购文件澄清、答复、修改（更正）、补充的内容为公开招标采购文件的组成部分。当公开招标采购文件与采购文件的答复、澄清、修改、补充通知就同一内容的表述不一致时，以最后发出的书面文件为准。</w:t>
      </w:r>
    </w:p>
    <w:p w14:paraId="0D1A8E97">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供应商收到采购组织机构发出的澄清、答复、修改（更正）、补充文件后，应在24小时内向采购组织机构提交书面回执；逾期不回复的，视为已经收到并知晓文件所述内容。</w:t>
      </w:r>
    </w:p>
    <w:p w14:paraId="334746CE">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供应商对收到的澄清、答复、修改（更正）、补充文件内容有疑问的，应当同时在书面回执中加注说明并与采购组织机构确认，疑问内容应加盖单位公章、写明日期。</w:t>
      </w:r>
    </w:p>
    <w:p w14:paraId="113C4CDC">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认真阅读公开招标采购文件，发现其中有误或有不合理要求的，供应商应当在依法获取公开招标采购文件之日（报名截止日之后收到采购文件的，以报名截止日为准）或者公开招标采购文件公告期限届满之日（招标公告为公告发布后至第6个工作日）起7个工作日内以书面形式要求采购代理机构澄清，否则逾期视为默认。</w:t>
      </w:r>
    </w:p>
    <w:p w14:paraId="6D3194CF">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注：供应商如对公开招标采购文件内容要求有异议需要采购代理机构进行澄清说明的，应在公开招标采购文件规定的时间内提出；逾期提出的，采购组织机构可以不予受理、答复。</w:t>
      </w:r>
    </w:p>
    <w:p w14:paraId="6CAB47C3">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组织机构必须以书面形式答复供应商要求澄清的问题，并将不包含问题来源的答复以电子邮件（原文扫描件）或网上公告等形式告知所有已登记获取公开招标采购文件的供应商；除上述方式以外的其他澄清方式及澄清内容均无效。</w:t>
      </w:r>
    </w:p>
    <w:p w14:paraId="0C8955E5">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公开招标采购文件的澄清、修改的内容影响到供应商投标文件编制的，采购人或采购代理机构将按相关规定顺延投标截止时间及开标时间，使之满足政府采购相关规定。</w:t>
      </w:r>
    </w:p>
    <w:p w14:paraId="77D7E448">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公开招标采购文件的澄清、答复、修改或补充都应该通过采购代理机构以法定形式发布；非通过采购代理机构的，不得擅自澄清、答复、修改或补充公开招标采购文件。</w:t>
      </w:r>
    </w:p>
    <w:p w14:paraId="002E46AA">
      <w:pPr>
        <w:pStyle w:val="5"/>
        <w:numPr>
          <w:ilvl w:val="0"/>
          <w:numId w:val="4"/>
        </w:numPr>
        <w:tabs>
          <w:tab w:val="left" w:pos="420"/>
          <w:tab w:val="left" w:pos="720"/>
          <w:tab w:val="left" w:pos="900"/>
        </w:tabs>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任何口头形式的答复、说明均不属于公开招标采购文件的组成部分。</w:t>
      </w:r>
    </w:p>
    <w:p w14:paraId="2DEB254B">
      <w:pPr>
        <w:spacing w:line="360" w:lineRule="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三、投标文件的编制要求</w:t>
      </w:r>
    </w:p>
    <w:p w14:paraId="40AA3C97">
      <w:pPr>
        <w:snapToGrid w:val="0"/>
        <w:spacing w:line="580" w:lineRule="exact"/>
        <w:ind w:left="472"/>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（一）投标文件的形式和效力：</w:t>
      </w:r>
    </w:p>
    <w:p w14:paraId="2AB2A50E">
      <w:pPr>
        <w:snapToGrid w:val="0"/>
        <w:spacing w:line="58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1.投标文件分为“电子加密投标文件”，允许供应商提供“备份投标文件”，具体内容如下：</w:t>
      </w:r>
    </w:p>
    <w:p w14:paraId="4F50AFAA">
      <w:pPr>
        <w:snapToGrid w:val="0"/>
        <w:spacing w:line="58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1.1电子投标文件：按政采云平台项目采购-电子交易操作指南及本招标文件要求制作、加密并递交，供应商电子交易操作指南详见网址：https://help.zcygov.cn/web/site_2/2018/12-28/2573.html）。</w:t>
      </w:r>
    </w:p>
    <w:p w14:paraId="3B7027CB">
      <w:pPr>
        <w:snapToGrid w:val="0"/>
        <w:spacing w:line="58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color w:val="auto"/>
          <w:sz w:val="24"/>
          <w:highlight w:val="none"/>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24993CF4">
      <w:pPr>
        <w:snapToGrid w:val="0"/>
        <w:spacing w:line="580" w:lineRule="exact"/>
        <w:ind w:left="472"/>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2、投标文件的效力：</w:t>
      </w:r>
    </w:p>
    <w:p w14:paraId="2226E019">
      <w:pPr>
        <w:snapToGrid w:val="0"/>
        <w:spacing w:line="580" w:lineRule="exact"/>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4CA4B62C">
      <w:pPr>
        <w:spacing w:line="360" w:lineRule="auto"/>
        <w:ind w:firstLine="482" w:firstLineChars="200"/>
        <w:jc w:val="left"/>
        <w:outlineLvl w:val="0"/>
        <w:rPr>
          <w:rFonts w:ascii="仿宋" w:hAnsi="仿宋" w:eastAsia="仿宋" w:cs="仿宋"/>
          <w:b/>
          <w:color w:val="auto"/>
          <w:sz w:val="24"/>
          <w:szCs w:val="20"/>
          <w:highlight w:val="none"/>
        </w:rPr>
      </w:pPr>
      <w:r>
        <w:rPr>
          <w:rFonts w:hint="eastAsia" w:ascii="仿宋" w:hAnsi="仿宋" w:eastAsia="仿宋" w:cs="仿宋"/>
          <w:b/>
          <w:color w:val="auto"/>
          <w:sz w:val="24"/>
          <w:highlight w:val="none"/>
        </w:rPr>
        <w:t>（二）投标文件的组成</w:t>
      </w:r>
    </w:p>
    <w:p w14:paraId="32D6C2F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《投标文件》由资格文件、技术文件、商务资信及其他部分文件、报价文件四部份组成。</w:t>
      </w:r>
    </w:p>
    <w:p w14:paraId="22B9FB22">
      <w:pPr>
        <w:autoSpaceDE w:val="0"/>
        <w:autoSpaceDN w:val="0"/>
        <w:adjustRightInd w:val="0"/>
        <w:spacing w:line="360" w:lineRule="auto"/>
        <w:ind w:firstLine="602" w:firstLineChars="250"/>
        <w:rPr>
          <w:rFonts w:ascii="仿宋" w:hAnsi="仿宋" w:eastAsia="仿宋" w:cs="仿宋"/>
          <w:color w:val="auto"/>
          <w:sz w:val="24"/>
          <w:highlight w:val="none"/>
          <w:lang w:val="zh-CN"/>
        </w:rPr>
      </w:pPr>
      <w:r>
        <w:rPr>
          <w:rFonts w:hint="eastAsia" w:ascii="仿宋" w:hAnsi="仿宋" w:eastAsia="仿宋" w:cs="仿宋"/>
          <w:b/>
          <w:color w:val="auto"/>
          <w:sz w:val="24"/>
          <w:highlight w:val="none"/>
        </w:rPr>
        <w:t>1、技术文件：</w:t>
      </w:r>
    </w:p>
    <w:p w14:paraId="4BCFC282">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评分索引表；</w:t>
      </w:r>
    </w:p>
    <w:p w14:paraId="222F6BA1">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技术响应表；</w:t>
      </w:r>
    </w:p>
    <w:p w14:paraId="4909BF97">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rPr>
        <w:t>项目总体理解</w:t>
      </w:r>
      <w:r>
        <w:rPr>
          <w:rFonts w:hint="eastAsia" w:ascii="仿宋" w:hAnsi="仿宋" w:eastAsia="仿宋" w:cs="仿宋"/>
          <w:color w:val="auto"/>
          <w:sz w:val="24"/>
          <w:highlight w:val="none"/>
          <w:lang w:val="zh-CN"/>
        </w:rPr>
        <w:t>；</w:t>
      </w:r>
    </w:p>
    <w:p w14:paraId="542BFDF8">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整体实施方案；</w:t>
      </w:r>
    </w:p>
    <w:p w14:paraId="05D2C020">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确保服务质量的措施；</w:t>
      </w:r>
    </w:p>
    <w:p w14:paraId="3AD41FE9">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组织架构及工作管理流程；</w:t>
      </w:r>
    </w:p>
    <w:p w14:paraId="73D6C644">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针对本项目的机制；</w:t>
      </w:r>
    </w:p>
    <w:p w14:paraId="4BDC444A">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服务保障措施；</w:t>
      </w:r>
    </w:p>
    <w:p w14:paraId="515F1300">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管理制度及应急预案；</w:t>
      </w:r>
    </w:p>
    <w:p w14:paraId="3D56685F">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预期的工作目标；</w:t>
      </w:r>
    </w:p>
    <w:p w14:paraId="7CBC09AA">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合理化建议；</w:t>
      </w:r>
    </w:p>
    <w:p w14:paraId="626208DD">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项目组织实施方案；</w:t>
      </w:r>
    </w:p>
    <w:p w14:paraId="58F371E2">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与采购单位的配合；</w:t>
      </w:r>
    </w:p>
    <w:p w14:paraId="6C663B86">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安全服务措施；</w:t>
      </w:r>
    </w:p>
    <w:p w14:paraId="4E2A2CB1">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服务质量承诺；</w:t>
      </w:r>
    </w:p>
    <w:p w14:paraId="7B3C6658">
      <w:pPr>
        <w:numPr>
          <w:ilvl w:val="0"/>
          <w:numId w:val="5"/>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投标供应商针对技术需要说明的其他材料。</w:t>
      </w:r>
    </w:p>
    <w:p w14:paraId="20648577">
      <w:pPr>
        <w:autoSpaceDE w:val="0"/>
        <w:autoSpaceDN w:val="0"/>
        <w:adjustRightInd w:val="0"/>
        <w:spacing w:line="360" w:lineRule="auto"/>
        <w:ind w:firstLine="602" w:firstLineChars="25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 商务资信及其他文件：</w:t>
      </w:r>
    </w:p>
    <w:p w14:paraId="4F3B2358">
      <w:pPr>
        <w:numPr>
          <w:ilvl w:val="0"/>
          <w:numId w:val="6"/>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商务响应表（格式见附件）；</w:t>
      </w:r>
    </w:p>
    <w:p w14:paraId="3899AD58">
      <w:pPr>
        <w:numPr>
          <w:ilvl w:val="0"/>
          <w:numId w:val="6"/>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rPr>
        <w:t>认证证书</w:t>
      </w:r>
      <w:r>
        <w:rPr>
          <w:rFonts w:hint="eastAsia" w:ascii="仿宋" w:hAnsi="仿宋" w:eastAsia="仿宋" w:cs="仿宋"/>
          <w:color w:val="auto"/>
          <w:sz w:val="24"/>
          <w:highlight w:val="none"/>
          <w:lang w:val="zh-CN"/>
        </w:rPr>
        <w:t>；</w:t>
      </w:r>
    </w:p>
    <w:p w14:paraId="701836F2">
      <w:pPr>
        <w:numPr>
          <w:ilvl w:val="0"/>
          <w:numId w:val="6"/>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企业业绩；</w:t>
      </w:r>
    </w:p>
    <w:p w14:paraId="0F2BBEFD">
      <w:pPr>
        <w:pStyle w:val="20"/>
        <w:numPr>
          <w:ilvl w:val="0"/>
          <w:numId w:val="6"/>
        </w:numPr>
        <w:spacing w:line="360" w:lineRule="auto"/>
        <w:ind w:left="-5"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投标供应商认为需要提供的文件和资料。</w:t>
      </w:r>
    </w:p>
    <w:p w14:paraId="634E3688">
      <w:pPr>
        <w:autoSpaceDE w:val="0"/>
        <w:autoSpaceDN w:val="0"/>
        <w:adjustRightInd w:val="0"/>
        <w:spacing w:line="360" w:lineRule="auto"/>
        <w:ind w:firstLine="602" w:firstLineChars="250"/>
        <w:jc w:val="lef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zh-CN"/>
        </w:rPr>
        <w:t xml:space="preserve"> 报价文件：</w:t>
      </w:r>
    </w:p>
    <w:p w14:paraId="18F0B057">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1）投标函；</w:t>
      </w:r>
    </w:p>
    <w:p w14:paraId="5376D478">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2）报价一览表；</w:t>
      </w:r>
    </w:p>
    <w:p w14:paraId="7EFB74A4">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3）项目报价明细表；</w:t>
      </w:r>
    </w:p>
    <w:p w14:paraId="32256DA1">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rPr>
        <w:t>）残疾人福利企业声明函及相关证明材料（若有，格式见附件）；</w:t>
      </w:r>
    </w:p>
    <w:p w14:paraId="7F7BA107">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）属于监狱企业的相关证明文件（若有）；</w:t>
      </w:r>
    </w:p>
    <w:p w14:paraId="6D173AFA">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）投标供应商针对报价需要说明的其他文件和说明。</w:t>
      </w:r>
    </w:p>
    <w:p w14:paraId="03621257">
      <w:pPr>
        <w:autoSpaceDE w:val="0"/>
        <w:autoSpaceDN w:val="0"/>
        <w:adjustRightInd w:val="0"/>
        <w:spacing w:line="360" w:lineRule="auto"/>
        <w:ind w:firstLine="361" w:firstLineChars="150"/>
        <w:rPr>
          <w:rFonts w:ascii="仿宋" w:hAnsi="仿宋" w:eastAsia="仿宋" w:cs="仿宋"/>
          <w:b/>
          <w:color w:val="auto"/>
          <w:sz w:val="24"/>
          <w:highlight w:val="none"/>
        </w:rPr>
      </w:pPr>
      <w:r>
        <w:rPr>
          <w:rFonts w:hint="eastAsia" w:ascii="仿宋" w:hAnsi="仿宋" w:eastAsia="仿宋" w:cs="仿宋"/>
          <w:b/>
          <w:color w:val="auto"/>
          <w:sz w:val="24"/>
          <w:highlight w:val="none"/>
        </w:rPr>
        <w:t>▲注：法定代表人授权委托书、投标声明书、投标函、报价一览表必须由法定代表人或其授权委托人签名（签章）并加盖单位公章。</w:t>
      </w:r>
    </w:p>
    <w:p w14:paraId="5BDDEDC9">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4.资格文件</w:t>
      </w:r>
    </w:p>
    <w:p w14:paraId="2127ED05">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1）法人营业执照副本、组织机构代码证及税务登记证或“三证合一”证书或“五证合一”证书；</w:t>
      </w:r>
    </w:p>
    <w:p w14:paraId="6D84B13A">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2）法定代表人授权委托书及法定代表人授权委托人有效身份证明；</w:t>
      </w:r>
    </w:p>
    <w:p w14:paraId="00CBFF2F">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3）承诺符合参与政府采购活动的资格条件并且没有税收缴纳、社会保障等方面的失信记录；</w:t>
      </w:r>
    </w:p>
    <w:p w14:paraId="10EAFDC2">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4）信用查询证明资料网页版（必须同时提供“信用中国”及“中国政府采购网”网页资料）；</w:t>
      </w:r>
    </w:p>
    <w:p w14:paraId="53680859">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5）提供《参加政府采购活动前 3 年内在经营活动中没有重大违法记录的声明函》（格式见附件）。</w:t>
      </w:r>
    </w:p>
    <w:p w14:paraId="7071C972">
      <w:pPr>
        <w:autoSpaceDE w:val="0"/>
        <w:autoSpaceDN w:val="0"/>
        <w:adjustRightInd w:val="0"/>
        <w:spacing w:line="360" w:lineRule="auto"/>
        <w:ind w:firstLine="36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投标声明书（格式见附件）；</w:t>
      </w:r>
    </w:p>
    <w:p w14:paraId="023D7CBE">
      <w:pPr>
        <w:autoSpaceDE w:val="0"/>
        <w:autoSpaceDN w:val="0"/>
        <w:adjustRightInd w:val="0"/>
        <w:spacing w:line="360" w:lineRule="auto"/>
        <w:ind w:firstLine="36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val="zh-CN"/>
        </w:rPr>
        <w:t>信用承诺书；</w:t>
      </w:r>
    </w:p>
    <w:p w14:paraId="09BBF35C">
      <w:pPr>
        <w:autoSpaceDE w:val="0"/>
        <w:autoSpaceDN w:val="0"/>
        <w:adjustRightInd w:val="0"/>
        <w:spacing w:line="360" w:lineRule="auto"/>
        <w:ind w:firstLine="36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8）</w:t>
      </w:r>
      <w:r>
        <w:rPr>
          <w:rFonts w:hint="eastAsia" w:ascii="仿宋" w:hAnsi="仿宋" w:eastAsia="仿宋" w:cs="仿宋"/>
          <w:color w:val="auto"/>
          <w:kern w:val="0"/>
          <w:sz w:val="24"/>
          <w:highlight w:val="none"/>
          <w:lang w:val="zh-CN"/>
        </w:rPr>
        <w:t>招标代理服务费承诺函；</w:t>
      </w:r>
    </w:p>
    <w:p w14:paraId="6BF9AC33">
      <w:pPr>
        <w:autoSpaceDE w:val="0"/>
        <w:autoSpaceDN w:val="0"/>
        <w:adjustRightInd w:val="0"/>
        <w:spacing w:line="360" w:lineRule="auto"/>
        <w:ind w:firstLine="36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sz w:val="24"/>
          <w:highlight w:val="none"/>
          <w:lang w:val="zh-CN"/>
        </w:rPr>
        <w:t>中小企业声明函及相关证明材料（若有，格式见附件）</w:t>
      </w:r>
    </w:p>
    <w:p w14:paraId="305FFB70">
      <w:pPr>
        <w:autoSpaceDE w:val="0"/>
        <w:autoSpaceDN w:val="0"/>
        <w:adjustRightInd w:val="0"/>
        <w:spacing w:line="360" w:lineRule="auto"/>
        <w:ind w:firstLine="360"/>
        <w:rPr>
          <w:rFonts w:eastAsia="仿宋"/>
          <w:color w:val="auto"/>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）供应商认为需要的其他资料。</w:t>
      </w:r>
    </w:p>
    <w:p w14:paraId="6D81C1AC">
      <w:pPr>
        <w:pStyle w:val="5"/>
        <w:numPr>
          <w:ilvl w:val="0"/>
          <w:numId w:val="4"/>
        </w:numPr>
        <w:tabs>
          <w:tab w:val="left" w:pos="720"/>
        </w:tabs>
        <w:snapToGrid w:val="0"/>
        <w:spacing w:line="580" w:lineRule="exact"/>
        <w:ind w:left="0"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（五）投标文件的有效期</w:t>
      </w:r>
    </w:p>
    <w:p w14:paraId="2E82B2C6">
      <w:pPr>
        <w:pStyle w:val="5"/>
        <w:numPr>
          <w:ilvl w:val="0"/>
          <w:numId w:val="0"/>
        </w:numPr>
        <w:tabs>
          <w:tab w:val="left" w:pos="720"/>
          <w:tab w:val="clear" w:pos="360"/>
        </w:tabs>
        <w:snapToGrid w:val="0"/>
        <w:spacing w:line="580" w:lineRule="exact"/>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▲1.自投标截止日起</w:t>
      </w:r>
      <w:r>
        <w:rPr>
          <w:rFonts w:hint="eastAsia" w:ascii="仿宋" w:hAnsi="仿宋" w:eastAsia="仿宋" w:cs="仿宋"/>
          <w:color w:val="auto"/>
          <w:sz w:val="24"/>
          <w:highlight w:val="none"/>
          <w:u w:val="single"/>
        </w:rPr>
        <w:t>90</w:t>
      </w:r>
      <w:r>
        <w:rPr>
          <w:rFonts w:hint="eastAsia" w:ascii="仿宋" w:hAnsi="仿宋" w:eastAsia="仿宋" w:cs="仿宋"/>
          <w:color w:val="auto"/>
          <w:sz w:val="24"/>
          <w:highlight w:val="none"/>
        </w:rPr>
        <w:t>天投标文件应保持有效。有效期不足的投标文件将被拒绝。</w:t>
      </w:r>
    </w:p>
    <w:p w14:paraId="32435BC0">
      <w:pPr>
        <w:pStyle w:val="5"/>
        <w:numPr>
          <w:ilvl w:val="0"/>
          <w:numId w:val="0"/>
        </w:numPr>
        <w:tabs>
          <w:tab w:val="left" w:pos="720"/>
          <w:tab w:val="clear" w:pos="360"/>
        </w:tabs>
        <w:snapToGrid w:val="0"/>
        <w:spacing w:line="580" w:lineRule="exact"/>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2.在特殊情况下，采购人可与供应商协商延长投标书的有效期，这种要求和答复均以书面形式进行。</w:t>
      </w:r>
    </w:p>
    <w:p w14:paraId="59CC6F3D">
      <w:pPr>
        <w:snapToGrid w:val="0"/>
        <w:spacing w:line="580" w:lineRule="exact"/>
        <w:ind w:firstLine="480" w:firstLineChars="200"/>
        <w:jc w:val="left"/>
        <w:outlineLvl w:val="0"/>
        <w:rPr>
          <w:rFonts w:ascii="仿宋" w:hAnsi="仿宋" w:eastAsia="仿宋" w:cs="仿宋"/>
          <w:b/>
          <w:color w:val="auto"/>
          <w:sz w:val="24"/>
          <w:highlight w:val="none"/>
        </w:rPr>
      </w:pPr>
      <w:r>
        <w:rPr>
          <w:rFonts w:hint="eastAsia" w:ascii="仿宋" w:hAnsi="仿宋" w:eastAsia="仿宋" w:cs="仿宋"/>
          <w:color w:val="auto"/>
          <w:sz w:val="24"/>
          <w:highlight w:val="none"/>
        </w:rPr>
        <w:t>3.中标供应商的投标文件自开标之日起至合同履行完毕止均应保持有效。</w:t>
      </w:r>
    </w:p>
    <w:p w14:paraId="1A1B8AAA">
      <w:pPr>
        <w:snapToGrid w:val="0"/>
        <w:spacing w:line="58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（六）投标文件的签署和份数</w:t>
      </w:r>
    </w:p>
    <w:p w14:paraId="3C4C408E">
      <w:pPr>
        <w:snapToGrid w:val="0"/>
        <w:spacing w:line="580" w:lineRule="exact"/>
        <w:ind w:firstLine="42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1.电子投标文件：</w:t>
      </w:r>
    </w:p>
    <w:p w14:paraId="69E0E4E2">
      <w:pPr>
        <w:snapToGrid w:val="0"/>
        <w:spacing w:line="58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52AEE584">
      <w:pPr>
        <w:snapToGrid w:val="0"/>
        <w:spacing w:line="580" w:lineRule="exact"/>
        <w:ind w:firstLine="42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2.供应商如需提供数据电子备份投标文件（U盘）：</w:t>
      </w:r>
    </w:p>
    <w:p w14:paraId="23BB3C93">
      <w:pPr>
        <w:snapToGrid w:val="0"/>
        <w:spacing w:line="58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电子投标文件的备份文件以U盘形式存储。数据电子备份投标文件格式及内容须与政采云平台项目采购-电子交易操作指南中制作、加密并递交的电子投标文件格式及内容一致。</w:t>
      </w:r>
      <w:r>
        <w:rPr>
          <w:rFonts w:hint="eastAsia" w:ascii="仿宋" w:hAnsi="仿宋" w:eastAsia="仿宋" w:cs="仿宋"/>
          <w:b/>
          <w:color w:val="auto"/>
          <w:sz w:val="24"/>
          <w:highlight w:val="none"/>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仿宋" w:hAnsi="仿宋" w:eastAsia="仿宋" w:cs="仿宋"/>
          <w:color w:val="auto"/>
          <w:sz w:val="24"/>
          <w:highlight w:val="none"/>
        </w:rPr>
        <w:t>。凡是参加两个或者以上标项投标的，必须按标项分别单独密封、包装、单独提交。</w:t>
      </w:r>
    </w:p>
    <w:p w14:paraId="3F7D8C65">
      <w:pPr>
        <w:snapToGrid w:val="0"/>
        <w:spacing w:line="580" w:lineRule="exact"/>
        <w:ind w:firstLine="42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3.其他：</w:t>
      </w:r>
    </w:p>
    <w:p w14:paraId="70C8B770">
      <w:pPr>
        <w:snapToGrid w:val="0"/>
        <w:spacing w:line="580" w:lineRule="exact"/>
        <w:ind w:firstLine="352" w:firstLineChars="147"/>
        <w:jc w:val="left"/>
        <w:rPr>
          <w:rFonts w:ascii="仿宋" w:hAnsi="仿宋" w:eastAsia="仿宋" w:cs="仿宋"/>
          <w:color w:val="auto"/>
          <w:sz w:val="24"/>
          <w:highlight w:val="none"/>
        </w:rPr>
      </w:pPr>
      <w:r>
        <w:rPr>
          <w:rFonts w:hint="eastAsia" w:ascii="仿宋" w:hAnsi="仿宋" w:eastAsia="仿宋" w:cs="仿宋"/>
          <w:color w:val="auto"/>
          <w:sz w:val="24"/>
          <w:highlight w:val="none"/>
        </w:rPr>
        <w:t>3.1投标文件需按招标文件要求的格式填写并签字盖章。</w:t>
      </w:r>
    </w:p>
    <w:p w14:paraId="785E1338">
      <w:pPr>
        <w:snapToGrid w:val="0"/>
        <w:spacing w:line="580" w:lineRule="exact"/>
        <w:ind w:firstLine="352" w:firstLineChars="147"/>
        <w:jc w:val="left"/>
        <w:rPr>
          <w:rFonts w:ascii="仿宋" w:hAnsi="仿宋" w:eastAsia="仿宋" w:cs="仿宋"/>
          <w:color w:val="auto"/>
          <w:sz w:val="24"/>
          <w:highlight w:val="none"/>
        </w:rPr>
      </w:pPr>
      <w:r>
        <w:rPr>
          <w:rFonts w:hint="eastAsia" w:ascii="仿宋" w:hAnsi="仿宋" w:eastAsia="仿宋" w:cs="仿宋"/>
          <w:color w:val="auto"/>
          <w:sz w:val="24"/>
          <w:highlight w:val="none"/>
        </w:rPr>
        <w:t>3.2投标文件不应涂改或行间插字和增删, 如有修改，修改处须加盖供应商的公章或由法定代表人或其授权委托人签字或盖章。投标文件因字迹潦草或表达不清所引起的后果由供应商负责。</w:t>
      </w:r>
    </w:p>
    <w:p w14:paraId="35EE8899">
      <w:pPr>
        <w:snapToGrid w:val="0"/>
        <w:spacing w:line="58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（六）投标文件的包装、递交、修改和撤回</w:t>
      </w:r>
    </w:p>
    <w:p w14:paraId="078607CA">
      <w:pPr>
        <w:snapToGrid w:val="0"/>
        <w:spacing w:line="5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6F9516D8">
      <w:pPr>
        <w:snapToGrid w:val="0"/>
        <w:spacing w:line="58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14:paraId="1EC28291">
      <w:pPr>
        <w:snapToGrid w:val="0"/>
        <w:spacing w:line="58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供应商在“政采云平台”完成“电子加密投标文件”的上传递交后，允许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14:paraId="4FD6A24C">
      <w:pPr>
        <w:snapToGrid w:val="0"/>
        <w:spacing w:line="58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14:paraId="62749BE5">
      <w:pPr>
        <w:snapToGrid w:val="0"/>
        <w:spacing w:line="58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4.供应商如需提交数据电子备份投标文件（U盘）的，应当在规定时间前密封、包装并在包装上标注投标项目名称、供应商名称并加盖公章。邮寄地址：湖州市吴兴区八里店镇戴山路1888号吴兴科技创业园B幢5楼（八里店镇政府内）  ，联系电话：0572-20</w:t>
      </w:r>
      <w:r>
        <w:rPr>
          <w:rFonts w:hint="eastAsia" w:ascii="仿宋" w:hAnsi="仿宋" w:eastAsia="仿宋" w:cs="仿宋"/>
          <w:color w:val="auto"/>
          <w:sz w:val="24"/>
          <w:highlight w:val="none"/>
          <w:lang w:val="en-US" w:eastAsia="zh-CN"/>
        </w:rPr>
        <w:t>68728</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高婧靓</w:t>
      </w:r>
      <w:r>
        <w:rPr>
          <w:rFonts w:hint="eastAsia" w:ascii="仿宋" w:hAnsi="仿宋" w:eastAsia="仿宋" w:cs="仿宋"/>
          <w:color w:val="auto"/>
          <w:sz w:val="24"/>
          <w:highlight w:val="none"/>
        </w:rPr>
        <w:t>，由代理机构人员统一负责接收投标文件，做好接收记录，与投标资料一并归档。邮寄时，应注明投标单位名称、投标单位的联系人、联系电话及投标项目名称。</w:t>
      </w:r>
    </w:p>
    <w:p w14:paraId="10A74582">
      <w:pPr>
        <w:snapToGrid w:val="0"/>
        <w:spacing w:line="58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1F149928">
      <w:pPr>
        <w:snapToGrid w:val="0"/>
        <w:spacing w:line="580" w:lineRule="exact"/>
        <w:ind w:firstLine="472" w:firstLineChars="196"/>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（七）投标无效的情形</w:t>
      </w:r>
    </w:p>
    <w:p w14:paraId="435CFA54">
      <w:pPr>
        <w:snapToGrid w:val="0"/>
        <w:spacing w:line="5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2E60E227">
      <w:pPr>
        <w:snapToGrid w:val="0"/>
        <w:spacing w:line="58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1.在开标结束后（评标开始前），采购人或采购代理机构对供应商的资格进行审查，如发现下列情形之一的，投标文件将被视为无效，不在进行下一步评审：</w:t>
      </w:r>
    </w:p>
    <w:p w14:paraId="3F2C229F">
      <w:pPr>
        <w:widowControl/>
        <w:spacing w:line="580" w:lineRule="exact"/>
        <w:ind w:right="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（1）未提供有效的营业执照、税务登记证、组织机构代码证或未提供“三证合一”的营业执照或未提供“五证合一”的营业执照或事业单位法人身份证明书；</w:t>
      </w:r>
    </w:p>
    <w:p w14:paraId="3EBCC777">
      <w:pPr>
        <w:widowControl/>
        <w:spacing w:line="580" w:lineRule="exact"/>
        <w:ind w:right="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（2）未提供法定代表人有效身份证明书及身份证或未提供法定代表人授权书与授权人身份证或与法定代表人授权委托人身份不符的；</w:t>
      </w:r>
    </w:p>
    <w:p w14:paraId="75AE4B2D">
      <w:pPr>
        <w:widowControl/>
        <w:spacing w:line="580" w:lineRule="exact"/>
        <w:ind w:right="60"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（3）未提供</w:t>
      </w:r>
      <w:r>
        <w:rPr>
          <w:rFonts w:hint="eastAsia" w:ascii="仿宋" w:hAnsi="仿宋" w:eastAsia="仿宋" w:cs="仿宋"/>
          <w:color w:val="auto"/>
          <w:kern w:val="0"/>
          <w:sz w:val="24"/>
          <w:highlight w:val="none"/>
        </w:rPr>
        <w:t>授权代理人最近一个月个人社保缴纳证明文件；</w:t>
      </w:r>
    </w:p>
    <w:p w14:paraId="0D598D6E">
      <w:pPr>
        <w:widowControl/>
        <w:spacing w:line="580" w:lineRule="exact"/>
        <w:ind w:right="60"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（4）未</w:t>
      </w:r>
      <w:r>
        <w:rPr>
          <w:rFonts w:hint="eastAsia" w:ascii="仿宋" w:hAnsi="仿宋" w:eastAsia="仿宋" w:cs="仿宋"/>
          <w:color w:val="auto"/>
          <w:kern w:val="0"/>
          <w:sz w:val="24"/>
          <w:highlight w:val="none"/>
        </w:rPr>
        <w:t>提供供应商最近三个月企业正常纳税情况和社保基金缴纳情况证明文书；</w:t>
      </w:r>
    </w:p>
    <w:p w14:paraId="3CA2BEA4">
      <w:pPr>
        <w:widowControl/>
        <w:spacing w:line="580" w:lineRule="exact"/>
        <w:ind w:right="6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（5）自采购公告发布之日起至投标截止日内，在“信用中国”（www.creditchina.gov.cn）被列入失信被执行人、重大税收违法当事人名单、政府采购严重违法失信行为记录名单的供应商，资格审查时不予以通过； </w:t>
      </w:r>
    </w:p>
    <w:p w14:paraId="6EAE74CB">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（6）投标截止前，在“中国政府采购网”(www.ccgp.gov.cn)被列入政府采购严重违法失信行为记录名单中的供应商且在处罚有效期内的供应商，资格审查时不予以通过；</w:t>
      </w:r>
    </w:p>
    <w:p w14:paraId="23271E3D">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（7）未提供信用承诺书的；</w:t>
      </w:r>
    </w:p>
    <w:p w14:paraId="64B5552F">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（8）其他重大违法、违规记录；</w:t>
      </w:r>
    </w:p>
    <w:p w14:paraId="24CDECE9">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（9）资格证明文件不全的，或者不符合招标文件标明的资格要求的。</w:t>
      </w:r>
    </w:p>
    <w:p w14:paraId="666AC0FF">
      <w:pPr>
        <w:pStyle w:val="11"/>
        <w:tabs>
          <w:tab w:val="left" w:pos="0"/>
          <w:tab w:val="left" w:pos="993"/>
          <w:tab w:val="left" w:pos="1134"/>
        </w:tabs>
        <w:snapToGrid w:val="0"/>
        <w:spacing w:line="580" w:lineRule="exact"/>
        <w:ind w:firstLine="482"/>
        <w:rPr>
          <w:rFonts w:ascii="仿宋" w:hAnsi="仿宋" w:eastAsia="仿宋" w:cs="仿宋"/>
          <w:bCs/>
          <w:color w:val="auto"/>
          <w:sz w:val="24"/>
          <w:highlight w:val="none"/>
        </w:rPr>
      </w:pPr>
      <w:r>
        <w:rPr>
          <w:rFonts w:hint="eastAsia" w:ascii="仿宋" w:hAnsi="仿宋" w:eastAsia="仿宋" w:cs="仿宋"/>
          <w:bCs/>
          <w:color w:val="auto"/>
          <w:sz w:val="24"/>
          <w:highlight w:val="none"/>
        </w:rPr>
        <w:t>2.在符合性审查和商务评审时，如发现下列情形之一的，投标文件将被视为无效：</w:t>
      </w:r>
    </w:p>
    <w:p w14:paraId="03311F9B">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（1）投标文件未按招标文件要求签字或盖章；</w:t>
      </w:r>
    </w:p>
    <w:p w14:paraId="0C9B5D72">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（2）《资格文件》或《技术、商务、资信及其他文件》中出现报价的；</w:t>
      </w:r>
    </w:p>
    <w:p w14:paraId="129D1395">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（3）未在浙江政府采购网（政采云平台）完成本项目网上报名的；</w:t>
      </w:r>
    </w:p>
    <w:p w14:paraId="18B318CC">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（4）在投标截止时间以后传送的电子投标文件的；</w:t>
      </w:r>
    </w:p>
    <w:p w14:paraId="77638432">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（5）投标文件格式不规范、项目不齐全或者内容虚假的；</w:t>
      </w:r>
    </w:p>
    <w:p w14:paraId="76D88930">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（6）投标文件的实质性内容未使用中文表述、意思表述不明确、前后矛盾或者使用计量单位不符合招标文件要求的（经评标委员会认定并允许其当场更正的笔误除外）；</w:t>
      </w:r>
    </w:p>
    <w:p w14:paraId="7D778903">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（7）投标有效期、服务期（工期）、服务质量保证期等商务条款不能满足招标文件要求的；</w:t>
      </w:r>
    </w:p>
    <w:p w14:paraId="594B520B">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（8）未实质性响应招标文件要求或者投标文件有采购人不能接受的附加条件的。</w:t>
      </w:r>
    </w:p>
    <w:p w14:paraId="108595A8">
      <w:pPr>
        <w:pStyle w:val="11"/>
        <w:tabs>
          <w:tab w:val="left" w:pos="0"/>
          <w:tab w:val="left" w:pos="993"/>
          <w:tab w:val="left" w:pos="1134"/>
        </w:tabs>
        <w:snapToGrid w:val="0"/>
        <w:spacing w:line="580" w:lineRule="exact"/>
        <w:ind w:firstLine="482"/>
        <w:rPr>
          <w:rFonts w:ascii="仿宋" w:hAnsi="仿宋" w:eastAsia="仿宋" w:cs="仿宋"/>
          <w:bCs/>
          <w:color w:val="auto"/>
          <w:sz w:val="24"/>
          <w:highlight w:val="none"/>
        </w:rPr>
      </w:pPr>
      <w:r>
        <w:rPr>
          <w:rFonts w:hint="eastAsia" w:ascii="仿宋" w:hAnsi="仿宋" w:eastAsia="仿宋" w:cs="仿宋"/>
          <w:bCs/>
          <w:color w:val="auto"/>
          <w:sz w:val="24"/>
          <w:highlight w:val="none"/>
        </w:rPr>
        <w:t>3.在技术评审时，如发现下列情形之一的，投标文件将被视为无效：</w:t>
      </w:r>
    </w:p>
    <w:p w14:paraId="3CD16D0F">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（1）未提供或未如实提供投标货物的技术参数，或者投标文件标明的响应或偏离与事实不符或虚假投标的；</w:t>
      </w:r>
    </w:p>
    <w:p w14:paraId="336C0DFA">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（2）明显不符合招标文件要求的规格型号、质量标准，或者与招标文件中标“▲”的技术指标、主要功能项目发生实质性偏离的；</w:t>
      </w:r>
    </w:p>
    <w:p w14:paraId="0B8AB308">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（3）投标技术方案不明确，存在一个或一个以上备选（替代）投标方案的；</w:t>
      </w:r>
    </w:p>
    <w:p w14:paraId="1F122B2A">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（4）与其他参加本次投标供应商的投标文件（技术文件）的文字表述内容相同连续20行以上或者差错相同2处以上的。</w:t>
      </w:r>
    </w:p>
    <w:p w14:paraId="77047252">
      <w:pPr>
        <w:pStyle w:val="11"/>
        <w:tabs>
          <w:tab w:val="left" w:pos="0"/>
          <w:tab w:val="left" w:pos="993"/>
          <w:tab w:val="left" w:pos="1134"/>
        </w:tabs>
        <w:snapToGrid w:val="0"/>
        <w:spacing w:line="580" w:lineRule="exact"/>
        <w:ind w:firstLine="482"/>
        <w:rPr>
          <w:rFonts w:ascii="仿宋" w:hAnsi="仿宋" w:eastAsia="仿宋" w:cs="仿宋"/>
          <w:bCs/>
          <w:color w:val="auto"/>
          <w:sz w:val="24"/>
          <w:highlight w:val="none"/>
        </w:rPr>
      </w:pPr>
      <w:r>
        <w:rPr>
          <w:rFonts w:hint="eastAsia" w:ascii="仿宋" w:hAnsi="仿宋" w:eastAsia="仿宋" w:cs="仿宋"/>
          <w:bCs/>
          <w:color w:val="auto"/>
          <w:sz w:val="24"/>
          <w:highlight w:val="none"/>
        </w:rPr>
        <w:t>4.在报价评审时，如发现下列情形之一的，投标文件将被视为无效：</w:t>
      </w:r>
    </w:p>
    <w:p w14:paraId="44D058D8">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（1）未采用人民币报价或者未按照招标文件标明的币种报价的；</w:t>
      </w:r>
    </w:p>
    <w:p w14:paraId="2415BED4">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（2）报价超出最高限价，采购人不能支付的；</w:t>
      </w:r>
    </w:p>
    <w:p w14:paraId="02DBC60A">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（3）投标报价具有选择性，或者开标价格与投标文件承诺的优惠（折扣）价格不一致的。      </w:t>
      </w:r>
    </w:p>
    <w:p w14:paraId="4E1D4CE4">
      <w:pPr>
        <w:pStyle w:val="11"/>
        <w:tabs>
          <w:tab w:val="left" w:pos="0"/>
          <w:tab w:val="left" w:pos="993"/>
          <w:tab w:val="left" w:pos="1134"/>
        </w:tabs>
        <w:snapToGrid w:val="0"/>
        <w:spacing w:line="580" w:lineRule="exact"/>
        <w:ind w:firstLine="482"/>
        <w:rPr>
          <w:rFonts w:ascii="仿宋" w:hAnsi="仿宋" w:eastAsia="仿宋" w:cs="仿宋"/>
          <w:bCs/>
          <w:color w:val="auto"/>
          <w:sz w:val="24"/>
          <w:highlight w:val="none"/>
        </w:rPr>
      </w:pPr>
      <w:r>
        <w:rPr>
          <w:rFonts w:hint="eastAsia" w:ascii="仿宋" w:hAnsi="仿宋" w:eastAsia="仿宋" w:cs="仿宋"/>
          <w:bCs/>
          <w:color w:val="auto"/>
          <w:sz w:val="24"/>
          <w:highlight w:val="none"/>
        </w:rPr>
        <w:t>5.被拒绝的投标文件为无效。</w:t>
      </w:r>
    </w:p>
    <w:p w14:paraId="118E272A">
      <w:pPr>
        <w:pStyle w:val="11"/>
        <w:tabs>
          <w:tab w:val="left" w:pos="0"/>
          <w:tab w:val="left" w:pos="993"/>
          <w:tab w:val="left" w:pos="1134"/>
        </w:tabs>
        <w:snapToGrid w:val="0"/>
        <w:spacing w:line="580" w:lineRule="exact"/>
        <w:ind w:firstLine="482"/>
        <w:rPr>
          <w:rFonts w:ascii="仿宋" w:hAnsi="仿宋" w:eastAsia="仿宋" w:cs="仿宋"/>
          <w:bCs/>
          <w:color w:val="auto"/>
          <w:sz w:val="24"/>
          <w:highlight w:val="none"/>
        </w:rPr>
      </w:pPr>
      <w:r>
        <w:rPr>
          <w:rFonts w:hint="eastAsia" w:ascii="仿宋" w:hAnsi="仿宋" w:eastAsia="仿宋" w:cs="仿宋"/>
          <w:bCs/>
          <w:color w:val="auto"/>
          <w:sz w:val="24"/>
          <w:highlight w:val="none"/>
        </w:rPr>
        <w:t>6.供应商有下列情形之一的，视为供应商串通投标，其投标无效：</w:t>
      </w:r>
    </w:p>
    <w:p w14:paraId="14C38829">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（1）不同供应商的投标（响应）文件由同一单位或者个人编制； </w:t>
      </w:r>
    </w:p>
    <w:p w14:paraId="4BC119A5">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（2）不同供应商委托同一单位或者个人办理投标事宜； </w:t>
      </w:r>
    </w:p>
    <w:p w14:paraId="1EAFE209">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（3）不同供应商的投标文件或响应文件载明的项目管理成员或者联系人员为同一人； </w:t>
      </w:r>
    </w:p>
    <w:p w14:paraId="53016459">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（4）不同供应商的投标（响应）文件件异常一致或者投标报价呈规律性差异； </w:t>
      </w:r>
    </w:p>
    <w:p w14:paraId="3DD9FA4B">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（5）不同供应商的投标（响应）文件相互混装。</w:t>
      </w:r>
    </w:p>
    <w:p w14:paraId="5226B26A">
      <w:pPr>
        <w:pStyle w:val="11"/>
        <w:tabs>
          <w:tab w:val="left" w:pos="0"/>
          <w:tab w:val="left" w:pos="993"/>
          <w:tab w:val="left" w:pos="1134"/>
        </w:tabs>
        <w:snapToGrid w:val="0"/>
        <w:spacing w:line="580" w:lineRule="exact"/>
        <w:ind w:firstLine="482"/>
        <w:rPr>
          <w:rFonts w:ascii="仿宋" w:hAnsi="仿宋" w:eastAsia="仿宋" w:cs="仿宋"/>
          <w:bCs/>
          <w:color w:val="auto"/>
          <w:sz w:val="24"/>
          <w:highlight w:val="none"/>
        </w:rPr>
      </w:pPr>
      <w:r>
        <w:rPr>
          <w:rFonts w:hint="eastAsia" w:ascii="仿宋" w:hAnsi="仿宋" w:eastAsia="仿宋" w:cs="仿宋"/>
          <w:bCs/>
          <w:color w:val="auto"/>
          <w:sz w:val="24"/>
          <w:highlight w:val="none"/>
        </w:rPr>
        <w:t>7.供应商有下列情形之一的，属于恶意串通，其投标无效：</w:t>
      </w:r>
    </w:p>
    <w:p w14:paraId="6231ACFC">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（1）供应商直接或者间接从采购人或者采购代理机构处获得其他供应商的相关情况并修改其投标（响应）文件； </w:t>
      </w:r>
    </w:p>
    <w:p w14:paraId="155AC22B">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（2）供应商按照采购人或者采购代理机构的授意撤换、修改投标（响应）文件； </w:t>
      </w:r>
    </w:p>
    <w:p w14:paraId="657D32B7">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（3）供应商之间协商报价、技术方案等投标（响应）文件的实质性内容； </w:t>
      </w:r>
    </w:p>
    <w:p w14:paraId="1A8D272E">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3EEE75D4">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（5）供应商之间事先约定由某一特定供应商中标、成交； </w:t>
      </w:r>
    </w:p>
    <w:p w14:paraId="74C881CA">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（6）供应商之间商定部分供应商放弃参加政府采购活动或者放弃中标、成交； </w:t>
      </w:r>
    </w:p>
    <w:p w14:paraId="534830F5">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（7）供应商与采购人或者采购代理机构之间、供应商相互之间，为谋求特定供应商中标、成交或者排斥其他供应商的其他串通行为。</w:t>
      </w:r>
    </w:p>
    <w:p w14:paraId="4C49846D">
      <w:pPr>
        <w:pStyle w:val="11"/>
        <w:tabs>
          <w:tab w:val="left" w:pos="0"/>
          <w:tab w:val="left" w:pos="993"/>
          <w:tab w:val="left" w:pos="1134"/>
        </w:tabs>
        <w:snapToGrid w:val="0"/>
        <w:spacing w:line="580" w:lineRule="exact"/>
        <w:ind w:firstLine="482"/>
        <w:rPr>
          <w:rFonts w:ascii="仿宋" w:hAnsi="仿宋" w:eastAsia="仿宋" w:cs="仿宋"/>
          <w:bCs/>
          <w:color w:val="auto"/>
          <w:sz w:val="24"/>
          <w:highlight w:val="none"/>
        </w:rPr>
      </w:pPr>
      <w:r>
        <w:rPr>
          <w:rFonts w:hint="eastAsia" w:ascii="仿宋" w:hAnsi="仿宋" w:eastAsia="仿宋" w:cs="仿宋"/>
          <w:bCs/>
          <w:color w:val="auto"/>
          <w:sz w:val="24"/>
          <w:highlight w:val="none"/>
        </w:rPr>
        <w:t>8.出现以下情形，导致电子交易平台无法正常进行，或者无法保证电子交易的公平、公正和安全时，中止电子交易活动：</w:t>
      </w:r>
    </w:p>
    <w:p w14:paraId="0C8641FF">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（1）电子交易平台发生故障而无法登录访问的；</w:t>
      </w:r>
    </w:p>
    <w:p w14:paraId="743BA84D">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（2）电子交易平台应用或数据库出现错误，不能进行正常操作的；</w:t>
      </w:r>
    </w:p>
    <w:p w14:paraId="25CCBAEA">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（3）电子交易平台发现严重安全漏洞，有潜在泄密危险的；</w:t>
      </w:r>
    </w:p>
    <w:p w14:paraId="7C0282AE">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（4）病毒发作导致不能进行正常操作的；</w:t>
      </w:r>
    </w:p>
    <w:p w14:paraId="5E21069A">
      <w:pPr>
        <w:pStyle w:val="11"/>
        <w:tabs>
          <w:tab w:val="left" w:pos="0"/>
          <w:tab w:val="left" w:pos="993"/>
          <w:tab w:val="left" w:pos="1134"/>
        </w:tabs>
        <w:snapToGrid w:val="0"/>
        <w:spacing w:line="58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（5）其他无法保证电子交易的公平、公正和安全的情况。</w:t>
      </w:r>
    </w:p>
    <w:p w14:paraId="7933A706">
      <w:pPr>
        <w:pStyle w:val="11"/>
        <w:tabs>
          <w:tab w:val="left" w:pos="0"/>
          <w:tab w:val="left" w:pos="993"/>
          <w:tab w:val="left" w:pos="1134"/>
        </w:tabs>
        <w:snapToGrid w:val="0"/>
        <w:spacing w:line="580" w:lineRule="exact"/>
        <w:ind w:firstLine="482"/>
        <w:outlineLvl w:val="1"/>
        <w:rPr>
          <w:rFonts w:ascii="仿宋" w:hAnsi="仿宋" w:eastAsia="仿宋" w:cs="仿宋"/>
          <w:color w:val="auto"/>
          <w:sz w:val="24"/>
          <w:highlight w:val="none"/>
        </w:rPr>
      </w:pPr>
      <w:r>
        <w:rPr>
          <w:rFonts w:hint="eastAsia" w:ascii="仿宋" w:hAnsi="仿宋" w:eastAsia="仿宋" w:cs="仿宋"/>
          <w:color w:val="auto"/>
          <w:sz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p w14:paraId="6DB89B16">
      <w:pPr>
        <w:pStyle w:val="11"/>
        <w:ind w:firstLine="0" w:firstLineChars="0"/>
        <w:outlineLvl w:val="1"/>
        <w:rPr>
          <w:rFonts w:ascii="仿宋" w:hAnsi="仿宋" w:eastAsia="仿宋" w:cs="仿宋"/>
          <w:b w:val="0"/>
          <w:snapToGrid w:val="0"/>
          <w:color w:val="auto"/>
          <w:sz w:val="32"/>
          <w:szCs w:val="32"/>
          <w:highlight w:val="none"/>
        </w:rPr>
      </w:pPr>
      <w:r>
        <w:rPr>
          <w:rFonts w:hint="eastAsia" w:ascii="仿宋" w:hAnsi="仿宋" w:eastAsia="仿宋" w:cs="仿宋"/>
          <w:b w:val="0"/>
          <w:color w:val="auto"/>
          <w:sz w:val="32"/>
          <w:szCs w:val="32"/>
          <w:highlight w:val="none"/>
        </w:rPr>
        <w:t>四、开标</w:t>
      </w:r>
    </w:p>
    <w:p w14:paraId="07BEA4C0">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（一）开标准备</w:t>
      </w:r>
    </w:p>
    <w:p w14:paraId="07906299">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kern w:val="0"/>
          <w:sz w:val="24"/>
          <w:highlight w:val="none"/>
        </w:rPr>
        <w:t>采购组织机构</w:t>
      </w:r>
      <w:r>
        <w:rPr>
          <w:rFonts w:hint="eastAsia" w:ascii="仿宋" w:hAnsi="仿宋" w:eastAsia="仿宋" w:cs="仿宋"/>
          <w:bCs/>
          <w:color w:val="auto"/>
          <w:sz w:val="24"/>
          <w:szCs w:val="24"/>
          <w:highlight w:val="none"/>
        </w:rPr>
        <w:t>将在规定的时间和地点进行开标。</w:t>
      </w:r>
      <w:r>
        <w:rPr>
          <w:rFonts w:hint="eastAsia" w:ascii="仿宋" w:hAnsi="仿宋" w:eastAsia="仿宋" w:cs="仿宋"/>
          <w:color w:val="auto"/>
          <w:kern w:val="0"/>
          <w:sz w:val="24"/>
          <w:highlight w:val="none"/>
        </w:rPr>
        <w:t>采购组织机构</w:t>
      </w:r>
      <w:r>
        <w:rPr>
          <w:rFonts w:hint="eastAsia" w:ascii="仿宋" w:hAnsi="仿宋" w:eastAsia="仿宋" w:cs="仿宋"/>
          <w:bCs/>
          <w:color w:val="auto"/>
          <w:sz w:val="24"/>
          <w:szCs w:val="24"/>
          <w:highlight w:val="none"/>
        </w:rPr>
        <w:t>将按照公开招标采购文件规定的时间通过“政府采购云平台”组织开标、开启投标文件，所有投标供应商均应当准时在线参加。投标供应商如不参加开标会议的，视同认可开标结果，事后不得对采购相关人员、开标过程和开标结果提出异议，同时投标供应商因未参加开标而导致投标文件无法按时解密等一切后果由投标供应商自己承担。开标会议现场谢绝无关人员进入。</w:t>
      </w:r>
    </w:p>
    <w:p w14:paraId="4726D321">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开标程序：</w:t>
      </w:r>
    </w:p>
    <w:p w14:paraId="1A9FE95F">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第一阶段：</w:t>
      </w:r>
    </w:p>
    <w:p w14:paraId="309839B8">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开标会议准时开始。主持人介绍开标现场的人员情况，宣读开标纪律、应当回避的情形等注意事项。向各投标供应商发出电子加密投标文件【开始解密】通知，由投标供应商按公开招标采购文件规定的时间内自行进行投标文件解密；</w:t>
      </w:r>
    </w:p>
    <w:p w14:paraId="0D505D8D">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异常情况处理：</w:t>
      </w:r>
    </w:p>
    <w:p w14:paraId="6D4F696E">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1、通过“政府采购云平台”成功上传递交的“电子加密投标文件”无法按时解密，视为投标文件撤回。</w:t>
      </w:r>
    </w:p>
    <w:p w14:paraId="0E29E116">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供应商如额外递交了“备份投标文件”的，以“备份投标文件”为依据（由采购组织机构按“政府采购云平台”操作规范将“备份投标文件”上传至“政府采购云平台”，上传成功后，“电子加密投标文件”自动失效），否则视为投标文件撤回。</w:t>
      </w:r>
    </w:p>
    <w:p w14:paraId="4BDFA7DC">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2、开标截止时间前，投标供应商仅递交了“备份投标文件”而未将“电子加密投标文件”成功上传至“政府采购云平台”的，投标无效。</w:t>
      </w:r>
    </w:p>
    <w:p w14:paraId="1E037A1B">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3、“备份投标文件”应与投标供应商在解密截止时间前提交的“电子加密投标文件”一致，不得进行更改或替换，否则视为投标供应商在规定的时间内无法完成已递交的“电子加密投标文件”解密。</w:t>
      </w:r>
    </w:p>
    <w:p w14:paraId="520D9A5F">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（二）宣布投标文件解密情况（投标文件成功解密的投标供应商名单等信息），组织签署《政府采购活动现场确认声明书》；</w:t>
      </w:r>
    </w:p>
    <w:p w14:paraId="2A827317">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（三）投标文件解密结束后，进入“开标记录”环节，开启标书信息（资格文件、技术文件、商务文件、资信及其他文件）；</w:t>
      </w:r>
    </w:p>
    <w:p w14:paraId="17D6DB06">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资格审查。标书信息开启后，首先由采购人在线对投标供应商的资格文件进行审查，审查投标供应商的资格符合情况。通过资格审查的投标文件送评审小组评审；不符合要求的，作无效标处理，并由投标供应商确认。资格审查合格的投标供应商数量不足三家的，项目不再进行评审；</w:t>
      </w:r>
    </w:p>
    <w:p w14:paraId="69F5C149">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（五）符合性评审。资格审查结束后进入商务技术资信评审。评审小组对投标文件有效性、完整性和对投标文件的投标性进行审查，并在线录入符合性审查的最终结果；</w:t>
      </w:r>
    </w:p>
    <w:p w14:paraId="358438BC">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（六）商务技术资信评分。评审小组对各有效的投标供应商进行在线商务技术资信评分。评分结束后，在线进行商务技术资信评分汇总；</w:t>
      </w:r>
    </w:p>
    <w:p w14:paraId="3F744652">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在评标过程中，如评审小组对投标文件有疑问，评审小组组长将组员的询标内容汇总后，发起询标函（在线询标），投标供应商应在“澄清截止时间（30分钟内）”内作出澄清，上传“澄清函”。对需要核查的原件由投标供应商在接到询标函（在线询标）30分钟内将原件拍照或以原件扫描件形式传送至指定邮箱（</w:t>
      </w:r>
      <w:r>
        <w:rPr>
          <w:rFonts w:hint="eastAsia" w:ascii="仿宋" w:hAnsi="仿宋" w:eastAsia="仿宋" w:cs="仿宋"/>
          <w:bCs/>
          <w:color w:val="auto"/>
          <w:sz w:val="24"/>
          <w:szCs w:val="24"/>
          <w:highlight w:val="none"/>
          <w:lang w:val="en-US" w:eastAsia="zh-CN"/>
        </w:rPr>
        <w:t>39639951</w:t>
      </w:r>
      <w:r>
        <w:rPr>
          <w:rFonts w:hint="eastAsia" w:ascii="仿宋" w:hAnsi="仿宋" w:eastAsia="仿宋" w:cs="仿宋"/>
          <w:bCs/>
          <w:color w:val="auto"/>
          <w:sz w:val="24"/>
          <w:szCs w:val="24"/>
          <w:highlight w:val="none"/>
        </w:rPr>
        <w:t>@qq.com）。投标供应商已经明确表示澄清说明或补正完毕的除外；</w:t>
      </w:r>
    </w:p>
    <w:p w14:paraId="2D953E3B">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（八）商务技术资信评审评分结束后，由主持人公布无效投标的投标供应商名单、投标无效的原因及其他有效投标的评分结果；</w:t>
      </w:r>
    </w:p>
    <w:p w14:paraId="71C9140E">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（九）第一阶段结束。</w:t>
      </w:r>
    </w:p>
    <w:p w14:paraId="02B3BEC7">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第二阶段：</w:t>
      </w:r>
    </w:p>
    <w:p w14:paraId="6A69E2BC">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（一）商务技术资信评审结束后，在线开启《报价文件》；</w:t>
      </w:r>
    </w:p>
    <w:p w14:paraId="2CE39601">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根据项目情况，开启“投标供应商投标报价”，并通过“政府采购云平台在线确认”。投标供应商不予确认的应说明理由，否则视为无异议。唱标结束后，由评审小组对报价的合理性、准确性等进行审查核实；</w:t>
      </w:r>
    </w:p>
    <w:p w14:paraId="7F408DBF">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（三）报价文件开启结束后，进入在线“报价评审”，计算各投标供应商的报价得分；</w:t>
      </w:r>
    </w:p>
    <w:p w14:paraId="2129D5ED">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（四）得分汇总。汇总各投标供应商的总得分情况；</w:t>
      </w:r>
    </w:p>
    <w:p w14:paraId="0DBD9A9F">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（五）</w:t>
      </w:r>
      <w:r>
        <w:rPr>
          <w:rFonts w:hint="eastAsia" w:ascii="仿宋" w:hAnsi="仿宋" w:eastAsia="仿宋" w:cs="仿宋"/>
          <w:color w:val="auto"/>
          <w:sz w:val="24"/>
          <w:szCs w:val="24"/>
          <w:highlight w:val="none"/>
        </w:rPr>
        <w:t>推荐中标候选人；</w:t>
      </w:r>
    </w:p>
    <w:p w14:paraId="03F2F51A">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w:t>
      </w:r>
      <w:r>
        <w:rPr>
          <w:rFonts w:hint="eastAsia" w:ascii="仿宋" w:hAnsi="仿宋" w:eastAsia="仿宋" w:cs="仿宋"/>
          <w:color w:val="auto"/>
          <w:sz w:val="24"/>
          <w:szCs w:val="24"/>
          <w:highlight w:val="none"/>
        </w:rPr>
        <w:t>确定中标供应商；</w:t>
      </w:r>
    </w:p>
    <w:p w14:paraId="29D65547">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（七）结果公布。</w:t>
      </w:r>
    </w:p>
    <w:p w14:paraId="6538D3B7">
      <w:pPr>
        <w:pStyle w:val="15"/>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特别说明：如遇“政府采购云平台”电子化招标或评审程序调整的，按调整后程序执行。</w:t>
      </w:r>
    </w:p>
    <w:p w14:paraId="4F6D19D7">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如果投标供应商在满足公开招标采购文件规定要求的基础上（除价格外）提供其他优惠条件，仅作为投标的参考依据，不作为最终确定中标的投标供应商的必要条件。</w:t>
      </w:r>
    </w:p>
    <w:p w14:paraId="3419307A">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评审小组对投标文件是否作出了实质性投标的判定，只依据投标文件（含补充文件）本身的内容，不依据在最后报价程序后的任何外来证明。</w:t>
      </w:r>
    </w:p>
    <w:p w14:paraId="08B5885B">
      <w:pPr>
        <w:pStyle w:val="15"/>
        <w:spacing w:line="360" w:lineRule="auto"/>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五、评审</w:t>
      </w:r>
    </w:p>
    <w:p w14:paraId="6B2226B2">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（一）组建评审小组</w:t>
      </w:r>
    </w:p>
    <w:p w14:paraId="5864119F">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将根据公开招标采购项目的特点，依照有关规定组建评标委员会。评标委员会由采购人或采购代理机构依法组建，成员由采购人代表和评审专家组成，成员人数为五人或以上单数，其中评审专家不少于成员总数的三分之二。</w:t>
      </w:r>
    </w:p>
    <w:p w14:paraId="3171EA62">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评审专家从市级或以上财政部门设立的政府采购评审专家库中通过随机方式抽取产生。评审小组成员名单在采购结果公告前保密。</w:t>
      </w:r>
    </w:p>
    <w:p w14:paraId="749DC17B">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（二）评审小组的职责</w:t>
      </w:r>
    </w:p>
    <w:p w14:paraId="7AE76D49">
      <w:pPr>
        <w:pStyle w:val="15"/>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1、评审小组负责具体评审事务，并独立履行下列职责：</w:t>
      </w:r>
    </w:p>
    <w:p w14:paraId="65F8ED15">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（1）审查、评价投标文件是否符合</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采购文件的商务、技术等实质性要求；</w:t>
      </w:r>
    </w:p>
    <w:p w14:paraId="78A7FCD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（2）要求投标供应商对投标文件有关事项作出澄清或者说明；</w:t>
      </w:r>
    </w:p>
    <w:p w14:paraId="36F5EA79">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（3）对投标文件进行比较和评价；</w:t>
      </w:r>
    </w:p>
    <w:p w14:paraId="3B1871B4">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（4）确定中标候选供应商名单，以及根据采购人委托直接确定中标供应商；</w:t>
      </w:r>
    </w:p>
    <w:p w14:paraId="68EB1896">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（5）向采购人、采购代理机构或者有关部门报告评审中发现的违法行为。</w:t>
      </w:r>
    </w:p>
    <w:p w14:paraId="7F0A7743">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（三）评审原则</w:t>
      </w:r>
    </w:p>
    <w:p w14:paraId="19578003">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1、评审原则：评审小组会按照客观、公正、审慎、择优的原则，根据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采购文件规定的评审程序、评审方法和评审标准进行独立评审。</w:t>
      </w:r>
    </w:p>
    <w:p w14:paraId="6FB30EB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2、评审工作将依据</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采购文件、投标文件及</w:t>
      </w:r>
      <w:r>
        <w:rPr>
          <w:rFonts w:hint="eastAsia" w:ascii="仿宋" w:hAnsi="仿宋" w:eastAsia="仿宋" w:cs="仿宋"/>
          <w:color w:val="auto"/>
          <w:sz w:val="24"/>
          <w:highlight w:val="none"/>
        </w:rPr>
        <w:t>公开招标</w:t>
      </w:r>
      <w:r>
        <w:rPr>
          <w:rFonts w:hint="eastAsia" w:ascii="仿宋" w:hAnsi="仿宋" w:eastAsia="仿宋" w:cs="仿宋"/>
          <w:color w:val="auto"/>
          <w:sz w:val="24"/>
          <w:szCs w:val="24"/>
          <w:highlight w:val="none"/>
        </w:rPr>
        <w:t>采购文件中事先已列明的内容进行（如现场方案讲解、演示、样品等）。</w:t>
      </w:r>
    </w:p>
    <w:p w14:paraId="724B900B">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（四）评审意见的争议处理</w:t>
      </w:r>
    </w:p>
    <w:p w14:paraId="67AEF8CD">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评审小组成员对需要共同认定的事项存在争议的，按照少数服从多数的原则作出结论。持不同意见的评审小组成员应当在评审报告上签署不同意见及理由，否则视为同意评审报告。</w:t>
      </w:r>
    </w:p>
    <w:p w14:paraId="16E09E9C">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（五）评审纪律</w:t>
      </w:r>
    </w:p>
    <w:p w14:paraId="5DC2A228">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小组成员必须严格遵守保密规定，不得泄露评审的有关情况，任何单位和个人不得干扰、影响评标的正常进行，评审小组成员不得私下与投标供应商接触，不得出现浙江省政府采购活动现场组织管理办法中规定的其他禁止行为。</w:t>
      </w:r>
    </w:p>
    <w:p w14:paraId="425F0DD1">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（六）评审的方式</w:t>
      </w:r>
    </w:p>
    <w:p w14:paraId="1A1F13B3">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本项目采用不公开方式评审，评审的依据为公开招标采购文件和投标文件。</w:t>
      </w:r>
    </w:p>
    <w:p w14:paraId="598312BF">
      <w:pPr>
        <w:pStyle w:val="15"/>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（七）</w:t>
      </w:r>
      <w:r>
        <w:rPr>
          <w:rFonts w:hint="eastAsia" w:ascii="仿宋" w:hAnsi="仿宋" w:eastAsia="仿宋" w:cs="仿宋"/>
          <w:b/>
          <w:bCs/>
          <w:color w:val="auto"/>
          <w:sz w:val="24"/>
          <w:szCs w:val="24"/>
          <w:highlight w:val="none"/>
        </w:rPr>
        <w:t>评审程序</w:t>
      </w:r>
    </w:p>
    <w:p w14:paraId="7E1B006B">
      <w:pPr>
        <w:pStyle w:val="15"/>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资格审查：采购人代表对投标供应商的资格进行审查。</w:t>
      </w:r>
    </w:p>
    <w:p w14:paraId="6FB7BF84">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1、形式审查</w:t>
      </w:r>
    </w:p>
    <w:p w14:paraId="2CEFCF8F">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采购人代表和代理机构工作人员协助评审小组对投标供应商投标文件的完整性、合法性等进行审查。</w:t>
      </w:r>
    </w:p>
    <w:p w14:paraId="2484E558">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2、实质审查与比较</w:t>
      </w:r>
    </w:p>
    <w:p w14:paraId="38156B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（1）评审小组审查投标文件的实质性内容是否符合公开招标采购文件的实质性要求。</w:t>
      </w:r>
    </w:p>
    <w:p w14:paraId="27F030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评审小组将根据投标供应商的投标文件进行审查、核对,如有疑问,将对投标供应商进行询问,投标供应商要向评审小组澄清有关问题,并最终以书面形式进行答复。投标供应商代表未在规定时间内做出澄清或者拒绝澄清或者澄清的内容改变了投标文件的实质性内容的，评审小组有权对该投标文件作出不利于投标供应商的评判。</w:t>
      </w:r>
    </w:p>
    <w:p w14:paraId="5D3ECB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（3）各投标供应商的技术得分为所有评审小组成员的有效评分的算术平均数，由指定专人进行计算复核。</w:t>
      </w:r>
    </w:p>
    <w:p w14:paraId="516BB4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（4）代理机构工作人员协助评审小组根据本项目的评分标准计算各投标供应商的报价得分。</w:t>
      </w:r>
    </w:p>
    <w:p w14:paraId="7BB1DE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（5）评审小组完成评审后, 对各部分得分汇总,计算出本项目最终得分。评审小组按评审原则推荐中标候选人同时起草评标报告。</w:t>
      </w:r>
    </w:p>
    <w:p w14:paraId="229D44E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（八）澄清问题的形式</w:t>
      </w:r>
    </w:p>
    <w:p w14:paraId="7368A15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投标文件中含义不明确、同类问题表述不一致或者有明显文字和计算错误的内容，评审小组可要求投标供应商作出必要的澄清、说明或者纠正。投标供应商的澄清、说明或者补正不得超出投标文件的范围或者改变投标文件的实质性内容。</w:t>
      </w:r>
    </w:p>
    <w:p w14:paraId="5C101ED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（九）错误修正</w:t>
      </w:r>
    </w:p>
    <w:p w14:paraId="733BCCF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投标文件如果出现计算或表达上的错误，修正错误的原则如下：</w:t>
      </w:r>
    </w:p>
    <w:p w14:paraId="5214E7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1、开标一览表总价与投标报价明细表汇总数不一致的，以开标一览表为准；</w:t>
      </w:r>
    </w:p>
    <w:p w14:paraId="220550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2、投标文件的大写金额和小写金额不一致的，以大写金额为准；</w:t>
      </w:r>
    </w:p>
    <w:p w14:paraId="07B556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3、总价金额与按单价汇总金额不一致的，以单价金额计算结果为准；</w:t>
      </w:r>
    </w:p>
    <w:p w14:paraId="4368C96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4、对不同文字文本投标文件的解释发生异议的，以中文文本为准。</w:t>
      </w:r>
    </w:p>
    <w:p w14:paraId="1511B0B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3355386B">
      <w:pPr>
        <w:pStyle w:val="15"/>
        <w:tabs>
          <w:tab w:val="left" w:pos="630"/>
        </w:tabs>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（十）评审办法</w:t>
      </w:r>
    </w:p>
    <w:p w14:paraId="183BB4CD">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评审办法。本项目评审办法是</w:t>
      </w:r>
      <w:r>
        <w:rPr>
          <w:rFonts w:hint="eastAsia" w:ascii="仿宋" w:hAnsi="仿宋" w:eastAsia="仿宋" w:cs="仿宋"/>
          <w:color w:val="auto"/>
          <w:sz w:val="24"/>
          <w:szCs w:val="24"/>
          <w:highlight w:val="none"/>
          <w:u w:val="single"/>
        </w:rPr>
        <w:t>综合评分法</w:t>
      </w:r>
      <w:r>
        <w:rPr>
          <w:rFonts w:hint="eastAsia" w:ascii="仿宋" w:hAnsi="仿宋" w:eastAsia="仿宋" w:cs="仿宋"/>
          <w:color w:val="auto"/>
          <w:sz w:val="24"/>
          <w:szCs w:val="24"/>
          <w:highlight w:val="none"/>
        </w:rPr>
        <w:t>，具体评审内容及评分标准等详见《第四章：评审办法及评分标准》。</w:t>
      </w:r>
    </w:p>
    <w:p w14:paraId="535A670C">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（十一）评审过程的监控</w:t>
      </w:r>
    </w:p>
    <w:p w14:paraId="702F7C79">
      <w:pPr>
        <w:pStyle w:val="1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本项目评审过程实行全程录音、录像监控，投标供应商在评审过程中所进行的试图影响评审结果的不公正活动，可能导致其投标被拒绝。</w:t>
      </w:r>
    </w:p>
    <w:p w14:paraId="31C066CB">
      <w:pPr>
        <w:pStyle w:val="15"/>
        <w:spacing w:line="360" w:lineRule="auto"/>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14:paraId="77EE4E88">
      <w:pPr>
        <w:pStyle w:val="15"/>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（一）本项目由采购人根据评标委员会小组提交的《评审报告》，通过“政府采购云平台”依法确定成交人。</w:t>
      </w:r>
    </w:p>
    <w:p w14:paraId="3CD1AB51">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 采购代理机构在评标结束后2个工作日内将评标报告交采购人确认。</w:t>
      </w:r>
    </w:p>
    <w:p w14:paraId="4C177147">
      <w:pP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采购人应当自收到评标报告之日起5个工作日内，在评标报告确定的中标候选人中按顺序确认中标人。</w:t>
      </w:r>
    </w:p>
    <w:p w14:paraId="71EDC721">
      <w:pPr>
        <w:pStyle w:val="15"/>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采购人依法确定中标人后2个工作日内，采购代理机构以书面形式发出《中标通知书》,并同时在相关网站上发布中标结果公告。</w:t>
      </w:r>
    </w:p>
    <w:p w14:paraId="4F577B5A">
      <w:pPr>
        <w:pStyle w:val="15"/>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4.中标通知书发出后，采购人改变中标结果，或者中标供应商放弃中标，应当承担相应的法律责任。</w:t>
      </w:r>
    </w:p>
    <w:p w14:paraId="35D3B81B">
      <w:pPr>
        <w:pStyle w:val="15"/>
        <w:spacing w:line="440" w:lineRule="exact"/>
        <w:ind w:firstLine="472"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（二）中标通知书</w:t>
      </w:r>
    </w:p>
    <w:p w14:paraId="23EBA1CC">
      <w:pPr>
        <w:pStyle w:val="15"/>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采购代理机构将在中标人确定之日起2个工作日内通过“政府采购云平台”向中标人签发《中标通知书》，同时在省级以上人民政府财政部门指定的媒体（浙江政府采购网）上公告采购结果，采购文件随中标结果同时公告。</w:t>
      </w:r>
    </w:p>
    <w:p w14:paraId="1BF27039">
      <w:pPr>
        <w:pStyle w:val="15"/>
        <w:spacing w:line="440" w:lineRule="exact"/>
        <w:ind w:firstLine="593" w:firstLineChars="24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中标通知书发出后，中标人无正当理由不得放弃中标。</w:t>
      </w:r>
    </w:p>
    <w:p w14:paraId="15DC707C">
      <w:pPr>
        <w:pStyle w:val="15"/>
        <w:spacing w:line="44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14:paraId="3594D8CB">
      <w:pPr>
        <w:pStyle w:val="15"/>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3.中标通知书为双方签订合同的依据。</w:t>
      </w:r>
    </w:p>
    <w:p w14:paraId="419158FF">
      <w:pPr>
        <w:pStyle w:val="15"/>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4.中标供应商应根据中标通知书中规定的时间内，由法定代表人或其授权代理人与采购人签订合同。</w:t>
      </w:r>
    </w:p>
    <w:p w14:paraId="6093C965">
      <w:pPr>
        <w:pStyle w:val="15"/>
        <w:spacing w:line="44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（三）采购过程、采购结果的质疑</w:t>
      </w:r>
    </w:p>
    <w:p w14:paraId="5FF2E591">
      <w:pPr>
        <w:pStyle w:val="15"/>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E4666AB">
      <w:pPr>
        <w:pStyle w:val="15"/>
        <w:spacing w:line="360" w:lineRule="auto"/>
        <w:jc w:val="left"/>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2601564E">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（一）签订合同</w:t>
      </w:r>
    </w:p>
    <w:p w14:paraId="02149FF4">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1.采购人与中标供应商应当在《中标通知书》发出之日起30日内签订政府采购合同。同时，采购代理机构对合同内容进行审查，如发现与采购结果和投标承诺内容不一致的，应予以纠正。</w:t>
      </w:r>
    </w:p>
    <w:p w14:paraId="5279DAEF">
      <w:pPr>
        <w:pStyle w:val="15"/>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2.中标供应商拖延、拒签合同的,将被取消中标资格。</w:t>
      </w:r>
    </w:p>
    <w:p w14:paraId="21E35BCC">
      <w:pPr>
        <w:keepNext/>
        <w:keepLines/>
        <w:spacing w:before="280" w:after="290" w:line="372" w:lineRule="auto"/>
        <w:ind w:firstLine="482" w:firstLineChars="200"/>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（二）履约保证金：无</w:t>
      </w:r>
    </w:p>
    <w:p w14:paraId="14E9B1C7">
      <w:pPr>
        <w:pStyle w:val="15"/>
        <w:spacing w:line="360" w:lineRule="auto"/>
        <w:ind w:firstLine="482" w:firstLineChars="200"/>
        <w:jc w:val="left"/>
        <w:rPr>
          <w:rFonts w:ascii="仿宋" w:hAnsi="仿宋" w:eastAsia="仿宋" w:cs="仿宋"/>
          <w:b/>
          <w:color w:val="auto"/>
          <w:sz w:val="24"/>
          <w:szCs w:val="24"/>
          <w:highlight w:val="none"/>
        </w:rPr>
      </w:pPr>
    </w:p>
    <w:p w14:paraId="49015EC1">
      <w:pPr>
        <w:pStyle w:val="15"/>
        <w:spacing w:line="360" w:lineRule="auto"/>
        <w:rPr>
          <w:rFonts w:ascii="仿宋" w:hAnsi="仿宋" w:eastAsia="仿宋" w:cs="仿宋"/>
          <w:b/>
          <w:color w:val="auto"/>
          <w:sz w:val="44"/>
          <w:szCs w:val="44"/>
          <w:highlight w:val="none"/>
        </w:rPr>
      </w:pPr>
    </w:p>
    <w:p w14:paraId="66CDD3B4">
      <w:pP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5B8F0C30">
      <w:pPr>
        <w:pStyle w:val="15"/>
        <w:spacing w:line="360" w:lineRule="auto"/>
        <w:ind w:firstLine="883" w:firstLineChars="200"/>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第四章  评审办法及评分标准</w:t>
      </w:r>
    </w:p>
    <w:p w14:paraId="1DB9B09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为公正、公平、科学地选择中标供应商，根据《中华人民共和国政府采购法》等有关法律法规的规定，并结合本项目的实际，制定本办法。</w:t>
      </w:r>
    </w:p>
    <w:p w14:paraId="4EDAF297">
      <w:pPr>
        <w:spacing w:before="120" w:beforeLines="50" w:after="120" w:afterLines="50"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一、总则</w:t>
      </w:r>
    </w:p>
    <w:p w14:paraId="3394BD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本次评审采用综合评分法，</w:t>
      </w:r>
      <w:r>
        <w:rPr>
          <w:rFonts w:hint="eastAsia" w:ascii="仿宋" w:hAnsi="仿宋" w:eastAsia="仿宋" w:cs="仿宋"/>
          <w:b/>
          <w:color w:val="auto"/>
          <w:sz w:val="24"/>
          <w:highlight w:val="none"/>
        </w:rPr>
        <w:t>总分为100分，其中价格分20分、技术分、商务分和资信及其他部分权值80分</w:t>
      </w:r>
      <w:r>
        <w:rPr>
          <w:rFonts w:hint="eastAsia" w:ascii="仿宋" w:hAnsi="仿宋" w:eastAsia="仿宋" w:cs="仿宋"/>
          <w:color w:val="auto"/>
          <w:sz w:val="24"/>
          <w:highlight w:val="none"/>
        </w:rPr>
        <w:t>。合格投标供应商的评审得分为各项目汇总得分。本项目由采购人授权的评审小组直接确定中标供应商。评分过程中采用四舍五入法，并保留小数2位。</w:t>
      </w:r>
    </w:p>
    <w:p w14:paraId="0F3BBB4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各投标供应商最终得分=技术分、商务分和资信及其他分得分+价格分得分。</w:t>
      </w:r>
    </w:p>
    <w:p w14:paraId="0D59CD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 候选人，排名第二的投标供应商为第二中标候选人……其他投标供应商中标候选资格依次类推。</w:t>
      </w:r>
    </w:p>
    <w:p w14:paraId="34F58866">
      <w:pPr>
        <w:spacing w:before="120" w:beforeLines="50" w:after="120" w:afterLines="50"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二、评审内容及标准</w:t>
      </w:r>
    </w:p>
    <w:p w14:paraId="7C340C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（1）价格分20分</w:t>
      </w:r>
    </w:p>
    <w:p w14:paraId="418B6DE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价格分采用低价优先法计算，即满足招标文件要求且投标价格最低的折扣率为评标基准价，其他供应商的价格分按照下列公式计算：</w:t>
      </w:r>
    </w:p>
    <w:p w14:paraId="7C4290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价格分=（评标基准价/投标报价）×20%×100</w:t>
      </w:r>
    </w:p>
    <w:p w14:paraId="7BC9C8B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（2）技术分、商务分、资信分80分</w:t>
      </w:r>
    </w:p>
    <w:p w14:paraId="410A79D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（3）技术分、商务分、资信分的计算</w:t>
      </w:r>
    </w:p>
    <w:p w14:paraId="3A5CEF2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技术、商务、资信及其他分按照评标委员会成员的独立评分结果汇总数的算术平均分计算，计算公式为：</w:t>
      </w:r>
    </w:p>
    <w:p w14:paraId="675E97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技术分、商务分、资信及其他分=（评标委员会所有成员评分合计数）/（评标委员会组成人员数）</w:t>
      </w:r>
    </w:p>
    <w:p w14:paraId="135D2C2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5"/>
        <w:gridCol w:w="7518"/>
        <w:gridCol w:w="639"/>
      </w:tblGrid>
      <w:tr w14:paraId="0365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0" w:type="auto"/>
            <w:noWrap w:val="0"/>
            <w:vAlign w:val="center"/>
          </w:tcPr>
          <w:p w14:paraId="6FA2C80F">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w:t>
            </w:r>
          </w:p>
        </w:tc>
        <w:tc>
          <w:tcPr>
            <w:tcW w:w="0" w:type="auto"/>
            <w:gridSpan w:val="2"/>
            <w:noWrap w:val="0"/>
            <w:vAlign w:val="top"/>
          </w:tcPr>
          <w:p w14:paraId="6946E2BB">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技术分</w:t>
            </w:r>
          </w:p>
        </w:tc>
        <w:tc>
          <w:tcPr>
            <w:tcW w:w="0" w:type="auto"/>
            <w:noWrap w:val="0"/>
            <w:vAlign w:val="top"/>
          </w:tcPr>
          <w:p w14:paraId="475168AF">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70分</w:t>
            </w:r>
          </w:p>
        </w:tc>
      </w:tr>
      <w:tr w14:paraId="19B5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exact"/>
          <w:jc w:val="center"/>
        </w:trPr>
        <w:tc>
          <w:tcPr>
            <w:tcW w:w="0" w:type="auto"/>
            <w:noWrap w:val="0"/>
            <w:vAlign w:val="center"/>
          </w:tcPr>
          <w:p w14:paraId="156F87A3">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0" w:type="auto"/>
            <w:noWrap w:val="0"/>
            <w:vAlign w:val="center"/>
          </w:tcPr>
          <w:p w14:paraId="154E9AF1">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项目总体理解</w:t>
            </w:r>
          </w:p>
        </w:tc>
        <w:tc>
          <w:tcPr>
            <w:tcW w:w="0" w:type="auto"/>
            <w:noWrap w:val="0"/>
            <w:vAlign w:val="center"/>
          </w:tcPr>
          <w:p w14:paraId="09874BE4">
            <w:pPr>
              <w:spacing w:line="50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根据供应商对本项目的理解和响应招标文件整体需求，对本项目实施的目的、意义及内容理解全面、合理、针对性强的得4-5分，理解内容较全面科学合理得2-3</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分，理解内容一般，不够全面具体得0-1</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分，不提供不得分。（0-5分）</w:t>
            </w:r>
          </w:p>
          <w:p w14:paraId="062A7A35">
            <w:pPr>
              <w:pStyle w:val="9"/>
              <w:spacing w:line="500" w:lineRule="exact"/>
              <w:jc w:val="left"/>
              <w:rPr>
                <w:rFonts w:hint="eastAsia" w:ascii="仿宋" w:hAnsi="仿宋" w:eastAsia="仿宋" w:cs="仿宋"/>
                <w:b w:val="0"/>
                <w:bCs/>
                <w:color w:val="auto"/>
                <w:sz w:val="24"/>
                <w:szCs w:val="24"/>
                <w:highlight w:val="none"/>
              </w:rPr>
            </w:pPr>
          </w:p>
        </w:tc>
        <w:tc>
          <w:tcPr>
            <w:tcW w:w="0" w:type="auto"/>
            <w:noWrap w:val="0"/>
            <w:vAlign w:val="center"/>
          </w:tcPr>
          <w:p w14:paraId="03ECE411">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0-5分</w:t>
            </w:r>
          </w:p>
        </w:tc>
      </w:tr>
      <w:tr w14:paraId="1625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exact"/>
          <w:jc w:val="center"/>
        </w:trPr>
        <w:tc>
          <w:tcPr>
            <w:tcW w:w="0" w:type="auto"/>
            <w:vMerge w:val="restart"/>
            <w:noWrap w:val="0"/>
            <w:vAlign w:val="center"/>
          </w:tcPr>
          <w:p w14:paraId="4775A34D">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0" w:type="auto"/>
            <w:vMerge w:val="restart"/>
            <w:noWrap w:val="0"/>
            <w:vAlign w:val="center"/>
          </w:tcPr>
          <w:p w14:paraId="25426FB5">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技术方案</w:t>
            </w:r>
          </w:p>
        </w:tc>
        <w:tc>
          <w:tcPr>
            <w:tcW w:w="0" w:type="auto"/>
            <w:noWrap w:val="0"/>
            <w:vAlign w:val="center"/>
          </w:tcPr>
          <w:p w14:paraId="5C19F644">
            <w:pPr>
              <w:spacing w:line="50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1.整体实施方案：</w:t>
            </w:r>
            <w:r>
              <w:rPr>
                <w:rFonts w:hint="eastAsia" w:ascii="仿宋" w:hAnsi="仿宋" w:eastAsia="仿宋" w:cs="仿宋"/>
                <w:b w:val="0"/>
                <w:bCs/>
                <w:color w:val="auto"/>
                <w:kern w:val="0"/>
                <w:sz w:val="24"/>
                <w:szCs w:val="24"/>
                <w:highlight w:val="none"/>
              </w:rPr>
              <w:t>根据供应商提供的针对本项目的实施方案的适用性打分：实施方案无法体现出采购人对供应商的要求或无法明确指出相应的服务措施的，每处扣1-2分；实施方案无法与项目理解相对应的或未切合项目的有效性、科学性、可操作性的，每处扣1-2分；实施方案内容有欠缺，不详尽，不合理，不符合项目实际情况的的，每处扣1-2分。扣完为止，本项内容不提供者不得分。</w:t>
            </w:r>
          </w:p>
        </w:tc>
        <w:tc>
          <w:tcPr>
            <w:tcW w:w="0" w:type="auto"/>
            <w:noWrap w:val="0"/>
            <w:vAlign w:val="center"/>
          </w:tcPr>
          <w:p w14:paraId="041ECD23">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0-8分</w:t>
            </w:r>
          </w:p>
        </w:tc>
      </w:tr>
      <w:tr w14:paraId="0AA7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exact"/>
          <w:jc w:val="center"/>
        </w:trPr>
        <w:tc>
          <w:tcPr>
            <w:tcW w:w="0" w:type="auto"/>
            <w:vMerge w:val="continue"/>
            <w:noWrap w:val="0"/>
            <w:vAlign w:val="center"/>
          </w:tcPr>
          <w:p w14:paraId="6E7D9589">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vMerge w:val="continue"/>
            <w:noWrap w:val="0"/>
            <w:vAlign w:val="center"/>
          </w:tcPr>
          <w:p w14:paraId="0E3CB51A">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noWrap w:val="0"/>
            <w:vAlign w:val="center"/>
          </w:tcPr>
          <w:p w14:paraId="68F7BA1D">
            <w:pPr>
              <w:spacing w:line="50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2.确保服务质量的措施：</w:t>
            </w:r>
            <w:r>
              <w:rPr>
                <w:rFonts w:hint="eastAsia" w:ascii="仿宋" w:hAnsi="仿宋" w:eastAsia="仿宋" w:cs="仿宋"/>
                <w:b w:val="0"/>
                <w:bCs/>
                <w:color w:val="auto"/>
                <w:kern w:val="0"/>
                <w:sz w:val="24"/>
                <w:szCs w:val="24"/>
                <w:highlight w:val="none"/>
              </w:rPr>
              <w:t>供应商具有安全周到、切实可行的确保服务的组织措施（包括但不限于班子和人员等）及确保服务质量的措施的得5-6分，相关措施和服务质量较安全周到，科学得3-4</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分，相关措施和服务质量一般得1-2</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分，不提供不得分。（0-6分）</w:t>
            </w:r>
          </w:p>
        </w:tc>
        <w:tc>
          <w:tcPr>
            <w:tcW w:w="0" w:type="auto"/>
            <w:noWrap w:val="0"/>
            <w:vAlign w:val="center"/>
          </w:tcPr>
          <w:p w14:paraId="4435E232">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0-6分</w:t>
            </w:r>
          </w:p>
        </w:tc>
      </w:tr>
      <w:tr w14:paraId="5FC0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exact"/>
          <w:jc w:val="center"/>
        </w:trPr>
        <w:tc>
          <w:tcPr>
            <w:tcW w:w="0" w:type="auto"/>
            <w:vMerge w:val="continue"/>
            <w:noWrap w:val="0"/>
            <w:vAlign w:val="center"/>
          </w:tcPr>
          <w:p w14:paraId="71D37C7D">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vMerge w:val="continue"/>
            <w:noWrap w:val="0"/>
            <w:vAlign w:val="center"/>
          </w:tcPr>
          <w:p w14:paraId="7293F402">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noWrap w:val="0"/>
            <w:vAlign w:val="center"/>
          </w:tcPr>
          <w:p w14:paraId="7A5FD7E1">
            <w:pPr>
              <w:spacing w:line="50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3.组织架构及工作管理流程：</w:t>
            </w:r>
            <w:r>
              <w:rPr>
                <w:rFonts w:hint="eastAsia" w:ascii="仿宋" w:hAnsi="仿宋" w:eastAsia="仿宋" w:cs="仿宋"/>
                <w:b w:val="0"/>
                <w:bCs/>
                <w:color w:val="auto"/>
                <w:kern w:val="0"/>
                <w:sz w:val="24"/>
                <w:szCs w:val="24"/>
                <w:highlight w:val="none"/>
              </w:rPr>
              <w:t>供应商具有完善的服务组织架构，针对本项目的流程清晰完善、逻辑合理可行的管理流程及工作流程的得5-6分，组织架构、流程较清晰完善、逻辑合理可行得3-4</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分，组织架构、流程不够清晰完善、逻辑合理一般得1-2</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分，不提供不得分。（0-6分）</w:t>
            </w:r>
          </w:p>
        </w:tc>
        <w:tc>
          <w:tcPr>
            <w:tcW w:w="0" w:type="auto"/>
            <w:noWrap w:val="0"/>
            <w:vAlign w:val="center"/>
          </w:tcPr>
          <w:p w14:paraId="7D3D43BB">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0-6分</w:t>
            </w:r>
          </w:p>
        </w:tc>
      </w:tr>
      <w:tr w14:paraId="5041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exact"/>
          <w:jc w:val="center"/>
        </w:trPr>
        <w:tc>
          <w:tcPr>
            <w:tcW w:w="0" w:type="auto"/>
            <w:vMerge w:val="continue"/>
            <w:noWrap w:val="0"/>
            <w:vAlign w:val="center"/>
          </w:tcPr>
          <w:p w14:paraId="33E072D8">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vMerge w:val="continue"/>
            <w:noWrap w:val="0"/>
            <w:vAlign w:val="center"/>
          </w:tcPr>
          <w:p w14:paraId="23BE379C">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noWrap w:val="0"/>
            <w:vAlign w:val="center"/>
          </w:tcPr>
          <w:p w14:paraId="61597237">
            <w:pPr>
              <w:spacing w:line="50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4.针对本项目的机制：</w:t>
            </w:r>
            <w:r>
              <w:rPr>
                <w:rFonts w:hint="eastAsia" w:ascii="仿宋" w:hAnsi="仿宋" w:eastAsia="仿宋" w:cs="仿宋"/>
                <w:b w:val="0"/>
                <w:bCs/>
                <w:color w:val="auto"/>
                <w:kern w:val="0"/>
                <w:sz w:val="24"/>
                <w:szCs w:val="24"/>
                <w:highlight w:val="none"/>
              </w:rPr>
              <w:t>针对本项目采取的完善有效且切实可行的机制（包括激励机制、监督机制、自我约束机制、信息反馈渠道及处理机制等）的得5-6分；相关机制较切实可行较完善得3-4</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分，相关机制一般，不够完善得1-2</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分，不提供不得分。（0-6分）</w:t>
            </w:r>
          </w:p>
        </w:tc>
        <w:tc>
          <w:tcPr>
            <w:tcW w:w="0" w:type="auto"/>
            <w:noWrap w:val="0"/>
            <w:vAlign w:val="center"/>
          </w:tcPr>
          <w:p w14:paraId="39BEE91C">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0-6分</w:t>
            </w:r>
          </w:p>
        </w:tc>
      </w:tr>
      <w:tr w14:paraId="566F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exact"/>
          <w:jc w:val="center"/>
        </w:trPr>
        <w:tc>
          <w:tcPr>
            <w:tcW w:w="0" w:type="auto"/>
            <w:vMerge w:val="continue"/>
            <w:noWrap w:val="0"/>
            <w:vAlign w:val="center"/>
          </w:tcPr>
          <w:p w14:paraId="4AC21E6B">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vMerge w:val="continue"/>
            <w:noWrap w:val="0"/>
            <w:vAlign w:val="center"/>
          </w:tcPr>
          <w:p w14:paraId="32E8801A">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noWrap w:val="0"/>
            <w:vAlign w:val="center"/>
          </w:tcPr>
          <w:p w14:paraId="30B2B352">
            <w:pPr>
              <w:spacing w:line="50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5.服务保障措施：</w:t>
            </w:r>
            <w:r>
              <w:rPr>
                <w:rFonts w:hint="eastAsia" w:ascii="仿宋" w:hAnsi="仿宋" w:eastAsia="仿宋" w:cs="仿宋"/>
                <w:b w:val="0"/>
                <w:bCs/>
                <w:color w:val="auto"/>
                <w:kern w:val="0"/>
                <w:sz w:val="24"/>
                <w:szCs w:val="24"/>
                <w:highlight w:val="none"/>
              </w:rPr>
              <w:t>供应商具有完善的确保服务质量的保障措施、组织措施、人员招聘措施及培训措施的得5-6分，各项措施较完善全面得3-4</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分，各项措施一般，不够全面的得1-2</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分，不提供不得分。（0-6分）</w:t>
            </w:r>
          </w:p>
        </w:tc>
        <w:tc>
          <w:tcPr>
            <w:tcW w:w="0" w:type="auto"/>
            <w:noWrap w:val="0"/>
            <w:vAlign w:val="center"/>
          </w:tcPr>
          <w:p w14:paraId="1FC11D2E">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0-6分</w:t>
            </w:r>
          </w:p>
        </w:tc>
      </w:tr>
      <w:tr w14:paraId="56CC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exact"/>
          <w:jc w:val="center"/>
        </w:trPr>
        <w:tc>
          <w:tcPr>
            <w:tcW w:w="0" w:type="auto"/>
            <w:vMerge w:val="continue"/>
            <w:noWrap w:val="0"/>
            <w:vAlign w:val="center"/>
          </w:tcPr>
          <w:p w14:paraId="031F810A">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vMerge w:val="restart"/>
            <w:noWrap w:val="0"/>
            <w:vAlign w:val="center"/>
          </w:tcPr>
          <w:p w14:paraId="1D8E1784">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noWrap w:val="0"/>
            <w:vAlign w:val="center"/>
          </w:tcPr>
          <w:p w14:paraId="07726890">
            <w:pPr>
              <w:spacing w:line="5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6.管理制度及应急预案：</w:t>
            </w:r>
          </w:p>
          <w:p w14:paraId="5C1F4843">
            <w:pPr>
              <w:spacing w:line="50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1.管理制度: 供应商提供的各项内部岗位责任制度、管理运作制度、考核制度及标准等符合规范，体现高标准、高档次、科学合理、详细完备的得2-3分，管理制度一般不够全面得0-</w:t>
            </w:r>
            <w:r>
              <w:rPr>
                <w:rFonts w:hint="eastAsia" w:ascii="仿宋" w:hAnsi="仿宋" w:eastAsia="仿宋" w:cs="仿宋"/>
                <w:b w:val="0"/>
                <w:bCs/>
                <w:color w:val="auto"/>
                <w:kern w:val="0"/>
                <w:sz w:val="24"/>
                <w:szCs w:val="24"/>
                <w:highlight w:val="none"/>
                <w:lang w:val="en-US" w:eastAsia="zh-CN"/>
              </w:rPr>
              <w:t>1.9</w:t>
            </w:r>
            <w:r>
              <w:rPr>
                <w:rFonts w:hint="eastAsia" w:ascii="仿宋" w:hAnsi="仿宋" w:eastAsia="仿宋" w:cs="仿宋"/>
                <w:b w:val="0"/>
                <w:bCs/>
                <w:color w:val="auto"/>
                <w:kern w:val="0"/>
                <w:sz w:val="24"/>
                <w:szCs w:val="24"/>
                <w:highlight w:val="none"/>
              </w:rPr>
              <w:t>分。</w:t>
            </w:r>
          </w:p>
          <w:p w14:paraId="779B852D">
            <w:pPr>
              <w:spacing w:line="5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2.应急预案：供应商应急预案完善、可靠、周密、有利于执行的得2-3分，方案不够全面一般得0-1</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w:t>
            </w:r>
          </w:p>
        </w:tc>
        <w:tc>
          <w:tcPr>
            <w:tcW w:w="0" w:type="auto"/>
            <w:noWrap w:val="0"/>
            <w:vAlign w:val="center"/>
          </w:tcPr>
          <w:p w14:paraId="6C943358">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0-6分</w:t>
            </w:r>
          </w:p>
        </w:tc>
      </w:tr>
      <w:tr w14:paraId="5E8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exact"/>
          <w:jc w:val="center"/>
        </w:trPr>
        <w:tc>
          <w:tcPr>
            <w:tcW w:w="0" w:type="auto"/>
            <w:vMerge w:val="continue"/>
            <w:noWrap w:val="0"/>
            <w:vAlign w:val="center"/>
          </w:tcPr>
          <w:p w14:paraId="6B6E4EFB">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vMerge w:val="continue"/>
            <w:noWrap w:val="0"/>
            <w:vAlign w:val="center"/>
          </w:tcPr>
          <w:p w14:paraId="69C6B397">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noWrap w:val="0"/>
            <w:vAlign w:val="center"/>
          </w:tcPr>
          <w:p w14:paraId="795A6F38">
            <w:pPr>
              <w:spacing w:line="5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7.预期的工作目标：</w:t>
            </w:r>
            <w:r>
              <w:rPr>
                <w:rFonts w:hint="eastAsia" w:ascii="仿宋" w:hAnsi="仿宋" w:eastAsia="仿宋" w:cs="仿宋"/>
                <w:b w:val="0"/>
                <w:bCs/>
                <w:color w:val="auto"/>
                <w:kern w:val="0"/>
                <w:sz w:val="24"/>
                <w:szCs w:val="24"/>
                <w:highlight w:val="none"/>
              </w:rPr>
              <w:t>根据供应商提供的针对本项目的预期目标打分：预期工作目标的能满足招标需求，切合项目实际情况能实现得4-5分，目标不够明确且较符合招标需求得2-3</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分，目标预期不够理想得0-1</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分，不提供不得分。</w:t>
            </w:r>
          </w:p>
        </w:tc>
        <w:tc>
          <w:tcPr>
            <w:tcW w:w="0" w:type="auto"/>
            <w:noWrap w:val="0"/>
            <w:vAlign w:val="center"/>
          </w:tcPr>
          <w:p w14:paraId="5057C714">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0-5分</w:t>
            </w:r>
          </w:p>
        </w:tc>
      </w:tr>
      <w:tr w14:paraId="332C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exact"/>
          <w:jc w:val="center"/>
        </w:trPr>
        <w:tc>
          <w:tcPr>
            <w:tcW w:w="0" w:type="auto"/>
            <w:vMerge w:val="continue"/>
            <w:noWrap w:val="0"/>
            <w:vAlign w:val="center"/>
          </w:tcPr>
          <w:p w14:paraId="09A1651B">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vMerge w:val="continue"/>
            <w:noWrap w:val="0"/>
            <w:vAlign w:val="center"/>
          </w:tcPr>
          <w:p w14:paraId="155269D5">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noWrap w:val="0"/>
            <w:vAlign w:val="center"/>
          </w:tcPr>
          <w:p w14:paraId="40487A22">
            <w:pPr>
              <w:spacing w:line="5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8.合理化建议：</w:t>
            </w:r>
            <w:r>
              <w:rPr>
                <w:rFonts w:hint="eastAsia" w:ascii="仿宋" w:hAnsi="仿宋" w:eastAsia="仿宋" w:cs="仿宋"/>
                <w:b w:val="0"/>
                <w:bCs/>
                <w:color w:val="auto"/>
                <w:kern w:val="0"/>
                <w:sz w:val="24"/>
                <w:szCs w:val="24"/>
                <w:highlight w:val="none"/>
              </w:rPr>
              <w:t>针对本项目能提出合理化建议，且所提建议确实能对项目的实施产生有益作用的得3-4分，建议不够全面可行得1-2</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rPr>
              <w:t>分，不提供不得分。</w:t>
            </w:r>
          </w:p>
        </w:tc>
        <w:tc>
          <w:tcPr>
            <w:tcW w:w="0" w:type="auto"/>
            <w:noWrap w:val="0"/>
            <w:vAlign w:val="center"/>
          </w:tcPr>
          <w:p w14:paraId="4CE11CFE">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0-4分</w:t>
            </w:r>
          </w:p>
        </w:tc>
      </w:tr>
      <w:tr w14:paraId="3EB6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0" w:type="auto"/>
            <w:vMerge w:val="restart"/>
            <w:noWrap w:val="0"/>
            <w:vAlign w:val="center"/>
          </w:tcPr>
          <w:p w14:paraId="19A4A254">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0" w:type="auto"/>
            <w:vMerge w:val="restart"/>
            <w:noWrap w:val="0"/>
            <w:vAlign w:val="center"/>
          </w:tcPr>
          <w:p w14:paraId="05B3F6BE">
            <w:pPr>
              <w:pStyle w:val="9"/>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项目组织实施方案</w:t>
            </w:r>
          </w:p>
        </w:tc>
        <w:tc>
          <w:tcPr>
            <w:tcW w:w="0" w:type="auto"/>
            <w:noWrap w:val="0"/>
            <w:vAlign w:val="center"/>
          </w:tcPr>
          <w:p w14:paraId="16D45906">
            <w:pPr>
              <w:pStyle w:val="9"/>
              <w:spacing w:after="0" w:line="5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1.项目实施方案科学、合理、规范，具有可操作性、针对性的</w:t>
            </w:r>
            <w:r>
              <w:rPr>
                <w:rFonts w:hint="eastAsia" w:ascii="仿宋" w:hAnsi="仿宋" w:eastAsia="仿宋" w:cs="仿宋"/>
                <w:b w:val="0"/>
                <w:bCs/>
                <w:color w:val="auto"/>
                <w:sz w:val="24"/>
                <w:szCs w:val="24"/>
                <w:highlight w:val="none"/>
                <w:lang w:eastAsia="zh-Hans"/>
              </w:rPr>
              <w:t>得</w:t>
            </w:r>
            <w:r>
              <w:rPr>
                <w:rFonts w:hint="eastAsia" w:ascii="仿宋" w:hAnsi="仿宋" w:eastAsia="仿宋" w:cs="仿宋"/>
                <w:b w:val="0"/>
                <w:bCs/>
                <w:color w:val="auto"/>
                <w:sz w:val="24"/>
                <w:szCs w:val="24"/>
                <w:highlight w:val="none"/>
              </w:rPr>
              <w:t>3-4</w:t>
            </w:r>
            <w:r>
              <w:rPr>
                <w:rFonts w:hint="eastAsia" w:ascii="仿宋" w:hAnsi="仿宋" w:eastAsia="仿宋" w:cs="仿宋"/>
                <w:b w:val="0"/>
                <w:bCs/>
                <w:color w:val="auto"/>
                <w:sz w:val="24"/>
                <w:szCs w:val="24"/>
                <w:highlight w:val="none"/>
                <w:lang w:eastAsia="zh-Hans"/>
              </w:rPr>
              <w:t>分</w:t>
            </w:r>
            <w:r>
              <w:rPr>
                <w:rFonts w:hint="eastAsia" w:ascii="仿宋" w:hAnsi="仿宋" w:eastAsia="仿宋" w:cs="仿宋"/>
                <w:b w:val="0"/>
                <w:bCs/>
                <w:color w:val="auto"/>
                <w:sz w:val="24"/>
                <w:szCs w:val="24"/>
                <w:highlight w:val="none"/>
              </w:rPr>
              <w:t>，实施方案不够全面合理完善，可操作性一般得1-2</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分，不提供不得分。</w:t>
            </w:r>
          </w:p>
        </w:tc>
        <w:tc>
          <w:tcPr>
            <w:tcW w:w="0" w:type="auto"/>
            <w:noWrap w:val="0"/>
            <w:vAlign w:val="center"/>
          </w:tcPr>
          <w:p w14:paraId="4704AC8A">
            <w:pPr>
              <w:pStyle w:val="9"/>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0-4分</w:t>
            </w:r>
          </w:p>
        </w:tc>
      </w:tr>
      <w:tr w14:paraId="155D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jc w:val="center"/>
        </w:trPr>
        <w:tc>
          <w:tcPr>
            <w:tcW w:w="0" w:type="auto"/>
            <w:vMerge w:val="continue"/>
            <w:noWrap w:val="0"/>
            <w:vAlign w:val="center"/>
          </w:tcPr>
          <w:p w14:paraId="006EF3CF">
            <w:pPr>
              <w:spacing w:before="156" w:beforeLines="50" w:after="156" w:afterLines="50" w:line="370" w:lineRule="exact"/>
              <w:jc w:val="center"/>
              <w:rPr>
                <w:rFonts w:hint="eastAsia" w:ascii="仿宋" w:hAnsi="仿宋" w:eastAsia="仿宋" w:cs="仿宋"/>
                <w:b w:val="0"/>
                <w:bCs/>
                <w:color w:val="auto"/>
                <w:sz w:val="24"/>
                <w:szCs w:val="24"/>
                <w:highlight w:val="none"/>
              </w:rPr>
            </w:pPr>
          </w:p>
        </w:tc>
        <w:tc>
          <w:tcPr>
            <w:tcW w:w="0" w:type="auto"/>
            <w:vMerge w:val="continue"/>
            <w:noWrap w:val="0"/>
            <w:vAlign w:val="center"/>
          </w:tcPr>
          <w:p w14:paraId="07279174">
            <w:pPr>
              <w:pStyle w:val="9"/>
              <w:spacing w:line="370" w:lineRule="exact"/>
              <w:jc w:val="center"/>
              <w:rPr>
                <w:rFonts w:hint="eastAsia" w:ascii="仿宋" w:hAnsi="仿宋" w:eastAsia="仿宋" w:cs="仿宋"/>
                <w:b w:val="0"/>
                <w:bCs/>
                <w:color w:val="auto"/>
                <w:kern w:val="0"/>
                <w:sz w:val="24"/>
                <w:szCs w:val="24"/>
                <w:highlight w:val="none"/>
                <w:lang w:bidi="ar"/>
              </w:rPr>
            </w:pPr>
          </w:p>
        </w:tc>
        <w:tc>
          <w:tcPr>
            <w:tcW w:w="0" w:type="auto"/>
            <w:noWrap w:val="0"/>
            <w:vAlign w:val="center"/>
          </w:tcPr>
          <w:p w14:paraId="0F7D9140">
            <w:pPr>
              <w:pStyle w:val="9"/>
              <w:spacing w:after="0" w:line="5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2.提供详尽合理的人力计划安排、质量保证计划和标准等的</w:t>
            </w:r>
            <w:r>
              <w:rPr>
                <w:rFonts w:hint="eastAsia" w:ascii="仿宋" w:hAnsi="仿宋" w:eastAsia="仿宋" w:cs="仿宋"/>
                <w:b w:val="0"/>
                <w:bCs/>
                <w:color w:val="auto"/>
                <w:sz w:val="24"/>
                <w:szCs w:val="24"/>
                <w:highlight w:val="none"/>
                <w:lang w:eastAsia="zh-Hans"/>
              </w:rPr>
              <w:t>得</w:t>
            </w:r>
            <w:r>
              <w:rPr>
                <w:rFonts w:hint="eastAsia" w:ascii="仿宋" w:hAnsi="仿宋" w:eastAsia="仿宋" w:cs="仿宋"/>
                <w:b w:val="0"/>
                <w:bCs/>
                <w:color w:val="auto"/>
                <w:sz w:val="24"/>
                <w:szCs w:val="24"/>
                <w:highlight w:val="none"/>
              </w:rPr>
              <w:t>3-4</w:t>
            </w:r>
            <w:r>
              <w:rPr>
                <w:rFonts w:hint="eastAsia" w:ascii="仿宋" w:hAnsi="仿宋" w:eastAsia="仿宋" w:cs="仿宋"/>
                <w:b w:val="0"/>
                <w:bCs/>
                <w:color w:val="auto"/>
                <w:sz w:val="24"/>
                <w:szCs w:val="24"/>
                <w:highlight w:val="none"/>
                <w:lang w:eastAsia="zh-Hans"/>
              </w:rPr>
              <w:t>分</w:t>
            </w:r>
            <w:r>
              <w:rPr>
                <w:rFonts w:hint="eastAsia" w:ascii="仿宋" w:hAnsi="仿宋" w:eastAsia="仿宋" w:cs="仿宋"/>
                <w:b w:val="0"/>
                <w:bCs/>
                <w:color w:val="auto"/>
                <w:sz w:val="24"/>
                <w:szCs w:val="24"/>
                <w:highlight w:val="none"/>
              </w:rPr>
              <w:t>，计划安排和标准一般得1-2</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分，不提供不得分。</w:t>
            </w:r>
          </w:p>
        </w:tc>
        <w:tc>
          <w:tcPr>
            <w:tcW w:w="0" w:type="auto"/>
            <w:noWrap w:val="0"/>
            <w:vAlign w:val="center"/>
          </w:tcPr>
          <w:p w14:paraId="0C47EA30">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0-4分</w:t>
            </w:r>
          </w:p>
        </w:tc>
      </w:tr>
      <w:tr w14:paraId="7994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0" w:type="auto"/>
            <w:noWrap w:val="0"/>
            <w:vAlign w:val="center"/>
          </w:tcPr>
          <w:p w14:paraId="1B9CD366">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0" w:type="auto"/>
            <w:noWrap w:val="0"/>
            <w:vAlign w:val="center"/>
          </w:tcPr>
          <w:p w14:paraId="62662270">
            <w:pPr>
              <w:pStyle w:val="9"/>
              <w:spacing w:line="370" w:lineRule="exact"/>
              <w:jc w:val="center"/>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sz w:val="24"/>
                <w:szCs w:val="24"/>
                <w:highlight w:val="none"/>
              </w:rPr>
              <w:t>与采购单位的配合</w:t>
            </w:r>
          </w:p>
        </w:tc>
        <w:tc>
          <w:tcPr>
            <w:tcW w:w="0" w:type="auto"/>
            <w:noWrap w:val="0"/>
            <w:vAlign w:val="center"/>
          </w:tcPr>
          <w:p w14:paraId="536D37B7">
            <w:pPr>
              <w:pStyle w:val="9"/>
              <w:spacing w:after="0" w:line="5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针对本项目与采购单位有完整科学合理有效的配合方案。方案科学合理、具有落地实施性的得4-5分；方案基本完整得2-3</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分，可行性欠</w:t>
            </w:r>
            <w:r>
              <w:rPr>
                <w:rFonts w:hint="eastAsia" w:ascii="仿宋" w:hAnsi="仿宋" w:eastAsia="仿宋" w:cs="仿宋"/>
                <w:b w:val="0"/>
                <w:bCs/>
                <w:color w:val="auto"/>
                <w:sz w:val="24"/>
                <w:szCs w:val="24"/>
                <w:highlight w:val="none"/>
                <w:lang w:eastAsia="zh-CN"/>
              </w:rPr>
              <w:t>有</w:t>
            </w:r>
            <w:r>
              <w:rPr>
                <w:rFonts w:hint="eastAsia" w:ascii="仿宋" w:hAnsi="仿宋" w:eastAsia="仿宋" w:cs="仿宋"/>
                <w:b w:val="0"/>
                <w:bCs/>
                <w:color w:val="auto"/>
                <w:sz w:val="24"/>
                <w:szCs w:val="24"/>
                <w:highlight w:val="none"/>
              </w:rPr>
              <w:t>缺的</w:t>
            </w:r>
            <w:r>
              <w:rPr>
                <w:rFonts w:hint="eastAsia" w:ascii="仿宋" w:hAnsi="仿宋" w:eastAsia="仿宋" w:cs="仿宋"/>
                <w:b w:val="0"/>
                <w:bCs/>
                <w:color w:val="auto"/>
                <w:sz w:val="24"/>
                <w:szCs w:val="24"/>
                <w:highlight w:val="none"/>
                <w:lang w:eastAsia="zh-CN"/>
              </w:rPr>
              <w:t>得</w:t>
            </w:r>
            <w:r>
              <w:rPr>
                <w:rFonts w:hint="eastAsia" w:ascii="仿宋" w:hAnsi="仿宋" w:eastAsia="仿宋" w:cs="仿宋"/>
                <w:b w:val="0"/>
                <w:bCs/>
                <w:color w:val="auto"/>
                <w:sz w:val="24"/>
                <w:szCs w:val="24"/>
                <w:highlight w:val="none"/>
                <w:lang w:val="en-US" w:eastAsia="zh-CN"/>
              </w:rPr>
              <w:t>0</w:t>
            </w: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分，不提供不得分。</w:t>
            </w:r>
          </w:p>
        </w:tc>
        <w:tc>
          <w:tcPr>
            <w:tcW w:w="0" w:type="auto"/>
            <w:noWrap w:val="0"/>
            <w:vAlign w:val="center"/>
          </w:tcPr>
          <w:p w14:paraId="4618323A">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0-5分</w:t>
            </w:r>
          </w:p>
        </w:tc>
      </w:tr>
      <w:tr w14:paraId="5CD3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exact"/>
          <w:jc w:val="center"/>
        </w:trPr>
        <w:tc>
          <w:tcPr>
            <w:tcW w:w="0" w:type="auto"/>
            <w:noWrap w:val="0"/>
            <w:vAlign w:val="center"/>
          </w:tcPr>
          <w:p w14:paraId="7EC14957">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0" w:type="auto"/>
            <w:noWrap w:val="0"/>
            <w:vAlign w:val="center"/>
          </w:tcPr>
          <w:p w14:paraId="3DDB2CF2">
            <w:pPr>
              <w:pStyle w:val="9"/>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安全服务措施</w:t>
            </w:r>
          </w:p>
        </w:tc>
        <w:tc>
          <w:tcPr>
            <w:tcW w:w="0" w:type="auto"/>
            <w:noWrap w:val="0"/>
            <w:vAlign w:val="center"/>
          </w:tcPr>
          <w:p w14:paraId="76250DCC">
            <w:pPr>
              <w:pStyle w:val="9"/>
              <w:spacing w:after="0" w:line="5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供应商提供的针对本项目的安全服务方案进行综合评分（根据采购人需要提供安全咨询、安全风险评估等服务，协助采购人做好各类维稳工作，为采购人做好综合会议等活动的安全保卫工作。）：安全服务措施考虑全面、科学可行、具有落地实施性的得4-5分；安全服务措施基本完善、可行但仍需改善的得1-3</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分；不提供不得分。</w:t>
            </w:r>
          </w:p>
        </w:tc>
        <w:tc>
          <w:tcPr>
            <w:tcW w:w="0" w:type="auto"/>
            <w:noWrap w:val="0"/>
            <w:vAlign w:val="center"/>
          </w:tcPr>
          <w:p w14:paraId="0272C372">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0-5分</w:t>
            </w:r>
          </w:p>
        </w:tc>
      </w:tr>
      <w:tr w14:paraId="7939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0" w:type="auto"/>
            <w:noWrap w:val="0"/>
            <w:vAlign w:val="center"/>
          </w:tcPr>
          <w:p w14:paraId="00A8C0B5">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w:t>
            </w:r>
          </w:p>
        </w:tc>
        <w:tc>
          <w:tcPr>
            <w:tcW w:w="0" w:type="auto"/>
            <w:gridSpan w:val="2"/>
            <w:noWrap w:val="0"/>
            <w:vAlign w:val="center"/>
          </w:tcPr>
          <w:p w14:paraId="010AE8D2">
            <w:pPr>
              <w:spacing w:before="156" w:beforeLines="50" w:after="156" w:afterLines="50" w:line="5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商务及资信分</w:t>
            </w:r>
          </w:p>
        </w:tc>
        <w:tc>
          <w:tcPr>
            <w:tcW w:w="0" w:type="auto"/>
            <w:noWrap w:val="0"/>
            <w:vAlign w:val="center"/>
          </w:tcPr>
          <w:p w14:paraId="2074C7FE">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10分</w:t>
            </w:r>
          </w:p>
        </w:tc>
      </w:tr>
      <w:tr w14:paraId="49B5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exact"/>
          <w:jc w:val="center"/>
        </w:trPr>
        <w:tc>
          <w:tcPr>
            <w:tcW w:w="0" w:type="auto"/>
            <w:noWrap w:val="0"/>
            <w:vAlign w:val="center"/>
          </w:tcPr>
          <w:p w14:paraId="44BA4DF8">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p>
        </w:tc>
        <w:tc>
          <w:tcPr>
            <w:tcW w:w="0" w:type="auto"/>
            <w:noWrap w:val="0"/>
            <w:vAlign w:val="center"/>
          </w:tcPr>
          <w:p w14:paraId="60E13E6C">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认证证书</w:t>
            </w:r>
          </w:p>
        </w:tc>
        <w:tc>
          <w:tcPr>
            <w:tcW w:w="0" w:type="auto"/>
            <w:noWrap w:val="0"/>
            <w:vAlign w:val="center"/>
          </w:tcPr>
          <w:p w14:paraId="4B3A89B2">
            <w:pPr>
              <w:pStyle w:val="9"/>
              <w:spacing w:after="0" w:line="50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提供有效期内质量体系认证的得1分；</w:t>
            </w:r>
          </w:p>
          <w:p w14:paraId="771905A8">
            <w:pPr>
              <w:pStyle w:val="9"/>
              <w:spacing w:after="0" w:line="50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提供有效期内环境管理体系认证的得1分；</w:t>
            </w:r>
          </w:p>
          <w:p w14:paraId="08221D68">
            <w:pPr>
              <w:pStyle w:val="9"/>
              <w:spacing w:after="0" w:line="50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提供有效期内职业健康安全管理体系的得1分；</w:t>
            </w:r>
          </w:p>
          <w:p w14:paraId="65F0A0CA">
            <w:pPr>
              <w:spacing w:before="156" w:beforeLines="50" w:after="156" w:afterLines="50" w:line="500" w:lineRule="exact"/>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（须提供认证证书扫描件并加盖单位公章，不提供不得分）。</w:t>
            </w:r>
          </w:p>
        </w:tc>
        <w:tc>
          <w:tcPr>
            <w:tcW w:w="0" w:type="auto"/>
            <w:noWrap w:val="0"/>
            <w:vAlign w:val="center"/>
          </w:tcPr>
          <w:p w14:paraId="68A8FB56">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0-3分</w:t>
            </w:r>
          </w:p>
        </w:tc>
      </w:tr>
      <w:tr w14:paraId="0959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exact"/>
          <w:jc w:val="center"/>
        </w:trPr>
        <w:tc>
          <w:tcPr>
            <w:tcW w:w="0" w:type="auto"/>
            <w:noWrap w:val="0"/>
            <w:vAlign w:val="center"/>
          </w:tcPr>
          <w:p w14:paraId="2755EDBB">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p>
        </w:tc>
        <w:tc>
          <w:tcPr>
            <w:tcW w:w="0" w:type="auto"/>
            <w:noWrap w:val="0"/>
            <w:vAlign w:val="center"/>
          </w:tcPr>
          <w:p w14:paraId="674CA529">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企业业绩</w:t>
            </w:r>
          </w:p>
        </w:tc>
        <w:tc>
          <w:tcPr>
            <w:tcW w:w="0" w:type="auto"/>
            <w:noWrap w:val="0"/>
            <w:vAlign w:val="center"/>
          </w:tcPr>
          <w:p w14:paraId="08B87BCF">
            <w:pPr>
              <w:widowControl/>
              <w:spacing w:line="500" w:lineRule="exact"/>
              <w:ind w:firstLine="480" w:firstLineChars="20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根据供应商提供的20</w:t>
            </w:r>
            <w:r>
              <w:rPr>
                <w:rFonts w:hint="eastAsia" w:ascii="仿宋" w:hAnsi="仿宋" w:eastAsia="仿宋" w:cs="仿宋"/>
                <w:b w:val="0"/>
                <w:bCs/>
                <w:color w:val="auto"/>
                <w:kern w:val="0"/>
                <w:sz w:val="24"/>
                <w:szCs w:val="24"/>
                <w:highlight w:val="none"/>
                <w:lang w:val="en-US" w:eastAsia="zh-CN"/>
              </w:rPr>
              <w:t>21</w:t>
            </w:r>
            <w:r>
              <w:rPr>
                <w:rFonts w:hint="eastAsia" w:ascii="仿宋" w:hAnsi="仿宋" w:eastAsia="仿宋" w:cs="仿宋"/>
                <w:b w:val="0"/>
                <w:bCs/>
                <w:color w:val="auto"/>
                <w:kern w:val="0"/>
                <w:sz w:val="24"/>
                <w:szCs w:val="24"/>
                <w:highlight w:val="none"/>
              </w:rPr>
              <w:t>年1月1日至今相关项目合同（即协助行政职能部门开展的辅助项目）业绩进行评定：每提供一个得1分，最多得2分；</w:t>
            </w:r>
          </w:p>
          <w:p w14:paraId="1A31CD21">
            <w:pPr>
              <w:widowControl/>
              <w:spacing w:line="500" w:lineRule="exact"/>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（注：合同签定时间为20</w:t>
            </w:r>
            <w:r>
              <w:rPr>
                <w:rFonts w:hint="eastAsia" w:ascii="仿宋" w:hAnsi="仿宋" w:eastAsia="仿宋" w:cs="仿宋"/>
                <w:b w:val="0"/>
                <w:bCs/>
                <w:color w:val="auto"/>
                <w:sz w:val="24"/>
                <w:szCs w:val="24"/>
                <w:highlight w:val="none"/>
                <w:lang w:val="en-US" w:eastAsia="zh-CN"/>
              </w:rPr>
              <w:t>21</w:t>
            </w:r>
            <w:r>
              <w:rPr>
                <w:rFonts w:hint="eastAsia" w:ascii="仿宋" w:hAnsi="仿宋" w:eastAsia="仿宋" w:cs="仿宋"/>
                <w:b w:val="0"/>
                <w:bCs/>
                <w:color w:val="auto"/>
                <w:sz w:val="24"/>
                <w:szCs w:val="24"/>
                <w:highlight w:val="none"/>
              </w:rPr>
              <w:t>年1月1日至今的合同有效，须提供合同扫描件并加盖单位公章，否则不得分。）</w:t>
            </w:r>
          </w:p>
        </w:tc>
        <w:tc>
          <w:tcPr>
            <w:tcW w:w="0" w:type="auto"/>
            <w:noWrap w:val="0"/>
            <w:vAlign w:val="center"/>
          </w:tcPr>
          <w:p w14:paraId="0A1075D7">
            <w:pPr>
              <w:widowControl/>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0-2分</w:t>
            </w:r>
          </w:p>
        </w:tc>
      </w:tr>
      <w:tr w14:paraId="774F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exact"/>
          <w:jc w:val="center"/>
        </w:trPr>
        <w:tc>
          <w:tcPr>
            <w:tcW w:w="0" w:type="auto"/>
            <w:noWrap w:val="0"/>
            <w:vAlign w:val="center"/>
          </w:tcPr>
          <w:p w14:paraId="0B62B286">
            <w:pPr>
              <w:spacing w:before="156" w:beforeLines="50" w:after="156" w:afterLines="50"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w:t>
            </w:r>
          </w:p>
        </w:tc>
        <w:tc>
          <w:tcPr>
            <w:tcW w:w="0" w:type="auto"/>
            <w:noWrap w:val="0"/>
            <w:vAlign w:val="center"/>
          </w:tcPr>
          <w:p w14:paraId="3D5BC388">
            <w:pPr>
              <w:spacing w:line="370" w:lineRule="exact"/>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服务质量承诺</w:t>
            </w:r>
          </w:p>
        </w:tc>
        <w:tc>
          <w:tcPr>
            <w:tcW w:w="0" w:type="auto"/>
            <w:noWrap w:val="0"/>
            <w:vAlign w:val="center"/>
          </w:tcPr>
          <w:p w14:paraId="76181213">
            <w:pPr>
              <w:pStyle w:val="9"/>
              <w:spacing w:line="500" w:lineRule="exact"/>
              <w:jc w:val="both"/>
              <w:rPr>
                <w:rFonts w:hint="eastAsia" w:ascii="仿宋" w:hAnsi="仿宋" w:eastAsia="仿宋" w:cs="仿宋"/>
                <w:b w:val="0"/>
                <w:bCs/>
                <w:color w:val="auto"/>
                <w:kern w:val="0"/>
                <w:sz w:val="24"/>
                <w:szCs w:val="24"/>
                <w:highlight w:val="none"/>
                <w:lang w:eastAsia="zh-Hans"/>
              </w:rPr>
            </w:pPr>
            <w:r>
              <w:rPr>
                <w:rFonts w:hint="eastAsia" w:ascii="仿宋" w:hAnsi="仿宋" w:eastAsia="仿宋" w:cs="仿宋"/>
                <w:b w:val="0"/>
                <w:bCs/>
                <w:color w:val="auto"/>
                <w:kern w:val="0"/>
                <w:sz w:val="24"/>
                <w:szCs w:val="24"/>
                <w:highlight w:val="none"/>
              </w:rPr>
              <w:t>1.</w:t>
            </w:r>
            <w:r>
              <w:rPr>
                <w:rFonts w:hint="eastAsia" w:ascii="仿宋" w:hAnsi="仿宋" w:eastAsia="仿宋" w:cs="仿宋"/>
                <w:b w:val="0"/>
                <w:bCs/>
                <w:color w:val="auto"/>
                <w:kern w:val="0"/>
                <w:sz w:val="24"/>
                <w:szCs w:val="24"/>
                <w:highlight w:val="none"/>
                <w:lang w:eastAsia="zh-Hans"/>
              </w:rPr>
              <w:t>提供针对本项目的完善且可行性强的保证服务质量的措施及考核方案的得2-3分，措施及考核方案一般得0-1</w:t>
            </w:r>
            <w:r>
              <w:rPr>
                <w:rFonts w:hint="eastAsia" w:ascii="仿宋" w:hAnsi="仿宋" w:eastAsia="仿宋" w:cs="仿宋"/>
                <w:b w:val="0"/>
                <w:bCs/>
                <w:color w:val="auto"/>
                <w:kern w:val="0"/>
                <w:sz w:val="24"/>
                <w:szCs w:val="24"/>
                <w:highlight w:val="none"/>
                <w:lang w:val="en-US" w:eastAsia="zh-CN"/>
              </w:rPr>
              <w:t>.9</w:t>
            </w:r>
            <w:r>
              <w:rPr>
                <w:rFonts w:hint="eastAsia" w:ascii="仿宋" w:hAnsi="仿宋" w:eastAsia="仿宋" w:cs="仿宋"/>
                <w:b w:val="0"/>
                <w:bCs/>
                <w:color w:val="auto"/>
                <w:kern w:val="0"/>
                <w:sz w:val="24"/>
                <w:szCs w:val="24"/>
                <w:highlight w:val="none"/>
                <w:lang w:eastAsia="zh-Hans"/>
              </w:rPr>
              <w:t>分。</w:t>
            </w:r>
          </w:p>
          <w:p w14:paraId="4EF8F1EF">
            <w:pPr>
              <w:pStyle w:val="9"/>
              <w:spacing w:line="500" w:lineRule="exact"/>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eastAsia="zh-Hans"/>
              </w:rPr>
              <w:t>2.供应商已在项目实施地建立分支机构或办事处,或承诺中标后15个工作日内在项目实施地建立分支机构或办事处的得2分，未提供证明材料或承诺不得分。（0-2分）。</w:t>
            </w:r>
          </w:p>
        </w:tc>
        <w:tc>
          <w:tcPr>
            <w:tcW w:w="0" w:type="auto"/>
            <w:noWrap w:val="0"/>
            <w:vAlign w:val="center"/>
          </w:tcPr>
          <w:p w14:paraId="110468FB">
            <w:pPr>
              <w:spacing w:line="37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0-5分</w:t>
            </w:r>
          </w:p>
        </w:tc>
      </w:tr>
    </w:tbl>
    <w:p w14:paraId="0F2FEBE5">
      <w:pPr>
        <w:pStyle w:val="10"/>
        <w:ind w:firstLine="0" w:firstLineChars="0"/>
        <w:rPr>
          <w:color w:val="auto"/>
          <w:highlight w:val="none"/>
        </w:rPr>
      </w:pPr>
    </w:p>
    <w:p w14:paraId="0381A3E6">
      <w:pPr>
        <w:tabs>
          <w:tab w:val="left" w:pos="900"/>
        </w:tabs>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注：</w:t>
      </w:r>
      <w:r>
        <w:rPr>
          <w:color w:val="auto"/>
          <w:highlight w:val="none"/>
        </w:rPr>
        <w:fldChar w:fldCharType="begin"/>
      </w:r>
      <w:r>
        <w:rPr>
          <w:color w:val="auto"/>
          <w:highlight w:val="none"/>
        </w:rPr>
        <w:instrText xml:space="preserve"> HYPERLINK "mailto:投标供应商应提供以上相关材料的复印件，并加盖公章。在投标截止日前投标人应在开标日前将相关原件的照片发送至代理机构指定邮箱（1032877384@qq.com），以备核验，若核验时未提供相关原件的，该相关部分评分时不予认可。" </w:instrText>
      </w:r>
      <w:r>
        <w:rPr>
          <w:color w:val="auto"/>
          <w:highlight w:val="none"/>
        </w:rPr>
        <w:fldChar w:fldCharType="separate"/>
      </w:r>
      <w:r>
        <w:rPr>
          <w:rFonts w:hint="eastAsia" w:ascii="仿宋" w:hAnsi="仿宋" w:eastAsia="仿宋" w:cs="仿宋"/>
          <w:b/>
          <w:color w:val="auto"/>
          <w:sz w:val="24"/>
          <w:highlight w:val="none"/>
        </w:rPr>
        <w:t>投标供应商应提供以上相关材料的复印件，并加盖公章。</w:t>
      </w:r>
      <w:r>
        <w:rPr>
          <w:rFonts w:hint="eastAsia" w:ascii="仿宋" w:hAnsi="仿宋" w:eastAsia="仿宋" w:cs="仿宋"/>
          <w:b/>
          <w:color w:val="auto"/>
          <w:sz w:val="24"/>
          <w:highlight w:val="none"/>
        </w:rPr>
        <w:fldChar w:fldCharType="end"/>
      </w:r>
    </w:p>
    <w:p w14:paraId="7CBE1460">
      <w:pPr>
        <w:rPr>
          <w:color w:val="auto"/>
          <w:highlight w:val="none"/>
        </w:rPr>
      </w:pPr>
    </w:p>
    <w:p w14:paraId="50058925">
      <w:pPr>
        <w:spacing w:before="120" w:beforeLines="50" w:after="120" w:afterLines="50"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三、其他评审事项规定</w:t>
      </w:r>
    </w:p>
    <w:p w14:paraId="5E8CBD7A">
      <w:pPr>
        <w:pStyle w:val="11"/>
        <w:ind w:left="420" w:leftChars="200" w:firstLine="361" w:firstLineChars="1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1、串通投标的认定</w:t>
      </w:r>
    </w:p>
    <w:p w14:paraId="1DA1076F">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1）在评审过程中发现以下情形，被视为串通投标的：</w:t>
      </w:r>
    </w:p>
    <w:p w14:paraId="47827F6B">
      <w:pPr>
        <w:pStyle w:val="11"/>
        <w:ind w:left="420" w:leftChars="200" w:firstLine="120" w:firstLineChars="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（1）不同投标供应商的投标文件由同一单位或个人编制；</w:t>
      </w:r>
    </w:p>
    <w:p w14:paraId="0F1B3123">
      <w:pPr>
        <w:pStyle w:val="11"/>
        <w:ind w:left="420" w:leftChars="200" w:firstLine="120" w:firstLineChars="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（2）不同投标供应商委托同一单位或个人办理投标事宜；</w:t>
      </w:r>
    </w:p>
    <w:p w14:paraId="2FB56921">
      <w:pPr>
        <w:pStyle w:val="11"/>
        <w:ind w:left="420" w:leftChars="200" w:firstLine="120" w:firstLineChars="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（3）不同投标供应商的投标文件载明的项目管理成员或联系人员为同一人；</w:t>
      </w:r>
    </w:p>
    <w:p w14:paraId="534302D6">
      <w:pPr>
        <w:pStyle w:val="11"/>
        <w:ind w:left="420" w:leftChars="200" w:firstLine="120" w:firstLineChars="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（4）不同投标供应商的投标文件异常一致或者投标报价呈规律性差异；</w:t>
      </w:r>
    </w:p>
    <w:p w14:paraId="7FCABBB1">
      <w:pPr>
        <w:pStyle w:val="11"/>
        <w:ind w:left="420" w:leftChars="200" w:firstLine="120" w:firstLineChars="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（5）不同投标供应商的投标文件互相混装。</w:t>
      </w:r>
    </w:p>
    <w:p w14:paraId="5D27EBCB">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14:paraId="7BA4FD97">
      <w:pPr>
        <w:pStyle w:val="11"/>
        <w:ind w:left="420" w:leftChars="200" w:firstLine="361" w:firstLineChars="1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2、投标供应商违法等重大事项的处理</w:t>
      </w:r>
    </w:p>
    <w:p w14:paraId="01311BFF">
      <w:pPr>
        <w:pStyle w:val="11"/>
        <w:ind w:left="420" w:leftChars="200" w:firstLine="240" w:firstLineChars="1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投标供应商有下列情形之一的，投标无效且将《投标文件》、《询标记录》等报同级政府采购监管部门或有关职能部门查处：</w:t>
      </w:r>
    </w:p>
    <w:p w14:paraId="1DDA3B4B">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1）未如实提供债权债务、重大违法记录、利害关系等信息，影响或者可能影响中标结果的；</w:t>
      </w:r>
    </w:p>
    <w:p w14:paraId="4C2416EF">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2）不遵循公平竞争原则、恶意串通、妨碍其他投标供应商的竞争、损害采购人或其他投标供应商合法权益的；</w:t>
      </w:r>
    </w:p>
    <w:p w14:paraId="4C88232D">
      <w:pPr>
        <w:pStyle w:val="11"/>
        <w:ind w:left="420" w:leftChars="200" w:firstLine="240" w:firstLineChars="1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3）政府采购活动中存在违法行为的；</w:t>
      </w:r>
    </w:p>
    <w:p w14:paraId="4B0D03B1">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4）其他严重干扰招投标秩序的行为的。</w:t>
      </w:r>
    </w:p>
    <w:p w14:paraId="3818996D">
      <w:pPr>
        <w:pStyle w:val="11"/>
        <w:ind w:left="420" w:leftChars="200" w:firstLine="361" w:firstLineChars="1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 评审中合格投标供应商不足法定数量的处理</w:t>
      </w:r>
    </w:p>
    <w:p w14:paraId="06E735F6">
      <w:pPr>
        <w:pStyle w:val="11"/>
        <w:ind w:left="420" w:leftChars="200" w:firstLine="240" w:firstLineChars="1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公开招标的采购项目，在评审过程中，若符合条件的有效投标供应商不足三家的，除采购任务取消情形外，采购人可选择将本项目作废标处理，重新组织采购。</w:t>
      </w:r>
    </w:p>
    <w:p w14:paraId="36DC26A7">
      <w:pPr>
        <w:pStyle w:val="11"/>
        <w:ind w:left="420" w:leftChars="200" w:firstLine="361" w:firstLineChars="1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 废标适用情形</w:t>
      </w:r>
    </w:p>
    <w:p w14:paraId="0F35BCD9">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在公开招标采购过程中，出现下列情形之一的，项目将予以废标：</w:t>
      </w:r>
    </w:p>
    <w:p w14:paraId="681EE499">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1）符合专业条件的投标供应商或者对公开招标采购文件作实质响应的投标供应商不足三家的；</w:t>
      </w:r>
    </w:p>
    <w:p w14:paraId="364FAC92">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2）出现影响采购公正的违法、违规行为的；</w:t>
      </w:r>
    </w:p>
    <w:p w14:paraId="0D751080">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3）投标供应商的报价均超过了采购预算，采购人不能支付的；</w:t>
      </w:r>
    </w:p>
    <w:p w14:paraId="0DA94C0B">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4）因重大变故，采购任务取消的。</w:t>
      </w:r>
    </w:p>
    <w:p w14:paraId="221E1748">
      <w:pPr>
        <w:pStyle w:val="11"/>
        <w:ind w:left="420" w:leftChars="200" w:firstLine="361" w:firstLineChars="1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5、可中止电子交易活动的情形</w:t>
      </w:r>
    </w:p>
    <w:p w14:paraId="551B3B61">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采购过程中出现以下情形，导致电子交易平台无法正常运行，或者无法保证电子交易的公平、公正和安全时，采购组织机构可中止电子交易活动：</w:t>
      </w:r>
    </w:p>
    <w:p w14:paraId="4D5BF525">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1）电子交易平台发生故障而无法登录访问的；</w:t>
      </w:r>
    </w:p>
    <w:p w14:paraId="6645B74F">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2）电子交易平台应用或数据库出现错误，不能进行正常操作的；</w:t>
      </w:r>
    </w:p>
    <w:p w14:paraId="723F41ED">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3）电子交易平台发现严重安全漏洞，有潜在泄密危险的；</w:t>
      </w:r>
    </w:p>
    <w:p w14:paraId="6228BF6B">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4）病毒发作导致不能进行正常操作的；</w:t>
      </w:r>
    </w:p>
    <w:p w14:paraId="4800677D">
      <w:pPr>
        <w:pStyle w:val="11"/>
        <w:ind w:left="420" w:leftChars="200" w:firstLine="360" w:firstLineChars="1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5）其他无法保证电子交易的公平、公正和安全的情况。</w:t>
      </w:r>
    </w:p>
    <w:p w14:paraId="7AFB31A7">
      <w:pPr>
        <w:pStyle w:val="11"/>
        <w:ind w:left="420" w:leftChars="200" w:firstLine="360" w:firstLineChars="150"/>
        <w:jc w:val="left"/>
        <w:rPr>
          <w:rFonts w:ascii="仿宋" w:hAnsi="仿宋" w:eastAsia="仿宋" w:cs="仿宋"/>
          <w:b w:val="0"/>
          <w:color w:val="auto"/>
          <w:sz w:val="44"/>
          <w:szCs w:val="44"/>
          <w:highlight w:val="none"/>
        </w:rPr>
      </w:pPr>
      <w:r>
        <w:rPr>
          <w:rFonts w:hint="eastAsia" w:ascii="仿宋" w:hAnsi="仿宋" w:eastAsia="仿宋" w:cs="仿宋"/>
          <w:b w:val="0"/>
          <w:bCs/>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5393C41F">
      <w:pPr>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bookmarkEnd w:id="45"/>
      <w:bookmarkStart w:id="46" w:name="_Toc251160747"/>
      <w:bookmarkStart w:id="47" w:name="_Toc152043788"/>
      <w:r>
        <w:rPr>
          <w:rFonts w:hint="eastAsia" w:ascii="仿宋" w:hAnsi="仿宋" w:eastAsia="仿宋" w:cs="仿宋"/>
          <w:color w:val="auto"/>
          <w:sz w:val="44"/>
          <w:szCs w:val="44"/>
          <w:highlight w:val="none"/>
        </w:rPr>
        <w:t>第五章  合同主要条款（仅供参考）</w:t>
      </w:r>
    </w:p>
    <w:bookmarkEnd w:id="46"/>
    <w:bookmarkEnd w:id="47"/>
    <w:p w14:paraId="038A1B69">
      <w:pPr>
        <w:spacing w:line="480" w:lineRule="exact"/>
        <w:ind w:right="420" w:rightChars="20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（服务类）</w:t>
      </w:r>
    </w:p>
    <w:p w14:paraId="0D56C972">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财政审批编号:                                  招标文件编号:  </w:t>
      </w:r>
    </w:p>
    <w:p w14:paraId="0521C6C7">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1.定义</w:t>
      </w:r>
    </w:p>
    <w:p w14:paraId="3AB6156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本合同中的下列术语应解释为：</w:t>
      </w:r>
    </w:p>
    <w:p w14:paraId="2334383F">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1.1“合同”系指供需双方签署的、合同格式中载明的供需双方所达成的协议，包括所有的附件、附录和构成合同的所有文件；</w:t>
      </w:r>
    </w:p>
    <w:p w14:paraId="41348E4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1.2“合同价”系指根据合同规定，采购人在供应商完全履行合同义务后应付给的价格；</w:t>
      </w:r>
    </w:p>
    <w:p w14:paraId="09BCB343">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1.3“货物”系指供应商根据合同规定向采购人提供的一切货物、质量保证书和其他技术资料及技术参数；</w:t>
      </w:r>
    </w:p>
    <w:p w14:paraId="4DA97CDE">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1.4“服务”系指根据合同规定供应商承担与供货有关的辅助服务，如运输、装卸、安装、保险以及其他的服务，例如安装、调试提供技术援助、培训和其他类似的义务；</w:t>
      </w:r>
    </w:p>
    <w:p w14:paraId="1978E065">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1.5“采购人”系指具体使用货物和接受服务的使用单位；</w:t>
      </w:r>
    </w:p>
    <w:p w14:paraId="4F9D13F3">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1.6“供应商”系指根据合同规定提供采购项目货物和服务的具有法人资格的公司、企业或实体；</w:t>
      </w:r>
    </w:p>
    <w:p w14:paraId="485A43E7">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1.7“财政审批编号”系指市财政局审批编号。</w:t>
      </w:r>
    </w:p>
    <w:p w14:paraId="302F0AF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2.合同项目与内容： </w:t>
      </w:r>
    </w:p>
    <w:p w14:paraId="4C05D173">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3.服务时间与服务地点</w:t>
      </w:r>
    </w:p>
    <w:p w14:paraId="54F9F001">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服务时间：详见招标文件要求；</w:t>
      </w:r>
    </w:p>
    <w:p w14:paraId="5C2B2DB7">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服务地点：由采购单位指定。</w:t>
      </w:r>
    </w:p>
    <w:p w14:paraId="26DCA329">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4.签署合同的要求</w:t>
      </w:r>
    </w:p>
    <w:p w14:paraId="642A2FC1">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4.1、供应商必须按照竞标文件和询标过程中承诺的条款以及中标通知书中规定的时间、地点与采购人签订合同；</w:t>
      </w:r>
    </w:p>
    <w:p w14:paraId="291150C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4.2、所签订的合同内容不得对招标文件和供应商的投标文件作实质性修改；</w:t>
      </w:r>
    </w:p>
    <w:p w14:paraId="3BA61C9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4.3、采购人不得向供应商提出任何不合理的要求，作为签订合同的条件，不得与供应商私下订立背离合同实质性内容的协议；</w:t>
      </w:r>
    </w:p>
    <w:p w14:paraId="47903CDE">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4.4、自采购合同签订之日起 7个工作日内，将采购合同副本 2份送本项目招标代理机构、同级人民政府财政部门备案。</w:t>
      </w:r>
    </w:p>
    <w:p w14:paraId="35ADABD9">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5.技术规范</w:t>
      </w:r>
    </w:p>
    <w:p w14:paraId="44087B1C">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本合同执行国家及本省、市现行项目实施及验收规范及有关条例、实施办法等。</w:t>
      </w:r>
    </w:p>
    <w:p w14:paraId="1B326AA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提供和交付的服务技术规范应与招标文件规定的技术规范相一致。</w:t>
      </w:r>
    </w:p>
    <w:p w14:paraId="333E9866">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6.知识产权</w:t>
      </w:r>
    </w:p>
    <w:p w14:paraId="50763290">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供应商保证所提供的服务及货物均不存在知识产权纠纷。供应商应保证采购人在使用时不受第三方提出侵犯其专利权、商标权等知识产权的诉讼。</w:t>
      </w:r>
    </w:p>
    <w:p w14:paraId="7AC171C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7. 工作考核及付款方式</w:t>
      </w:r>
    </w:p>
    <w:p w14:paraId="19F6902F">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根据省财政厅《浙江省财政厅关于进一步发挥政府采购政策功能全力推动经济稳进提质的通知》（浙财采监【2022】3号）要求，</w:t>
      </w:r>
    </w:p>
    <w:p w14:paraId="631A96A2">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付款方式：</w:t>
      </w:r>
    </w:p>
    <w:p w14:paraId="08F36428">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（在签订合同时，供应商明确表示无需预付款或者主动要求降低预付款比例的，采购合同可不适用前述规定。）</w:t>
      </w:r>
    </w:p>
    <w:p w14:paraId="684BBF9F">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8.支付：支付应使用人民币；</w:t>
      </w:r>
    </w:p>
    <w:p w14:paraId="728FDC7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9.技术服务</w:t>
      </w:r>
    </w:p>
    <w:p w14:paraId="6EDFF262">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供应商应负责安排采购人相关人员进行操作、维修的培训。具体时间及培训内容在投标时由供应商提出建议；</w:t>
      </w:r>
    </w:p>
    <w:p w14:paraId="12AE93BB">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10.售后服务及承诺</w:t>
      </w:r>
    </w:p>
    <w:p w14:paraId="77E42EE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10.1供应商应明确承诺售后服务各项内容和措施，提供详细的服务地点、联系人、电话等有关资料；</w:t>
      </w:r>
    </w:p>
    <w:p w14:paraId="3A607524">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10.2服务期：详见招标文件要求。在服务期内，因服务质量所发生的一切费用均由供应商承担；</w:t>
      </w:r>
    </w:p>
    <w:p w14:paraId="1F7A7E80">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11.履约保证及后续服务</w:t>
      </w:r>
    </w:p>
    <w:p w14:paraId="0CE74FD5">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11.1 供应商应在签订本合同之日起/日内提供履约保证金/元，提供由银行、保险公司出具保函形式提交履约保证金。</w:t>
      </w:r>
    </w:p>
    <w:p w14:paraId="2D0D58BB">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11.2 供应商应按招标文件规定的服务标准向采购人提供服务。</w:t>
      </w:r>
    </w:p>
    <w:p w14:paraId="5447DC83">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14:paraId="7C38E800">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11.4 供应商提供的服务人员不符合本合同约定的数额，供应商应当自接到采购人通知之日起2日内予以补足，采购人有权按照缺岗天数及缺岗人数扣除相应的履约保证金。</w:t>
      </w:r>
    </w:p>
    <w:p w14:paraId="061C25F0">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11.5 由于供应商服务人员原因在服务工作中给采购人的设施、材料造成损失，供应商应负责赔偿。</w:t>
      </w:r>
    </w:p>
    <w:p w14:paraId="4EF82391">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11.6 在使用过程中发生问题，供应商在接到采购人通知后在    小时内到达采购人现场。</w:t>
      </w:r>
    </w:p>
    <w:p w14:paraId="16CB18B9">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11.7 在服务质量保证期内，供应商应对出现的服务质量及安全问题负责处理解决并承担一切费用。</w:t>
      </w:r>
    </w:p>
    <w:p w14:paraId="521282D2">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11.8 在本合同履行完毕后，采购人扣除供应商在履约过程中产生的本合同涉及的相关赔偿金额后，在/日内将剩余履约保证金退还至供应商。</w:t>
      </w:r>
    </w:p>
    <w:p w14:paraId="2305CE8C">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12.违约责任</w:t>
      </w:r>
    </w:p>
    <w:p w14:paraId="36E93EC8">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12.1 采购人无正当理由拒收接受服务的，采购人向供应商偿付合同款项百分之五作为违约金。</w:t>
      </w:r>
    </w:p>
    <w:p w14:paraId="6B6A3BB8">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12.2 采购人无故逾期验收和办理款项支付手续的,采购人应按逾期付款总额每日万分之五向供应商支付违约金。</w:t>
      </w:r>
    </w:p>
    <w:p w14:paraId="731D5483">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7CA71DC8">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12.4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 </w:t>
      </w:r>
    </w:p>
    <w:p w14:paraId="3DFE6F01">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13.不可抗力事件处理</w:t>
      </w:r>
    </w:p>
    <w:p w14:paraId="1ABF9E03">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13.1 在合同有效期内，任何一方因不可抗力事件导致不能履行合同，则合同履行期可延长，其延长期与不可抗力影响期相同。</w:t>
      </w:r>
    </w:p>
    <w:p w14:paraId="6D08CE1C">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13.2 不可抗力事件发生后，应立即通知对方，并寄送有关权威机构出具的证明。</w:t>
      </w:r>
    </w:p>
    <w:p w14:paraId="7CC85D7F">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 不可抗力事件延续120天以上，双方应通过友好协商，确定是否继续履行合同。</w:t>
      </w:r>
    </w:p>
    <w:p w14:paraId="79BDD224">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14. 争议解决</w:t>
      </w:r>
    </w:p>
    <w:p w14:paraId="71FD3522">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14.1在执行本合同中所发生的或与本合同有关的一切争端，合同双方应通过友好协商解决，经过协商仍不能解决，双方选择通过下列第x种方式解决：</w:t>
      </w:r>
    </w:p>
    <w:p w14:paraId="7F9A67C1">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（1）将争端提交湖州仲裁委员会仲裁</w:t>
      </w:r>
    </w:p>
    <w:p w14:paraId="1982AEAA">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（2）直接向采购人所在地有管辖权的人民法院起诉。</w:t>
      </w:r>
    </w:p>
    <w:p w14:paraId="0E5F5D49">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14.2仲裁费用或诉讼费用应由败诉方负担。</w:t>
      </w:r>
    </w:p>
    <w:p w14:paraId="67A4A1B5">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14.3在仲裁或诉讼期间，除进行仲裁或诉讼的部分外，本合同其它部分应继续执行。</w:t>
      </w:r>
    </w:p>
    <w:p w14:paraId="1706077A">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15.转让或分包</w:t>
      </w:r>
    </w:p>
    <w:p w14:paraId="45B649EF">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15.1本合同范围的服务，应由供应商提供，不得转让他人供应；</w:t>
      </w:r>
    </w:p>
    <w:p w14:paraId="285E83C1">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07E01DDF">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15.3本合同全部或部分的分包不能减轻供应商承担的责任，供应商仍须将分包人的任何行动、错误或疏忽当作是自己完成的并负全责；</w:t>
      </w:r>
    </w:p>
    <w:p w14:paraId="08FCE0F4">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15.4在任何分包合同中，须注明分包人按分包合同的范围履行，在供应商按本合同的履行终止时（不论任何原因），亦同时一并终止；</w:t>
      </w:r>
    </w:p>
    <w:p w14:paraId="6B1D5AD0">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15.5如有转让和未经采购人同意的分包行为，采购人有权给予终止合同。</w:t>
      </w:r>
    </w:p>
    <w:p w14:paraId="31508803">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16.适用法律</w:t>
      </w:r>
    </w:p>
    <w:p w14:paraId="11B38921">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合同适用法律有《中华人民共和国政府采购法》、《中华人民共和国民法典》、《中华人民共和国产品质量法》和浙江省有关条例等。</w:t>
      </w:r>
    </w:p>
    <w:p w14:paraId="0D96767A">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17.合同生效及其他</w:t>
      </w:r>
    </w:p>
    <w:p w14:paraId="41063FB8">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17.1本合同经双方法人及法定代表人签字盖章生效；</w:t>
      </w:r>
    </w:p>
    <w:p w14:paraId="5526C887">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17.2本合同一式三份，供应商、采购人各执一份；市财政局执一份。</w:t>
      </w:r>
    </w:p>
    <w:p w14:paraId="14B7C288">
      <w:pPr>
        <w:spacing w:line="480" w:lineRule="exact"/>
        <w:ind w:right="420" w:rightChars="200"/>
        <w:rPr>
          <w:rFonts w:ascii="仿宋" w:hAnsi="仿宋" w:eastAsia="仿宋" w:cs="仿宋"/>
          <w:bCs/>
          <w:color w:val="auto"/>
          <w:sz w:val="24"/>
          <w:highlight w:val="none"/>
        </w:rPr>
      </w:pPr>
    </w:p>
    <w:p w14:paraId="32C9D052">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采购人：                                 供应商： </w:t>
      </w:r>
    </w:p>
    <w:p w14:paraId="6763577D">
      <w:pPr>
        <w:spacing w:line="480" w:lineRule="exact"/>
        <w:ind w:right="420" w:rightChars="200"/>
        <w:rPr>
          <w:rFonts w:ascii="仿宋" w:hAnsi="仿宋" w:eastAsia="仿宋" w:cs="仿宋"/>
          <w:bCs/>
          <w:color w:val="auto"/>
          <w:sz w:val="24"/>
          <w:highlight w:val="none"/>
        </w:rPr>
      </w:pPr>
    </w:p>
    <w:p w14:paraId="4FD856C3">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4BE40C51">
      <w:pPr>
        <w:spacing w:line="480" w:lineRule="exact"/>
        <w:ind w:right="420" w:rightChars="200"/>
        <w:rPr>
          <w:rFonts w:ascii="仿宋" w:hAnsi="仿宋" w:eastAsia="仿宋" w:cs="仿宋"/>
          <w:bCs/>
          <w:color w:val="auto"/>
          <w:sz w:val="24"/>
          <w:highlight w:val="none"/>
        </w:rPr>
      </w:pPr>
    </w:p>
    <w:p w14:paraId="58959135">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50C15E6D">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p w14:paraId="1E1647F9">
      <w:pPr>
        <w:spacing w:line="480" w:lineRule="exact"/>
        <w:ind w:right="420" w:rightChars="200"/>
        <w:rPr>
          <w:rFonts w:ascii="仿宋" w:hAnsi="仿宋" w:eastAsia="仿宋" w:cs="仿宋"/>
          <w:bCs/>
          <w:color w:val="auto"/>
          <w:sz w:val="24"/>
          <w:highlight w:val="none"/>
        </w:rPr>
      </w:pPr>
      <w:r>
        <w:rPr>
          <w:rFonts w:hint="eastAsia" w:ascii="仿宋" w:hAnsi="仿宋" w:eastAsia="仿宋" w:cs="仿宋"/>
          <w:bCs/>
          <w:color w:val="auto"/>
          <w:sz w:val="24"/>
          <w:highlight w:val="none"/>
        </w:rPr>
        <w:t>签字日期：   年  月  日                    签字日期：   年  月  日</w:t>
      </w:r>
    </w:p>
    <w:p w14:paraId="24CADA28">
      <w:pPr>
        <w:spacing w:line="460" w:lineRule="exact"/>
        <w:jc w:val="center"/>
        <w:rPr>
          <w:rFonts w:ascii="仿宋" w:hAnsi="仿宋" w:eastAsia="仿宋" w:cs="仿宋"/>
          <w:b/>
          <w:bCs/>
          <w:color w:val="auto"/>
          <w:sz w:val="24"/>
          <w:highlight w:val="none"/>
        </w:rPr>
      </w:pPr>
    </w:p>
    <w:p w14:paraId="62E2F66E">
      <w:pPr>
        <w:spacing w:line="460" w:lineRule="exact"/>
        <w:jc w:val="center"/>
        <w:rPr>
          <w:rFonts w:ascii="仿宋" w:hAnsi="仿宋" w:eastAsia="仿宋" w:cs="仿宋"/>
          <w:b/>
          <w:bCs/>
          <w:color w:val="auto"/>
          <w:sz w:val="24"/>
          <w:highlight w:val="none"/>
        </w:rPr>
        <w:sectPr>
          <w:headerReference r:id="rId3" w:type="default"/>
          <w:pgSz w:w="11906" w:h="16838"/>
          <w:pgMar w:top="1474" w:right="1287" w:bottom="1247" w:left="1417" w:header="964" w:footer="850" w:gutter="0"/>
          <w:pgNumType w:fmt="numberInDash"/>
          <w:cols w:space="0" w:num="1"/>
          <w:docGrid w:linePitch="312" w:charSpace="0"/>
        </w:sectPr>
      </w:pPr>
      <w:r>
        <w:rPr>
          <w:rFonts w:hint="eastAsia" w:ascii="仿宋" w:hAnsi="仿宋" w:eastAsia="仿宋" w:cs="仿宋"/>
          <w:b/>
          <w:bCs/>
          <w:color w:val="auto"/>
          <w:sz w:val="24"/>
          <w:highlight w:val="none"/>
        </w:rPr>
        <w:t>（注释：本格式条款仅作为双方签订合同的参考，为阐明各方的权利和义务，经协商后可相应修改，但不得与招标文件、投标文件的实质性内容相背离。</w:t>
      </w:r>
    </w:p>
    <w:p w14:paraId="4ACD1334">
      <w:pPr>
        <w:snapToGrid w:val="0"/>
        <w:spacing w:before="120" w:beforeLines="50" w:after="50"/>
        <w:rPr>
          <w:rFonts w:ascii="仿宋" w:hAnsi="仿宋" w:eastAsia="仿宋" w:cs="仿宋"/>
          <w:b/>
          <w:color w:val="auto"/>
          <w:sz w:val="24"/>
          <w:highlight w:val="none"/>
        </w:rPr>
      </w:pPr>
      <w:r>
        <w:rPr>
          <w:rFonts w:hint="eastAsia" w:ascii="仿宋" w:hAnsi="仿宋" w:eastAsia="仿宋" w:cs="仿宋"/>
          <w:b/>
          <w:color w:val="auto"/>
          <w:sz w:val="24"/>
          <w:highlight w:val="none"/>
        </w:rPr>
        <w:t>3、资格文件目录</w:t>
      </w:r>
    </w:p>
    <w:p w14:paraId="71EECDD4">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1）法人营业执照副本、组织机构代码证及税务登记证或“三证合一”证书或“五证合一”证书；</w:t>
      </w:r>
    </w:p>
    <w:p w14:paraId="0A6E10B5">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2）法定代表人授权委托书及法定代表人授权委托人有效身份证明；</w:t>
      </w:r>
    </w:p>
    <w:p w14:paraId="3C6FD320">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3）承诺符合参与政府采购活动的资格条件并且没有税收缴纳、社会保障等方面的失信记录；</w:t>
      </w:r>
    </w:p>
    <w:p w14:paraId="507DA7E4">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4）信用查询证明资料网页版（必须同时提供“信用中国”及“中国政府采购网”网页资料）；</w:t>
      </w:r>
    </w:p>
    <w:p w14:paraId="11698CA7">
      <w:pPr>
        <w:autoSpaceDE w:val="0"/>
        <w:autoSpaceDN w:val="0"/>
        <w:adjustRightInd w:val="0"/>
        <w:spacing w:line="360" w:lineRule="auto"/>
        <w:ind w:firstLine="36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5）提供《参加政府采购活动前 3 年内在经营活动中没有重大违法记录的声明函》（格式见附件）。</w:t>
      </w:r>
    </w:p>
    <w:p w14:paraId="09147D42">
      <w:pPr>
        <w:autoSpaceDE w:val="0"/>
        <w:autoSpaceDN w:val="0"/>
        <w:adjustRightInd w:val="0"/>
        <w:spacing w:line="360" w:lineRule="auto"/>
        <w:ind w:firstLine="36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投标声明书（格式见附件）；</w:t>
      </w:r>
    </w:p>
    <w:p w14:paraId="4CDB4433">
      <w:pPr>
        <w:autoSpaceDE w:val="0"/>
        <w:autoSpaceDN w:val="0"/>
        <w:adjustRightInd w:val="0"/>
        <w:spacing w:line="360" w:lineRule="auto"/>
        <w:ind w:firstLine="36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val="zh-CN"/>
        </w:rPr>
        <w:t>信用承诺书；</w:t>
      </w:r>
    </w:p>
    <w:p w14:paraId="2CB256A6">
      <w:pPr>
        <w:autoSpaceDE w:val="0"/>
        <w:autoSpaceDN w:val="0"/>
        <w:adjustRightInd w:val="0"/>
        <w:spacing w:line="360" w:lineRule="auto"/>
        <w:ind w:firstLine="36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8）</w:t>
      </w:r>
      <w:r>
        <w:rPr>
          <w:rFonts w:hint="eastAsia" w:ascii="仿宋" w:hAnsi="仿宋" w:eastAsia="仿宋" w:cs="仿宋"/>
          <w:color w:val="auto"/>
          <w:kern w:val="0"/>
          <w:sz w:val="24"/>
          <w:highlight w:val="none"/>
          <w:lang w:val="zh-CN"/>
        </w:rPr>
        <w:t>招标代理服务费承诺函；</w:t>
      </w:r>
    </w:p>
    <w:p w14:paraId="57F1BC2B">
      <w:pPr>
        <w:autoSpaceDE w:val="0"/>
        <w:autoSpaceDN w:val="0"/>
        <w:adjustRightInd w:val="0"/>
        <w:spacing w:line="360" w:lineRule="auto"/>
        <w:ind w:firstLine="36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sz w:val="24"/>
          <w:highlight w:val="none"/>
          <w:lang w:val="zh-CN"/>
        </w:rPr>
        <w:t>中小企业声明函及相关证明材料（若有，格式见附件）</w:t>
      </w:r>
    </w:p>
    <w:p w14:paraId="07756A8F">
      <w:pPr>
        <w:autoSpaceDE w:val="0"/>
        <w:autoSpaceDN w:val="0"/>
        <w:adjustRightInd w:val="0"/>
        <w:spacing w:line="360" w:lineRule="auto"/>
        <w:ind w:firstLine="360"/>
        <w:rPr>
          <w:rFonts w:eastAsia="仿宋"/>
          <w:color w:val="auto"/>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）供应商认为需要的其他资料。</w:t>
      </w:r>
    </w:p>
    <w:p w14:paraId="7A5D2212">
      <w:pPr>
        <w:autoSpaceDE w:val="0"/>
        <w:autoSpaceDN w:val="0"/>
        <w:adjustRightInd w:val="0"/>
        <w:spacing w:line="360" w:lineRule="auto"/>
        <w:ind w:firstLine="360"/>
        <w:rPr>
          <w:color w:val="auto"/>
          <w:highlight w:val="none"/>
        </w:rPr>
      </w:pPr>
    </w:p>
    <w:p w14:paraId="558C7A2A">
      <w:pPr>
        <w:snapToGrid w:val="0"/>
        <w:spacing w:before="120" w:beforeLines="50" w:after="50"/>
        <w:rPr>
          <w:rFonts w:ascii="仿宋" w:hAnsi="仿宋" w:eastAsia="仿宋" w:cs="仿宋"/>
          <w:b/>
          <w:color w:val="auto"/>
          <w:sz w:val="30"/>
          <w:highlight w:val="none"/>
        </w:rPr>
      </w:pPr>
    </w:p>
    <w:p w14:paraId="57C307F3">
      <w:pPr>
        <w:snapToGrid w:val="0"/>
        <w:spacing w:before="120" w:beforeLines="50" w:after="50"/>
        <w:rPr>
          <w:rFonts w:ascii="仿宋" w:hAnsi="仿宋" w:eastAsia="仿宋" w:cs="仿宋"/>
          <w:b/>
          <w:color w:val="auto"/>
          <w:sz w:val="30"/>
          <w:highlight w:val="none"/>
        </w:rPr>
      </w:pPr>
    </w:p>
    <w:p w14:paraId="71476B9D">
      <w:pPr>
        <w:snapToGrid w:val="0"/>
        <w:spacing w:before="120" w:beforeLines="50" w:after="50"/>
        <w:rPr>
          <w:rFonts w:ascii="仿宋" w:hAnsi="仿宋" w:eastAsia="仿宋" w:cs="仿宋"/>
          <w:b/>
          <w:color w:val="auto"/>
          <w:sz w:val="30"/>
          <w:highlight w:val="none"/>
        </w:rPr>
      </w:pPr>
    </w:p>
    <w:p w14:paraId="330903CE">
      <w:pPr>
        <w:snapToGrid w:val="0"/>
        <w:spacing w:before="120" w:beforeLines="50" w:after="50"/>
        <w:rPr>
          <w:rFonts w:ascii="仿宋" w:hAnsi="仿宋" w:eastAsia="仿宋" w:cs="仿宋"/>
          <w:b/>
          <w:color w:val="auto"/>
          <w:sz w:val="30"/>
          <w:highlight w:val="none"/>
        </w:rPr>
      </w:pPr>
    </w:p>
    <w:p w14:paraId="68DBF3B9">
      <w:pPr>
        <w:snapToGrid w:val="0"/>
        <w:spacing w:before="120" w:beforeLines="50" w:after="50"/>
        <w:rPr>
          <w:rFonts w:ascii="仿宋" w:hAnsi="仿宋" w:eastAsia="仿宋" w:cs="仿宋"/>
          <w:b/>
          <w:color w:val="auto"/>
          <w:sz w:val="30"/>
          <w:highlight w:val="none"/>
        </w:rPr>
      </w:pPr>
    </w:p>
    <w:p w14:paraId="5E4F7565">
      <w:pPr>
        <w:snapToGrid w:val="0"/>
        <w:spacing w:before="120" w:beforeLines="50" w:after="50"/>
        <w:rPr>
          <w:rFonts w:ascii="仿宋" w:hAnsi="仿宋" w:eastAsia="仿宋" w:cs="仿宋"/>
          <w:b/>
          <w:color w:val="auto"/>
          <w:sz w:val="30"/>
          <w:highlight w:val="none"/>
        </w:rPr>
      </w:pPr>
    </w:p>
    <w:p w14:paraId="5EE1E424">
      <w:pPr>
        <w:snapToGrid w:val="0"/>
        <w:spacing w:before="120" w:beforeLines="50" w:after="50"/>
        <w:rPr>
          <w:rFonts w:ascii="仿宋" w:hAnsi="仿宋" w:eastAsia="仿宋" w:cs="仿宋"/>
          <w:b/>
          <w:color w:val="auto"/>
          <w:sz w:val="30"/>
          <w:highlight w:val="none"/>
        </w:rPr>
      </w:pPr>
    </w:p>
    <w:p w14:paraId="620AAF28">
      <w:pPr>
        <w:snapToGrid w:val="0"/>
        <w:spacing w:before="120" w:beforeLines="50" w:after="50"/>
        <w:rPr>
          <w:rFonts w:ascii="仿宋" w:hAnsi="仿宋" w:eastAsia="仿宋" w:cs="仿宋"/>
          <w:b/>
          <w:color w:val="auto"/>
          <w:sz w:val="30"/>
          <w:highlight w:val="none"/>
        </w:rPr>
      </w:pPr>
    </w:p>
    <w:p w14:paraId="1CF271B8">
      <w:pPr>
        <w:snapToGrid w:val="0"/>
        <w:spacing w:before="120" w:beforeLines="50" w:after="50"/>
        <w:rPr>
          <w:rFonts w:ascii="仿宋" w:hAnsi="仿宋" w:eastAsia="仿宋" w:cs="仿宋"/>
          <w:b/>
          <w:color w:val="auto"/>
          <w:sz w:val="30"/>
          <w:highlight w:val="none"/>
        </w:rPr>
      </w:pPr>
    </w:p>
    <w:p w14:paraId="1F00B6C6">
      <w:pPr>
        <w:snapToGrid w:val="0"/>
        <w:spacing w:before="120" w:beforeLines="50" w:after="50"/>
        <w:rPr>
          <w:rFonts w:ascii="仿宋" w:hAnsi="仿宋" w:eastAsia="仿宋" w:cs="仿宋"/>
          <w:b/>
          <w:color w:val="auto"/>
          <w:sz w:val="30"/>
          <w:highlight w:val="none"/>
        </w:rPr>
      </w:pPr>
    </w:p>
    <w:p w14:paraId="08641B71">
      <w:pPr>
        <w:snapToGrid w:val="0"/>
        <w:spacing w:before="120" w:beforeLines="50" w:after="50"/>
        <w:rPr>
          <w:rFonts w:ascii="仿宋" w:hAnsi="仿宋" w:eastAsia="仿宋" w:cs="仿宋"/>
          <w:b/>
          <w:color w:val="auto"/>
          <w:sz w:val="30"/>
          <w:highlight w:val="none"/>
        </w:rPr>
      </w:pPr>
    </w:p>
    <w:p w14:paraId="0D2B6DFD">
      <w:pPr>
        <w:snapToGrid w:val="0"/>
        <w:spacing w:before="120" w:beforeLines="50" w:after="50"/>
        <w:rPr>
          <w:rFonts w:ascii="仿宋" w:hAnsi="仿宋" w:eastAsia="仿宋" w:cs="仿宋"/>
          <w:b/>
          <w:color w:val="auto"/>
          <w:sz w:val="30"/>
          <w:highlight w:val="none"/>
        </w:rPr>
      </w:pPr>
    </w:p>
    <w:p w14:paraId="12AF5812">
      <w:pPr>
        <w:snapToGrid w:val="0"/>
        <w:spacing w:before="120" w:beforeLines="50" w:after="50"/>
        <w:rPr>
          <w:rFonts w:ascii="仿宋" w:hAnsi="仿宋" w:eastAsia="仿宋" w:cs="仿宋"/>
          <w:b/>
          <w:color w:val="auto"/>
          <w:sz w:val="30"/>
          <w:highlight w:val="none"/>
        </w:rPr>
      </w:pPr>
    </w:p>
    <w:p w14:paraId="15F5F7CB">
      <w:pPr>
        <w:snapToGrid w:val="0"/>
        <w:spacing w:before="120" w:beforeLines="50" w:after="50"/>
        <w:rPr>
          <w:rFonts w:ascii="仿宋" w:hAnsi="仿宋" w:eastAsia="仿宋" w:cs="仿宋"/>
          <w:b/>
          <w:color w:val="auto"/>
          <w:sz w:val="30"/>
          <w:highlight w:val="none"/>
        </w:rPr>
      </w:pPr>
    </w:p>
    <w:p w14:paraId="35E859CA">
      <w:pPr>
        <w:snapToGrid w:val="0"/>
        <w:ind w:firstLine="2850" w:firstLineChars="1183"/>
        <w:jc w:val="left"/>
        <w:rPr>
          <w:rFonts w:ascii="仿宋" w:hAnsi="仿宋" w:eastAsia="仿宋" w:cs="仿宋"/>
          <w:b/>
          <w:color w:val="auto"/>
          <w:sz w:val="24"/>
          <w:highlight w:val="none"/>
        </w:rPr>
      </w:pPr>
    </w:p>
    <w:p w14:paraId="563D4B6E">
      <w:pPr>
        <w:snapToGrid w:val="0"/>
        <w:ind w:firstLine="2850" w:firstLineChars="1183"/>
        <w:jc w:val="left"/>
        <w:rPr>
          <w:rFonts w:ascii="仿宋" w:hAnsi="仿宋" w:eastAsia="仿宋" w:cs="仿宋"/>
          <w:b/>
          <w:color w:val="auto"/>
          <w:sz w:val="24"/>
          <w:highlight w:val="none"/>
        </w:rPr>
      </w:pPr>
    </w:p>
    <w:p w14:paraId="587B9626">
      <w:pPr>
        <w:snapToGrid w:val="0"/>
        <w:ind w:firstLine="2850" w:firstLineChars="1183"/>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法定代表人有效身份证明书</w:t>
      </w:r>
    </w:p>
    <w:p w14:paraId="2F3F6087">
      <w:pPr>
        <w:pStyle w:val="6"/>
        <w:spacing w:line="400" w:lineRule="exact"/>
        <w:ind w:firstLine="513" w:firstLineChars="156"/>
        <w:jc w:val="center"/>
        <w:rPr>
          <w:rFonts w:ascii="仿宋" w:hAnsi="仿宋" w:eastAsia="仿宋" w:cs="仿宋"/>
          <w:b/>
          <w:bCs/>
          <w:color w:val="auto"/>
          <w:spacing w:val="24"/>
          <w:sz w:val="28"/>
          <w:szCs w:val="28"/>
          <w:highlight w:val="none"/>
        </w:rPr>
      </w:pPr>
    </w:p>
    <w:p w14:paraId="19E39CBC">
      <w:pPr>
        <w:pStyle w:val="6"/>
        <w:spacing w:line="400" w:lineRule="exact"/>
        <w:ind w:firstLine="451" w:firstLineChars="156"/>
        <w:jc w:val="center"/>
        <w:rPr>
          <w:rFonts w:ascii="仿宋" w:hAnsi="仿宋" w:eastAsia="仿宋" w:cs="仿宋"/>
          <w:b/>
          <w:bCs/>
          <w:color w:val="auto"/>
          <w:spacing w:val="24"/>
          <w:sz w:val="24"/>
          <w:szCs w:val="24"/>
          <w:highlight w:val="none"/>
        </w:rPr>
      </w:pPr>
    </w:p>
    <w:p w14:paraId="1E123EDD">
      <w:pPr>
        <w:pStyle w:val="6"/>
        <w:spacing w:line="400" w:lineRule="exact"/>
        <w:ind w:firstLine="840" w:firstLineChars="3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（姓名）是（单位全称）</w:t>
      </w:r>
    </w:p>
    <w:p w14:paraId="391414E5">
      <w:pPr>
        <w:pStyle w:val="6"/>
        <w:spacing w:line="400" w:lineRule="exact"/>
        <w:ind w:firstLine="374" w:firstLineChars="1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的法定代表人，身份证号码为。</w:t>
      </w:r>
    </w:p>
    <w:p w14:paraId="50CEA34B">
      <w:pPr>
        <w:pStyle w:val="6"/>
        <w:spacing w:line="400" w:lineRule="exact"/>
        <w:ind w:firstLine="374" w:firstLineChars="156"/>
        <w:rPr>
          <w:rFonts w:ascii="仿宋" w:hAnsi="仿宋" w:eastAsia="仿宋" w:cs="仿宋"/>
          <w:color w:val="auto"/>
          <w:sz w:val="24"/>
          <w:szCs w:val="24"/>
          <w:highlight w:val="none"/>
        </w:rPr>
      </w:pPr>
    </w:p>
    <w:p w14:paraId="236F8AC6">
      <w:pPr>
        <w:pStyle w:val="6"/>
        <w:spacing w:line="400" w:lineRule="exact"/>
        <w:ind w:firstLine="374" w:firstLineChars="156"/>
        <w:rPr>
          <w:rFonts w:ascii="仿宋" w:hAnsi="仿宋" w:eastAsia="仿宋" w:cs="仿宋"/>
          <w:color w:val="auto"/>
          <w:sz w:val="24"/>
          <w:szCs w:val="24"/>
          <w:highlight w:val="none"/>
        </w:rPr>
      </w:pPr>
    </w:p>
    <w:p w14:paraId="4382066F">
      <w:pPr>
        <w:pStyle w:val="6"/>
        <w:spacing w:line="400" w:lineRule="exact"/>
        <w:ind w:firstLine="374" w:firstLineChars="1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特此证明</w:t>
      </w:r>
    </w:p>
    <w:p w14:paraId="292EC827">
      <w:pPr>
        <w:pStyle w:val="6"/>
        <w:spacing w:line="400" w:lineRule="exact"/>
        <w:ind w:firstLine="374" w:firstLineChars="156"/>
        <w:rPr>
          <w:rFonts w:ascii="仿宋" w:hAnsi="仿宋" w:eastAsia="仿宋" w:cs="仿宋"/>
          <w:color w:val="auto"/>
          <w:sz w:val="24"/>
          <w:szCs w:val="24"/>
          <w:highlight w:val="none"/>
        </w:rPr>
      </w:pPr>
    </w:p>
    <w:p w14:paraId="434121E1">
      <w:pPr>
        <w:pStyle w:val="6"/>
        <w:spacing w:line="400" w:lineRule="exact"/>
        <w:ind w:firstLine="374" w:firstLineChars="156"/>
        <w:rPr>
          <w:rFonts w:ascii="仿宋" w:hAnsi="仿宋" w:eastAsia="仿宋" w:cs="仿宋"/>
          <w:color w:val="auto"/>
          <w:sz w:val="24"/>
          <w:szCs w:val="24"/>
          <w:highlight w:val="none"/>
        </w:rPr>
      </w:pPr>
    </w:p>
    <w:p w14:paraId="238C9065">
      <w:pPr>
        <w:pStyle w:val="6"/>
        <w:spacing w:line="400" w:lineRule="exact"/>
        <w:ind w:firstLine="374" w:firstLineChars="156"/>
        <w:rPr>
          <w:rFonts w:ascii="仿宋" w:hAnsi="仿宋" w:eastAsia="仿宋" w:cs="仿宋"/>
          <w:color w:val="auto"/>
          <w:sz w:val="24"/>
          <w:szCs w:val="24"/>
          <w:highlight w:val="none"/>
        </w:rPr>
      </w:pPr>
    </w:p>
    <w:p w14:paraId="27860C94">
      <w:pPr>
        <w:pStyle w:val="6"/>
        <w:spacing w:line="400" w:lineRule="exact"/>
        <w:ind w:firstLine="374" w:firstLineChars="156"/>
        <w:rPr>
          <w:rFonts w:ascii="仿宋" w:hAnsi="仿宋" w:eastAsia="仿宋" w:cs="仿宋"/>
          <w:color w:val="auto"/>
          <w:sz w:val="24"/>
          <w:szCs w:val="24"/>
          <w:highlight w:val="none"/>
        </w:rPr>
      </w:pPr>
    </w:p>
    <w:p w14:paraId="0582409F">
      <w:pPr>
        <w:pStyle w:val="6"/>
        <w:spacing w:line="400" w:lineRule="exact"/>
        <w:ind w:firstLine="374" w:firstLineChars="1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投标供应商：（盖章）</w:t>
      </w:r>
    </w:p>
    <w:p w14:paraId="4A2D6F2E">
      <w:pPr>
        <w:pStyle w:val="6"/>
        <w:spacing w:line="400" w:lineRule="exact"/>
        <w:ind w:firstLine="374" w:firstLineChars="156"/>
        <w:rPr>
          <w:rFonts w:ascii="仿宋" w:hAnsi="仿宋" w:eastAsia="仿宋" w:cs="仿宋"/>
          <w:color w:val="auto"/>
          <w:sz w:val="24"/>
          <w:szCs w:val="24"/>
          <w:highlight w:val="none"/>
        </w:rPr>
      </w:pPr>
    </w:p>
    <w:p w14:paraId="4E7155E4">
      <w:pPr>
        <w:pStyle w:val="6"/>
        <w:spacing w:line="400" w:lineRule="exact"/>
        <w:ind w:firstLine="3012" w:firstLineChars="125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法定代表人或其授权代理人（签名或盖章）</w:t>
      </w:r>
    </w:p>
    <w:p w14:paraId="2E28314D">
      <w:pPr>
        <w:pStyle w:val="6"/>
        <w:spacing w:line="400" w:lineRule="exact"/>
        <w:ind w:firstLine="374" w:firstLineChars="156"/>
        <w:jc w:val="center"/>
        <w:rPr>
          <w:rFonts w:ascii="仿宋" w:hAnsi="仿宋" w:eastAsia="仿宋" w:cs="仿宋"/>
          <w:color w:val="auto"/>
          <w:sz w:val="24"/>
          <w:szCs w:val="24"/>
          <w:highlight w:val="none"/>
        </w:rPr>
      </w:pPr>
    </w:p>
    <w:p w14:paraId="686F6932">
      <w:pPr>
        <w:pStyle w:val="6"/>
        <w:spacing w:line="400" w:lineRule="exact"/>
        <w:ind w:firstLine="374" w:firstLineChars="1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308A5DF4">
      <w:pPr>
        <w:pStyle w:val="6"/>
        <w:spacing w:line="400" w:lineRule="exact"/>
        <w:ind w:firstLine="374" w:firstLineChars="156"/>
        <w:jc w:val="center"/>
        <w:rPr>
          <w:rFonts w:ascii="仿宋" w:hAnsi="仿宋" w:eastAsia="仿宋" w:cs="仿宋"/>
          <w:color w:val="auto"/>
          <w:sz w:val="24"/>
          <w:szCs w:val="24"/>
          <w:highlight w:val="none"/>
        </w:rPr>
      </w:pPr>
    </w:p>
    <w:p w14:paraId="77A105FE">
      <w:pPr>
        <w:pStyle w:val="6"/>
        <w:spacing w:line="400" w:lineRule="exact"/>
        <w:ind w:firstLine="374" w:firstLineChars="1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487B01C">
      <w:pPr>
        <w:pStyle w:val="6"/>
        <w:spacing w:line="400" w:lineRule="exact"/>
        <w:ind w:firstLine="0"/>
        <w:rPr>
          <w:rFonts w:ascii="仿宋" w:hAnsi="仿宋" w:eastAsia="仿宋" w:cs="仿宋"/>
          <w:color w:val="auto"/>
          <w:sz w:val="24"/>
          <w:szCs w:val="24"/>
          <w:highlight w:val="none"/>
        </w:rPr>
      </w:pPr>
    </w:p>
    <w:p w14:paraId="3BE07835">
      <w:pPr>
        <w:pStyle w:val="6"/>
        <w:spacing w:line="400" w:lineRule="exact"/>
        <w:ind w:firstLine="374" w:firstLineChars="156"/>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有效身份证明复印件粘贴处</w:t>
      </w:r>
    </w:p>
    <w:p w14:paraId="6839617E">
      <w:pPr>
        <w:pStyle w:val="6"/>
        <w:spacing w:line="400" w:lineRule="exact"/>
        <w:ind w:firstLine="436" w:firstLineChars="156"/>
        <w:jc w:val="center"/>
        <w:rPr>
          <w:rFonts w:ascii="仿宋" w:hAnsi="仿宋" w:eastAsia="仿宋" w:cs="仿宋"/>
          <w:color w:val="auto"/>
          <w:sz w:val="28"/>
          <w:szCs w:val="28"/>
          <w:highlight w:val="none"/>
        </w:rPr>
      </w:pPr>
    </w:p>
    <w:p w14:paraId="02AFC8EA">
      <w:pPr>
        <w:pStyle w:val="6"/>
        <w:spacing w:line="400" w:lineRule="exact"/>
        <w:ind w:firstLine="468" w:firstLineChars="156"/>
        <w:jc w:val="center"/>
        <w:rPr>
          <w:rFonts w:ascii="仿宋" w:hAnsi="仿宋" w:eastAsia="仿宋" w:cs="仿宋"/>
          <w:color w:val="auto"/>
          <w:sz w:val="30"/>
          <w:szCs w:val="24"/>
          <w:highlight w:val="none"/>
        </w:rPr>
      </w:pPr>
    </w:p>
    <w:p w14:paraId="00249A20">
      <w:pPr>
        <w:pStyle w:val="6"/>
        <w:spacing w:line="400" w:lineRule="exact"/>
        <w:ind w:firstLine="545" w:firstLineChars="156"/>
        <w:jc w:val="center"/>
        <w:rPr>
          <w:rFonts w:ascii="仿宋" w:hAnsi="仿宋" w:eastAsia="仿宋" w:cs="仿宋"/>
          <w:b/>
          <w:bCs/>
          <w:color w:val="auto"/>
          <w:spacing w:val="24"/>
          <w:sz w:val="30"/>
          <w:highlight w:val="none"/>
        </w:rPr>
      </w:pPr>
    </w:p>
    <w:p w14:paraId="3B0CB6CD">
      <w:pPr>
        <w:pStyle w:val="6"/>
        <w:spacing w:line="400" w:lineRule="exact"/>
        <w:ind w:firstLine="545" w:firstLineChars="156"/>
        <w:jc w:val="center"/>
        <w:rPr>
          <w:rFonts w:ascii="仿宋" w:hAnsi="仿宋" w:eastAsia="仿宋" w:cs="仿宋"/>
          <w:b/>
          <w:color w:val="auto"/>
          <w:sz w:val="24"/>
          <w:highlight w:val="none"/>
        </w:rPr>
      </w:pPr>
      <w:r>
        <w:rPr>
          <w:rFonts w:hint="eastAsia" w:ascii="仿宋" w:hAnsi="仿宋" w:eastAsia="仿宋" w:cs="仿宋"/>
          <w:b/>
          <w:bCs/>
          <w:color w:val="auto"/>
          <w:spacing w:val="24"/>
          <w:sz w:val="30"/>
          <w:highlight w:val="none"/>
        </w:rPr>
        <w:br w:type="page"/>
      </w:r>
      <w:r>
        <w:rPr>
          <w:rFonts w:hint="eastAsia" w:ascii="仿宋" w:hAnsi="仿宋" w:eastAsia="仿宋" w:cs="仿宋"/>
          <w:b/>
          <w:color w:val="auto"/>
          <w:sz w:val="24"/>
          <w:highlight w:val="none"/>
        </w:rPr>
        <w:t>法定代表人授权委托书</w:t>
      </w:r>
    </w:p>
    <w:p w14:paraId="232A9E46">
      <w:pPr>
        <w:spacing w:line="400" w:lineRule="exact"/>
        <w:ind w:firstLine="480" w:firstLineChars="200"/>
        <w:rPr>
          <w:rFonts w:ascii="仿宋" w:hAnsi="仿宋" w:eastAsia="仿宋" w:cs="仿宋"/>
          <w:color w:val="auto"/>
          <w:sz w:val="24"/>
          <w:highlight w:val="none"/>
        </w:rPr>
      </w:pPr>
    </w:p>
    <w:p w14:paraId="3D1AF2A2">
      <w:pPr>
        <w:spacing w:line="400" w:lineRule="exact"/>
        <w:ind w:firstLine="480" w:firstLineChars="200"/>
        <w:rPr>
          <w:rFonts w:ascii="仿宋" w:hAnsi="仿宋" w:eastAsia="仿宋" w:cs="仿宋"/>
          <w:color w:val="auto"/>
          <w:sz w:val="24"/>
          <w:highlight w:val="none"/>
        </w:rPr>
      </w:pPr>
    </w:p>
    <w:p w14:paraId="31717C5D">
      <w:pPr>
        <w:spacing w:line="5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本授权委托书声明，我（姓名）系（投标供应商名称）的法定代表人，现授权委托本单位的在职职工 （姓名）为我单位代理人，以本单位的名义参加（采购人名称）的项目的公开招标采购投标活动。被授权代理人在投标、开标、评标、合同谈判过程中所签署的一切文件和处理与之有关的一切事务，我均予以承认。</w:t>
      </w:r>
    </w:p>
    <w:p w14:paraId="1E77154F">
      <w:pPr>
        <w:spacing w:line="5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被授权人无转委托权，特此委托。</w:t>
      </w:r>
    </w:p>
    <w:p w14:paraId="7101C933">
      <w:pPr>
        <w:spacing w:line="520" w:lineRule="exact"/>
        <w:rPr>
          <w:rFonts w:ascii="仿宋" w:hAnsi="仿宋" w:eastAsia="仿宋" w:cs="仿宋"/>
          <w:b/>
          <w:color w:val="auto"/>
          <w:sz w:val="24"/>
          <w:highlight w:val="none"/>
        </w:rPr>
      </w:pPr>
    </w:p>
    <w:p w14:paraId="069A57BF">
      <w:pPr>
        <w:spacing w:line="520" w:lineRule="exact"/>
        <w:ind w:left="2698" w:leftChars="1285" w:firstLine="600" w:firstLineChars="250"/>
        <w:rPr>
          <w:rFonts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14:paraId="09A6D727">
      <w:pPr>
        <w:spacing w:line="520" w:lineRule="exact"/>
        <w:ind w:left="2698" w:leftChars="1285" w:firstLine="600" w:firstLineChars="250"/>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p>
    <w:p w14:paraId="0294FC1C">
      <w:pPr>
        <w:spacing w:line="520" w:lineRule="exact"/>
        <w:ind w:left="2698" w:leftChars="1285" w:firstLine="600" w:firstLineChars="250"/>
        <w:rPr>
          <w:rFonts w:ascii="仿宋" w:hAnsi="仿宋" w:eastAsia="仿宋" w:cs="仿宋"/>
          <w:color w:val="auto"/>
          <w:sz w:val="24"/>
          <w:highlight w:val="none"/>
          <w:u w:val="single"/>
        </w:rPr>
      </w:pPr>
      <w:r>
        <w:rPr>
          <w:rFonts w:hint="eastAsia" w:ascii="仿宋" w:hAnsi="仿宋" w:eastAsia="仿宋" w:cs="仿宋"/>
          <w:color w:val="auto"/>
          <w:sz w:val="24"/>
          <w:highlight w:val="none"/>
        </w:rPr>
        <w:t>职务：</w:t>
      </w:r>
    </w:p>
    <w:p w14:paraId="5F3C8101">
      <w:pPr>
        <w:spacing w:line="520" w:lineRule="exact"/>
        <w:ind w:left="2698" w:leftChars="1285"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投标供应商：</w:t>
      </w:r>
      <w:r>
        <w:rPr>
          <w:rFonts w:hint="eastAsia" w:ascii="仿宋" w:hAnsi="仿宋" w:eastAsia="仿宋" w:cs="仿宋"/>
          <w:color w:val="auto"/>
          <w:sz w:val="24"/>
          <w:highlight w:val="none"/>
          <w:u w:val="single"/>
        </w:rPr>
        <w:t xml:space="preserve">           （盖章）       </w:t>
      </w:r>
    </w:p>
    <w:p w14:paraId="040FACE7">
      <w:pPr>
        <w:spacing w:line="520" w:lineRule="exact"/>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（签名或盖章）</w:t>
      </w:r>
    </w:p>
    <w:p w14:paraId="327D623F">
      <w:pPr>
        <w:spacing w:line="520" w:lineRule="exact"/>
        <w:jc w:val="center"/>
        <w:rPr>
          <w:rFonts w:ascii="仿宋" w:hAnsi="仿宋" w:eastAsia="仿宋" w:cs="仿宋"/>
          <w:color w:val="auto"/>
          <w:sz w:val="24"/>
          <w:highlight w:val="none"/>
          <w:u w:val="single"/>
        </w:rPr>
      </w:pPr>
    </w:p>
    <w:p w14:paraId="2B3FAAE5">
      <w:pPr>
        <w:pStyle w:val="6"/>
        <w:spacing w:line="520" w:lineRule="exact"/>
        <w:ind w:firstLine="4574" w:firstLineChars="190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088AFC1">
      <w:pPr>
        <w:pStyle w:val="6"/>
        <w:spacing w:line="520" w:lineRule="exact"/>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AA66616">
      <w:pPr>
        <w:pStyle w:val="6"/>
        <w:spacing w:line="520" w:lineRule="exact"/>
        <w:ind w:firstLine="374" w:firstLineChars="156"/>
        <w:jc w:val="center"/>
        <w:rPr>
          <w:rFonts w:ascii="仿宋" w:hAnsi="仿宋" w:eastAsia="仿宋" w:cs="仿宋"/>
          <w:color w:val="auto"/>
          <w:sz w:val="24"/>
          <w:szCs w:val="24"/>
          <w:highlight w:val="none"/>
        </w:rPr>
      </w:pPr>
    </w:p>
    <w:p w14:paraId="46BCED7A">
      <w:pPr>
        <w:pStyle w:val="6"/>
        <w:spacing w:line="520" w:lineRule="exact"/>
        <w:ind w:firstLine="374" w:firstLineChars="156"/>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授权代理人有效身份证明复印件粘贴处</w:t>
      </w:r>
    </w:p>
    <w:p w14:paraId="2885341A">
      <w:pPr>
        <w:pStyle w:val="6"/>
        <w:spacing w:line="520" w:lineRule="exact"/>
        <w:ind w:firstLine="374" w:firstLineChars="156"/>
        <w:jc w:val="center"/>
        <w:rPr>
          <w:rFonts w:ascii="仿宋" w:hAnsi="仿宋" w:eastAsia="仿宋" w:cs="仿宋"/>
          <w:color w:val="auto"/>
          <w:sz w:val="24"/>
          <w:szCs w:val="24"/>
          <w:highlight w:val="none"/>
        </w:rPr>
      </w:pPr>
    </w:p>
    <w:p w14:paraId="67C21C46">
      <w:pPr>
        <w:pStyle w:val="6"/>
        <w:spacing w:line="520" w:lineRule="exact"/>
        <w:ind w:firstLine="374" w:firstLineChars="156"/>
        <w:jc w:val="center"/>
        <w:rPr>
          <w:rFonts w:ascii="仿宋" w:hAnsi="仿宋" w:eastAsia="仿宋" w:cs="仿宋"/>
          <w:color w:val="auto"/>
          <w:sz w:val="24"/>
          <w:szCs w:val="24"/>
          <w:highlight w:val="none"/>
        </w:rPr>
      </w:pPr>
    </w:p>
    <w:p w14:paraId="66B66D83">
      <w:pPr>
        <w:spacing w:line="520" w:lineRule="exact"/>
        <w:rPr>
          <w:rFonts w:ascii="仿宋" w:hAnsi="仿宋" w:eastAsia="仿宋" w:cs="仿宋"/>
          <w:b/>
          <w:bCs/>
          <w:color w:val="auto"/>
          <w:sz w:val="24"/>
          <w:highlight w:val="none"/>
        </w:rPr>
      </w:pPr>
    </w:p>
    <w:p w14:paraId="5EACBD3E">
      <w:pPr>
        <w:spacing w:line="520" w:lineRule="exact"/>
        <w:rPr>
          <w:rFonts w:ascii="仿宋" w:hAnsi="仿宋" w:eastAsia="仿宋" w:cs="仿宋"/>
          <w:b/>
          <w:bCs/>
          <w:color w:val="auto"/>
          <w:sz w:val="30"/>
          <w:highlight w:val="none"/>
        </w:rPr>
      </w:pPr>
    </w:p>
    <w:p w14:paraId="660571EC">
      <w:pPr>
        <w:spacing w:line="520" w:lineRule="exact"/>
        <w:rPr>
          <w:rFonts w:ascii="仿宋" w:hAnsi="仿宋" w:eastAsia="仿宋" w:cs="仿宋"/>
          <w:b/>
          <w:bCs/>
          <w:color w:val="auto"/>
          <w:sz w:val="30"/>
          <w:highlight w:val="none"/>
        </w:rPr>
      </w:pPr>
    </w:p>
    <w:p w14:paraId="42666A55">
      <w:pPr>
        <w:snapToGrid w:val="0"/>
        <w:spacing w:line="360" w:lineRule="auto"/>
        <w:jc w:val="left"/>
        <w:rPr>
          <w:rFonts w:ascii="仿宋" w:hAnsi="仿宋" w:eastAsia="仿宋" w:cs="仿宋"/>
          <w:b/>
          <w:color w:val="auto"/>
          <w:sz w:val="24"/>
          <w:highlight w:val="none"/>
        </w:rPr>
      </w:pPr>
    </w:p>
    <w:p w14:paraId="3A6AA256">
      <w:pPr>
        <w:pStyle w:val="10"/>
        <w:ind w:firstLine="241"/>
        <w:rPr>
          <w:rFonts w:ascii="仿宋" w:hAnsi="仿宋" w:eastAsia="仿宋" w:cs="仿宋"/>
          <w:color w:val="auto"/>
          <w:sz w:val="24"/>
          <w:highlight w:val="none"/>
        </w:rPr>
      </w:pPr>
    </w:p>
    <w:p w14:paraId="41E5C57E">
      <w:pPr>
        <w:pStyle w:val="19"/>
        <w:ind w:left="482" w:hanging="482"/>
        <w:rPr>
          <w:rFonts w:ascii="仿宋" w:hAnsi="仿宋" w:eastAsia="仿宋" w:cs="仿宋"/>
          <w:b/>
          <w:color w:val="auto"/>
          <w:sz w:val="24"/>
          <w:highlight w:val="none"/>
        </w:rPr>
      </w:pPr>
    </w:p>
    <w:p w14:paraId="4B74C8E2">
      <w:pPr>
        <w:rPr>
          <w:rFonts w:ascii="仿宋" w:hAnsi="仿宋" w:eastAsia="仿宋" w:cs="仿宋"/>
          <w:b/>
          <w:color w:val="auto"/>
          <w:sz w:val="24"/>
          <w:highlight w:val="none"/>
        </w:rPr>
      </w:pPr>
    </w:p>
    <w:p w14:paraId="006213B1">
      <w:pPr>
        <w:pStyle w:val="10"/>
        <w:ind w:firstLine="281"/>
        <w:rPr>
          <w:rFonts w:ascii="仿宋" w:hAnsi="仿宋" w:eastAsia="仿宋" w:cs="仿宋"/>
          <w:color w:val="auto"/>
          <w:highlight w:val="none"/>
        </w:rPr>
      </w:pPr>
    </w:p>
    <w:p w14:paraId="481BF0C3">
      <w:pPr>
        <w:autoSpaceDE w:val="0"/>
        <w:autoSpaceDN w:val="0"/>
        <w:adjustRightInd w:val="0"/>
        <w:spacing w:line="360" w:lineRule="auto"/>
        <w:ind w:firstLine="361" w:firstLineChars="150"/>
        <w:rPr>
          <w:rFonts w:ascii="仿宋" w:hAnsi="仿宋" w:eastAsia="仿宋" w:cs="仿宋"/>
          <w:b/>
          <w:color w:val="auto"/>
          <w:sz w:val="24"/>
          <w:highlight w:val="none"/>
        </w:rPr>
      </w:pPr>
    </w:p>
    <w:p w14:paraId="36FBDBE7">
      <w:pPr>
        <w:spacing w:line="400" w:lineRule="exact"/>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招标代理服务费承诺函</w:t>
      </w:r>
    </w:p>
    <w:p w14:paraId="613EA81D">
      <w:pPr>
        <w:spacing w:line="400" w:lineRule="exact"/>
        <w:jc w:val="center"/>
        <w:rPr>
          <w:rFonts w:ascii="仿宋" w:hAnsi="仿宋" w:eastAsia="仿宋" w:cs="仿宋"/>
          <w:b/>
          <w:bCs/>
          <w:color w:val="auto"/>
          <w:sz w:val="32"/>
          <w:highlight w:val="none"/>
        </w:rPr>
      </w:pPr>
    </w:p>
    <w:p w14:paraId="27FD9B4E">
      <w:pPr>
        <w:spacing w:line="400" w:lineRule="exact"/>
        <w:rPr>
          <w:rFonts w:ascii="仿宋" w:hAnsi="仿宋" w:eastAsia="仿宋" w:cs="仿宋"/>
          <w:color w:val="auto"/>
          <w:sz w:val="24"/>
          <w:highlight w:val="none"/>
        </w:rPr>
      </w:pPr>
      <w:r>
        <w:rPr>
          <w:rFonts w:hint="eastAsia" w:ascii="仿宋" w:hAnsi="仿宋" w:eastAsia="仿宋" w:cs="仿宋"/>
          <w:bCs/>
          <w:color w:val="auto"/>
          <w:sz w:val="24"/>
          <w:highlight w:val="none"/>
          <w:lang w:eastAsia="zh-CN"/>
        </w:rPr>
        <w:t>湖州泓达工程管理咨询有限公司</w:t>
      </w:r>
      <w:r>
        <w:rPr>
          <w:rFonts w:hint="eastAsia" w:ascii="仿宋" w:hAnsi="仿宋" w:eastAsia="仿宋" w:cs="仿宋"/>
          <w:bCs/>
          <w:color w:val="auto"/>
          <w:sz w:val="24"/>
          <w:highlight w:val="none"/>
        </w:rPr>
        <w:t>：</w:t>
      </w:r>
    </w:p>
    <w:p w14:paraId="27ED243A">
      <w:pPr>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color w:val="auto"/>
          <w:sz w:val="24"/>
          <w:highlight w:val="none"/>
        </w:rPr>
        <w:t>根据公开招标采购文件中有关招标代理服务费的规定，一旦本项目由我单位中标，我单位同意按公开招标采购文件规定全额支付招标代理服务费。在收到《中标通知书》后的当天一次性向</w:t>
      </w:r>
      <w:r>
        <w:rPr>
          <w:rFonts w:hint="eastAsia" w:ascii="仿宋" w:hAnsi="仿宋" w:eastAsia="仿宋" w:cs="仿宋"/>
          <w:color w:val="auto"/>
          <w:sz w:val="24"/>
          <w:highlight w:val="none"/>
          <w:lang w:eastAsia="zh-CN"/>
        </w:rPr>
        <w:t>湖州泓达工程管理咨询有限公司</w:t>
      </w:r>
      <w:r>
        <w:rPr>
          <w:rFonts w:hint="eastAsia" w:ascii="仿宋" w:hAnsi="仿宋" w:eastAsia="仿宋" w:cs="仿宋"/>
          <w:color w:val="auto"/>
          <w:sz w:val="24"/>
          <w:highlight w:val="none"/>
        </w:rPr>
        <w:t>缴清。</w:t>
      </w:r>
    </w:p>
    <w:p w14:paraId="53FA01CD">
      <w:pPr>
        <w:tabs>
          <w:tab w:val="left" w:pos="2996"/>
        </w:tabs>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本承诺函自开标之日起至本次采购期满有效。</w:t>
      </w:r>
    </w:p>
    <w:p w14:paraId="58038412">
      <w:pPr>
        <w:spacing w:line="400" w:lineRule="exact"/>
        <w:rPr>
          <w:rFonts w:ascii="仿宋" w:hAnsi="仿宋" w:eastAsia="仿宋" w:cs="仿宋"/>
          <w:color w:val="auto"/>
          <w:szCs w:val="28"/>
          <w:highlight w:val="none"/>
        </w:rPr>
      </w:pPr>
    </w:p>
    <w:p w14:paraId="078A8D90">
      <w:pPr>
        <w:spacing w:line="400" w:lineRule="exact"/>
        <w:rPr>
          <w:rFonts w:ascii="仿宋" w:hAnsi="仿宋" w:eastAsia="仿宋" w:cs="仿宋"/>
          <w:color w:val="auto"/>
          <w:szCs w:val="28"/>
          <w:highlight w:val="none"/>
        </w:rPr>
      </w:pPr>
    </w:p>
    <w:p w14:paraId="68C15E53">
      <w:pPr>
        <w:spacing w:line="400" w:lineRule="exact"/>
        <w:rPr>
          <w:rFonts w:ascii="仿宋" w:hAnsi="仿宋" w:eastAsia="仿宋" w:cs="仿宋"/>
          <w:color w:val="auto"/>
          <w:szCs w:val="28"/>
          <w:highlight w:val="none"/>
        </w:rPr>
      </w:pPr>
    </w:p>
    <w:p w14:paraId="4A88F9D2">
      <w:pPr>
        <w:spacing w:line="400" w:lineRule="exact"/>
        <w:rPr>
          <w:rFonts w:ascii="仿宋" w:hAnsi="仿宋" w:eastAsia="仿宋" w:cs="仿宋"/>
          <w:color w:val="auto"/>
          <w:szCs w:val="28"/>
          <w:highlight w:val="none"/>
        </w:rPr>
      </w:pPr>
    </w:p>
    <w:p w14:paraId="06032C4E">
      <w:pPr>
        <w:spacing w:line="400" w:lineRule="exact"/>
        <w:ind w:left="838" w:leftChars="399" w:firstLine="1470" w:firstLineChars="700"/>
        <w:rPr>
          <w:rFonts w:ascii="仿宋" w:hAnsi="仿宋" w:eastAsia="仿宋" w:cs="仿宋"/>
          <w:color w:val="auto"/>
          <w:szCs w:val="28"/>
          <w:highlight w:val="none"/>
        </w:rPr>
      </w:pPr>
    </w:p>
    <w:p w14:paraId="0C3A800D">
      <w:pPr>
        <w:spacing w:line="400" w:lineRule="exact"/>
        <w:ind w:left="838" w:leftChars="399" w:firstLine="1470" w:firstLineChars="700"/>
        <w:rPr>
          <w:rFonts w:ascii="仿宋" w:hAnsi="仿宋" w:eastAsia="仿宋" w:cs="仿宋"/>
          <w:color w:val="auto"/>
          <w:szCs w:val="28"/>
          <w:highlight w:val="none"/>
        </w:rPr>
      </w:pPr>
    </w:p>
    <w:p w14:paraId="459653BB">
      <w:pPr>
        <w:spacing w:line="400" w:lineRule="exact"/>
        <w:ind w:left="838" w:leftChars="399" w:firstLine="1470" w:firstLineChars="700"/>
        <w:rPr>
          <w:rFonts w:ascii="仿宋" w:hAnsi="仿宋" w:eastAsia="仿宋" w:cs="仿宋"/>
          <w:color w:val="auto"/>
          <w:szCs w:val="28"/>
          <w:highlight w:val="none"/>
        </w:rPr>
      </w:pPr>
    </w:p>
    <w:p w14:paraId="7EBA17E3">
      <w:pPr>
        <w:spacing w:line="400" w:lineRule="exact"/>
        <w:ind w:left="838" w:leftChars="399" w:firstLine="1470" w:firstLineChars="700"/>
        <w:rPr>
          <w:rFonts w:ascii="仿宋" w:hAnsi="仿宋" w:eastAsia="仿宋" w:cs="仿宋"/>
          <w:color w:val="auto"/>
          <w:szCs w:val="28"/>
          <w:highlight w:val="none"/>
        </w:rPr>
      </w:pPr>
    </w:p>
    <w:p w14:paraId="0D405905">
      <w:pPr>
        <w:spacing w:line="400" w:lineRule="exact"/>
        <w:ind w:left="838" w:leftChars="399" w:firstLine="1470" w:firstLineChars="700"/>
        <w:rPr>
          <w:rFonts w:ascii="仿宋" w:hAnsi="仿宋" w:eastAsia="仿宋" w:cs="仿宋"/>
          <w:color w:val="auto"/>
          <w:szCs w:val="28"/>
          <w:highlight w:val="none"/>
        </w:rPr>
      </w:pPr>
    </w:p>
    <w:p w14:paraId="4434F1A4">
      <w:pPr>
        <w:spacing w:line="400" w:lineRule="exact"/>
        <w:ind w:left="838" w:leftChars="399" w:firstLine="1470" w:firstLineChars="700"/>
        <w:rPr>
          <w:rFonts w:ascii="仿宋" w:hAnsi="仿宋" w:eastAsia="仿宋" w:cs="仿宋"/>
          <w:color w:val="auto"/>
          <w:szCs w:val="28"/>
          <w:highlight w:val="none"/>
        </w:rPr>
      </w:pPr>
    </w:p>
    <w:p w14:paraId="1C6EC6B7">
      <w:pPr>
        <w:spacing w:line="400" w:lineRule="exact"/>
        <w:ind w:left="838" w:leftChars="399" w:firstLine="1470" w:firstLineChars="700"/>
        <w:rPr>
          <w:rFonts w:ascii="仿宋" w:hAnsi="仿宋" w:eastAsia="仿宋" w:cs="仿宋"/>
          <w:color w:val="auto"/>
          <w:szCs w:val="28"/>
          <w:highlight w:val="none"/>
        </w:rPr>
      </w:pPr>
    </w:p>
    <w:p w14:paraId="50797C32">
      <w:pPr>
        <w:tabs>
          <w:tab w:val="left" w:pos="2996"/>
        </w:tabs>
        <w:spacing w:line="400" w:lineRule="exact"/>
        <w:ind w:firstLine="480" w:firstLineChars="200"/>
        <w:rPr>
          <w:rFonts w:ascii="仿宋" w:hAnsi="仿宋" w:eastAsia="仿宋" w:cs="仿宋"/>
          <w:color w:val="auto"/>
          <w:sz w:val="24"/>
          <w:highlight w:val="none"/>
        </w:rPr>
      </w:pPr>
    </w:p>
    <w:p w14:paraId="2159B537">
      <w:pPr>
        <w:tabs>
          <w:tab w:val="left" w:pos="2996"/>
        </w:tabs>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授权代表签字：　　　　　</w:t>
      </w:r>
    </w:p>
    <w:p w14:paraId="512BA700">
      <w:pPr>
        <w:tabs>
          <w:tab w:val="left" w:pos="2996"/>
        </w:tabs>
        <w:spacing w:line="400" w:lineRule="exact"/>
        <w:ind w:firstLine="480" w:firstLineChars="200"/>
        <w:rPr>
          <w:rFonts w:ascii="仿宋" w:hAnsi="仿宋" w:eastAsia="仿宋" w:cs="仿宋"/>
          <w:color w:val="auto"/>
          <w:sz w:val="24"/>
          <w:highlight w:val="none"/>
        </w:rPr>
      </w:pPr>
    </w:p>
    <w:p w14:paraId="2176C195">
      <w:pPr>
        <w:tabs>
          <w:tab w:val="left" w:pos="2996"/>
        </w:tabs>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投标供应商公章：                               　 年    月　 日</w:t>
      </w:r>
    </w:p>
    <w:p w14:paraId="229290AB">
      <w:pPr>
        <w:tabs>
          <w:tab w:val="left" w:pos="2996"/>
        </w:tabs>
        <w:spacing w:line="400" w:lineRule="exact"/>
        <w:ind w:firstLine="480" w:firstLineChars="200"/>
        <w:rPr>
          <w:rFonts w:ascii="仿宋" w:hAnsi="仿宋" w:eastAsia="仿宋" w:cs="仿宋"/>
          <w:color w:val="auto"/>
          <w:sz w:val="24"/>
          <w:highlight w:val="none"/>
        </w:rPr>
      </w:pPr>
    </w:p>
    <w:p w14:paraId="2969B080">
      <w:pPr>
        <w:widowControl/>
        <w:spacing w:line="400" w:lineRule="exact"/>
        <w:rPr>
          <w:rFonts w:ascii="仿宋" w:hAnsi="仿宋" w:eastAsia="仿宋" w:cs="仿宋"/>
          <w:color w:val="auto"/>
          <w:sz w:val="24"/>
          <w:highlight w:val="none"/>
        </w:rPr>
      </w:pPr>
    </w:p>
    <w:p w14:paraId="3431EC33">
      <w:pPr>
        <w:widowControl/>
        <w:spacing w:line="400" w:lineRule="exact"/>
        <w:rPr>
          <w:rFonts w:ascii="仿宋" w:hAnsi="仿宋" w:eastAsia="仿宋" w:cs="仿宋"/>
          <w:color w:val="auto"/>
          <w:sz w:val="24"/>
          <w:highlight w:val="none"/>
        </w:rPr>
      </w:pPr>
    </w:p>
    <w:p w14:paraId="33061BFA">
      <w:pPr>
        <w:widowControl/>
        <w:spacing w:line="400" w:lineRule="exact"/>
        <w:rPr>
          <w:rFonts w:ascii="仿宋" w:hAnsi="仿宋" w:eastAsia="仿宋" w:cs="仿宋"/>
          <w:color w:val="auto"/>
          <w:sz w:val="24"/>
          <w:highlight w:val="none"/>
        </w:rPr>
      </w:pPr>
    </w:p>
    <w:p w14:paraId="3DE7DB52">
      <w:pPr>
        <w:widowControl/>
        <w:spacing w:line="400" w:lineRule="exact"/>
        <w:rPr>
          <w:rFonts w:ascii="仿宋" w:hAnsi="仿宋" w:eastAsia="仿宋" w:cs="仿宋"/>
          <w:color w:val="auto"/>
          <w:sz w:val="24"/>
          <w:highlight w:val="none"/>
        </w:rPr>
      </w:pPr>
    </w:p>
    <w:p w14:paraId="3602EE28">
      <w:pPr>
        <w:widowControl/>
        <w:spacing w:line="400" w:lineRule="exact"/>
        <w:rPr>
          <w:rFonts w:ascii="仿宋" w:hAnsi="仿宋" w:eastAsia="仿宋" w:cs="仿宋"/>
          <w:color w:val="auto"/>
          <w:sz w:val="24"/>
          <w:highlight w:val="none"/>
        </w:rPr>
      </w:pPr>
    </w:p>
    <w:p w14:paraId="69A2D5DB">
      <w:pPr>
        <w:widowControl/>
        <w:spacing w:line="400" w:lineRule="exact"/>
        <w:rPr>
          <w:rFonts w:ascii="仿宋" w:hAnsi="仿宋" w:eastAsia="仿宋" w:cs="仿宋"/>
          <w:color w:val="auto"/>
          <w:sz w:val="24"/>
          <w:highlight w:val="none"/>
        </w:rPr>
      </w:pPr>
    </w:p>
    <w:p w14:paraId="7BD8760C">
      <w:pPr>
        <w:widowControl/>
        <w:spacing w:line="400" w:lineRule="exact"/>
        <w:rPr>
          <w:rFonts w:ascii="仿宋" w:hAnsi="仿宋" w:eastAsia="仿宋" w:cs="仿宋"/>
          <w:color w:val="auto"/>
          <w:sz w:val="24"/>
          <w:highlight w:val="none"/>
        </w:rPr>
      </w:pPr>
    </w:p>
    <w:p w14:paraId="5924BB15">
      <w:pPr>
        <w:spacing w:after="312" w:afterLines="100" w:line="500" w:lineRule="exact"/>
        <w:rPr>
          <w:rFonts w:ascii="仿宋" w:hAnsi="仿宋" w:eastAsia="仿宋" w:cs="仿宋"/>
          <w:b/>
          <w:color w:val="auto"/>
          <w:sz w:val="44"/>
          <w:szCs w:val="44"/>
          <w:highlight w:val="none"/>
        </w:rPr>
      </w:pPr>
    </w:p>
    <w:p w14:paraId="5FCC4863">
      <w:pPr>
        <w:autoSpaceDE w:val="0"/>
        <w:autoSpaceDN w:val="0"/>
        <w:adjustRightInd w:val="0"/>
        <w:spacing w:line="360" w:lineRule="auto"/>
        <w:ind w:firstLine="361" w:firstLineChars="150"/>
        <w:rPr>
          <w:rFonts w:hint="eastAsia" w:ascii="仿宋" w:hAnsi="仿宋" w:eastAsia="仿宋" w:cs="仿宋"/>
          <w:b/>
          <w:color w:val="auto"/>
          <w:sz w:val="24"/>
          <w:highlight w:val="none"/>
        </w:rPr>
      </w:pPr>
    </w:p>
    <w:p w14:paraId="59BCE107">
      <w:pPr>
        <w:autoSpaceDE w:val="0"/>
        <w:autoSpaceDN w:val="0"/>
        <w:adjustRightInd w:val="0"/>
        <w:spacing w:line="360" w:lineRule="auto"/>
        <w:ind w:firstLine="361" w:firstLineChars="150"/>
        <w:rPr>
          <w:rFonts w:hint="eastAsia" w:ascii="仿宋" w:hAnsi="仿宋" w:eastAsia="仿宋" w:cs="仿宋"/>
          <w:b/>
          <w:color w:val="auto"/>
          <w:sz w:val="24"/>
          <w:highlight w:val="none"/>
        </w:rPr>
      </w:pPr>
    </w:p>
    <w:p w14:paraId="2A3FCF71">
      <w:pPr>
        <w:autoSpaceDE w:val="0"/>
        <w:autoSpaceDN w:val="0"/>
        <w:adjustRightInd w:val="0"/>
        <w:spacing w:line="360" w:lineRule="auto"/>
        <w:ind w:firstLine="361" w:firstLineChars="150"/>
        <w:rPr>
          <w:rFonts w:hint="eastAsia" w:ascii="仿宋" w:hAnsi="仿宋" w:eastAsia="仿宋" w:cs="仿宋"/>
          <w:b/>
          <w:color w:val="auto"/>
          <w:sz w:val="24"/>
          <w:highlight w:val="none"/>
        </w:rPr>
      </w:pPr>
    </w:p>
    <w:p w14:paraId="03B06A5F">
      <w:pPr>
        <w:autoSpaceDE w:val="0"/>
        <w:autoSpaceDN w:val="0"/>
        <w:adjustRightInd w:val="0"/>
        <w:spacing w:line="360" w:lineRule="auto"/>
        <w:ind w:firstLine="241" w:firstLineChars="100"/>
        <w:rPr>
          <w:rFonts w:ascii="仿宋" w:hAnsi="仿宋" w:eastAsia="仿宋" w:cs="仿宋"/>
          <w:color w:val="auto"/>
          <w:sz w:val="24"/>
          <w:highlight w:val="none"/>
          <w:lang w:val="zh-CN"/>
        </w:rPr>
      </w:pPr>
      <w:r>
        <w:rPr>
          <w:rFonts w:hint="eastAsia" w:ascii="仿宋" w:hAnsi="仿宋" w:eastAsia="仿宋" w:cs="仿宋"/>
          <w:b/>
          <w:color w:val="auto"/>
          <w:sz w:val="24"/>
          <w:highlight w:val="none"/>
        </w:rPr>
        <w:t>2、技术文件：</w:t>
      </w:r>
    </w:p>
    <w:p w14:paraId="2FAD5272">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bookmarkStart w:id="48" w:name="_Toc152043789"/>
      <w:r>
        <w:rPr>
          <w:rFonts w:hint="eastAsia" w:ascii="仿宋" w:hAnsi="仿宋" w:eastAsia="仿宋" w:cs="仿宋"/>
          <w:color w:val="auto"/>
          <w:sz w:val="24"/>
          <w:highlight w:val="none"/>
          <w:lang w:val="zh-CN"/>
        </w:rPr>
        <w:t>评分索引表；</w:t>
      </w:r>
    </w:p>
    <w:p w14:paraId="6894A1E0">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技术响应表；</w:t>
      </w:r>
    </w:p>
    <w:p w14:paraId="7A54F963">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rPr>
        <w:t>项目总体理解</w:t>
      </w:r>
      <w:r>
        <w:rPr>
          <w:rFonts w:hint="eastAsia" w:ascii="仿宋" w:hAnsi="仿宋" w:eastAsia="仿宋" w:cs="仿宋"/>
          <w:color w:val="auto"/>
          <w:sz w:val="24"/>
          <w:highlight w:val="none"/>
          <w:lang w:val="zh-CN"/>
        </w:rPr>
        <w:t>；</w:t>
      </w:r>
    </w:p>
    <w:p w14:paraId="3D3C80E7">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整体实施方案；</w:t>
      </w:r>
    </w:p>
    <w:p w14:paraId="3FE86D0D">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确保服务质量的措施；</w:t>
      </w:r>
    </w:p>
    <w:p w14:paraId="3D98C3FE">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组织架构及工作管理流程；</w:t>
      </w:r>
    </w:p>
    <w:p w14:paraId="52840990">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针对本项目的机制；</w:t>
      </w:r>
    </w:p>
    <w:p w14:paraId="2DDAF5D1">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服务保障措施；</w:t>
      </w:r>
    </w:p>
    <w:p w14:paraId="05949A0D">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管理制度及应急预案；</w:t>
      </w:r>
    </w:p>
    <w:p w14:paraId="2099669E">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预期的工作目标；</w:t>
      </w:r>
    </w:p>
    <w:p w14:paraId="671F9059">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合理化建议；</w:t>
      </w:r>
    </w:p>
    <w:p w14:paraId="6C7261CB">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项目组织实施方案；</w:t>
      </w:r>
    </w:p>
    <w:p w14:paraId="12A764AC">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与采购单位的配合；</w:t>
      </w:r>
    </w:p>
    <w:p w14:paraId="05C27383">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安全服务措施；</w:t>
      </w:r>
    </w:p>
    <w:p w14:paraId="35183E1E">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服务质量承诺；</w:t>
      </w:r>
    </w:p>
    <w:p w14:paraId="1B098C0A">
      <w:pPr>
        <w:numPr>
          <w:ilvl w:val="0"/>
          <w:numId w:val="7"/>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投标供应商针对技术需要说明的其他材料。</w:t>
      </w:r>
    </w:p>
    <w:p w14:paraId="7D1F8A82">
      <w:pPr>
        <w:widowControl/>
        <w:jc w:val="left"/>
        <w:rPr>
          <w:rFonts w:ascii="仿宋" w:hAnsi="仿宋" w:eastAsia="仿宋" w:cs="仿宋"/>
          <w:b/>
          <w:color w:val="auto"/>
          <w:sz w:val="24"/>
          <w:szCs w:val="20"/>
          <w:highlight w:val="none"/>
        </w:rPr>
      </w:pPr>
    </w:p>
    <w:p w14:paraId="301A5E55">
      <w:pPr>
        <w:pStyle w:val="20"/>
        <w:spacing w:line="360" w:lineRule="auto"/>
        <w:rPr>
          <w:rFonts w:ascii="仿宋" w:hAnsi="仿宋" w:eastAsia="仿宋" w:cs="仿宋"/>
          <w:color w:val="auto"/>
          <w:sz w:val="24"/>
          <w:highlight w:val="none"/>
          <w:lang w:val="zh-CN"/>
        </w:rPr>
      </w:pPr>
    </w:p>
    <w:p w14:paraId="7FE7F073">
      <w:pPr>
        <w:widowControl/>
        <w:jc w:val="left"/>
        <w:rPr>
          <w:rFonts w:ascii="仿宋" w:hAnsi="仿宋" w:eastAsia="仿宋" w:cs="仿宋"/>
          <w:color w:val="auto"/>
          <w:sz w:val="28"/>
          <w:szCs w:val="28"/>
          <w:highlight w:val="none"/>
        </w:rPr>
      </w:pPr>
      <w:r>
        <w:rPr>
          <w:rFonts w:hint="eastAsia" w:ascii="仿宋" w:hAnsi="仿宋" w:eastAsia="仿宋" w:cs="仿宋"/>
          <w:b/>
          <w:color w:val="auto"/>
          <w:sz w:val="24"/>
          <w:szCs w:val="20"/>
          <w:highlight w:val="none"/>
        </w:rPr>
        <w:br w:type="page"/>
      </w:r>
      <w:r>
        <w:rPr>
          <w:rFonts w:hint="eastAsia" w:ascii="仿宋" w:hAnsi="仿宋" w:eastAsia="仿宋" w:cs="仿宋"/>
          <w:b/>
          <w:color w:val="auto"/>
          <w:sz w:val="24"/>
          <w:szCs w:val="20"/>
          <w:highlight w:val="none"/>
        </w:rPr>
        <w:t>评分索引表</w:t>
      </w:r>
    </w:p>
    <w:p w14:paraId="14AF7FF9">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投标供应商全称（公章）：  </w:t>
      </w:r>
    </w:p>
    <w:tbl>
      <w:tblPr>
        <w:tblStyle w:val="24"/>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9"/>
        <w:gridCol w:w="2977"/>
        <w:gridCol w:w="1275"/>
        <w:gridCol w:w="2410"/>
      </w:tblGrid>
      <w:tr w14:paraId="61847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119" w:type="dxa"/>
            <w:tcBorders>
              <w:top w:val="single" w:color="auto" w:sz="4" w:space="0"/>
              <w:left w:val="single" w:color="auto" w:sz="4" w:space="0"/>
              <w:bottom w:val="single" w:color="auto" w:sz="4" w:space="0"/>
              <w:right w:val="single" w:color="auto" w:sz="4" w:space="0"/>
            </w:tcBorders>
            <w:noWrap/>
            <w:vAlign w:val="center"/>
          </w:tcPr>
          <w:p w14:paraId="70140B70">
            <w:pPr>
              <w:snapToGrid w:val="0"/>
              <w:spacing w:before="120" w:beforeLines="50"/>
              <w:ind w:firstLine="480"/>
              <w:rPr>
                <w:rFonts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ign w:val="center"/>
          </w:tcPr>
          <w:p w14:paraId="4651BE13">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投标文件对应资料</w:t>
            </w:r>
          </w:p>
        </w:tc>
        <w:tc>
          <w:tcPr>
            <w:tcW w:w="1275" w:type="dxa"/>
            <w:tcBorders>
              <w:top w:val="single" w:color="auto" w:sz="4" w:space="0"/>
              <w:left w:val="single" w:color="auto" w:sz="4" w:space="0"/>
              <w:bottom w:val="single" w:color="auto" w:sz="4" w:space="0"/>
              <w:right w:val="single" w:color="auto" w:sz="4" w:space="0"/>
            </w:tcBorders>
            <w:noWrap/>
            <w:vAlign w:val="center"/>
          </w:tcPr>
          <w:p w14:paraId="198050FA">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2410" w:type="dxa"/>
            <w:tcBorders>
              <w:top w:val="single" w:color="auto" w:sz="4" w:space="0"/>
              <w:left w:val="single" w:color="auto" w:sz="4" w:space="0"/>
              <w:bottom w:val="single" w:color="auto" w:sz="4" w:space="0"/>
              <w:right w:val="single" w:color="auto" w:sz="4" w:space="0"/>
            </w:tcBorders>
            <w:noWrap/>
            <w:vAlign w:val="center"/>
          </w:tcPr>
          <w:p w14:paraId="7B239273">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投标文件页码</w:t>
            </w:r>
          </w:p>
        </w:tc>
      </w:tr>
      <w:tr w14:paraId="379E1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tcPr>
          <w:p w14:paraId="78AC15BC">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对应第四章评分办法及评分标准（报价除外）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tcPr>
          <w:p w14:paraId="6DCDBDBE">
            <w:pPr>
              <w:snapToGrid w:val="0"/>
              <w:spacing w:before="120" w:beforeLines="50"/>
              <w:ind w:firstLine="480"/>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3F378E43">
            <w:pPr>
              <w:snapToGrid w:val="0"/>
              <w:spacing w:before="120" w:beforeLines="50"/>
              <w:ind w:firstLine="480"/>
              <w:rPr>
                <w:rFonts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tcPr>
          <w:p w14:paraId="6BEB762B">
            <w:pPr>
              <w:snapToGrid w:val="0"/>
              <w:spacing w:before="120" w:beforeLines="50"/>
              <w:ind w:firstLine="480"/>
              <w:rPr>
                <w:rFonts w:ascii="仿宋" w:hAnsi="仿宋" w:eastAsia="仿宋" w:cs="仿宋"/>
                <w:color w:val="auto"/>
                <w:sz w:val="24"/>
                <w:highlight w:val="none"/>
              </w:rPr>
            </w:pPr>
          </w:p>
        </w:tc>
      </w:tr>
      <w:tr w14:paraId="06D0A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tcPr>
          <w:p w14:paraId="1F9215CD">
            <w:pPr>
              <w:snapToGrid w:val="0"/>
              <w:ind w:firstLine="480"/>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tcPr>
          <w:p w14:paraId="484337A3">
            <w:pPr>
              <w:snapToGrid w:val="0"/>
              <w:spacing w:before="120" w:beforeLines="50"/>
              <w:ind w:firstLine="480"/>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5F051BD">
            <w:pPr>
              <w:snapToGrid w:val="0"/>
              <w:spacing w:before="120" w:beforeLines="50"/>
              <w:ind w:left="43" w:firstLine="480"/>
              <w:rPr>
                <w:rFonts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tcPr>
          <w:p w14:paraId="6A36ED06">
            <w:pPr>
              <w:snapToGrid w:val="0"/>
              <w:spacing w:before="120" w:beforeLines="50"/>
              <w:ind w:left="43" w:firstLine="480"/>
              <w:rPr>
                <w:rFonts w:ascii="仿宋" w:hAnsi="仿宋" w:eastAsia="仿宋" w:cs="仿宋"/>
                <w:color w:val="auto"/>
                <w:sz w:val="24"/>
                <w:highlight w:val="none"/>
              </w:rPr>
            </w:pPr>
          </w:p>
        </w:tc>
      </w:tr>
      <w:tr w14:paraId="1AA66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tcPr>
          <w:p w14:paraId="35D0E9AA">
            <w:pPr>
              <w:snapToGrid w:val="0"/>
              <w:ind w:firstLine="480"/>
              <w:rPr>
                <w:rFonts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3905C559">
            <w:pPr>
              <w:snapToGrid w:val="0"/>
              <w:spacing w:before="120" w:beforeLines="50"/>
              <w:ind w:firstLine="480"/>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402E09C">
            <w:pPr>
              <w:snapToGrid w:val="0"/>
              <w:spacing w:before="120" w:beforeLines="50"/>
              <w:ind w:left="43" w:firstLine="480"/>
              <w:rPr>
                <w:rFonts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tcPr>
          <w:p w14:paraId="1A6548F8">
            <w:pPr>
              <w:snapToGrid w:val="0"/>
              <w:spacing w:before="120" w:beforeLines="50"/>
              <w:ind w:left="43" w:firstLine="480"/>
              <w:rPr>
                <w:rFonts w:ascii="仿宋" w:hAnsi="仿宋" w:eastAsia="仿宋" w:cs="仿宋"/>
                <w:color w:val="auto"/>
                <w:sz w:val="24"/>
                <w:highlight w:val="none"/>
              </w:rPr>
            </w:pPr>
          </w:p>
        </w:tc>
      </w:tr>
      <w:tr w14:paraId="63D31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tcPr>
          <w:p w14:paraId="7D5F8249">
            <w:pPr>
              <w:snapToGrid w:val="0"/>
              <w:ind w:firstLine="480"/>
              <w:rPr>
                <w:rFonts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2E8D1AFD">
            <w:pPr>
              <w:snapToGrid w:val="0"/>
              <w:spacing w:before="120" w:beforeLines="50"/>
              <w:ind w:firstLine="480"/>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231F00B">
            <w:pPr>
              <w:snapToGrid w:val="0"/>
              <w:spacing w:before="120" w:beforeLines="50"/>
              <w:ind w:left="43" w:firstLine="480"/>
              <w:rPr>
                <w:rFonts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tcPr>
          <w:p w14:paraId="757E0EDE">
            <w:pPr>
              <w:snapToGrid w:val="0"/>
              <w:spacing w:before="120" w:beforeLines="50"/>
              <w:ind w:left="43" w:firstLine="480"/>
              <w:rPr>
                <w:rFonts w:ascii="仿宋" w:hAnsi="仿宋" w:eastAsia="仿宋" w:cs="仿宋"/>
                <w:color w:val="auto"/>
                <w:sz w:val="24"/>
                <w:highlight w:val="none"/>
              </w:rPr>
            </w:pPr>
          </w:p>
        </w:tc>
      </w:tr>
      <w:tr w14:paraId="44728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tcPr>
          <w:p w14:paraId="14B6A48A">
            <w:pPr>
              <w:snapToGrid w:val="0"/>
              <w:ind w:firstLine="480"/>
              <w:rPr>
                <w:rFonts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44EF5621">
            <w:pPr>
              <w:snapToGrid w:val="0"/>
              <w:spacing w:before="120" w:beforeLines="50"/>
              <w:ind w:firstLine="480"/>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40768ABA">
            <w:pPr>
              <w:snapToGrid w:val="0"/>
              <w:spacing w:before="120" w:beforeLines="50"/>
              <w:ind w:firstLine="480"/>
              <w:rPr>
                <w:rFonts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tcPr>
          <w:p w14:paraId="76BF6605">
            <w:pPr>
              <w:snapToGrid w:val="0"/>
              <w:spacing w:before="120" w:beforeLines="50"/>
              <w:ind w:firstLine="480"/>
              <w:rPr>
                <w:rFonts w:ascii="仿宋" w:hAnsi="仿宋" w:eastAsia="仿宋" w:cs="仿宋"/>
                <w:color w:val="auto"/>
                <w:sz w:val="24"/>
                <w:highlight w:val="none"/>
              </w:rPr>
            </w:pPr>
          </w:p>
        </w:tc>
      </w:tr>
      <w:tr w14:paraId="25AC3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tcPr>
          <w:p w14:paraId="5A9399BE">
            <w:pPr>
              <w:snapToGrid w:val="0"/>
              <w:ind w:firstLine="480"/>
              <w:rPr>
                <w:rFonts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37D8A764">
            <w:pPr>
              <w:snapToGrid w:val="0"/>
              <w:spacing w:before="120" w:beforeLines="50"/>
              <w:ind w:firstLine="480"/>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47AC3197">
            <w:pPr>
              <w:snapToGrid w:val="0"/>
              <w:spacing w:before="120" w:beforeLines="50"/>
              <w:ind w:firstLine="480"/>
              <w:rPr>
                <w:rFonts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tcPr>
          <w:p w14:paraId="169DA122">
            <w:pPr>
              <w:snapToGrid w:val="0"/>
              <w:spacing w:before="120" w:beforeLines="50"/>
              <w:ind w:firstLine="480"/>
              <w:rPr>
                <w:rFonts w:ascii="仿宋" w:hAnsi="仿宋" w:eastAsia="仿宋" w:cs="仿宋"/>
                <w:color w:val="auto"/>
                <w:sz w:val="24"/>
                <w:highlight w:val="none"/>
              </w:rPr>
            </w:pPr>
          </w:p>
        </w:tc>
      </w:tr>
      <w:tr w14:paraId="47962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tcPr>
          <w:p w14:paraId="749166F3">
            <w:pPr>
              <w:snapToGrid w:val="0"/>
              <w:ind w:firstLine="480"/>
              <w:rPr>
                <w:rFonts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5594405C">
            <w:pPr>
              <w:snapToGrid w:val="0"/>
              <w:spacing w:before="120" w:beforeLines="50"/>
              <w:ind w:firstLine="480"/>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AB15F2A">
            <w:pPr>
              <w:snapToGrid w:val="0"/>
              <w:spacing w:before="120" w:beforeLines="50"/>
              <w:ind w:firstLine="480"/>
              <w:rPr>
                <w:rFonts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tcPr>
          <w:p w14:paraId="0566A5BB">
            <w:pPr>
              <w:snapToGrid w:val="0"/>
              <w:spacing w:before="120" w:beforeLines="50"/>
              <w:ind w:firstLine="480"/>
              <w:rPr>
                <w:rFonts w:ascii="仿宋" w:hAnsi="仿宋" w:eastAsia="仿宋" w:cs="仿宋"/>
                <w:color w:val="auto"/>
                <w:sz w:val="24"/>
                <w:highlight w:val="none"/>
              </w:rPr>
            </w:pPr>
          </w:p>
        </w:tc>
      </w:tr>
      <w:tr w14:paraId="684E1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tcPr>
          <w:p w14:paraId="6972CBFF">
            <w:pPr>
              <w:snapToGrid w:val="0"/>
              <w:ind w:firstLine="480"/>
              <w:rPr>
                <w:rFonts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F0D6527">
            <w:pPr>
              <w:snapToGrid w:val="0"/>
              <w:spacing w:before="120" w:beforeLines="50"/>
              <w:ind w:firstLine="480"/>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6D77610">
            <w:pPr>
              <w:snapToGrid w:val="0"/>
              <w:spacing w:before="120" w:beforeLines="50"/>
              <w:ind w:firstLine="480"/>
              <w:rPr>
                <w:rFonts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tcPr>
          <w:p w14:paraId="41B3A0AF">
            <w:pPr>
              <w:snapToGrid w:val="0"/>
              <w:spacing w:before="120" w:beforeLines="50"/>
              <w:ind w:firstLine="480"/>
              <w:rPr>
                <w:rFonts w:ascii="仿宋" w:hAnsi="仿宋" w:eastAsia="仿宋" w:cs="仿宋"/>
                <w:color w:val="auto"/>
                <w:sz w:val="24"/>
                <w:highlight w:val="none"/>
              </w:rPr>
            </w:pPr>
          </w:p>
        </w:tc>
      </w:tr>
      <w:tr w14:paraId="1AED8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noWrap/>
          </w:tcPr>
          <w:p w14:paraId="445190B8">
            <w:pPr>
              <w:snapToGrid w:val="0"/>
              <w:ind w:firstLine="480"/>
              <w:rPr>
                <w:rFonts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555912F">
            <w:pPr>
              <w:snapToGrid w:val="0"/>
              <w:spacing w:before="120" w:beforeLines="50"/>
              <w:ind w:firstLine="480"/>
              <w:rPr>
                <w:rFonts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2618274">
            <w:pPr>
              <w:snapToGrid w:val="0"/>
              <w:spacing w:before="120" w:beforeLines="50"/>
              <w:ind w:firstLine="480"/>
              <w:rPr>
                <w:rFonts w:ascii="仿宋" w:hAnsi="仿宋" w:eastAsia="仿宋" w:cs="仿宋"/>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tcPr>
          <w:p w14:paraId="22C176F9">
            <w:pPr>
              <w:snapToGrid w:val="0"/>
              <w:spacing w:before="120" w:beforeLines="50"/>
              <w:ind w:firstLine="480"/>
              <w:rPr>
                <w:rFonts w:ascii="仿宋" w:hAnsi="仿宋" w:eastAsia="仿宋" w:cs="仿宋"/>
                <w:color w:val="auto"/>
                <w:sz w:val="24"/>
                <w:highlight w:val="none"/>
              </w:rPr>
            </w:pPr>
          </w:p>
        </w:tc>
      </w:tr>
    </w:tbl>
    <w:p w14:paraId="75D931A8">
      <w:pPr>
        <w:ind w:firstLine="3840" w:firstLineChars="1600"/>
        <w:rPr>
          <w:rFonts w:ascii="仿宋" w:hAnsi="仿宋" w:eastAsia="仿宋" w:cs="仿宋"/>
          <w:color w:val="auto"/>
          <w:sz w:val="24"/>
          <w:highlight w:val="none"/>
        </w:rPr>
      </w:pPr>
    </w:p>
    <w:p w14:paraId="52A899DF">
      <w:pPr>
        <w:ind w:firstLine="3840" w:firstLineChars="1600"/>
        <w:rPr>
          <w:rFonts w:ascii="仿宋" w:hAnsi="仿宋" w:eastAsia="仿宋" w:cs="仿宋"/>
          <w:color w:val="auto"/>
          <w:sz w:val="24"/>
          <w:highlight w:val="none"/>
        </w:rPr>
      </w:pPr>
    </w:p>
    <w:p w14:paraId="292979E1">
      <w:pPr>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法定代表人或委托代理人签名：</w:t>
      </w:r>
    </w:p>
    <w:p w14:paraId="3DEF5FDD">
      <w:pPr>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投标供应商盖章：</w:t>
      </w:r>
    </w:p>
    <w:p w14:paraId="3613D105">
      <w:pPr>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FA3455A">
      <w:pPr>
        <w:spacing w:after="240" w:afterLines="100" w:line="500" w:lineRule="exact"/>
        <w:rPr>
          <w:rFonts w:ascii="仿宋" w:hAnsi="仿宋" w:eastAsia="仿宋" w:cs="仿宋"/>
          <w:b/>
          <w:color w:val="auto"/>
          <w:sz w:val="24"/>
          <w:highlight w:val="none"/>
        </w:rPr>
      </w:pPr>
    </w:p>
    <w:p w14:paraId="4D14971B">
      <w:pPr>
        <w:spacing w:after="240" w:afterLines="100" w:line="500" w:lineRule="exact"/>
        <w:rPr>
          <w:rFonts w:ascii="仿宋" w:hAnsi="仿宋" w:eastAsia="仿宋" w:cs="仿宋"/>
          <w:b/>
          <w:color w:val="auto"/>
          <w:sz w:val="44"/>
          <w:szCs w:val="44"/>
          <w:highlight w:val="none"/>
        </w:rPr>
      </w:pPr>
    </w:p>
    <w:p w14:paraId="1991EF03">
      <w:pPr>
        <w:spacing w:line="400" w:lineRule="exact"/>
        <w:jc w:val="center"/>
        <w:rPr>
          <w:rFonts w:ascii="仿宋" w:hAnsi="仿宋" w:eastAsia="仿宋" w:cs="仿宋"/>
          <w:b/>
          <w:bCs/>
          <w:color w:val="auto"/>
          <w:spacing w:val="14"/>
          <w:sz w:val="30"/>
          <w:highlight w:val="none"/>
        </w:rPr>
      </w:pPr>
    </w:p>
    <w:p w14:paraId="3283C0E4">
      <w:pPr>
        <w:pStyle w:val="10"/>
        <w:ind w:firstLine="328"/>
        <w:rPr>
          <w:rFonts w:ascii="仿宋" w:hAnsi="仿宋" w:eastAsia="仿宋" w:cs="仿宋"/>
          <w:b w:val="0"/>
          <w:bCs/>
          <w:color w:val="auto"/>
          <w:spacing w:val="14"/>
          <w:sz w:val="30"/>
          <w:highlight w:val="none"/>
        </w:rPr>
      </w:pPr>
    </w:p>
    <w:p w14:paraId="654048A5">
      <w:pPr>
        <w:pStyle w:val="19"/>
        <w:ind w:left="658" w:hanging="658"/>
        <w:rPr>
          <w:rFonts w:ascii="仿宋" w:hAnsi="仿宋" w:eastAsia="仿宋" w:cs="仿宋"/>
          <w:b/>
          <w:bCs/>
          <w:color w:val="auto"/>
          <w:spacing w:val="14"/>
          <w:sz w:val="30"/>
          <w:highlight w:val="none"/>
        </w:rPr>
      </w:pPr>
    </w:p>
    <w:p w14:paraId="30AA865F">
      <w:pPr>
        <w:rPr>
          <w:rFonts w:ascii="仿宋" w:hAnsi="仿宋" w:eastAsia="仿宋" w:cs="仿宋"/>
          <w:b/>
          <w:bCs/>
          <w:color w:val="auto"/>
          <w:spacing w:val="14"/>
          <w:sz w:val="30"/>
          <w:highlight w:val="none"/>
        </w:rPr>
      </w:pPr>
    </w:p>
    <w:p w14:paraId="502F29F3">
      <w:pPr>
        <w:pStyle w:val="10"/>
        <w:ind w:firstLine="281"/>
        <w:rPr>
          <w:rFonts w:ascii="仿宋" w:hAnsi="仿宋" w:eastAsia="仿宋" w:cs="仿宋"/>
          <w:color w:val="auto"/>
          <w:highlight w:val="none"/>
        </w:rPr>
      </w:pPr>
    </w:p>
    <w:p w14:paraId="1CC46F83">
      <w:pPr>
        <w:pStyle w:val="19"/>
        <w:ind w:left="560" w:hanging="560"/>
        <w:rPr>
          <w:rFonts w:ascii="仿宋" w:hAnsi="仿宋" w:eastAsia="仿宋" w:cs="仿宋"/>
          <w:color w:val="auto"/>
          <w:highlight w:val="none"/>
        </w:rPr>
      </w:pPr>
    </w:p>
    <w:p w14:paraId="296F360D">
      <w:pPr>
        <w:rPr>
          <w:rFonts w:ascii="仿宋" w:hAnsi="仿宋" w:eastAsia="仿宋" w:cs="仿宋"/>
          <w:color w:val="auto"/>
          <w:highlight w:val="none"/>
        </w:rPr>
      </w:pPr>
    </w:p>
    <w:p w14:paraId="02E4D0C8">
      <w:pPr>
        <w:pStyle w:val="10"/>
        <w:ind w:firstLine="281"/>
        <w:rPr>
          <w:rFonts w:ascii="仿宋" w:hAnsi="仿宋" w:eastAsia="仿宋" w:cs="仿宋"/>
          <w:color w:val="auto"/>
          <w:highlight w:val="none"/>
        </w:rPr>
      </w:pPr>
    </w:p>
    <w:p w14:paraId="7BF30C2D">
      <w:pPr>
        <w:pStyle w:val="19"/>
        <w:ind w:left="560" w:hanging="560"/>
        <w:rPr>
          <w:rFonts w:ascii="仿宋" w:hAnsi="仿宋" w:eastAsia="仿宋" w:cs="仿宋"/>
          <w:color w:val="auto"/>
          <w:highlight w:val="none"/>
        </w:rPr>
      </w:pPr>
    </w:p>
    <w:p w14:paraId="5242C4B6">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szCs w:val="20"/>
          <w:highlight w:val="none"/>
        </w:rPr>
        <w:t>投标技术参数偏离响应表</w:t>
      </w:r>
    </w:p>
    <w:p w14:paraId="55E523C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投标供应商全称（加盖公章）：            公开招标采购文件编号：</w:t>
      </w:r>
    </w:p>
    <w:p w14:paraId="3B2BC8D0">
      <w:pPr>
        <w:pStyle w:val="17"/>
        <w:rPr>
          <w:color w:val="auto"/>
          <w:highlight w:val="none"/>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843"/>
        <w:gridCol w:w="2268"/>
        <w:gridCol w:w="1346"/>
        <w:gridCol w:w="1205"/>
      </w:tblGrid>
      <w:tr w14:paraId="288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9" w:type="dxa"/>
            <w:noWrap/>
            <w:vAlign w:val="center"/>
          </w:tcPr>
          <w:p w14:paraId="2EE6D1F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01" w:type="dxa"/>
            <w:noWrap/>
            <w:vAlign w:val="center"/>
          </w:tcPr>
          <w:p w14:paraId="4D53D13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采购内容</w:t>
            </w:r>
          </w:p>
        </w:tc>
        <w:tc>
          <w:tcPr>
            <w:tcW w:w="1843" w:type="dxa"/>
            <w:noWrap/>
            <w:vAlign w:val="center"/>
          </w:tcPr>
          <w:p w14:paraId="132AB89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268" w:type="dxa"/>
            <w:noWrap/>
            <w:vAlign w:val="center"/>
          </w:tcPr>
          <w:p w14:paraId="30FBA15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投标文件实际响应</w:t>
            </w:r>
          </w:p>
        </w:tc>
        <w:tc>
          <w:tcPr>
            <w:tcW w:w="1346" w:type="dxa"/>
            <w:noWrap/>
            <w:vAlign w:val="center"/>
          </w:tcPr>
          <w:p w14:paraId="4F9719C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205" w:type="dxa"/>
            <w:noWrap/>
            <w:vAlign w:val="center"/>
          </w:tcPr>
          <w:p w14:paraId="4CE16C6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w:t>
            </w:r>
          </w:p>
          <w:p w14:paraId="133DB3B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原因</w:t>
            </w:r>
          </w:p>
        </w:tc>
      </w:tr>
      <w:tr w14:paraId="0897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tcPr>
          <w:p w14:paraId="70FB18AF">
            <w:pPr>
              <w:spacing w:line="360" w:lineRule="auto"/>
              <w:jc w:val="center"/>
              <w:rPr>
                <w:rFonts w:ascii="仿宋" w:hAnsi="仿宋" w:eastAsia="仿宋" w:cs="仿宋"/>
                <w:b/>
                <w:bCs/>
                <w:color w:val="auto"/>
                <w:sz w:val="24"/>
                <w:highlight w:val="none"/>
              </w:rPr>
            </w:pPr>
          </w:p>
        </w:tc>
        <w:tc>
          <w:tcPr>
            <w:tcW w:w="1701" w:type="dxa"/>
            <w:noWrap/>
          </w:tcPr>
          <w:p w14:paraId="47914A3E">
            <w:pPr>
              <w:spacing w:line="360" w:lineRule="auto"/>
              <w:jc w:val="center"/>
              <w:rPr>
                <w:rFonts w:ascii="仿宋" w:hAnsi="仿宋" w:eastAsia="仿宋" w:cs="仿宋"/>
                <w:b/>
                <w:bCs/>
                <w:color w:val="auto"/>
                <w:sz w:val="24"/>
                <w:highlight w:val="none"/>
              </w:rPr>
            </w:pPr>
          </w:p>
        </w:tc>
        <w:tc>
          <w:tcPr>
            <w:tcW w:w="1843" w:type="dxa"/>
            <w:noWrap/>
          </w:tcPr>
          <w:p w14:paraId="4AB07C78">
            <w:pPr>
              <w:spacing w:line="360" w:lineRule="auto"/>
              <w:jc w:val="center"/>
              <w:rPr>
                <w:rFonts w:ascii="仿宋" w:hAnsi="仿宋" w:eastAsia="仿宋" w:cs="仿宋"/>
                <w:b/>
                <w:bCs/>
                <w:color w:val="auto"/>
                <w:sz w:val="24"/>
                <w:highlight w:val="none"/>
              </w:rPr>
            </w:pPr>
          </w:p>
        </w:tc>
        <w:tc>
          <w:tcPr>
            <w:tcW w:w="2268" w:type="dxa"/>
            <w:noWrap/>
          </w:tcPr>
          <w:p w14:paraId="5684402A">
            <w:pPr>
              <w:spacing w:line="360" w:lineRule="auto"/>
              <w:jc w:val="center"/>
              <w:rPr>
                <w:rFonts w:ascii="仿宋" w:hAnsi="仿宋" w:eastAsia="仿宋" w:cs="仿宋"/>
                <w:b/>
                <w:bCs/>
                <w:color w:val="auto"/>
                <w:sz w:val="24"/>
                <w:highlight w:val="none"/>
              </w:rPr>
            </w:pPr>
          </w:p>
        </w:tc>
        <w:tc>
          <w:tcPr>
            <w:tcW w:w="1346" w:type="dxa"/>
            <w:noWrap/>
          </w:tcPr>
          <w:p w14:paraId="6434170D">
            <w:pPr>
              <w:spacing w:line="360" w:lineRule="auto"/>
              <w:jc w:val="center"/>
              <w:rPr>
                <w:rFonts w:ascii="仿宋" w:hAnsi="仿宋" w:eastAsia="仿宋" w:cs="仿宋"/>
                <w:b/>
                <w:bCs/>
                <w:color w:val="auto"/>
                <w:sz w:val="24"/>
                <w:highlight w:val="none"/>
              </w:rPr>
            </w:pPr>
          </w:p>
        </w:tc>
        <w:tc>
          <w:tcPr>
            <w:tcW w:w="1205" w:type="dxa"/>
            <w:noWrap/>
          </w:tcPr>
          <w:p w14:paraId="7EC194BE">
            <w:pPr>
              <w:spacing w:line="360" w:lineRule="auto"/>
              <w:jc w:val="center"/>
              <w:rPr>
                <w:rFonts w:ascii="仿宋" w:hAnsi="仿宋" w:eastAsia="仿宋" w:cs="仿宋"/>
                <w:b/>
                <w:bCs/>
                <w:color w:val="auto"/>
                <w:sz w:val="24"/>
                <w:highlight w:val="none"/>
              </w:rPr>
            </w:pPr>
          </w:p>
        </w:tc>
      </w:tr>
      <w:tr w14:paraId="781D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tcPr>
          <w:p w14:paraId="21AB36A5">
            <w:pPr>
              <w:spacing w:line="360" w:lineRule="auto"/>
              <w:jc w:val="center"/>
              <w:rPr>
                <w:rFonts w:ascii="仿宋" w:hAnsi="仿宋" w:eastAsia="仿宋" w:cs="仿宋"/>
                <w:b/>
                <w:bCs/>
                <w:color w:val="auto"/>
                <w:sz w:val="24"/>
                <w:highlight w:val="none"/>
              </w:rPr>
            </w:pPr>
          </w:p>
        </w:tc>
        <w:tc>
          <w:tcPr>
            <w:tcW w:w="1701" w:type="dxa"/>
            <w:noWrap/>
          </w:tcPr>
          <w:p w14:paraId="4988E079">
            <w:pPr>
              <w:spacing w:line="360" w:lineRule="auto"/>
              <w:jc w:val="center"/>
              <w:rPr>
                <w:rFonts w:ascii="仿宋" w:hAnsi="仿宋" w:eastAsia="仿宋" w:cs="仿宋"/>
                <w:b/>
                <w:bCs/>
                <w:color w:val="auto"/>
                <w:sz w:val="24"/>
                <w:highlight w:val="none"/>
              </w:rPr>
            </w:pPr>
          </w:p>
        </w:tc>
        <w:tc>
          <w:tcPr>
            <w:tcW w:w="1843" w:type="dxa"/>
            <w:noWrap/>
          </w:tcPr>
          <w:p w14:paraId="4A43488B">
            <w:pPr>
              <w:spacing w:line="360" w:lineRule="auto"/>
              <w:jc w:val="center"/>
              <w:rPr>
                <w:rFonts w:ascii="仿宋" w:hAnsi="仿宋" w:eastAsia="仿宋" w:cs="仿宋"/>
                <w:b/>
                <w:bCs/>
                <w:color w:val="auto"/>
                <w:sz w:val="24"/>
                <w:highlight w:val="none"/>
              </w:rPr>
            </w:pPr>
          </w:p>
        </w:tc>
        <w:tc>
          <w:tcPr>
            <w:tcW w:w="2268" w:type="dxa"/>
            <w:noWrap/>
          </w:tcPr>
          <w:p w14:paraId="3F64F5F0">
            <w:pPr>
              <w:spacing w:line="360" w:lineRule="auto"/>
              <w:jc w:val="center"/>
              <w:rPr>
                <w:rFonts w:ascii="仿宋" w:hAnsi="仿宋" w:eastAsia="仿宋" w:cs="仿宋"/>
                <w:b/>
                <w:bCs/>
                <w:color w:val="auto"/>
                <w:sz w:val="24"/>
                <w:highlight w:val="none"/>
              </w:rPr>
            </w:pPr>
          </w:p>
        </w:tc>
        <w:tc>
          <w:tcPr>
            <w:tcW w:w="1346" w:type="dxa"/>
            <w:noWrap/>
          </w:tcPr>
          <w:p w14:paraId="0958F131">
            <w:pPr>
              <w:spacing w:line="360" w:lineRule="auto"/>
              <w:jc w:val="center"/>
              <w:rPr>
                <w:rFonts w:ascii="仿宋" w:hAnsi="仿宋" w:eastAsia="仿宋" w:cs="仿宋"/>
                <w:b/>
                <w:bCs/>
                <w:color w:val="auto"/>
                <w:sz w:val="24"/>
                <w:highlight w:val="none"/>
              </w:rPr>
            </w:pPr>
          </w:p>
        </w:tc>
        <w:tc>
          <w:tcPr>
            <w:tcW w:w="1205" w:type="dxa"/>
            <w:noWrap/>
          </w:tcPr>
          <w:p w14:paraId="3F117EDE">
            <w:pPr>
              <w:spacing w:line="360" w:lineRule="auto"/>
              <w:jc w:val="center"/>
              <w:rPr>
                <w:rFonts w:ascii="仿宋" w:hAnsi="仿宋" w:eastAsia="仿宋" w:cs="仿宋"/>
                <w:b/>
                <w:bCs/>
                <w:color w:val="auto"/>
                <w:sz w:val="24"/>
                <w:highlight w:val="none"/>
              </w:rPr>
            </w:pPr>
          </w:p>
        </w:tc>
      </w:tr>
      <w:tr w14:paraId="71D9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tcPr>
          <w:p w14:paraId="1CB53EE9">
            <w:pPr>
              <w:spacing w:line="360" w:lineRule="auto"/>
              <w:jc w:val="center"/>
              <w:rPr>
                <w:rFonts w:ascii="仿宋" w:hAnsi="仿宋" w:eastAsia="仿宋" w:cs="仿宋"/>
                <w:b/>
                <w:bCs/>
                <w:color w:val="auto"/>
                <w:sz w:val="24"/>
                <w:highlight w:val="none"/>
              </w:rPr>
            </w:pPr>
          </w:p>
        </w:tc>
        <w:tc>
          <w:tcPr>
            <w:tcW w:w="1701" w:type="dxa"/>
            <w:noWrap/>
          </w:tcPr>
          <w:p w14:paraId="3BE6267A">
            <w:pPr>
              <w:spacing w:line="360" w:lineRule="auto"/>
              <w:jc w:val="center"/>
              <w:rPr>
                <w:rFonts w:ascii="仿宋" w:hAnsi="仿宋" w:eastAsia="仿宋" w:cs="仿宋"/>
                <w:b/>
                <w:bCs/>
                <w:color w:val="auto"/>
                <w:sz w:val="24"/>
                <w:highlight w:val="none"/>
              </w:rPr>
            </w:pPr>
          </w:p>
        </w:tc>
        <w:tc>
          <w:tcPr>
            <w:tcW w:w="1843" w:type="dxa"/>
            <w:noWrap/>
          </w:tcPr>
          <w:p w14:paraId="20B4B2E4">
            <w:pPr>
              <w:spacing w:line="360" w:lineRule="auto"/>
              <w:jc w:val="center"/>
              <w:rPr>
                <w:rFonts w:ascii="仿宋" w:hAnsi="仿宋" w:eastAsia="仿宋" w:cs="仿宋"/>
                <w:b/>
                <w:bCs/>
                <w:color w:val="auto"/>
                <w:sz w:val="24"/>
                <w:highlight w:val="none"/>
              </w:rPr>
            </w:pPr>
          </w:p>
        </w:tc>
        <w:tc>
          <w:tcPr>
            <w:tcW w:w="2268" w:type="dxa"/>
            <w:noWrap/>
          </w:tcPr>
          <w:p w14:paraId="1EBACF28">
            <w:pPr>
              <w:spacing w:line="360" w:lineRule="auto"/>
              <w:jc w:val="center"/>
              <w:rPr>
                <w:rFonts w:ascii="仿宋" w:hAnsi="仿宋" w:eastAsia="仿宋" w:cs="仿宋"/>
                <w:b/>
                <w:bCs/>
                <w:color w:val="auto"/>
                <w:sz w:val="24"/>
                <w:highlight w:val="none"/>
              </w:rPr>
            </w:pPr>
          </w:p>
        </w:tc>
        <w:tc>
          <w:tcPr>
            <w:tcW w:w="1346" w:type="dxa"/>
            <w:noWrap/>
          </w:tcPr>
          <w:p w14:paraId="720A9342">
            <w:pPr>
              <w:spacing w:line="360" w:lineRule="auto"/>
              <w:jc w:val="center"/>
              <w:rPr>
                <w:rFonts w:ascii="仿宋" w:hAnsi="仿宋" w:eastAsia="仿宋" w:cs="仿宋"/>
                <w:b/>
                <w:bCs/>
                <w:color w:val="auto"/>
                <w:sz w:val="24"/>
                <w:highlight w:val="none"/>
              </w:rPr>
            </w:pPr>
          </w:p>
        </w:tc>
        <w:tc>
          <w:tcPr>
            <w:tcW w:w="1205" w:type="dxa"/>
            <w:noWrap/>
          </w:tcPr>
          <w:p w14:paraId="75D5D8FF">
            <w:pPr>
              <w:spacing w:line="360" w:lineRule="auto"/>
              <w:jc w:val="center"/>
              <w:rPr>
                <w:rFonts w:ascii="仿宋" w:hAnsi="仿宋" w:eastAsia="仿宋" w:cs="仿宋"/>
                <w:b/>
                <w:bCs/>
                <w:color w:val="auto"/>
                <w:sz w:val="24"/>
                <w:highlight w:val="none"/>
              </w:rPr>
            </w:pPr>
          </w:p>
        </w:tc>
      </w:tr>
      <w:tr w14:paraId="7770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noWrap/>
          </w:tcPr>
          <w:p w14:paraId="626732F6">
            <w:pPr>
              <w:spacing w:line="360" w:lineRule="auto"/>
              <w:jc w:val="center"/>
              <w:rPr>
                <w:rFonts w:ascii="仿宋" w:hAnsi="仿宋" w:eastAsia="仿宋" w:cs="仿宋"/>
                <w:b/>
                <w:bCs/>
                <w:color w:val="auto"/>
                <w:sz w:val="24"/>
                <w:highlight w:val="none"/>
              </w:rPr>
            </w:pPr>
          </w:p>
        </w:tc>
        <w:tc>
          <w:tcPr>
            <w:tcW w:w="1701" w:type="dxa"/>
            <w:noWrap/>
          </w:tcPr>
          <w:p w14:paraId="22004F35">
            <w:pPr>
              <w:spacing w:line="360" w:lineRule="auto"/>
              <w:jc w:val="center"/>
              <w:rPr>
                <w:rFonts w:ascii="仿宋" w:hAnsi="仿宋" w:eastAsia="仿宋" w:cs="仿宋"/>
                <w:b/>
                <w:bCs/>
                <w:color w:val="auto"/>
                <w:sz w:val="24"/>
                <w:highlight w:val="none"/>
              </w:rPr>
            </w:pPr>
          </w:p>
        </w:tc>
        <w:tc>
          <w:tcPr>
            <w:tcW w:w="1843" w:type="dxa"/>
            <w:noWrap/>
          </w:tcPr>
          <w:p w14:paraId="26AF59BC">
            <w:pPr>
              <w:spacing w:line="360" w:lineRule="auto"/>
              <w:jc w:val="center"/>
              <w:rPr>
                <w:rFonts w:ascii="仿宋" w:hAnsi="仿宋" w:eastAsia="仿宋" w:cs="仿宋"/>
                <w:b/>
                <w:bCs/>
                <w:color w:val="auto"/>
                <w:sz w:val="24"/>
                <w:highlight w:val="none"/>
              </w:rPr>
            </w:pPr>
          </w:p>
        </w:tc>
        <w:tc>
          <w:tcPr>
            <w:tcW w:w="2268" w:type="dxa"/>
            <w:noWrap/>
          </w:tcPr>
          <w:p w14:paraId="35507855">
            <w:pPr>
              <w:spacing w:line="360" w:lineRule="auto"/>
              <w:jc w:val="center"/>
              <w:rPr>
                <w:rFonts w:ascii="仿宋" w:hAnsi="仿宋" w:eastAsia="仿宋" w:cs="仿宋"/>
                <w:b/>
                <w:bCs/>
                <w:color w:val="auto"/>
                <w:sz w:val="24"/>
                <w:highlight w:val="none"/>
              </w:rPr>
            </w:pPr>
          </w:p>
        </w:tc>
        <w:tc>
          <w:tcPr>
            <w:tcW w:w="1346" w:type="dxa"/>
            <w:noWrap/>
          </w:tcPr>
          <w:p w14:paraId="15AFE824">
            <w:pPr>
              <w:spacing w:line="360" w:lineRule="auto"/>
              <w:jc w:val="center"/>
              <w:rPr>
                <w:rFonts w:ascii="仿宋" w:hAnsi="仿宋" w:eastAsia="仿宋" w:cs="仿宋"/>
                <w:b/>
                <w:bCs/>
                <w:color w:val="auto"/>
                <w:sz w:val="24"/>
                <w:highlight w:val="none"/>
              </w:rPr>
            </w:pPr>
          </w:p>
        </w:tc>
        <w:tc>
          <w:tcPr>
            <w:tcW w:w="1205" w:type="dxa"/>
            <w:noWrap/>
          </w:tcPr>
          <w:p w14:paraId="05819764">
            <w:pPr>
              <w:spacing w:line="360" w:lineRule="auto"/>
              <w:jc w:val="center"/>
              <w:rPr>
                <w:rFonts w:ascii="仿宋" w:hAnsi="仿宋" w:eastAsia="仿宋" w:cs="仿宋"/>
                <w:b/>
                <w:bCs/>
                <w:color w:val="auto"/>
                <w:sz w:val="24"/>
                <w:highlight w:val="none"/>
              </w:rPr>
            </w:pPr>
          </w:p>
        </w:tc>
      </w:tr>
      <w:tr w14:paraId="674F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tcPr>
          <w:p w14:paraId="1FFC9E47">
            <w:pPr>
              <w:spacing w:line="360" w:lineRule="auto"/>
              <w:jc w:val="center"/>
              <w:rPr>
                <w:rFonts w:ascii="仿宋" w:hAnsi="仿宋" w:eastAsia="仿宋" w:cs="仿宋"/>
                <w:b/>
                <w:bCs/>
                <w:color w:val="auto"/>
                <w:sz w:val="24"/>
                <w:highlight w:val="none"/>
              </w:rPr>
            </w:pPr>
          </w:p>
        </w:tc>
        <w:tc>
          <w:tcPr>
            <w:tcW w:w="1701" w:type="dxa"/>
            <w:noWrap/>
          </w:tcPr>
          <w:p w14:paraId="5E4FBEAC">
            <w:pPr>
              <w:spacing w:line="360" w:lineRule="auto"/>
              <w:jc w:val="center"/>
              <w:rPr>
                <w:rFonts w:ascii="仿宋" w:hAnsi="仿宋" w:eastAsia="仿宋" w:cs="仿宋"/>
                <w:b/>
                <w:bCs/>
                <w:color w:val="auto"/>
                <w:sz w:val="24"/>
                <w:highlight w:val="none"/>
              </w:rPr>
            </w:pPr>
          </w:p>
        </w:tc>
        <w:tc>
          <w:tcPr>
            <w:tcW w:w="1843" w:type="dxa"/>
            <w:noWrap/>
          </w:tcPr>
          <w:p w14:paraId="72D2EE19">
            <w:pPr>
              <w:spacing w:line="360" w:lineRule="auto"/>
              <w:jc w:val="center"/>
              <w:rPr>
                <w:rFonts w:ascii="仿宋" w:hAnsi="仿宋" w:eastAsia="仿宋" w:cs="仿宋"/>
                <w:b/>
                <w:bCs/>
                <w:color w:val="auto"/>
                <w:sz w:val="24"/>
                <w:highlight w:val="none"/>
              </w:rPr>
            </w:pPr>
          </w:p>
        </w:tc>
        <w:tc>
          <w:tcPr>
            <w:tcW w:w="2268" w:type="dxa"/>
            <w:noWrap/>
          </w:tcPr>
          <w:p w14:paraId="464FAC46">
            <w:pPr>
              <w:spacing w:line="360" w:lineRule="auto"/>
              <w:jc w:val="center"/>
              <w:rPr>
                <w:rFonts w:ascii="仿宋" w:hAnsi="仿宋" w:eastAsia="仿宋" w:cs="仿宋"/>
                <w:b/>
                <w:bCs/>
                <w:color w:val="auto"/>
                <w:sz w:val="24"/>
                <w:highlight w:val="none"/>
              </w:rPr>
            </w:pPr>
          </w:p>
        </w:tc>
        <w:tc>
          <w:tcPr>
            <w:tcW w:w="1346" w:type="dxa"/>
            <w:noWrap/>
          </w:tcPr>
          <w:p w14:paraId="639C6679">
            <w:pPr>
              <w:spacing w:line="360" w:lineRule="auto"/>
              <w:jc w:val="center"/>
              <w:rPr>
                <w:rFonts w:ascii="仿宋" w:hAnsi="仿宋" w:eastAsia="仿宋" w:cs="仿宋"/>
                <w:b/>
                <w:bCs/>
                <w:color w:val="auto"/>
                <w:sz w:val="24"/>
                <w:highlight w:val="none"/>
              </w:rPr>
            </w:pPr>
          </w:p>
        </w:tc>
        <w:tc>
          <w:tcPr>
            <w:tcW w:w="1205" w:type="dxa"/>
            <w:noWrap/>
          </w:tcPr>
          <w:p w14:paraId="7E8A49A0">
            <w:pPr>
              <w:spacing w:line="360" w:lineRule="auto"/>
              <w:jc w:val="center"/>
              <w:rPr>
                <w:rFonts w:ascii="仿宋" w:hAnsi="仿宋" w:eastAsia="仿宋" w:cs="仿宋"/>
                <w:b/>
                <w:bCs/>
                <w:color w:val="auto"/>
                <w:sz w:val="24"/>
                <w:highlight w:val="none"/>
              </w:rPr>
            </w:pPr>
          </w:p>
        </w:tc>
      </w:tr>
    </w:tbl>
    <w:p w14:paraId="5DE7840F">
      <w:pPr>
        <w:spacing w:line="40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法定代表人或其授权代理人签名或盖章：</w:t>
      </w:r>
    </w:p>
    <w:p w14:paraId="16C3C837">
      <w:pPr>
        <w:spacing w:line="40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日期：     年  月   日</w:t>
      </w:r>
    </w:p>
    <w:p w14:paraId="7480CCB7">
      <w:pPr>
        <w:spacing w:line="400" w:lineRule="exact"/>
        <w:ind w:firstLine="480" w:firstLineChars="200"/>
        <w:jc w:val="left"/>
        <w:rPr>
          <w:rFonts w:ascii="仿宋" w:hAnsi="仿宋" w:eastAsia="仿宋" w:cs="仿宋"/>
          <w:bCs/>
          <w:color w:val="auto"/>
          <w:sz w:val="24"/>
          <w:highlight w:val="none"/>
        </w:rPr>
      </w:pPr>
    </w:p>
    <w:p w14:paraId="60E2B16D">
      <w:pPr>
        <w:spacing w:line="40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注：1、投标供应商必须按采购需求一一对应,如实填写《</w:t>
      </w:r>
      <w:r>
        <w:rPr>
          <w:rFonts w:hint="eastAsia" w:ascii="仿宋" w:hAnsi="仿宋" w:eastAsia="仿宋" w:cs="仿宋"/>
          <w:color w:val="auto"/>
          <w:sz w:val="24"/>
          <w:highlight w:val="none"/>
          <w:lang w:val="zh-CN"/>
        </w:rPr>
        <w:t>投标货物技术参数偏离响应表</w:t>
      </w:r>
      <w:r>
        <w:rPr>
          <w:rFonts w:hint="eastAsia" w:ascii="仿宋" w:hAnsi="仿宋" w:eastAsia="仿宋" w:cs="仿宋"/>
          <w:bCs/>
          <w:color w:val="auto"/>
          <w:sz w:val="24"/>
          <w:highlight w:val="none"/>
        </w:rPr>
        <w:t>》，未按要求填写的，有可能作负偏离处理；</w:t>
      </w:r>
    </w:p>
    <w:p w14:paraId="46AF8E47">
      <w:pPr>
        <w:spacing w:line="400" w:lineRule="exact"/>
        <w:ind w:firstLine="960" w:firstLineChars="4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2、此表仅提供了表格形式，投标供应商应根据需要准备足够数量的表格来填写。</w:t>
      </w:r>
    </w:p>
    <w:p w14:paraId="02EA0233">
      <w:pPr>
        <w:spacing w:line="400" w:lineRule="exact"/>
        <w:jc w:val="center"/>
        <w:rPr>
          <w:rFonts w:ascii="仿宋" w:hAnsi="仿宋" w:eastAsia="仿宋" w:cs="仿宋"/>
          <w:b/>
          <w:color w:val="auto"/>
          <w:sz w:val="24"/>
          <w:szCs w:val="20"/>
          <w:highlight w:val="none"/>
        </w:rPr>
      </w:pPr>
    </w:p>
    <w:p w14:paraId="7308A360">
      <w:pPr>
        <w:spacing w:line="400" w:lineRule="exact"/>
        <w:jc w:val="center"/>
        <w:rPr>
          <w:rFonts w:ascii="仿宋" w:hAnsi="仿宋" w:eastAsia="仿宋" w:cs="仿宋"/>
          <w:b/>
          <w:color w:val="auto"/>
          <w:sz w:val="24"/>
          <w:szCs w:val="20"/>
          <w:highlight w:val="none"/>
        </w:rPr>
      </w:pPr>
    </w:p>
    <w:p w14:paraId="7CD51ABE">
      <w:pPr>
        <w:spacing w:line="400" w:lineRule="exact"/>
        <w:jc w:val="center"/>
        <w:rPr>
          <w:rFonts w:ascii="仿宋" w:hAnsi="仿宋" w:eastAsia="仿宋" w:cs="仿宋"/>
          <w:b/>
          <w:color w:val="auto"/>
          <w:sz w:val="24"/>
          <w:szCs w:val="20"/>
          <w:highlight w:val="none"/>
        </w:rPr>
      </w:pPr>
    </w:p>
    <w:p w14:paraId="3E96FC9F">
      <w:pPr>
        <w:spacing w:line="400" w:lineRule="exact"/>
        <w:jc w:val="center"/>
        <w:rPr>
          <w:rFonts w:ascii="仿宋" w:hAnsi="仿宋" w:eastAsia="仿宋" w:cs="仿宋"/>
          <w:b/>
          <w:color w:val="auto"/>
          <w:sz w:val="24"/>
          <w:szCs w:val="20"/>
          <w:highlight w:val="none"/>
        </w:rPr>
      </w:pPr>
    </w:p>
    <w:p w14:paraId="7EDA271B">
      <w:pPr>
        <w:spacing w:line="400" w:lineRule="exact"/>
        <w:jc w:val="center"/>
        <w:rPr>
          <w:rFonts w:ascii="仿宋" w:hAnsi="仿宋" w:eastAsia="仿宋" w:cs="仿宋"/>
          <w:b/>
          <w:color w:val="auto"/>
          <w:sz w:val="24"/>
          <w:szCs w:val="20"/>
          <w:highlight w:val="none"/>
        </w:rPr>
      </w:pPr>
    </w:p>
    <w:p w14:paraId="0DEFEC6D">
      <w:pPr>
        <w:spacing w:line="400" w:lineRule="exact"/>
        <w:jc w:val="center"/>
        <w:rPr>
          <w:rFonts w:ascii="仿宋" w:hAnsi="仿宋" w:eastAsia="仿宋" w:cs="仿宋"/>
          <w:b/>
          <w:color w:val="auto"/>
          <w:sz w:val="24"/>
          <w:szCs w:val="20"/>
          <w:highlight w:val="none"/>
        </w:rPr>
      </w:pPr>
    </w:p>
    <w:p w14:paraId="427A2711">
      <w:pPr>
        <w:spacing w:line="400" w:lineRule="exact"/>
        <w:jc w:val="center"/>
        <w:rPr>
          <w:rFonts w:ascii="仿宋" w:hAnsi="仿宋" w:eastAsia="仿宋" w:cs="仿宋"/>
          <w:b/>
          <w:color w:val="auto"/>
          <w:sz w:val="24"/>
          <w:szCs w:val="20"/>
          <w:highlight w:val="none"/>
        </w:rPr>
      </w:pPr>
    </w:p>
    <w:p w14:paraId="4C5C52C0">
      <w:pPr>
        <w:spacing w:line="400" w:lineRule="exact"/>
        <w:jc w:val="center"/>
        <w:rPr>
          <w:rFonts w:ascii="仿宋" w:hAnsi="仿宋" w:eastAsia="仿宋" w:cs="仿宋"/>
          <w:b/>
          <w:color w:val="auto"/>
          <w:sz w:val="24"/>
          <w:szCs w:val="20"/>
          <w:highlight w:val="none"/>
        </w:rPr>
      </w:pPr>
    </w:p>
    <w:p w14:paraId="4110F3CB">
      <w:pPr>
        <w:spacing w:line="400" w:lineRule="exact"/>
        <w:jc w:val="center"/>
        <w:rPr>
          <w:rFonts w:ascii="仿宋" w:hAnsi="仿宋" w:eastAsia="仿宋" w:cs="仿宋"/>
          <w:b/>
          <w:color w:val="auto"/>
          <w:sz w:val="24"/>
          <w:szCs w:val="20"/>
          <w:highlight w:val="none"/>
        </w:rPr>
      </w:pPr>
    </w:p>
    <w:p w14:paraId="129E267B">
      <w:pPr>
        <w:spacing w:line="400" w:lineRule="exact"/>
        <w:jc w:val="center"/>
        <w:rPr>
          <w:rFonts w:ascii="仿宋" w:hAnsi="仿宋" w:eastAsia="仿宋" w:cs="仿宋"/>
          <w:b/>
          <w:color w:val="auto"/>
          <w:sz w:val="24"/>
          <w:szCs w:val="20"/>
          <w:highlight w:val="none"/>
        </w:rPr>
      </w:pPr>
    </w:p>
    <w:p w14:paraId="1918C101">
      <w:pPr>
        <w:spacing w:line="400" w:lineRule="exact"/>
        <w:jc w:val="center"/>
        <w:rPr>
          <w:rFonts w:ascii="仿宋" w:hAnsi="仿宋" w:eastAsia="仿宋" w:cs="仿宋"/>
          <w:b/>
          <w:color w:val="auto"/>
          <w:sz w:val="24"/>
          <w:szCs w:val="20"/>
          <w:highlight w:val="none"/>
        </w:rPr>
      </w:pPr>
    </w:p>
    <w:p w14:paraId="2988341F">
      <w:pPr>
        <w:spacing w:line="400" w:lineRule="exact"/>
        <w:jc w:val="center"/>
        <w:rPr>
          <w:rFonts w:ascii="仿宋" w:hAnsi="仿宋" w:eastAsia="仿宋" w:cs="仿宋"/>
          <w:b/>
          <w:color w:val="auto"/>
          <w:sz w:val="24"/>
          <w:highlight w:val="none"/>
        </w:rPr>
      </w:pPr>
    </w:p>
    <w:p w14:paraId="72B057BB">
      <w:pPr>
        <w:spacing w:line="400" w:lineRule="exact"/>
        <w:jc w:val="center"/>
        <w:rPr>
          <w:rFonts w:ascii="仿宋" w:hAnsi="仿宋" w:eastAsia="仿宋" w:cs="仿宋"/>
          <w:b/>
          <w:color w:val="auto"/>
          <w:sz w:val="24"/>
          <w:highlight w:val="none"/>
        </w:rPr>
      </w:pPr>
    </w:p>
    <w:p w14:paraId="2DA7668F">
      <w:pPr>
        <w:autoSpaceDE w:val="0"/>
        <w:autoSpaceDN w:val="0"/>
        <w:adjustRightInd w:val="0"/>
        <w:spacing w:line="360" w:lineRule="auto"/>
        <w:ind w:firstLine="602" w:firstLineChars="250"/>
        <w:rPr>
          <w:rFonts w:ascii="仿宋" w:hAnsi="仿宋" w:eastAsia="仿宋" w:cs="仿宋"/>
          <w:b/>
          <w:color w:val="auto"/>
          <w:sz w:val="24"/>
          <w:highlight w:val="none"/>
        </w:rPr>
      </w:pPr>
    </w:p>
    <w:p w14:paraId="3D4442D8">
      <w:pPr>
        <w:autoSpaceDE w:val="0"/>
        <w:autoSpaceDN w:val="0"/>
        <w:adjustRightInd w:val="0"/>
        <w:spacing w:line="360" w:lineRule="auto"/>
        <w:ind w:firstLine="602" w:firstLineChars="250"/>
        <w:rPr>
          <w:rFonts w:ascii="仿宋" w:hAnsi="仿宋" w:eastAsia="仿宋" w:cs="仿宋"/>
          <w:b/>
          <w:color w:val="auto"/>
          <w:sz w:val="24"/>
          <w:highlight w:val="none"/>
        </w:rPr>
      </w:pPr>
    </w:p>
    <w:p w14:paraId="13F95F3C">
      <w:pPr>
        <w:autoSpaceDE w:val="0"/>
        <w:autoSpaceDN w:val="0"/>
        <w:adjustRightInd w:val="0"/>
        <w:spacing w:line="360" w:lineRule="auto"/>
        <w:ind w:firstLine="602" w:firstLineChars="250"/>
        <w:rPr>
          <w:rFonts w:ascii="仿宋" w:hAnsi="仿宋" w:eastAsia="仿宋" w:cs="仿宋"/>
          <w:b/>
          <w:color w:val="auto"/>
          <w:sz w:val="24"/>
          <w:highlight w:val="none"/>
        </w:rPr>
      </w:pPr>
    </w:p>
    <w:p w14:paraId="382EF551">
      <w:pPr>
        <w:autoSpaceDE w:val="0"/>
        <w:autoSpaceDN w:val="0"/>
        <w:adjustRightInd w:val="0"/>
        <w:spacing w:line="360" w:lineRule="auto"/>
        <w:ind w:firstLine="602" w:firstLineChars="250"/>
        <w:rPr>
          <w:rFonts w:ascii="仿宋" w:hAnsi="仿宋" w:eastAsia="仿宋" w:cs="仿宋"/>
          <w:b/>
          <w:color w:val="auto"/>
          <w:sz w:val="24"/>
          <w:highlight w:val="none"/>
        </w:rPr>
      </w:pPr>
    </w:p>
    <w:p w14:paraId="34FAD28D">
      <w:pPr>
        <w:autoSpaceDE w:val="0"/>
        <w:autoSpaceDN w:val="0"/>
        <w:adjustRightInd w:val="0"/>
        <w:spacing w:line="360" w:lineRule="auto"/>
        <w:ind w:firstLine="602" w:firstLineChars="250"/>
        <w:rPr>
          <w:rFonts w:ascii="仿宋" w:hAnsi="仿宋" w:eastAsia="仿宋" w:cs="仿宋"/>
          <w:b/>
          <w:color w:val="auto"/>
          <w:sz w:val="24"/>
          <w:highlight w:val="none"/>
        </w:rPr>
      </w:pPr>
    </w:p>
    <w:p w14:paraId="737890A6">
      <w:pPr>
        <w:autoSpaceDE w:val="0"/>
        <w:autoSpaceDN w:val="0"/>
        <w:adjustRightInd w:val="0"/>
        <w:spacing w:line="360" w:lineRule="auto"/>
        <w:ind w:firstLine="602" w:firstLineChars="250"/>
        <w:rPr>
          <w:rFonts w:ascii="仿宋" w:hAnsi="仿宋" w:eastAsia="仿宋" w:cs="仿宋"/>
          <w:b/>
          <w:color w:val="auto"/>
          <w:sz w:val="24"/>
          <w:highlight w:val="none"/>
        </w:rPr>
      </w:pPr>
    </w:p>
    <w:p w14:paraId="19484BDE">
      <w:pPr>
        <w:autoSpaceDE w:val="0"/>
        <w:autoSpaceDN w:val="0"/>
        <w:adjustRightInd w:val="0"/>
        <w:spacing w:line="360" w:lineRule="auto"/>
        <w:ind w:firstLine="602" w:firstLineChars="250"/>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zh-CN"/>
        </w:rPr>
        <w:t>商务资信及其他文件：</w:t>
      </w:r>
    </w:p>
    <w:p w14:paraId="7478BDA5">
      <w:pPr>
        <w:numPr>
          <w:ilvl w:val="0"/>
          <w:numId w:val="8"/>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商务响应表（格式见附件）；</w:t>
      </w:r>
    </w:p>
    <w:p w14:paraId="2CD56C9F">
      <w:pPr>
        <w:numPr>
          <w:ilvl w:val="0"/>
          <w:numId w:val="8"/>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rPr>
        <w:t>认证证书</w:t>
      </w:r>
      <w:r>
        <w:rPr>
          <w:rFonts w:hint="eastAsia" w:ascii="仿宋" w:hAnsi="仿宋" w:eastAsia="仿宋" w:cs="仿宋"/>
          <w:color w:val="auto"/>
          <w:sz w:val="24"/>
          <w:highlight w:val="none"/>
          <w:lang w:val="zh-CN"/>
        </w:rPr>
        <w:t>；</w:t>
      </w:r>
    </w:p>
    <w:p w14:paraId="40641E01">
      <w:pPr>
        <w:numPr>
          <w:ilvl w:val="0"/>
          <w:numId w:val="8"/>
        </w:numPr>
        <w:autoSpaceDE w:val="0"/>
        <w:autoSpaceDN w:val="0"/>
        <w:adjustRightInd w:val="0"/>
        <w:spacing w:line="360" w:lineRule="auto"/>
        <w:ind w:left="0"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企业业绩；</w:t>
      </w:r>
    </w:p>
    <w:p w14:paraId="7D1646F5">
      <w:pPr>
        <w:pStyle w:val="20"/>
        <w:numPr>
          <w:ilvl w:val="0"/>
          <w:numId w:val="8"/>
        </w:numPr>
        <w:spacing w:line="360" w:lineRule="auto"/>
        <w:ind w:left="-5" w:firstLine="42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投标供应商认为需要提供的文件和资料。</w:t>
      </w:r>
    </w:p>
    <w:p w14:paraId="7ECC1332">
      <w:pPr>
        <w:spacing w:line="400" w:lineRule="exact"/>
        <w:jc w:val="center"/>
        <w:rPr>
          <w:rFonts w:ascii="仿宋" w:hAnsi="仿宋" w:eastAsia="仿宋" w:cs="仿宋"/>
          <w:b/>
          <w:color w:val="auto"/>
          <w:sz w:val="24"/>
          <w:szCs w:val="20"/>
          <w:highlight w:val="none"/>
        </w:rPr>
      </w:pPr>
    </w:p>
    <w:p w14:paraId="5A1F8621">
      <w:pPr>
        <w:spacing w:line="400" w:lineRule="exact"/>
        <w:jc w:val="center"/>
        <w:rPr>
          <w:rFonts w:ascii="仿宋" w:hAnsi="仿宋" w:eastAsia="仿宋" w:cs="仿宋"/>
          <w:b/>
          <w:color w:val="auto"/>
          <w:sz w:val="24"/>
          <w:szCs w:val="20"/>
          <w:highlight w:val="none"/>
        </w:rPr>
      </w:pPr>
    </w:p>
    <w:p w14:paraId="313951EC">
      <w:pPr>
        <w:spacing w:line="400" w:lineRule="exact"/>
        <w:jc w:val="center"/>
        <w:rPr>
          <w:rFonts w:ascii="仿宋" w:hAnsi="仿宋" w:eastAsia="仿宋" w:cs="仿宋"/>
          <w:b/>
          <w:color w:val="auto"/>
          <w:sz w:val="24"/>
          <w:szCs w:val="20"/>
          <w:highlight w:val="none"/>
        </w:rPr>
      </w:pPr>
    </w:p>
    <w:p w14:paraId="1FB9C3B6">
      <w:pPr>
        <w:spacing w:line="400" w:lineRule="exact"/>
        <w:jc w:val="center"/>
        <w:rPr>
          <w:rFonts w:ascii="仿宋" w:hAnsi="仿宋" w:eastAsia="仿宋" w:cs="仿宋"/>
          <w:b/>
          <w:color w:val="auto"/>
          <w:sz w:val="24"/>
          <w:szCs w:val="20"/>
          <w:highlight w:val="none"/>
        </w:rPr>
      </w:pPr>
    </w:p>
    <w:p w14:paraId="2CABABC1">
      <w:pPr>
        <w:pStyle w:val="20"/>
        <w:rPr>
          <w:color w:val="auto"/>
          <w:highlight w:val="none"/>
        </w:rPr>
      </w:pPr>
    </w:p>
    <w:p w14:paraId="719BEFD4">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szCs w:val="20"/>
          <w:highlight w:val="none"/>
        </w:rPr>
        <w:br w:type="page"/>
      </w:r>
      <w:r>
        <w:rPr>
          <w:rFonts w:hint="eastAsia" w:ascii="仿宋" w:hAnsi="仿宋" w:eastAsia="仿宋" w:cs="仿宋"/>
          <w:b/>
          <w:color w:val="auto"/>
          <w:sz w:val="24"/>
          <w:szCs w:val="20"/>
          <w:highlight w:val="none"/>
        </w:rPr>
        <w:t xml:space="preserve"> 投标单位同类项目业绩</w:t>
      </w:r>
    </w:p>
    <w:p w14:paraId="7E66F9B4">
      <w:pPr>
        <w:spacing w:line="400" w:lineRule="exact"/>
        <w:rPr>
          <w:rFonts w:ascii="仿宋" w:hAnsi="仿宋" w:eastAsia="仿宋" w:cs="仿宋"/>
          <w:b/>
          <w:bCs/>
          <w:color w:val="auto"/>
          <w:sz w:val="24"/>
          <w:highlight w:val="none"/>
        </w:rPr>
      </w:pPr>
    </w:p>
    <w:p w14:paraId="22AC83D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投标供应商全称（加盖公章）：             公开招标采购文件编号：</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63"/>
        <w:gridCol w:w="1440"/>
        <w:gridCol w:w="1440"/>
        <w:gridCol w:w="1924"/>
        <w:gridCol w:w="1512"/>
      </w:tblGrid>
      <w:tr w14:paraId="7580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2203782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763" w:type="dxa"/>
            <w:noWrap/>
          </w:tcPr>
          <w:p w14:paraId="5C3A667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使用方</w:t>
            </w:r>
          </w:p>
        </w:tc>
        <w:tc>
          <w:tcPr>
            <w:tcW w:w="1440" w:type="dxa"/>
            <w:noWrap/>
          </w:tcPr>
          <w:p w14:paraId="469B77A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合同金额</w:t>
            </w:r>
          </w:p>
        </w:tc>
        <w:tc>
          <w:tcPr>
            <w:tcW w:w="1440" w:type="dxa"/>
            <w:noWrap/>
          </w:tcPr>
          <w:p w14:paraId="3DA2226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签订时间</w:t>
            </w:r>
          </w:p>
        </w:tc>
        <w:tc>
          <w:tcPr>
            <w:tcW w:w="1924" w:type="dxa"/>
            <w:noWrap/>
          </w:tcPr>
          <w:p w14:paraId="3277E55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使用方联系人</w:t>
            </w:r>
          </w:p>
        </w:tc>
        <w:tc>
          <w:tcPr>
            <w:tcW w:w="1512" w:type="dxa"/>
            <w:noWrap/>
          </w:tcPr>
          <w:p w14:paraId="1C1B5A5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联系方式</w:t>
            </w:r>
          </w:p>
        </w:tc>
      </w:tr>
      <w:tr w14:paraId="0324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13DABECE">
            <w:pPr>
              <w:spacing w:line="400" w:lineRule="exact"/>
              <w:rPr>
                <w:rFonts w:ascii="仿宋" w:hAnsi="仿宋" w:eastAsia="仿宋" w:cs="仿宋"/>
                <w:bCs/>
                <w:color w:val="auto"/>
                <w:sz w:val="24"/>
                <w:highlight w:val="none"/>
              </w:rPr>
            </w:pPr>
          </w:p>
        </w:tc>
        <w:tc>
          <w:tcPr>
            <w:tcW w:w="1763" w:type="dxa"/>
            <w:noWrap/>
          </w:tcPr>
          <w:p w14:paraId="29564FE5">
            <w:pPr>
              <w:spacing w:line="400" w:lineRule="exact"/>
              <w:rPr>
                <w:rFonts w:ascii="仿宋" w:hAnsi="仿宋" w:eastAsia="仿宋" w:cs="仿宋"/>
                <w:bCs/>
                <w:color w:val="auto"/>
                <w:sz w:val="24"/>
                <w:highlight w:val="none"/>
              </w:rPr>
            </w:pPr>
          </w:p>
        </w:tc>
        <w:tc>
          <w:tcPr>
            <w:tcW w:w="1440" w:type="dxa"/>
            <w:noWrap/>
          </w:tcPr>
          <w:p w14:paraId="0BF74BFE">
            <w:pPr>
              <w:spacing w:line="400" w:lineRule="exact"/>
              <w:rPr>
                <w:rFonts w:ascii="仿宋" w:hAnsi="仿宋" w:eastAsia="仿宋" w:cs="仿宋"/>
                <w:bCs/>
                <w:color w:val="auto"/>
                <w:sz w:val="24"/>
                <w:highlight w:val="none"/>
              </w:rPr>
            </w:pPr>
          </w:p>
        </w:tc>
        <w:tc>
          <w:tcPr>
            <w:tcW w:w="1440" w:type="dxa"/>
            <w:noWrap/>
          </w:tcPr>
          <w:p w14:paraId="048A0DF2">
            <w:pPr>
              <w:spacing w:line="400" w:lineRule="exact"/>
              <w:rPr>
                <w:rFonts w:ascii="仿宋" w:hAnsi="仿宋" w:eastAsia="仿宋" w:cs="仿宋"/>
                <w:bCs/>
                <w:color w:val="auto"/>
                <w:sz w:val="24"/>
                <w:highlight w:val="none"/>
              </w:rPr>
            </w:pPr>
          </w:p>
        </w:tc>
        <w:tc>
          <w:tcPr>
            <w:tcW w:w="1924" w:type="dxa"/>
            <w:noWrap/>
          </w:tcPr>
          <w:p w14:paraId="2F6FF152">
            <w:pPr>
              <w:spacing w:line="400" w:lineRule="exact"/>
              <w:rPr>
                <w:rFonts w:ascii="仿宋" w:hAnsi="仿宋" w:eastAsia="仿宋" w:cs="仿宋"/>
                <w:bCs/>
                <w:color w:val="auto"/>
                <w:sz w:val="24"/>
                <w:highlight w:val="none"/>
              </w:rPr>
            </w:pPr>
          </w:p>
        </w:tc>
        <w:tc>
          <w:tcPr>
            <w:tcW w:w="1512" w:type="dxa"/>
            <w:noWrap/>
          </w:tcPr>
          <w:p w14:paraId="0C6E6AA0">
            <w:pPr>
              <w:spacing w:line="400" w:lineRule="exact"/>
              <w:rPr>
                <w:rFonts w:ascii="仿宋" w:hAnsi="仿宋" w:eastAsia="仿宋" w:cs="仿宋"/>
                <w:bCs/>
                <w:color w:val="auto"/>
                <w:sz w:val="24"/>
                <w:highlight w:val="none"/>
              </w:rPr>
            </w:pPr>
          </w:p>
        </w:tc>
      </w:tr>
      <w:tr w14:paraId="17DD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70F999E5">
            <w:pPr>
              <w:spacing w:line="400" w:lineRule="exact"/>
              <w:rPr>
                <w:rFonts w:ascii="仿宋" w:hAnsi="仿宋" w:eastAsia="仿宋" w:cs="仿宋"/>
                <w:bCs/>
                <w:color w:val="auto"/>
                <w:sz w:val="24"/>
                <w:highlight w:val="none"/>
              </w:rPr>
            </w:pPr>
          </w:p>
        </w:tc>
        <w:tc>
          <w:tcPr>
            <w:tcW w:w="1763" w:type="dxa"/>
            <w:noWrap/>
          </w:tcPr>
          <w:p w14:paraId="5E6D076D">
            <w:pPr>
              <w:spacing w:line="400" w:lineRule="exact"/>
              <w:rPr>
                <w:rFonts w:ascii="仿宋" w:hAnsi="仿宋" w:eastAsia="仿宋" w:cs="仿宋"/>
                <w:bCs/>
                <w:color w:val="auto"/>
                <w:sz w:val="24"/>
                <w:highlight w:val="none"/>
              </w:rPr>
            </w:pPr>
          </w:p>
        </w:tc>
        <w:tc>
          <w:tcPr>
            <w:tcW w:w="1440" w:type="dxa"/>
            <w:noWrap/>
          </w:tcPr>
          <w:p w14:paraId="1C46FA8D">
            <w:pPr>
              <w:spacing w:line="400" w:lineRule="exact"/>
              <w:rPr>
                <w:rFonts w:ascii="仿宋" w:hAnsi="仿宋" w:eastAsia="仿宋" w:cs="仿宋"/>
                <w:bCs/>
                <w:color w:val="auto"/>
                <w:sz w:val="24"/>
                <w:highlight w:val="none"/>
              </w:rPr>
            </w:pPr>
          </w:p>
        </w:tc>
        <w:tc>
          <w:tcPr>
            <w:tcW w:w="1440" w:type="dxa"/>
            <w:noWrap/>
          </w:tcPr>
          <w:p w14:paraId="42C8F629">
            <w:pPr>
              <w:spacing w:line="400" w:lineRule="exact"/>
              <w:rPr>
                <w:rFonts w:ascii="仿宋" w:hAnsi="仿宋" w:eastAsia="仿宋" w:cs="仿宋"/>
                <w:bCs/>
                <w:color w:val="auto"/>
                <w:sz w:val="24"/>
                <w:highlight w:val="none"/>
              </w:rPr>
            </w:pPr>
          </w:p>
        </w:tc>
        <w:tc>
          <w:tcPr>
            <w:tcW w:w="1924" w:type="dxa"/>
            <w:noWrap/>
          </w:tcPr>
          <w:p w14:paraId="3A209926">
            <w:pPr>
              <w:spacing w:line="400" w:lineRule="exact"/>
              <w:rPr>
                <w:rFonts w:ascii="仿宋" w:hAnsi="仿宋" w:eastAsia="仿宋" w:cs="仿宋"/>
                <w:bCs/>
                <w:color w:val="auto"/>
                <w:sz w:val="24"/>
                <w:highlight w:val="none"/>
              </w:rPr>
            </w:pPr>
          </w:p>
        </w:tc>
        <w:tc>
          <w:tcPr>
            <w:tcW w:w="1512" w:type="dxa"/>
            <w:noWrap/>
          </w:tcPr>
          <w:p w14:paraId="52567CAF">
            <w:pPr>
              <w:spacing w:line="400" w:lineRule="exact"/>
              <w:rPr>
                <w:rFonts w:ascii="仿宋" w:hAnsi="仿宋" w:eastAsia="仿宋" w:cs="仿宋"/>
                <w:bCs/>
                <w:color w:val="auto"/>
                <w:sz w:val="24"/>
                <w:highlight w:val="none"/>
              </w:rPr>
            </w:pPr>
          </w:p>
        </w:tc>
      </w:tr>
      <w:tr w14:paraId="2F3B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28F18754">
            <w:pPr>
              <w:spacing w:line="400" w:lineRule="exact"/>
              <w:rPr>
                <w:rFonts w:ascii="仿宋" w:hAnsi="仿宋" w:eastAsia="仿宋" w:cs="仿宋"/>
                <w:bCs/>
                <w:color w:val="auto"/>
                <w:sz w:val="24"/>
                <w:highlight w:val="none"/>
              </w:rPr>
            </w:pPr>
          </w:p>
        </w:tc>
        <w:tc>
          <w:tcPr>
            <w:tcW w:w="1763" w:type="dxa"/>
            <w:noWrap/>
          </w:tcPr>
          <w:p w14:paraId="601C119D">
            <w:pPr>
              <w:spacing w:line="400" w:lineRule="exact"/>
              <w:rPr>
                <w:rFonts w:ascii="仿宋" w:hAnsi="仿宋" w:eastAsia="仿宋" w:cs="仿宋"/>
                <w:bCs/>
                <w:color w:val="auto"/>
                <w:sz w:val="24"/>
                <w:highlight w:val="none"/>
              </w:rPr>
            </w:pPr>
          </w:p>
        </w:tc>
        <w:tc>
          <w:tcPr>
            <w:tcW w:w="1440" w:type="dxa"/>
            <w:noWrap/>
          </w:tcPr>
          <w:p w14:paraId="3F1C5D73">
            <w:pPr>
              <w:spacing w:line="400" w:lineRule="exact"/>
              <w:rPr>
                <w:rFonts w:ascii="仿宋" w:hAnsi="仿宋" w:eastAsia="仿宋" w:cs="仿宋"/>
                <w:bCs/>
                <w:color w:val="auto"/>
                <w:sz w:val="24"/>
                <w:highlight w:val="none"/>
              </w:rPr>
            </w:pPr>
          </w:p>
        </w:tc>
        <w:tc>
          <w:tcPr>
            <w:tcW w:w="1440" w:type="dxa"/>
            <w:noWrap/>
          </w:tcPr>
          <w:p w14:paraId="1092883E">
            <w:pPr>
              <w:spacing w:line="400" w:lineRule="exact"/>
              <w:rPr>
                <w:rFonts w:ascii="仿宋" w:hAnsi="仿宋" w:eastAsia="仿宋" w:cs="仿宋"/>
                <w:bCs/>
                <w:color w:val="auto"/>
                <w:sz w:val="24"/>
                <w:highlight w:val="none"/>
              </w:rPr>
            </w:pPr>
          </w:p>
        </w:tc>
        <w:tc>
          <w:tcPr>
            <w:tcW w:w="1924" w:type="dxa"/>
            <w:noWrap/>
          </w:tcPr>
          <w:p w14:paraId="448EF4CF">
            <w:pPr>
              <w:spacing w:line="400" w:lineRule="exact"/>
              <w:rPr>
                <w:rFonts w:ascii="仿宋" w:hAnsi="仿宋" w:eastAsia="仿宋" w:cs="仿宋"/>
                <w:bCs/>
                <w:color w:val="auto"/>
                <w:sz w:val="24"/>
                <w:highlight w:val="none"/>
              </w:rPr>
            </w:pPr>
          </w:p>
        </w:tc>
        <w:tc>
          <w:tcPr>
            <w:tcW w:w="1512" w:type="dxa"/>
            <w:noWrap/>
          </w:tcPr>
          <w:p w14:paraId="785FF55F">
            <w:pPr>
              <w:spacing w:line="400" w:lineRule="exact"/>
              <w:rPr>
                <w:rFonts w:ascii="仿宋" w:hAnsi="仿宋" w:eastAsia="仿宋" w:cs="仿宋"/>
                <w:bCs/>
                <w:color w:val="auto"/>
                <w:sz w:val="24"/>
                <w:highlight w:val="none"/>
              </w:rPr>
            </w:pPr>
          </w:p>
        </w:tc>
      </w:tr>
      <w:tr w14:paraId="5EF6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2B785530">
            <w:pPr>
              <w:spacing w:line="400" w:lineRule="exact"/>
              <w:rPr>
                <w:rFonts w:ascii="仿宋" w:hAnsi="仿宋" w:eastAsia="仿宋" w:cs="仿宋"/>
                <w:bCs/>
                <w:color w:val="auto"/>
                <w:sz w:val="24"/>
                <w:highlight w:val="none"/>
              </w:rPr>
            </w:pPr>
          </w:p>
        </w:tc>
        <w:tc>
          <w:tcPr>
            <w:tcW w:w="1763" w:type="dxa"/>
            <w:noWrap/>
          </w:tcPr>
          <w:p w14:paraId="226A18A2">
            <w:pPr>
              <w:spacing w:line="400" w:lineRule="exact"/>
              <w:rPr>
                <w:rFonts w:ascii="仿宋" w:hAnsi="仿宋" w:eastAsia="仿宋" w:cs="仿宋"/>
                <w:bCs/>
                <w:color w:val="auto"/>
                <w:sz w:val="24"/>
                <w:highlight w:val="none"/>
              </w:rPr>
            </w:pPr>
          </w:p>
        </w:tc>
        <w:tc>
          <w:tcPr>
            <w:tcW w:w="1440" w:type="dxa"/>
            <w:noWrap/>
          </w:tcPr>
          <w:p w14:paraId="6440EE68">
            <w:pPr>
              <w:spacing w:line="400" w:lineRule="exact"/>
              <w:rPr>
                <w:rFonts w:ascii="仿宋" w:hAnsi="仿宋" w:eastAsia="仿宋" w:cs="仿宋"/>
                <w:bCs/>
                <w:color w:val="auto"/>
                <w:sz w:val="24"/>
                <w:highlight w:val="none"/>
              </w:rPr>
            </w:pPr>
          </w:p>
        </w:tc>
        <w:tc>
          <w:tcPr>
            <w:tcW w:w="1440" w:type="dxa"/>
            <w:noWrap/>
          </w:tcPr>
          <w:p w14:paraId="5D59D283">
            <w:pPr>
              <w:spacing w:line="400" w:lineRule="exact"/>
              <w:rPr>
                <w:rFonts w:ascii="仿宋" w:hAnsi="仿宋" w:eastAsia="仿宋" w:cs="仿宋"/>
                <w:bCs/>
                <w:color w:val="auto"/>
                <w:sz w:val="24"/>
                <w:highlight w:val="none"/>
              </w:rPr>
            </w:pPr>
          </w:p>
        </w:tc>
        <w:tc>
          <w:tcPr>
            <w:tcW w:w="1924" w:type="dxa"/>
            <w:noWrap/>
          </w:tcPr>
          <w:p w14:paraId="38969001">
            <w:pPr>
              <w:spacing w:line="400" w:lineRule="exact"/>
              <w:rPr>
                <w:rFonts w:ascii="仿宋" w:hAnsi="仿宋" w:eastAsia="仿宋" w:cs="仿宋"/>
                <w:bCs/>
                <w:color w:val="auto"/>
                <w:sz w:val="24"/>
                <w:highlight w:val="none"/>
              </w:rPr>
            </w:pPr>
          </w:p>
        </w:tc>
        <w:tc>
          <w:tcPr>
            <w:tcW w:w="1512" w:type="dxa"/>
            <w:noWrap/>
          </w:tcPr>
          <w:p w14:paraId="6CCFC656">
            <w:pPr>
              <w:spacing w:line="400" w:lineRule="exact"/>
              <w:rPr>
                <w:rFonts w:ascii="仿宋" w:hAnsi="仿宋" w:eastAsia="仿宋" w:cs="仿宋"/>
                <w:bCs/>
                <w:color w:val="auto"/>
                <w:sz w:val="24"/>
                <w:highlight w:val="none"/>
              </w:rPr>
            </w:pPr>
          </w:p>
        </w:tc>
      </w:tr>
      <w:tr w14:paraId="3621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5BFB9EAD">
            <w:pPr>
              <w:spacing w:line="400" w:lineRule="exact"/>
              <w:rPr>
                <w:rFonts w:ascii="仿宋" w:hAnsi="仿宋" w:eastAsia="仿宋" w:cs="仿宋"/>
                <w:bCs/>
                <w:color w:val="auto"/>
                <w:sz w:val="24"/>
                <w:highlight w:val="none"/>
              </w:rPr>
            </w:pPr>
          </w:p>
        </w:tc>
        <w:tc>
          <w:tcPr>
            <w:tcW w:w="1763" w:type="dxa"/>
            <w:noWrap/>
          </w:tcPr>
          <w:p w14:paraId="224A9814">
            <w:pPr>
              <w:spacing w:line="400" w:lineRule="exact"/>
              <w:rPr>
                <w:rFonts w:ascii="仿宋" w:hAnsi="仿宋" w:eastAsia="仿宋" w:cs="仿宋"/>
                <w:bCs/>
                <w:color w:val="auto"/>
                <w:sz w:val="24"/>
                <w:highlight w:val="none"/>
              </w:rPr>
            </w:pPr>
          </w:p>
        </w:tc>
        <w:tc>
          <w:tcPr>
            <w:tcW w:w="1440" w:type="dxa"/>
            <w:noWrap/>
          </w:tcPr>
          <w:p w14:paraId="4CC49C19">
            <w:pPr>
              <w:spacing w:line="400" w:lineRule="exact"/>
              <w:rPr>
                <w:rFonts w:ascii="仿宋" w:hAnsi="仿宋" w:eastAsia="仿宋" w:cs="仿宋"/>
                <w:bCs/>
                <w:color w:val="auto"/>
                <w:sz w:val="24"/>
                <w:highlight w:val="none"/>
              </w:rPr>
            </w:pPr>
          </w:p>
        </w:tc>
        <w:tc>
          <w:tcPr>
            <w:tcW w:w="1440" w:type="dxa"/>
            <w:noWrap/>
          </w:tcPr>
          <w:p w14:paraId="2E080A1E">
            <w:pPr>
              <w:spacing w:line="400" w:lineRule="exact"/>
              <w:rPr>
                <w:rFonts w:ascii="仿宋" w:hAnsi="仿宋" w:eastAsia="仿宋" w:cs="仿宋"/>
                <w:bCs/>
                <w:color w:val="auto"/>
                <w:sz w:val="24"/>
                <w:highlight w:val="none"/>
              </w:rPr>
            </w:pPr>
          </w:p>
        </w:tc>
        <w:tc>
          <w:tcPr>
            <w:tcW w:w="1924" w:type="dxa"/>
            <w:noWrap/>
          </w:tcPr>
          <w:p w14:paraId="313214D5">
            <w:pPr>
              <w:spacing w:line="400" w:lineRule="exact"/>
              <w:rPr>
                <w:rFonts w:ascii="仿宋" w:hAnsi="仿宋" w:eastAsia="仿宋" w:cs="仿宋"/>
                <w:bCs/>
                <w:color w:val="auto"/>
                <w:sz w:val="24"/>
                <w:highlight w:val="none"/>
              </w:rPr>
            </w:pPr>
          </w:p>
        </w:tc>
        <w:tc>
          <w:tcPr>
            <w:tcW w:w="1512" w:type="dxa"/>
            <w:noWrap/>
          </w:tcPr>
          <w:p w14:paraId="2BADA4E7">
            <w:pPr>
              <w:spacing w:line="400" w:lineRule="exact"/>
              <w:rPr>
                <w:rFonts w:ascii="仿宋" w:hAnsi="仿宋" w:eastAsia="仿宋" w:cs="仿宋"/>
                <w:bCs/>
                <w:color w:val="auto"/>
                <w:sz w:val="24"/>
                <w:highlight w:val="none"/>
              </w:rPr>
            </w:pPr>
          </w:p>
        </w:tc>
      </w:tr>
      <w:tr w14:paraId="4D0C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1B440404">
            <w:pPr>
              <w:spacing w:line="400" w:lineRule="exact"/>
              <w:rPr>
                <w:rFonts w:ascii="仿宋" w:hAnsi="仿宋" w:eastAsia="仿宋" w:cs="仿宋"/>
                <w:bCs/>
                <w:color w:val="auto"/>
                <w:sz w:val="24"/>
                <w:highlight w:val="none"/>
              </w:rPr>
            </w:pPr>
          </w:p>
        </w:tc>
        <w:tc>
          <w:tcPr>
            <w:tcW w:w="1763" w:type="dxa"/>
            <w:noWrap/>
          </w:tcPr>
          <w:p w14:paraId="439B9A2B">
            <w:pPr>
              <w:spacing w:line="400" w:lineRule="exact"/>
              <w:rPr>
                <w:rFonts w:ascii="仿宋" w:hAnsi="仿宋" w:eastAsia="仿宋" w:cs="仿宋"/>
                <w:bCs/>
                <w:color w:val="auto"/>
                <w:sz w:val="24"/>
                <w:highlight w:val="none"/>
              </w:rPr>
            </w:pPr>
          </w:p>
        </w:tc>
        <w:tc>
          <w:tcPr>
            <w:tcW w:w="1440" w:type="dxa"/>
            <w:noWrap/>
          </w:tcPr>
          <w:p w14:paraId="4A68A79B">
            <w:pPr>
              <w:spacing w:line="400" w:lineRule="exact"/>
              <w:rPr>
                <w:rFonts w:ascii="仿宋" w:hAnsi="仿宋" w:eastAsia="仿宋" w:cs="仿宋"/>
                <w:bCs/>
                <w:color w:val="auto"/>
                <w:sz w:val="24"/>
                <w:highlight w:val="none"/>
              </w:rPr>
            </w:pPr>
          </w:p>
        </w:tc>
        <w:tc>
          <w:tcPr>
            <w:tcW w:w="1440" w:type="dxa"/>
            <w:noWrap/>
          </w:tcPr>
          <w:p w14:paraId="1F9E3575">
            <w:pPr>
              <w:spacing w:line="400" w:lineRule="exact"/>
              <w:rPr>
                <w:rFonts w:ascii="仿宋" w:hAnsi="仿宋" w:eastAsia="仿宋" w:cs="仿宋"/>
                <w:bCs/>
                <w:color w:val="auto"/>
                <w:sz w:val="24"/>
                <w:highlight w:val="none"/>
              </w:rPr>
            </w:pPr>
          </w:p>
        </w:tc>
        <w:tc>
          <w:tcPr>
            <w:tcW w:w="1924" w:type="dxa"/>
            <w:noWrap/>
          </w:tcPr>
          <w:p w14:paraId="2153530D">
            <w:pPr>
              <w:spacing w:line="400" w:lineRule="exact"/>
              <w:rPr>
                <w:rFonts w:ascii="仿宋" w:hAnsi="仿宋" w:eastAsia="仿宋" w:cs="仿宋"/>
                <w:bCs/>
                <w:color w:val="auto"/>
                <w:sz w:val="24"/>
                <w:highlight w:val="none"/>
              </w:rPr>
            </w:pPr>
          </w:p>
        </w:tc>
        <w:tc>
          <w:tcPr>
            <w:tcW w:w="1512" w:type="dxa"/>
            <w:noWrap/>
          </w:tcPr>
          <w:p w14:paraId="1BD56BCF">
            <w:pPr>
              <w:spacing w:line="400" w:lineRule="exact"/>
              <w:rPr>
                <w:rFonts w:ascii="仿宋" w:hAnsi="仿宋" w:eastAsia="仿宋" w:cs="仿宋"/>
                <w:bCs/>
                <w:color w:val="auto"/>
                <w:sz w:val="24"/>
                <w:highlight w:val="none"/>
              </w:rPr>
            </w:pPr>
          </w:p>
        </w:tc>
      </w:tr>
      <w:tr w14:paraId="427A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4B57B2BC">
            <w:pPr>
              <w:spacing w:line="400" w:lineRule="exact"/>
              <w:rPr>
                <w:rFonts w:ascii="仿宋" w:hAnsi="仿宋" w:eastAsia="仿宋" w:cs="仿宋"/>
                <w:bCs/>
                <w:color w:val="auto"/>
                <w:sz w:val="24"/>
                <w:highlight w:val="none"/>
              </w:rPr>
            </w:pPr>
          </w:p>
        </w:tc>
        <w:tc>
          <w:tcPr>
            <w:tcW w:w="1763" w:type="dxa"/>
            <w:noWrap/>
          </w:tcPr>
          <w:p w14:paraId="6F9D1D91">
            <w:pPr>
              <w:spacing w:line="400" w:lineRule="exact"/>
              <w:rPr>
                <w:rFonts w:ascii="仿宋" w:hAnsi="仿宋" w:eastAsia="仿宋" w:cs="仿宋"/>
                <w:bCs/>
                <w:color w:val="auto"/>
                <w:sz w:val="24"/>
                <w:highlight w:val="none"/>
              </w:rPr>
            </w:pPr>
          </w:p>
        </w:tc>
        <w:tc>
          <w:tcPr>
            <w:tcW w:w="1440" w:type="dxa"/>
            <w:noWrap/>
          </w:tcPr>
          <w:p w14:paraId="1103856B">
            <w:pPr>
              <w:spacing w:line="400" w:lineRule="exact"/>
              <w:rPr>
                <w:rFonts w:ascii="仿宋" w:hAnsi="仿宋" w:eastAsia="仿宋" w:cs="仿宋"/>
                <w:bCs/>
                <w:color w:val="auto"/>
                <w:sz w:val="24"/>
                <w:highlight w:val="none"/>
              </w:rPr>
            </w:pPr>
          </w:p>
        </w:tc>
        <w:tc>
          <w:tcPr>
            <w:tcW w:w="1440" w:type="dxa"/>
            <w:noWrap/>
          </w:tcPr>
          <w:p w14:paraId="317175F2">
            <w:pPr>
              <w:spacing w:line="400" w:lineRule="exact"/>
              <w:rPr>
                <w:rFonts w:ascii="仿宋" w:hAnsi="仿宋" w:eastAsia="仿宋" w:cs="仿宋"/>
                <w:bCs/>
                <w:color w:val="auto"/>
                <w:sz w:val="24"/>
                <w:highlight w:val="none"/>
              </w:rPr>
            </w:pPr>
          </w:p>
        </w:tc>
        <w:tc>
          <w:tcPr>
            <w:tcW w:w="1924" w:type="dxa"/>
            <w:noWrap/>
          </w:tcPr>
          <w:p w14:paraId="3C92B752">
            <w:pPr>
              <w:spacing w:line="400" w:lineRule="exact"/>
              <w:rPr>
                <w:rFonts w:ascii="仿宋" w:hAnsi="仿宋" w:eastAsia="仿宋" w:cs="仿宋"/>
                <w:bCs/>
                <w:color w:val="auto"/>
                <w:sz w:val="24"/>
                <w:highlight w:val="none"/>
              </w:rPr>
            </w:pPr>
          </w:p>
        </w:tc>
        <w:tc>
          <w:tcPr>
            <w:tcW w:w="1512" w:type="dxa"/>
            <w:noWrap/>
          </w:tcPr>
          <w:p w14:paraId="1AFCC325">
            <w:pPr>
              <w:spacing w:line="400" w:lineRule="exact"/>
              <w:rPr>
                <w:rFonts w:ascii="仿宋" w:hAnsi="仿宋" w:eastAsia="仿宋" w:cs="仿宋"/>
                <w:bCs/>
                <w:color w:val="auto"/>
                <w:sz w:val="24"/>
                <w:highlight w:val="none"/>
              </w:rPr>
            </w:pPr>
          </w:p>
        </w:tc>
      </w:tr>
      <w:tr w14:paraId="558A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0D4B35E6">
            <w:pPr>
              <w:spacing w:line="400" w:lineRule="exact"/>
              <w:rPr>
                <w:rFonts w:ascii="仿宋" w:hAnsi="仿宋" w:eastAsia="仿宋" w:cs="仿宋"/>
                <w:bCs/>
                <w:color w:val="auto"/>
                <w:sz w:val="24"/>
                <w:highlight w:val="none"/>
              </w:rPr>
            </w:pPr>
          </w:p>
        </w:tc>
        <w:tc>
          <w:tcPr>
            <w:tcW w:w="1763" w:type="dxa"/>
            <w:noWrap/>
          </w:tcPr>
          <w:p w14:paraId="29BABCC8">
            <w:pPr>
              <w:spacing w:line="400" w:lineRule="exact"/>
              <w:rPr>
                <w:rFonts w:ascii="仿宋" w:hAnsi="仿宋" w:eastAsia="仿宋" w:cs="仿宋"/>
                <w:bCs/>
                <w:color w:val="auto"/>
                <w:sz w:val="24"/>
                <w:highlight w:val="none"/>
              </w:rPr>
            </w:pPr>
          </w:p>
        </w:tc>
        <w:tc>
          <w:tcPr>
            <w:tcW w:w="1440" w:type="dxa"/>
            <w:noWrap/>
          </w:tcPr>
          <w:p w14:paraId="50297254">
            <w:pPr>
              <w:spacing w:line="400" w:lineRule="exact"/>
              <w:rPr>
                <w:rFonts w:ascii="仿宋" w:hAnsi="仿宋" w:eastAsia="仿宋" w:cs="仿宋"/>
                <w:bCs/>
                <w:color w:val="auto"/>
                <w:sz w:val="24"/>
                <w:highlight w:val="none"/>
              </w:rPr>
            </w:pPr>
          </w:p>
        </w:tc>
        <w:tc>
          <w:tcPr>
            <w:tcW w:w="1440" w:type="dxa"/>
            <w:noWrap/>
          </w:tcPr>
          <w:p w14:paraId="7ADB5365">
            <w:pPr>
              <w:spacing w:line="400" w:lineRule="exact"/>
              <w:rPr>
                <w:rFonts w:ascii="仿宋" w:hAnsi="仿宋" w:eastAsia="仿宋" w:cs="仿宋"/>
                <w:bCs/>
                <w:color w:val="auto"/>
                <w:sz w:val="24"/>
                <w:highlight w:val="none"/>
              </w:rPr>
            </w:pPr>
          </w:p>
        </w:tc>
        <w:tc>
          <w:tcPr>
            <w:tcW w:w="1924" w:type="dxa"/>
            <w:noWrap/>
          </w:tcPr>
          <w:p w14:paraId="0A08A9EA">
            <w:pPr>
              <w:spacing w:line="400" w:lineRule="exact"/>
              <w:rPr>
                <w:rFonts w:ascii="仿宋" w:hAnsi="仿宋" w:eastAsia="仿宋" w:cs="仿宋"/>
                <w:bCs/>
                <w:color w:val="auto"/>
                <w:sz w:val="24"/>
                <w:highlight w:val="none"/>
              </w:rPr>
            </w:pPr>
          </w:p>
        </w:tc>
        <w:tc>
          <w:tcPr>
            <w:tcW w:w="1512" w:type="dxa"/>
            <w:noWrap/>
          </w:tcPr>
          <w:p w14:paraId="593F99F5">
            <w:pPr>
              <w:spacing w:line="400" w:lineRule="exact"/>
              <w:rPr>
                <w:rFonts w:ascii="仿宋" w:hAnsi="仿宋" w:eastAsia="仿宋" w:cs="仿宋"/>
                <w:bCs/>
                <w:color w:val="auto"/>
                <w:sz w:val="24"/>
                <w:highlight w:val="none"/>
              </w:rPr>
            </w:pPr>
          </w:p>
        </w:tc>
      </w:tr>
      <w:tr w14:paraId="468B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1E928469">
            <w:pPr>
              <w:spacing w:line="400" w:lineRule="exact"/>
              <w:rPr>
                <w:rFonts w:ascii="仿宋" w:hAnsi="仿宋" w:eastAsia="仿宋" w:cs="仿宋"/>
                <w:bCs/>
                <w:color w:val="auto"/>
                <w:sz w:val="24"/>
                <w:highlight w:val="none"/>
              </w:rPr>
            </w:pPr>
          </w:p>
        </w:tc>
        <w:tc>
          <w:tcPr>
            <w:tcW w:w="1763" w:type="dxa"/>
            <w:noWrap/>
          </w:tcPr>
          <w:p w14:paraId="627F1E72">
            <w:pPr>
              <w:spacing w:line="400" w:lineRule="exact"/>
              <w:rPr>
                <w:rFonts w:ascii="仿宋" w:hAnsi="仿宋" w:eastAsia="仿宋" w:cs="仿宋"/>
                <w:bCs/>
                <w:color w:val="auto"/>
                <w:sz w:val="24"/>
                <w:highlight w:val="none"/>
              </w:rPr>
            </w:pPr>
          </w:p>
        </w:tc>
        <w:tc>
          <w:tcPr>
            <w:tcW w:w="1440" w:type="dxa"/>
            <w:noWrap/>
          </w:tcPr>
          <w:p w14:paraId="65C951A4">
            <w:pPr>
              <w:spacing w:line="400" w:lineRule="exact"/>
              <w:rPr>
                <w:rFonts w:ascii="仿宋" w:hAnsi="仿宋" w:eastAsia="仿宋" w:cs="仿宋"/>
                <w:bCs/>
                <w:color w:val="auto"/>
                <w:sz w:val="24"/>
                <w:highlight w:val="none"/>
              </w:rPr>
            </w:pPr>
          </w:p>
        </w:tc>
        <w:tc>
          <w:tcPr>
            <w:tcW w:w="1440" w:type="dxa"/>
            <w:noWrap/>
          </w:tcPr>
          <w:p w14:paraId="2023A07D">
            <w:pPr>
              <w:spacing w:line="400" w:lineRule="exact"/>
              <w:rPr>
                <w:rFonts w:ascii="仿宋" w:hAnsi="仿宋" w:eastAsia="仿宋" w:cs="仿宋"/>
                <w:bCs/>
                <w:color w:val="auto"/>
                <w:sz w:val="24"/>
                <w:highlight w:val="none"/>
              </w:rPr>
            </w:pPr>
          </w:p>
        </w:tc>
        <w:tc>
          <w:tcPr>
            <w:tcW w:w="1924" w:type="dxa"/>
            <w:noWrap/>
          </w:tcPr>
          <w:p w14:paraId="470A2F32">
            <w:pPr>
              <w:spacing w:line="400" w:lineRule="exact"/>
              <w:rPr>
                <w:rFonts w:ascii="仿宋" w:hAnsi="仿宋" w:eastAsia="仿宋" w:cs="仿宋"/>
                <w:bCs/>
                <w:color w:val="auto"/>
                <w:sz w:val="24"/>
                <w:highlight w:val="none"/>
              </w:rPr>
            </w:pPr>
          </w:p>
        </w:tc>
        <w:tc>
          <w:tcPr>
            <w:tcW w:w="1512" w:type="dxa"/>
            <w:noWrap/>
          </w:tcPr>
          <w:p w14:paraId="454C2110">
            <w:pPr>
              <w:spacing w:line="400" w:lineRule="exact"/>
              <w:rPr>
                <w:rFonts w:ascii="仿宋" w:hAnsi="仿宋" w:eastAsia="仿宋" w:cs="仿宋"/>
                <w:bCs/>
                <w:color w:val="auto"/>
                <w:sz w:val="24"/>
                <w:highlight w:val="none"/>
              </w:rPr>
            </w:pPr>
          </w:p>
        </w:tc>
      </w:tr>
      <w:tr w14:paraId="1F7F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Pr>
          <w:p w14:paraId="1E9E6CCA">
            <w:pPr>
              <w:spacing w:line="400" w:lineRule="exact"/>
              <w:rPr>
                <w:rFonts w:ascii="仿宋" w:hAnsi="仿宋" w:eastAsia="仿宋" w:cs="仿宋"/>
                <w:bCs/>
                <w:color w:val="auto"/>
                <w:sz w:val="24"/>
                <w:highlight w:val="none"/>
              </w:rPr>
            </w:pPr>
          </w:p>
        </w:tc>
        <w:tc>
          <w:tcPr>
            <w:tcW w:w="1763" w:type="dxa"/>
            <w:noWrap/>
          </w:tcPr>
          <w:p w14:paraId="424CB30E">
            <w:pPr>
              <w:spacing w:line="400" w:lineRule="exact"/>
              <w:rPr>
                <w:rFonts w:ascii="仿宋" w:hAnsi="仿宋" w:eastAsia="仿宋" w:cs="仿宋"/>
                <w:bCs/>
                <w:color w:val="auto"/>
                <w:sz w:val="24"/>
                <w:highlight w:val="none"/>
              </w:rPr>
            </w:pPr>
          </w:p>
        </w:tc>
        <w:tc>
          <w:tcPr>
            <w:tcW w:w="1440" w:type="dxa"/>
            <w:noWrap/>
          </w:tcPr>
          <w:p w14:paraId="4483F35E">
            <w:pPr>
              <w:spacing w:line="400" w:lineRule="exact"/>
              <w:rPr>
                <w:rFonts w:ascii="仿宋" w:hAnsi="仿宋" w:eastAsia="仿宋" w:cs="仿宋"/>
                <w:bCs/>
                <w:color w:val="auto"/>
                <w:sz w:val="24"/>
                <w:highlight w:val="none"/>
              </w:rPr>
            </w:pPr>
          </w:p>
        </w:tc>
        <w:tc>
          <w:tcPr>
            <w:tcW w:w="1440" w:type="dxa"/>
            <w:noWrap/>
          </w:tcPr>
          <w:p w14:paraId="4DEC79CA">
            <w:pPr>
              <w:spacing w:line="400" w:lineRule="exact"/>
              <w:rPr>
                <w:rFonts w:ascii="仿宋" w:hAnsi="仿宋" w:eastAsia="仿宋" w:cs="仿宋"/>
                <w:bCs/>
                <w:color w:val="auto"/>
                <w:sz w:val="24"/>
                <w:highlight w:val="none"/>
              </w:rPr>
            </w:pPr>
          </w:p>
        </w:tc>
        <w:tc>
          <w:tcPr>
            <w:tcW w:w="1924" w:type="dxa"/>
            <w:noWrap/>
          </w:tcPr>
          <w:p w14:paraId="35B1B1E6">
            <w:pPr>
              <w:spacing w:line="400" w:lineRule="exact"/>
              <w:rPr>
                <w:rFonts w:ascii="仿宋" w:hAnsi="仿宋" w:eastAsia="仿宋" w:cs="仿宋"/>
                <w:bCs/>
                <w:color w:val="auto"/>
                <w:sz w:val="24"/>
                <w:highlight w:val="none"/>
              </w:rPr>
            </w:pPr>
          </w:p>
        </w:tc>
        <w:tc>
          <w:tcPr>
            <w:tcW w:w="1512" w:type="dxa"/>
            <w:noWrap/>
          </w:tcPr>
          <w:p w14:paraId="7B332B01">
            <w:pPr>
              <w:spacing w:line="400" w:lineRule="exact"/>
              <w:rPr>
                <w:rFonts w:ascii="仿宋" w:hAnsi="仿宋" w:eastAsia="仿宋" w:cs="仿宋"/>
                <w:bCs/>
                <w:color w:val="auto"/>
                <w:sz w:val="24"/>
                <w:highlight w:val="none"/>
              </w:rPr>
            </w:pPr>
          </w:p>
        </w:tc>
      </w:tr>
    </w:tbl>
    <w:p w14:paraId="57E04E2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2CA863F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8EBFF93">
      <w:pPr>
        <w:spacing w:line="400" w:lineRule="exact"/>
        <w:ind w:firstLine="480" w:firstLineChars="200"/>
        <w:rPr>
          <w:rFonts w:ascii="仿宋" w:hAnsi="仿宋" w:eastAsia="仿宋" w:cs="仿宋"/>
          <w:color w:val="auto"/>
          <w:sz w:val="24"/>
          <w:highlight w:val="none"/>
        </w:rPr>
      </w:pPr>
    </w:p>
    <w:p w14:paraId="73F5D274">
      <w:pPr>
        <w:spacing w:line="400" w:lineRule="exact"/>
        <w:ind w:firstLine="480" w:firstLineChars="200"/>
        <w:rPr>
          <w:rFonts w:ascii="仿宋" w:hAnsi="仿宋" w:eastAsia="仿宋" w:cs="仿宋"/>
          <w:color w:val="auto"/>
          <w:sz w:val="24"/>
          <w:highlight w:val="none"/>
        </w:rPr>
      </w:pPr>
    </w:p>
    <w:p w14:paraId="768F4249">
      <w:pPr>
        <w:spacing w:line="400" w:lineRule="exact"/>
        <w:ind w:firstLine="480" w:firstLineChars="200"/>
        <w:rPr>
          <w:rFonts w:ascii="仿宋" w:hAnsi="仿宋" w:eastAsia="仿宋" w:cs="仿宋"/>
          <w:color w:val="auto"/>
          <w:spacing w:val="14"/>
          <w:sz w:val="24"/>
          <w:highlight w:val="none"/>
        </w:rPr>
      </w:pPr>
      <w:r>
        <w:rPr>
          <w:rFonts w:hint="eastAsia" w:ascii="仿宋" w:hAnsi="仿宋" w:eastAsia="仿宋" w:cs="仿宋"/>
          <w:color w:val="auto"/>
          <w:sz w:val="24"/>
          <w:highlight w:val="none"/>
        </w:rPr>
        <w:t>注：1、</w:t>
      </w:r>
      <w:r>
        <w:rPr>
          <w:rFonts w:hint="eastAsia" w:ascii="仿宋" w:hAnsi="仿宋" w:eastAsia="仿宋" w:cs="仿宋"/>
          <w:bCs/>
          <w:color w:val="auto"/>
          <w:sz w:val="24"/>
          <w:highlight w:val="none"/>
        </w:rPr>
        <w:t>企业业绩是指投标供应商承接过的项目。</w:t>
      </w:r>
    </w:p>
    <w:p w14:paraId="419182BD">
      <w:pPr>
        <w:spacing w:line="400" w:lineRule="exact"/>
        <w:ind w:firstLine="840" w:firstLineChars="350"/>
        <w:rPr>
          <w:rFonts w:ascii="仿宋" w:hAnsi="仿宋" w:eastAsia="仿宋" w:cs="仿宋"/>
          <w:bCs/>
          <w:color w:val="auto"/>
          <w:sz w:val="24"/>
          <w:highlight w:val="none"/>
        </w:rPr>
      </w:pPr>
      <w:r>
        <w:rPr>
          <w:rFonts w:hint="eastAsia" w:ascii="仿宋" w:hAnsi="仿宋" w:eastAsia="仿宋" w:cs="仿宋"/>
          <w:color w:val="auto"/>
          <w:sz w:val="24"/>
          <w:highlight w:val="none"/>
        </w:rPr>
        <w:t>2、此表仅提供了表格形式，投标供应商应根据需要准备足够数量的表格来填写。</w:t>
      </w:r>
    </w:p>
    <w:p w14:paraId="3698747D">
      <w:pPr>
        <w:spacing w:line="400" w:lineRule="exact"/>
        <w:jc w:val="center"/>
        <w:rPr>
          <w:rFonts w:ascii="仿宋" w:hAnsi="仿宋" w:eastAsia="仿宋" w:cs="仿宋"/>
          <w:b/>
          <w:color w:val="auto"/>
          <w:sz w:val="24"/>
          <w:szCs w:val="20"/>
          <w:highlight w:val="none"/>
        </w:rPr>
      </w:pPr>
    </w:p>
    <w:p w14:paraId="5C547C90">
      <w:pPr>
        <w:spacing w:line="400" w:lineRule="exact"/>
        <w:jc w:val="center"/>
        <w:rPr>
          <w:rFonts w:ascii="仿宋" w:hAnsi="仿宋" w:eastAsia="仿宋" w:cs="仿宋"/>
          <w:b/>
          <w:color w:val="auto"/>
          <w:sz w:val="24"/>
          <w:szCs w:val="20"/>
          <w:highlight w:val="none"/>
        </w:rPr>
      </w:pPr>
    </w:p>
    <w:p w14:paraId="0FB16ADF">
      <w:pPr>
        <w:spacing w:line="400" w:lineRule="exact"/>
        <w:jc w:val="center"/>
        <w:rPr>
          <w:rFonts w:ascii="仿宋" w:hAnsi="仿宋" w:eastAsia="仿宋" w:cs="仿宋"/>
          <w:b/>
          <w:color w:val="auto"/>
          <w:sz w:val="24"/>
          <w:szCs w:val="20"/>
          <w:highlight w:val="none"/>
        </w:rPr>
      </w:pPr>
    </w:p>
    <w:p w14:paraId="122F65ED">
      <w:pPr>
        <w:spacing w:line="400" w:lineRule="exact"/>
        <w:jc w:val="center"/>
        <w:rPr>
          <w:rFonts w:ascii="仿宋" w:hAnsi="仿宋" w:eastAsia="仿宋" w:cs="仿宋"/>
          <w:b/>
          <w:color w:val="auto"/>
          <w:sz w:val="24"/>
          <w:szCs w:val="20"/>
          <w:highlight w:val="none"/>
        </w:rPr>
      </w:pPr>
    </w:p>
    <w:p w14:paraId="30C3D3DE">
      <w:pPr>
        <w:widowControl/>
        <w:spacing w:line="360" w:lineRule="auto"/>
        <w:ind w:firstLine="482" w:firstLineChars="200"/>
        <w:jc w:val="center"/>
        <w:rPr>
          <w:rFonts w:ascii="仿宋" w:hAnsi="仿宋" w:eastAsia="仿宋" w:cs="仿宋"/>
          <w:b/>
          <w:color w:val="auto"/>
          <w:sz w:val="24"/>
          <w:highlight w:val="none"/>
        </w:rPr>
      </w:pPr>
    </w:p>
    <w:p w14:paraId="2B55F9CD">
      <w:pPr>
        <w:widowControl/>
        <w:spacing w:line="360" w:lineRule="auto"/>
        <w:ind w:firstLine="482" w:firstLineChars="200"/>
        <w:jc w:val="center"/>
        <w:rPr>
          <w:rFonts w:ascii="仿宋" w:hAnsi="仿宋" w:eastAsia="仿宋" w:cs="仿宋"/>
          <w:b/>
          <w:color w:val="auto"/>
          <w:sz w:val="24"/>
          <w:highlight w:val="none"/>
        </w:rPr>
      </w:pPr>
    </w:p>
    <w:p w14:paraId="33423C21">
      <w:pPr>
        <w:widowControl/>
        <w:spacing w:line="360" w:lineRule="auto"/>
        <w:ind w:firstLine="482" w:firstLineChars="200"/>
        <w:jc w:val="center"/>
        <w:rPr>
          <w:rFonts w:ascii="仿宋" w:hAnsi="仿宋" w:eastAsia="仿宋" w:cs="仿宋"/>
          <w:b/>
          <w:color w:val="auto"/>
          <w:sz w:val="24"/>
          <w:highlight w:val="none"/>
        </w:rPr>
      </w:pPr>
    </w:p>
    <w:p w14:paraId="24DCBBE7">
      <w:pPr>
        <w:widowControl/>
        <w:spacing w:line="360" w:lineRule="auto"/>
        <w:ind w:firstLine="482" w:firstLineChars="200"/>
        <w:jc w:val="center"/>
        <w:rPr>
          <w:rFonts w:ascii="仿宋" w:hAnsi="仿宋" w:eastAsia="仿宋" w:cs="仿宋"/>
          <w:b/>
          <w:color w:val="auto"/>
          <w:sz w:val="24"/>
          <w:highlight w:val="none"/>
        </w:rPr>
      </w:pPr>
    </w:p>
    <w:p w14:paraId="057EFAB3">
      <w:pPr>
        <w:widowControl/>
        <w:spacing w:line="360" w:lineRule="auto"/>
        <w:ind w:firstLine="482" w:firstLineChars="200"/>
        <w:jc w:val="center"/>
        <w:rPr>
          <w:rFonts w:ascii="仿宋" w:hAnsi="仿宋" w:eastAsia="仿宋" w:cs="仿宋"/>
          <w:b/>
          <w:color w:val="auto"/>
          <w:sz w:val="24"/>
          <w:highlight w:val="none"/>
        </w:rPr>
      </w:pPr>
    </w:p>
    <w:p w14:paraId="264DCE40">
      <w:pPr>
        <w:widowControl/>
        <w:spacing w:line="360" w:lineRule="auto"/>
        <w:ind w:firstLine="482" w:firstLineChars="200"/>
        <w:jc w:val="center"/>
        <w:rPr>
          <w:rFonts w:ascii="仿宋" w:hAnsi="仿宋" w:eastAsia="仿宋" w:cs="仿宋"/>
          <w:b/>
          <w:color w:val="auto"/>
          <w:sz w:val="24"/>
          <w:highlight w:val="none"/>
        </w:rPr>
      </w:pPr>
    </w:p>
    <w:p w14:paraId="20258261">
      <w:pPr>
        <w:widowControl/>
        <w:spacing w:line="360" w:lineRule="auto"/>
        <w:ind w:firstLine="482" w:firstLineChars="200"/>
        <w:jc w:val="center"/>
        <w:rPr>
          <w:rFonts w:ascii="仿宋" w:hAnsi="仿宋" w:eastAsia="仿宋" w:cs="仿宋"/>
          <w:b/>
          <w:color w:val="auto"/>
          <w:sz w:val="24"/>
          <w:highlight w:val="none"/>
        </w:rPr>
      </w:pPr>
    </w:p>
    <w:p w14:paraId="08E5FFF2">
      <w:pPr>
        <w:widowControl/>
        <w:spacing w:line="360" w:lineRule="auto"/>
        <w:ind w:firstLine="482" w:firstLineChars="200"/>
        <w:jc w:val="center"/>
        <w:rPr>
          <w:rFonts w:ascii="仿宋" w:hAnsi="仿宋" w:eastAsia="仿宋" w:cs="仿宋"/>
          <w:b/>
          <w:color w:val="auto"/>
          <w:sz w:val="24"/>
          <w:highlight w:val="none"/>
        </w:rPr>
      </w:pPr>
    </w:p>
    <w:p w14:paraId="6295C6AE">
      <w:pPr>
        <w:widowControl/>
        <w:spacing w:line="360" w:lineRule="auto"/>
        <w:ind w:firstLine="482" w:firstLineChars="200"/>
        <w:jc w:val="center"/>
        <w:rPr>
          <w:rFonts w:ascii="仿宋" w:hAnsi="仿宋" w:eastAsia="仿宋" w:cs="仿宋"/>
          <w:b/>
          <w:color w:val="auto"/>
          <w:sz w:val="24"/>
          <w:highlight w:val="none"/>
        </w:rPr>
      </w:pPr>
    </w:p>
    <w:p w14:paraId="07FAB526">
      <w:pPr>
        <w:widowControl/>
        <w:spacing w:line="360" w:lineRule="auto"/>
        <w:rPr>
          <w:rFonts w:ascii="仿宋" w:hAnsi="仿宋" w:eastAsia="仿宋" w:cs="仿宋"/>
          <w:b/>
          <w:color w:val="auto"/>
          <w:sz w:val="24"/>
          <w:highlight w:val="none"/>
        </w:rPr>
      </w:pPr>
    </w:p>
    <w:p w14:paraId="773898E5">
      <w:pPr>
        <w:widowControl/>
        <w:spacing w:line="360" w:lineRule="auto"/>
        <w:ind w:firstLine="482" w:firstLineChars="200"/>
        <w:jc w:val="center"/>
        <w:rPr>
          <w:rFonts w:ascii="仿宋" w:hAnsi="仿宋" w:eastAsia="仿宋" w:cs="仿宋"/>
          <w:b/>
          <w:color w:val="auto"/>
          <w:sz w:val="24"/>
          <w:highlight w:val="none"/>
        </w:rPr>
      </w:pPr>
    </w:p>
    <w:p w14:paraId="41935397">
      <w:pPr>
        <w:widowControl/>
        <w:spacing w:line="360" w:lineRule="auto"/>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信用承诺书</w:t>
      </w:r>
    </w:p>
    <w:p w14:paraId="0945601F">
      <w:pPr>
        <w:widowControl/>
        <w:spacing w:line="360" w:lineRule="auto"/>
        <w:ind w:firstLine="480" w:firstLineChars="200"/>
        <w:rPr>
          <w:rFonts w:ascii="仿宋" w:hAnsi="仿宋" w:eastAsia="仿宋" w:cs="仿宋"/>
          <w:bCs/>
          <w:color w:val="auto"/>
          <w:kern w:val="0"/>
          <w:sz w:val="24"/>
          <w:highlight w:val="none"/>
        </w:rPr>
      </w:pPr>
    </w:p>
    <w:p w14:paraId="22D76076">
      <w:pPr>
        <w:widowControl/>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（投标供应商）现参加（采购项目）政府采购活动，郑重承诺如下：</w:t>
      </w:r>
    </w:p>
    <w:p w14:paraId="0F7BAEDE">
      <w:pPr>
        <w:widowControl/>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对所提供的资料合法性、真实性、准确性和有效性负责；</w:t>
      </w:r>
    </w:p>
    <w:p w14:paraId="16F863F8">
      <w:pPr>
        <w:widowControl/>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严格按照国家法律、法规和规章，依法开展相关经济活动，全面履行应尽的责任和义务；</w:t>
      </w:r>
    </w:p>
    <w:p w14:paraId="625A6CC8">
      <w:pPr>
        <w:widowControl/>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加强自我约束、自我规范、自我管理，不制假售假、不虚假宣传、不违约毁约、不恶意逃债、不偷税漏税，诚信依法经营；</w:t>
      </w:r>
    </w:p>
    <w:p w14:paraId="7D5F92C9">
      <w:pPr>
        <w:widowControl/>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自愿接受行政主管部门的依法检查、违背承诺约定将自愿承担违约责任，并接受法律法规和相关部门规章制度的惩戒和约束；</w:t>
      </w:r>
    </w:p>
    <w:p w14:paraId="5EB6583C">
      <w:pPr>
        <w:widowControl/>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4ABCF391">
      <w:pPr>
        <w:widowControl/>
        <w:spacing w:line="360" w:lineRule="auto"/>
        <w:ind w:firstLine="480" w:firstLineChars="200"/>
        <w:rPr>
          <w:rFonts w:ascii="仿宋" w:hAnsi="仿宋" w:eastAsia="仿宋" w:cs="仿宋"/>
          <w:bCs/>
          <w:color w:val="auto"/>
          <w:kern w:val="0"/>
          <w:sz w:val="24"/>
          <w:highlight w:val="none"/>
        </w:rPr>
      </w:pPr>
    </w:p>
    <w:p w14:paraId="1C3C46F7">
      <w:pPr>
        <w:widowControl/>
        <w:spacing w:line="360" w:lineRule="auto"/>
        <w:ind w:firstLine="480" w:firstLineChars="200"/>
        <w:rPr>
          <w:rFonts w:ascii="仿宋" w:hAnsi="仿宋" w:eastAsia="仿宋" w:cs="仿宋"/>
          <w:bCs/>
          <w:color w:val="auto"/>
          <w:kern w:val="0"/>
          <w:sz w:val="24"/>
          <w:highlight w:val="none"/>
        </w:rPr>
      </w:pPr>
    </w:p>
    <w:p w14:paraId="51524AFA">
      <w:pPr>
        <w:widowControl/>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统一社会信用代码：</w:t>
      </w:r>
    </w:p>
    <w:p w14:paraId="1C2553AB">
      <w:pPr>
        <w:widowControl/>
        <w:spacing w:line="360" w:lineRule="auto"/>
        <w:ind w:firstLine="480" w:firstLineChars="200"/>
        <w:rPr>
          <w:rFonts w:ascii="仿宋" w:hAnsi="仿宋" w:eastAsia="仿宋" w:cs="仿宋"/>
          <w:bCs/>
          <w:color w:val="auto"/>
          <w:kern w:val="0"/>
          <w:sz w:val="24"/>
          <w:highlight w:val="none"/>
        </w:rPr>
      </w:pPr>
    </w:p>
    <w:p w14:paraId="178A066A">
      <w:pPr>
        <w:widowControl/>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承诺单位/个人（盖章/签名）</w:t>
      </w:r>
    </w:p>
    <w:p w14:paraId="4E584D63">
      <w:pPr>
        <w:widowControl/>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时间：</w:t>
      </w: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rPr>
        <w:t>年 月 日</w:t>
      </w:r>
    </w:p>
    <w:p w14:paraId="33D92478">
      <w:pPr>
        <w:spacing w:line="400" w:lineRule="exact"/>
        <w:jc w:val="center"/>
        <w:rPr>
          <w:rFonts w:ascii="仿宋" w:hAnsi="仿宋" w:eastAsia="仿宋" w:cs="仿宋"/>
          <w:b/>
          <w:color w:val="auto"/>
          <w:sz w:val="24"/>
          <w:szCs w:val="20"/>
          <w:highlight w:val="none"/>
        </w:rPr>
      </w:pPr>
    </w:p>
    <w:p w14:paraId="115C1C30">
      <w:pPr>
        <w:spacing w:line="400" w:lineRule="exact"/>
        <w:jc w:val="center"/>
        <w:rPr>
          <w:rFonts w:ascii="仿宋" w:hAnsi="仿宋" w:eastAsia="仿宋" w:cs="仿宋"/>
          <w:b/>
          <w:color w:val="auto"/>
          <w:sz w:val="24"/>
          <w:szCs w:val="20"/>
          <w:highlight w:val="none"/>
        </w:rPr>
      </w:pPr>
    </w:p>
    <w:p w14:paraId="2099A760">
      <w:pPr>
        <w:spacing w:line="400" w:lineRule="exact"/>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br w:type="page"/>
      </w:r>
    </w:p>
    <w:p w14:paraId="25B896C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投标声明书</w:t>
      </w:r>
    </w:p>
    <w:p w14:paraId="7F0762D8">
      <w:pPr>
        <w:snapToGrid w:val="0"/>
        <w:spacing w:line="360" w:lineRule="auto"/>
        <w:rPr>
          <w:rFonts w:ascii="仿宋" w:hAnsi="仿宋" w:eastAsia="仿宋" w:cs="仿宋"/>
          <w:color w:val="auto"/>
          <w:sz w:val="24"/>
          <w:szCs w:val="20"/>
          <w:highlight w:val="none"/>
        </w:rPr>
      </w:pPr>
      <w:r>
        <w:rPr>
          <w:rFonts w:hint="eastAsia" w:ascii="仿宋" w:hAnsi="仿宋" w:eastAsia="仿宋" w:cs="仿宋"/>
          <w:color w:val="auto"/>
          <w:sz w:val="24"/>
          <w:highlight w:val="none"/>
        </w:rPr>
        <w:t>致：______</w:t>
      </w:r>
      <w:r>
        <w:rPr>
          <w:rFonts w:hint="eastAsia" w:ascii="仿宋" w:hAnsi="仿宋" w:eastAsia="仿宋" w:cs="仿宋"/>
          <w:color w:val="auto"/>
          <w:sz w:val="24"/>
          <w:highlight w:val="none"/>
          <w:u w:val="single"/>
        </w:rPr>
        <w:t>_     _</w:t>
      </w:r>
      <w:r>
        <w:rPr>
          <w:rFonts w:hint="eastAsia" w:ascii="仿宋" w:hAnsi="仿宋" w:eastAsia="仿宋" w:cs="仿宋"/>
          <w:color w:val="auto"/>
          <w:sz w:val="24"/>
          <w:highlight w:val="none"/>
        </w:rPr>
        <w:t>_（采购代理机构名称）：</w:t>
      </w:r>
    </w:p>
    <w:p w14:paraId="2CA9E1F6">
      <w:pPr>
        <w:snapToGrid w:val="0"/>
        <w:spacing w:line="360" w:lineRule="auto"/>
        <w:ind w:firstLine="720" w:firstLineChars="300"/>
        <w:rPr>
          <w:rFonts w:ascii="仿宋" w:hAnsi="仿宋" w:eastAsia="仿宋" w:cs="仿宋"/>
          <w:color w:val="auto"/>
          <w:sz w:val="24"/>
          <w:szCs w:val="20"/>
          <w:highlight w:val="none"/>
        </w:rPr>
      </w:pPr>
      <w:r>
        <w:rPr>
          <w:rFonts w:hint="eastAsia" w:ascii="仿宋" w:hAnsi="仿宋" w:eastAsia="仿宋" w:cs="仿宋"/>
          <w:color w:val="auto"/>
          <w:sz w:val="24"/>
          <w:highlight w:val="none"/>
        </w:rPr>
        <w:t>______</w:t>
      </w:r>
      <w:r>
        <w:rPr>
          <w:rFonts w:hint="eastAsia" w:ascii="仿宋" w:hAnsi="仿宋" w:eastAsia="仿宋" w:cs="仿宋"/>
          <w:color w:val="auto"/>
          <w:sz w:val="24"/>
          <w:highlight w:val="none"/>
          <w:u w:val="single"/>
        </w:rPr>
        <w:t>_     _</w:t>
      </w:r>
      <w:r>
        <w:rPr>
          <w:rFonts w:hint="eastAsia" w:ascii="仿宋" w:hAnsi="仿宋" w:eastAsia="仿宋" w:cs="仿宋"/>
          <w:color w:val="auto"/>
          <w:sz w:val="24"/>
          <w:highlight w:val="none"/>
        </w:rPr>
        <w:t>_（投标供应商名称）系中华人民共和国合法企业，经营地址。</w:t>
      </w:r>
    </w:p>
    <w:p w14:paraId="1D1D8684">
      <w:pPr>
        <w:snapToGrid w:val="0"/>
        <w:spacing w:line="360" w:lineRule="auto"/>
        <w:ind w:firstLine="645"/>
        <w:rPr>
          <w:rFonts w:ascii="仿宋" w:hAnsi="仿宋" w:eastAsia="仿宋" w:cs="仿宋"/>
          <w:color w:val="auto"/>
          <w:sz w:val="24"/>
          <w:szCs w:val="20"/>
          <w:highlight w:val="none"/>
        </w:rPr>
      </w:pPr>
      <w:r>
        <w:rPr>
          <w:rFonts w:hint="eastAsia" w:ascii="仿宋" w:hAnsi="仿宋" w:eastAsia="仿宋" w:cs="仿宋"/>
          <w:color w:val="auto"/>
          <w:sz w:val="24"/>
          <w:highlight w:val="none"/>
        </w:rPr>
        <w:t>我___</w:t>
      </w:r>
      <w:r>
        <w:rPr>
          <w:rFonts w:hint="eastAsia" w:ascii="仿宋" w:hAnsi="仿宋" w:eastAsia="仿宋" w:cs="仿宋"/>
          <w:color w:val="auto"/>
          <w:sz w:val="24"/>
          <w:highlight w:val="none"/>
          <w:u w:val="single"/>
        </w:rPr>
        <w:t xml:space="preserve">    _</w:t>
      </w:r>
      <w:r>
        <w:rPr>
          <w:rFonts w:hint="eastAsia" w:ascii="仿宋" w:hAnsi="仿宋" w:eastAsia="仿宋" w:cs="仿宋"/>
          <w:color w:val="auto"/>
          <w:sz w:val="24"/>
          <w:highlight w:val="none"/>
        </w:rPr>
        <w:t>_（姓名）系______</w:t>
      </w:r>
      <w:r>
        <w:rPr>
          <w:rFonts w:hint="eastAsia" w:ascii="仿宋" w:hAnsi="仿宋" w:eastAsia="仿宋" w:cs="仿宋"/>
          <w:color w:val="auto"/>
          <w:sz w:val="24"/>
          <w:highlight w:val="none"/>
          <w:u w:val="single"/>
        </w:rPr>
        <w:t>_     _</w:t>
      </w:r>
      <w:r>
        <w:rPr>
          <w:rFonts w:hint="eastAsia" w:ascii="仿宋" w:hAnsi="仿宋" w:eastAsia="仿宋" w:cs="仿宋"/>
          <w:color w:val="auto"/>
          <w:sz w:val="24"/>
          <w:highlight w:val="none"/>
        </w:rPr>
        <w:t>_（投标供应商名称）的法定代表人，我方愿意参加贵方组织的_____</w:t>
      </w:r>
      <w:r>
        <w:rPr>
          <w:rFonts w:hint="eastAsia" w:ascii="仿宋" w:hAnsi="仿宋" w:eastAsia="仿宋" w:cs="仿宋"/>
          <w:color w:val="auto"/>
          <w:sz w:val="24"/>
          <w:highlight w:val="none"/>
          <w:u w:val="single"/>
        </w:rPr>
        <w:t>_              _     _</w:t>
      </w:r>
      <w:r>
        <w:rPr>
          <w:rFonts w:hint="eastAsia" w:ascii="仿宋" w:hAnsi="仿宋" w:eastAsia="仿宋" w:cs="仿宋"/>
          <w:color w:val="auto"/>
          <w:sz w:val="24"/>
          <w:highlight w:val="none"/>
        </w:rPr>
        <w:t>_项目的投标，为便于贵方公正、择优地确定中标供应商及其投标产品和服务，我方就本次投标有关事项郑重声明如下：</w:t>
      </w:r>
    </w:p>
    <w:p w14:paraId="74A4AA76">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1.我方向贵方提交的所有投标文件、资料都是准确的和真实的。</w:t>
      </w:r>
    </w:p>
    <w:p w14:paraId="6043E11C">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2.我方不是采购人的附属机构；在获知本项目采购信息后，与采购人聘请的为此项目提供咨询服务的公司及其附属机构没有任何联系。</w:t>
      </w:r>
    </w:p>
    <w:p w14:paraId="0BC73DAD">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3.我方此次向贵方提供的服务为：；</w:t>
      </w:r>
    </w:p>
    <w:p w14:paraId="1B1EA3E4">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4.我方诚意提请贵方关注：售后服务以及性能等方面的重大决策和事项有：</w:t>
      </w:r>
    </w:p>
    <w:p w14:paraId="1824CDDB">
      <w:pPr>
        <w:snapToGrid w:val="0"/>
        <w:spacing w:line="360" w:lineRule="auto"/>
        <w:ind w:firstLine="480" w:firstLineChars="200"/>
        <w:rPr>
          <w:rFonts w:ascii="仿宋" w:hAnsi="仿宋" w:eastAsia="仿宋" w:cs="仿宋"/>
          <w:color w:val="auto"/>
          <w:sz w:val="24"/>
          <w:szCs w:val="20"/>
          <w:highlight w:val="none"/>
          <w:u w:val="single"/>
        </w:rPr>
      </w:pPr>
      <w:r>
        <w:rPr>
          <w:rFonts w:hint="eastAsia" w:ascii="仿宋" w:hAnsi="仿宋" w:eastAsia="仿宋" w:cs="仿宋"/>
          <w:color w:val="auto"/>
          <w:sz w:val="24"/>
          <w:highlight w:val="none"/>
          <w:u w:val="single"/>
        </w:rPr>
        <w:t>　　　　　　　　　　　　　　　　　　　　　　　　　　　</w:t>
      </w:r>
    </w:p>
    <w:p w14:paraId="72D33741">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u w:val="single"/>
        </w:rPr>
        <w:t>　　　　　　　　　　　　　　　　　　　　　　　　　　　</w:t>
      </w:r>
    </w:p>
    <w:p w14:paraId="6433A719">
      <w:pPr>
        <w:pStyle w:val="11"/>
        <w:snapToGrid w:val="0"/>
        <w:ind w:firstLine="482"/>
        <w:rPr>
          <w:rFonts w:ascii="仿宋" w:hAnsi="仿宋" w:eastAsia="仿宋" w:cs="仿宋"/>
          <w:color w:val="auto"/>
          <w:sz w:val="24"/>
          <w:highlight w:val="none"/>
        </w:rPr>
      </w:pPr>
      <w:r>
        <w:rPr>
          <w:rFonts w:hint="eastAsia" w:ascii="仿宋" w:hAnsi="仿宋" w:eastAsia="仿宋" w:cs="仿宋"/>
          <w:color w:val="auto"/>
          <w:sz w:val="24"/>
          <w:highlight w:val="none"/>
        </w:rPr>
        <w:t>5.我方及由本人担任法定代表人的其他机构最近三年内（以法院判决日期为准）被通报（包括被处罚、行贿犯罪）的违法行为有：</w:t>
      </w:r>
    </w:p>
    <w:p w14:paraId="0E9C31D9">
      <w:pPr>
        <w:snapToGrid w:val="0"/>
        <w:spacing w:line="360" w:lineRule="auto"/>
        <w:ind w:firstLine="480" w:firstLineChars="200"/>
        <w:rPr>
          <w:rFonts w:ascii="仿宋" w:hAnsi="仿宋" w:eastAsia="仿宋" w:cs="仿宋"/>
          <w:color w:val="auto"/>
          <w:sz w:val="24"/>
          <w:szCs w:val="20"/>
          <w:highlight w:val="none"/>
          <w:u w:val="single"/>
        </w:rPr>
      </w:pPr>
      <w:r>
        <w:rPr>
          <w:rFonts w:hint="eastAsia" w:ascii="仿宋" w:hAnsi="仿宋" w:eastAsia="仿宋" w:cs="仿宋"/>
          <w:color w:val="auto"/>
          <w:sz w:val="24"/>
          <w:highlight w:val="none"/>
          <w:u w:val="single"/>
        </w:rPr>
        <w:t>　　　　　　　　　　　　　　　　　　　　　　　　　　　</w:t>
      </w:r>
    </w:p>
    <w:p w14:paraId="25307516">
      <w:pPr>
        <w:snapToGrid w:val="0"/>
        <w:spacing w:line="360" w:lineRule="auto"/>
        <w:ind w:firstLine="480" w:firstLineChars="200"/>
        <w:rPr>
          <w:rFonts w:ascii="仿宋" w:hAnsi="仿宋" w:eastAsia="仿宋" w:cs="仿宋"/>
          <w:color w:val="auto"/>
          <w:sz w:val="24"/>
          <w:szCs w:val="20"/>
          <w:highlight w:val="none"/>
          <w:u w:val="single"/>
        </w:rPr>
      </w:pPr>
      <w:r>
        <w:rPr>
          <w:rFonts w:hint="eastAsia" w:ascii="仿宋" w:hAnsi="仿宋" w:eastAsia="仿宋" w:cs="仿宋"/>
          <w:color w:val="auto"/>
          <w:sz w:val="24"/>
          <w:highlight w:val="none"/>
          <w:u w:val="single"/>
        </w:rPr>
        <w:t>　　　　　　　　　　　　　　　　　　　　　　　　　　　</w:t>
      </w:r>
    </w:p>
    <w:p w14:paraId="3D2E9D1A">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6.以上事项如有虚假或隐瞒，我方愿意承担一切后果，并不再寻求任何旨在减轻或免除法律责任的辩解。</w:t>
      </w:r>
    </w:p>
    <w:p w14:paraId="428DCCD5">
      <w:pPr>
        <w:pStyle w:val="13"/>
        <w:tabs>
          <w:tab w:val="left" w:pos="939"/>
        </w:tabs>
        <w:snapToGrid w:val="0"/>
        <w:ind w:left="773" w:leftChars="150" w:hanging="458" w:hangingChars="191"/>
        <w:rPr>
          <w:rFonts w:ascii="仿宋" w:hAnsi="仿宋" w:eastAsia="仿宋" w:cs="仿宋"/>
          <w:color w:val="auto"/>
          <w:sz w:val="24"/>
          <w:highlight w:val="none"/>
        </w:rPr>
      </w:pPr>
    </w:p>
    <w:p w14:paraId="61D30704">
      <w:pPr>
        <w:snapToGrid w:val="0"/>
        <w:spacing w:before="120" w:beforeLines="50"/>
        <w:ind w:firstLine="3780"/>
        <w:rPr>
          <w:rFonts w:ascii="仿宋" w:hAnsi="仿宋" w:eastAsia="仿宋" w:cs="仿宋"/>
          <w:color w:val="auto"/>
          <w:sz w:val="24"/>
          <w:highlight w:val="none"/>
        </w:rPr>
      </w:pPr>
      <w:r>
        <w:rPr>
          <w:rFonts w:hint="eastAsia" w:ascii="仿宋" w:hAnsi="仿宋" w:eastAsia="仿宋" w:cs="仿宋"/>
          <w:color w:val="auto"/>
          <w:sz w:val="24"/>
          <w:highlight w:val="none"/>
        </w:rPr>
        <w:t>投标供应商全称（公章）：</w:t>
      </w:r>
    </w:p>
    <w:p w14:paraId="45F150DA">
      <w:pPr>
        <w:snapToGrid w:val="0"/>
        <w:spacing w:before="120" w:beforeLines="50"/>
        <w:ind w:firstLine="3780"/>
        <w:rPr>
          <w:rFonts w:ascii="仿宋" w:hAnsi="仿宋" w:eastAsia="仿宋" w:cs="仿宋"/>
          <w:color w:val="auto"/>
          <w:sz w:val="24"/>
          <w:szCs w:val="20"/>
          <w:highlight w:val="none"/>
          <w:u w:val="single"/>
        </w:rPr>
      </w:pPr>
      <w:r>
        <w:rPr>
          <w:rFonts w:hint="eastAsia" w:ascii="仿宋" w:hAnsi="仿宋" w:eastAsia="仿宋" w:cs="仿宋"/>
          <w:color w:val="auto"/>
          <w:sz w:val="24"/>
          <w:highlight w:val="none"/>
        </w:rPr>
        <w:t>法定代表人或其授权代表签字：</w:t>
      </w:r>
    </w:p>
    <w:p w14:paraId="64E22792">
      <w:pPr>
        <w:snapToGrid w:val="0"/>
        <w:spacing w:before="120" w:beforeLines="50" w:after="50"/>
        <w:ind w:firstLine="240" w:firstLineChars="100"/>
        <w:rPr>
          <w:rFonts w:ascii="仿宋" w:hAnsi="仿宋" w:eastAsia="仿宋" w:cs="仿宋"/>
          <w:color w:val="auto"/>
          <w:sz w:val="24"/>
          <w:szCs w:val="20"/>
          <w:highlight w:val="none"/>
        </w:rPr>
        <w:sectPr>
          <w:headerReference r:id="rId4" w:type="default"/>
          <w:footerReference r:id="rId5" w:type="default"/>
          <w:pgSz w:w="11906" w:h="16838"/>
          <w:pgMar w:top="1247" w:right="1304" w:bottom="1020" w:left="1304" w:header="567" w:footer="720" w:gutter="0"/>
          <w:cols w:space="720" w:num="1"/>
          <w:docGrid w:linePitch="312" w:charSpace="0"/>
        </w:sectPr>
      </w:pPr>
      <w:r>
        <w:rPr>
          <w:rFonts w:hint="eastAsia" w:ascii="仿宋" w:hAnsi="仿宋" w:eastAsia="仿宋" w:cs="仿宋"/>
          <w:color w:val="auto"/>
          <w:sz w:val="24"/>
          <w:highlight w:val="none"/>
        </w:rPr>
        <w:t xml:space="preserve">                                             年    月  </w:t>
      </w:r>
    </w:p>
    <w:p w14:paraId="2C73039F">
      <w:pPr>
        <w:autoSpaceDE w:val="0"/>
        <w:autoSpaceDN w:val="0"/>
        <w:adjustRightInd w:val="0"/>
        <w:spacing w:line="360" w:lineRule="auto"/>
        <w:jc w:val="left"/>
        <w:rPr>
          <w:rFonts w:ascii="仿宋" w:hAnsi="仿宋" w:eastAsia="仿宋" w:cs="仿宋"/>
          <w:b/>
          <w:bCs/>
          <w:color w:val="auto"/>
          <w:sz w:val="24"/>
          <w:highlight w:val="none"/>
        </w:rPr>
      </w:pPr>
    </w:p>
    <w:p w14:paraId="3AFBD948">
      <w:pPr>
        <w:autoSpaceDE w:val="0"/>
        <w:autoSpaceDN w:val="0"/>
        <w:adjustRightInd w:val="0"/>
        <w:spacing w:line="360" w:lineRule="auto"/>
        <w:ind w:firstLine="602" w:firstLineChars="250"/>
        <w:jc w:val="left"/>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lang w:val="zh-CN"/>
        </w:rPr>
        <w:t>. 报价文件：</w:t>
      </w:r>
    </w:p>
    <w:p w14:paraId="40E5B7A9">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1）投标函；</w:t>
      </w:r>
    </w:p>
    <w:p w14:paraId="382578AE">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2）报价一览表；</w:t>
      </w:r>
    </w:p>
    <w:p w14:paraId="615EE744">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3）项目报价明细表；</w:t>
      </w:r>
    </w:p>
    <w:p w14:paraId="0A9CC4FF">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rPr>
        <w:t>）残疾人福利企业声明函及相关证明材料（若有，格式见附件）；</w:t>
      </w:r>
    </w:p>
    <w:p w14:paraId="5867C4A2">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）属于监狱企业的相关证明文件（若有）；</w:t>
      </w:r>
    </w:p>
    <w:p w14:paraId="08585E56">
      <w:pPr>
        <w:autoSpaceDE w:val="0"/>
        <w:autoSpaceDN w:val="0"/>
        <w:adjustRightInd w:val="0"/>
        <w:spacing w:line="360" w:lineRule="auto"/>
        <w:ind w:firstLine="360" w:firstLineChars="15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）投标供应商针对报价需要说明的其他文件和说明。</w:t>
      </w:r>
    </w:p>
    <w:p w14:paraId="739607F0">
      <w:pPr>
        <w:spacing w:line="400" w:lineRule="exact"/>
        <w:jc w:val="center"/>
        <w:rPr>
          <w:rFonts w:ascii="仿宋" w:hAnsi="仿宋" w:eastAsia="仿宋" w:cs="仿宋"/>
          <w:b/>
          <w:color w:val="auto"/>
          <w:sz w:val="24"/>
          <w:szCs w:val="20"/>
          <w:highlight w:val="none"/>
        </w:rPr>
      </w:pPr>
      <w:r>
        <w:rPr>
          <w:rFonts w:hint="eastAsia" w:ascii="仿宋" w:hAnsi="仿宋" w:eastAsia="仿宋" w:cs="仿宋"/>
          <w:b/>
          <w:bCs/>
          <w:color w:val="auto"/>
          <w:spacing w:val="14"/>
          <w:sz w:val="30"/>
          <w:highlight w:val="none"/>
        </w:rPr>
        <w:br w:type="page"/>
      </w:r>
      <w:r>
        <w:rPr>
          <w:rFonts w:hint="eastAsia" w:ascii="仿宋" w:hAnsi="仿宋" w:eastAsia="仿宋" w:cs="仿宋"/>
          <w:b/>
          <w:color w:val="auto"/>
          <w:sz w:val="24"/>
          <w:szCs w:val="20"/>
          <w:highlight w:val="none"/>
        </w:rPr>
        <w:t xml:space="preserve"> 投标函</w:t>
      </w:r>
    </w:p>
    <w:p w14:paraId="0411DEE2">
      <w:pPr>
        <w:pStyle w:val="15"/>
        <w:spacing w:line="480" w:lineRule="exact"/>
        <w:rPr>
          <w:rFonts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lang w:eastAsia="zh-CN"/>
        </w:rPr>
        <w:t>湖州泓达工程管理咨询有限公司</w:t>
      </w:r>
      <w:r>
        <w:rPr>
          <w:rFonts w:hint="eastAsia" w:ascii="仿宋" w:hAnsi="仿宋" w:eastAsia="仿宋" w:cs="仿宋"/>
          <w:b/>
          <w:color w:val="auto"/>
          <w:sz w:val="24"/>
          <w:szCs w:val="24"/>
          <w:highlight w:val="none"/>
        </w:rPr>
        <w:t>：</w:t>
      </w:r>
    </w:p>
    <w:p w14:paraId="48ED7CBE">
      <w:pPr>
        <w:autoSpaceDE w:val="0"/>
        <w:autoSpaceDN w:val="0"/>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（供应商全称）授权 （授权代表名称）（职务、职称）为授权代表，参加贵方组织的（采购项目名称）（括号内填采购编号）采购的有关活动，并对项目（采购项目名称）进行报价。为此： </w:t>
      </w:r>
    </w:p>
    <w:p w14:paraId="280B7C9D">
      <w:pPr>
        <w:autoSpaceDE w:val="0"/>
        <w:autoSpaceDN w:val="0"/>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1、提供投标供应商须知规定的全部报价文件。</w:t>
      </w:r>
    </w:p>
    <w:p w14:paraId="3A9F6429">
      <w:pPr>
        <w:autoSpaceDE w:val="0"/>
        <w:autoSpaceDN w:val="0"/>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2、保证遵守</w:t>
      </w:r>
      <w:r>
        <w:rPr>
          <w:rFonts w:hint="eastAsia" w:ascii="仿宋" w:hAnsi="仿宋" w:eastAsia="仿宋" w:cs="仿宋"/>
          <w:color w:val="auto"/>
          <w:sz w:val="24"/>
          <w:highlight w:val="none"/>
        </w:rPr>
        <w:t>公开招标</w:t>
      </w:r>
      <w:r>
        <w:rPr>
          <w:rFonts w:hint="eastAsia" w:ascii="仿宋" w:hAnsi="仿宋" w:eastAsia="仿宋" w:cs="仿宋"/>
          <w:color w:val="auto"/>
          <w:sz w:val="24"/>
          <w:highlight w:val="none"/>
          <w:lang w:val="zh-CN"/>
        </w:rPr>
        <w:t>采购文件中的有关规定和收费标准。</w:t>
      </w:r>
    </w:p>
    <w:p w14:paraId="333E538F">
      <w:pPr>
        <w:autoSpaceDE w:val="0"/>
        <w:autoSpaceDN w:val="0"/>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3、保证诚信地执行采购人、中标供应商双方所签的合同， 并承担合同规定的责任义务。</w:t>
      </w:r>
    </w:p>
    <w:p w14:paraId="051EF0C6">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lang w:val="zh-CN"/>
        </w:rPr>
        <w:t>4、我方对交货期承诺如下：中标供应商在</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zh-CN"/>
        </w:rPr>
        <w:t>按业主要求</w:t>
      </w:r>
      <w:r>
        <w:rPr>
          <w:rFonts w:hint="eastAsia" w:ascii="仿宋" w:hAnsi="仿宋" w:eastAsia="仿宋" w:cs="仿宋"/>
          <w:color w:val="auto"/>
          <w:sz w:val="24"/>
          <w:highlight w:val="none"/>
        </w:rPr>
        <w:t>交货</w:t>
      </w:r>
      <w:r>
        <w:rPr>
          <w:rFonts w:hint="eastAsia" w:ascii="仿宋" w:hAnsi="仿宋" w:eastAsia="仿宋" w:cs="仿宋"/>
          <w:color w:val="auto"/>
          <w:sz w:val="24"/>
          <w:highlight w:val="none"/>
          <w:lang w:val="zh-CN"/>
        </w:rPr>
        <w:t>。</w:t>
      </w:r>
    </w:p>
    <w:p w14:paraId="0D6BDB72">
      <w:pPr>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5、投标供应商已详细审查全部</w:t>
      </w:r>
      <w:r>
        <w:rPr>
          <w:rFonts w:hint="eastAsia" w:ascii="仿宋" w:hAnsi="仿宋" w:eastAsia="仿宋" w:cs="仿宋"/>
          <w:color w:val="auto"/>
          <w:sz w:val="24"/>
          <w:highlight w:val="none"/>
        </w:rPr>
        <w:t>公开招标</w:t>
      </w:r>
      <w:r>
        <w:rPr>
          <w:rFonts w:hint="eastAsia" w:ascii="仿宋" w:hAnsi="仿宋" w:eastAsia="仿宋" w:cs="仿宋"/>
          <w:color w:val="auto"/>
          <w:sz w:val="24"/>
          <w:highlight w:val="none"/>
          <w:lang w:val="zh-CN"/>
        </w:rPr>
        <w:t>采购文件，包括</w:t>
      </w:r>
      <w:r>
        <w:rPr>
          <w:rFonts w:hint="eastAsia" w:ascii="仿宋" w:hAnsi="仿宋" w:eastAsia="仿宋" w:cs="仿宋"/>
          <w:color w:val="auto"/>
          <w:sz w:val="24"/>
          <w:highlight w:val="none"/>
        </w:rPr>
        <w:t>公开招标</w:t>
      </w:r>
      <w:r>
        <w:rPr>
          <w:rFonts w:hint="eastAsia" w:ascii="仿宋" w:hAnsi="仿宋" w:eastAsia="仿宋" w:cs="仿宋"/>
          <w:color w:val="auto"/>
          <w:sz w:val="24"/>
          <w:highlight w:val="none"/>
          <w:lang w:val="zh-CN"/>
        </w:rPr>
        <w:t>采购文件补充文件（如果有的话）。我方完全理解并同意放弃对这方面有不明及误解的权力。如果</w:t>
      </w:r>
      <w:r>
        <w:rPr>
          <w:rFonts w:hint="eastAsia" w:ascii="仿宋" w:hAnsi="仿宋" w:eastAsia="仿宋" w:cs="仿宋"/>
          <w:color w:val="auto"/>
          <w:sz w:val="24"/>
          <w:highlight w:val="none"/>
        </w:rPr>
        <w:t>公开招标</w:t>
      </w:r>
      <w:r>
        <w:rPr>
          <w:rFonts w:hint="eastAsia" w:ascii="仿宋" w:hAnsi="仿宋" w:eastAsia="仿宋" w:cs="仿宋"/>
          <w:color w:val="auto"/>
          <w:sz w:val="24"/>
          <w:highlight w:val="none"/>
          <w:lang w:val="zh-CN"/>
        </w:rPr>
        <w:t>采购文件有相互矛盾之处，我方同意按采购人的理解处理。</w:t>
      </w:r>
    </w:p>
    <w:p w14:paraId="7F17C843">
      <w:pPr>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6、利益冲突：近三年内直至目前，我公司与本项目的采购人、采购机构没有任何的隶属关系。</w:t>
      </w:r>
    </w:p>
    <w:p w14:paraId="057FABD3">
      <w:pPr>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7、我公司没有被本项目所在地的政府采购管理部门限制参加报价。</w:t>
      </w:r>
    </w:p>
    <w:p w14:paraId="64EF966B">
      <w:pPr>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8、愿意向贵方提供任何与该项报价有关的数据、情况和技术资料，完全理解贵方不一定接受最低价的报价或收到的任何报价。</w:t>
      </w:r>
    </w:p>
    <w:p w14:paraId="20E87A2A">
      <w:pPr>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9、本报价文件自报价之日起60天内有效。</w:t>
      </w:r>
    </w:p>
    <w:p w14:paraId="36C24C61">
      <w:pPr>
        <w:spacing w:line="480" w:lineRule="exact"/>
        <w:ind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10、兹证明上述声明是真实的、正确的，并提供了全部能提供的资料和数据，我们同意遵照贵方要求出示有关证明文件。</w:t>
      </w:r>
    </w:p>
    <w:p w14:paraId="0CD5BA64">
      <w:pPr>
        <w:autoSpaceDE w:val="0"/>
        <w:autoSpaceDN w:val="0"/>
        <w:adjustRightInd w:val="0"/>
        <w:spacing w:line="480" w:lineRule="exact"/>
        <w:ind w:firstLine="588" w:firstLineChars="24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以上事项如有虚假或隐瞒，我方愿意承担一切后果，并不再寻求任何旨在减轻或免除法律责任的辩解。</w:t>
      </w:r>
    </w:p>
    <w:p w14:paraId="5A4887FC">
      <w:pPr>
        <w:autoSpaceDE w:val="0"/>
        <w:autoSpaceDN w:val="0"/>
        <w:adjustRightInd w:val="0"/>
        <w:spacing w:line="48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投标供应商全称（盖章）：</w:t>
      </w:r>
    </w:p>
    <w:p w14:paraId="57B66C54">
      <w:pPr>
        <w:autoSpaceDE w:val="0"/>
        <w:autoSpaceDN w:val="0"/>
        <w:adjustRightInd w:val="0"/>
        <w:spacing w:line="48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w:t>
      </w:r>
    </w:p>
    <w:p w14:paraId="6E80B348">
      <w:pPr>
        <w:autoSpaceDE w:val="0"/>
        <w:autoSpaceDN w:val="0"/>
        <w:adjustRightInd w:val="0"/>
        <w:spacing w:line="480" w:lineRule="exact"/>
        <w:ind w:firstLine="482" w:firstLineChars="201"/>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日期：</w:t>
      </w:r>
    </w:p>
    <w:p w14:paraId="092A0F5A">
      <w:pPr>
        <w:spacing w:line="400" w:lineRule="exact"/>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br w:type="page"/>
      </w:r>
      <w:r>
        <w:rPr>
          <w:rFonts w:hint="eastAsia" w:ascii="仿宋" w:hAnsi="仿宋" w:eastAsia="仿宋" w:cs="仿宋"/>
          <w:b/>
          <w:color w:val="auto"/>
          <w:sz w:val="24"/>
          <w:szCs w:val="20"/>
          <w:highlight w:val="none"/>
        </w:rPr>
        <w:t xml:space="preserve"> 投标报价一览表</w:t>
      </w:r>
    </w:p>
    <w:p w14:paraId="29B80CBA">
      <w:pPr>
        <w:spacing w:line="400" w:lineRule="exact"/>
        <w:jc w:val="center"/>
        <w:rPr>
          <w:rFonts w:ascii="仿宋" w:hAnsi="仿宋" w:eastAsia="仿宋" w:cs="仿宋"/>
          <w:b/>
          <w:bCs/>
          <w:color w:val="auto"/>
          <w:sz w:val="24"/>
          <w:highlight w:val="none"/>
        </w:rPr>
      </w:pPr>
    </w:p>
    <w:bookmarkEnd w:id="48"/>
    <w:p w14:paraId="79AD9C28">
      <w:pPr>
        <w:spacing w:line="600" w:lineRule="exact"/>
        <w:ind w:firstLine="309"/>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供应商全称（加盖公章）：      </w:t>
      </w:r>
    </w:p>
    <w:p w14:paraId="23BCACFA">
      <w:pPr>
        <w:spacing w:line="600" w:lineRule="exact"/>
        <w:ind w:firstLine="309"/>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项目编号：                </w:t>
      </w:r>
    </w:p>
    <w:p w14:paraId="53CBC962">
      <w:pPr>
        <w:ind w:firstLine="309"/>
        <w:rPr>
          <w:rFonts w:ascii="仿宋" w:hAnsi="仿宋" w:eastAsia="仿宋" w:cs="仿宋"/>
          <w:color w:val="auto"/>
          <w:sz w:val="24"/>
          <w:highlight w:val="none"/>
        </w:rPr>
      </w:pPr>
    </w:p>
    <w:p w14:paraId="147E0783">
      <w:pPr>
        <w:ind w:firstLine="309"/>
        <w:rPr>
          <w:rFonts w:ascii="仿宋" w:hAnsi="仿宋" w:eastAsia="仿宋" w:cs="仿宋"/>
          <w:color w:val="auto"/>
          <w:sz w:val="24"/>
          <w:highlight w:val="none"/>
        </w:rPr>
      </w:pPr>
      <w:r>
        <w:rPr>
          <w:rFonts w:hint="eastAsia" w:ascii="仿宋" w:hAnsi="仿宋" w:eastAsia="仿宋" w:cs="仿宋"/>
          <w:color w:val="auto"/>
          <w:sz w:val="24"/>
          <w:highlight w:val="none"/>
        </w:rPr>
        <w:t>投标供应商全称（加盖公章）：</w:t>
      </w:r>
    </w:p>
    <w:p w14:paraId="1EF0E6DF">
      <w:pPr>
        <w:ind w:firstLine="309"/>
        <w:rPr>
          <w:rFonts w:ascii="仿宋" w:hAnsi="仿宋" w:eastAsia="仿宋" w:cs="仿宋"/>
          <w:color w:val="auto"/>
          <w:sz w:val="24"/>
          <w:highlight w:val="none"/>
        </w:rPr>
      </w:pPr>
    </w:p>
    <w:tbl>
      <w:tblPr>
        <w:tblStyle w:val="24"/>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3218"/>
        <w:gridCol w:w="3211"/>
      </w:tblGrid>
      <w:tr w14:paraId="2A86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3211" w:type="dxa"/>
            <w:noWrap/>
          </w:tcPr>
          <w:p w14:paraId="48BC253C">
            <w:pPr>
              <w:pStyle w:val="15"/>
              <w:spacing w:line="480" w:lineRule="exact"/>
              <w:jc w:val="center"/>
              <w:rPr>
                <w:rFonts w:ascii="仿宋" w:hAnsi="仿宋" w:eastAsia="仿宋" w:cs="仿宋"/>
                <w:b/>
                <w:color w:val="auto"/>
                <w:highlight w:val="none"/>
              </w:rPr>
            </w:pPr>
            <w:r>
              <w:rPr>
                <w:rFonts w:hint="eastAsia" w:ascii="仿宋" w:hAnsi="仿宋" w:eastAsia="仿宋" w:cs="仿宋"/>
                <w:b/>
                <w:color w:val="auto"/>
                <w:highlight w:val="none"/>
              </w:rPr>
              <w:t>项目名称</w:t>
            </w:r>
          </w:p>
        </w:tc>
        <w:tc>
          <w:tcPr>
            <w:tcW w:w="3218" w:type="dxa"/>
            <w:noWrap/>
          </w:tcPr>
          <w:p w14:paraId="6851AADB">
            <w:pPr>
              <w:pStyle w:val="15"/>
              <w:spacing w:line="480" w:lineRule="exact"/>
              <w:jc w:val="center"/>
              <w:rPr>
                <w:rFonts w:ascii="仿宋" w:hAnsi="仿宋" w:eastAsia="仿宋" w:cs="仿宋"/>
                <w:b/>
                <w:color w:val="auto"/>
                <w:highlight w:val="none"/>
              </w:rPr>
            </w:pPr>
            <w:r>
              <w:rPr>
                <w:rFonts w:hint="eastAsia" w:ascii="仿宋" w:hAnsi="仿宋" w:eastAsia="仿宋" w:cs="仿宋"/>
                <w:b/>
                <w:color w:val="auto"/>
                <w:highlight w:val="none"/>
              </w:rPr>
              <w:t>投标报价（元）</w:t>
            </w:r>
          </w:p>
        </w:tc>
        <w:tc>
          <w:tcPr>
            <w:tcW w:w="3211" w:type="dxa"/>
            <w:noWrap/>
          </w:tcPr>
          <w:p w14:paraId="475C611E">
            <w:pPr>
              <w:pStyle w:val="15"/>
              <w:spacing w:line="480" w:lineRule="exact"/>
              <w:jc w:val="center"/>
              <w:rPr>
                <w:rFonts w:ascii="仿宋" w:hAnsi="仿宋" w:eastAsia="仿宋" w:cs="仿宋"/>
                <w:b/>
                <w:color w:val="auto"/>
                <w:highlight w:val="none"/>
              </w:rPr>
            </w:pPr>
            <w:r>
              <w:rPr>
                <w:rFonts w:hint="eastAsia" w:ascii="仿宋" w:hAnsi="仿宋" w:eastAsia="仿宋" w:cs="仿宋"/>
                <w:b/>
                <w:color w:val="auto"/>
                <w:highlight w:val="none"/>
              </w:rPr>
              <w:t>服务期</w:t>
            </w:r>
          </w:p>
        </w:tc>
      </w:tr>
      <w:tr w14:paraId="041E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noWrap/>
            <w:vAlign w:val="center"/>
          </w:tcPr>
          <w:p w14:paraId="562D1231">
            <w:pPr>
              <w:pStyle w:val="15"/>
              <w:spacing w:line="480" w:lineRule="exact"/>
              <w:jc w:val="center"/>
              <w:rPr>
                <w:rFonts w:ascii="仿宋" w:hAnsi="仿宋" w:eastAsia="仿宋" w:cs="仿宋"/>
                <w:b/>
                <w:color w:val="auto"/>
                <w:highlight w:val="none"/>
              </w:rPr>
            </w:pPr>
          </w:p>
        </w:tc>
        <w:tc>
          <w:tcPr>
            <w:tcW w:w="3218" w:type="dxa"/>
            <w:noWrap/>
          </w:tcPr>
          <w:p w14:paraId="3DC4E407">
            <w:pPr>
              <w:pStyle w:val="15"/>
              <w:spacing w:line="480" w:lineRule="exact"/>
              <w:rPr>
                <w:rFonts w:ascii="仿宋" w:hAnsi="仿宋" w:eastAsia="仿宋" w:cs="仿宋"/>
                <w:b/>
                <w:color w:val="auto"/>
                <w:highlight w:val="none"/>
              </w:rPr>
            </w:pPr>
          </w:p>
        </w:tc>
        <w:tc>
          <w:tcPr>
            <w:tcW w:w="3211" w:type="dxa"/>
            <w:noWrap/>
          </w:tcPr>
          <w:p w14:paraId="30668033">
            <w:pPr>
              <w:pStyle w:val="15"/>
              <w:spacing w:line="480" w:lineRule="exact"/>
              <w:jc w:val="center"/>
              <w:rPr>
                <w:rFonts w:ascii="仿宋" w:hAnsi="仿宋" w:eastAsia="仿宋" w:cs="仿宋"/>
                <w:b/>
                <w:color w:val="auto"/>
                <w:highlight w:val="none"/>
              </w:rPr>
            </w:pPr>
          </w:p>
        </w:tc>
      </w:tr>
      <w:tr w14:paraId="0F34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40" w:type="dxa"/>
            <w:gridSpan w:val="3"/>
            <w:noWrap/>
            <w:vAlign w:val="center"/>
          </w:tcPr>
          <w:p w14:paraId="3F6A68A7">
            <w:pPr>
              <w:pStyle w:val="15"/>
              <w:spacing w:line="480" w:lineRule="exact"/>
              <w:rPr>
                <w:rFonts w:ascii="仿宋" w:hAnsi="仿宋" w:eastAsia="仿宋" w:cs="仿宋"/>
                <w:b/>
                <w:color w:val="auto"/>
                <w:highlight w:val="none"/>
              </w:rPr>
            </w:pPr>
            <w:r>
              <w:rPr>
                <w:rFonts w:hint="eastAsia" w:ascii="仿宋" w:hAnsi="仿宋" w:eastAsia="仿宋" w:cs="仿宋"/>
                <w:b/>
                <w:color w:val="auto"/>
                <w:highlight w:val="none"/>
              </w:rPr>
              <w:t>备注：</w:t>
            </w:r>
          </w:p>
        </w:tc>
      </w:tr>
    </w:tbl>
    <w:p w14:paraId="3A70DBBD">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3405F640">
      <w:pPr>
        <w:numPr>
          <w:ilvl w:val="0"/>
          <w:numId w:val="9"/>
        </w:num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报价一经涂改，应在涂改处加盖单位公章或者由法定代表人或授权委托人签字或盖章，否则其投标作无效标处理。</w:t>
      </w:r>
    </w:p>
    <w:p w14:paraId="42E1F292">
      <w:pPr>
        <w:numPr>
          <w:ilvl w:val="0"/>
          <w:numId w:val="9"/>
        </w:numPr>
        <w:snapToGrid w:val="0"/>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投标费用包括项目实施所施一切费用。</w:t>
      </w:r>
    </w:p>
    <w:p w14:paraId="7F171861">
      <w:pPr>
        <w:spacing w:line="360" w:lineRule="auto"/>
        <w:rPr>
          <w:rFonts w:ascii="仿宋" w:hAnsi="仿宋" w:eastAsia="仿宋" w:cs="仿宋"/>
          <w:color w:val="auto"/>
          <w:sz w:val="24"/>
          <w:highlight w:val="none"/>
        </w:rPr>
      </w:pPr>
    </w:p>
    <w:p w14:paraId="544FAF33">
      <w:pPr>
        <w:pStyle w:val="30"/>
        <w:rPr>
          <w:rFonts w:ascii="仿宋" w:hAnsi="仿宋" w:eastAsia="仿宋" w:cs="仿宋"/>
          <w:color w:val="auto"/>
          <w:sz w:val="24"/>
          <w:highlight w:val="none"/>
        </w:rPr>
      </w:pPr>
    </w:p>
    <w:p w14:paraId="72AA7907">
      <w:pPr>
        <w:pStyle w:val="9"/>
        <w:rPr>
          <w:rFonts w:ascii="仿宋" w:hAnsi="仿宋" w:eastAsia="仿宋" w:cs="仿宋"/>
          <w:color w:val="auto"/>
          <w:sz w:val="24"/>
          <w:highlight w:val="none"/>
        </w:rPr>
      </w:pPr>
    </w:p>
    <w:p w14:paraId="5CD26F86">
      <w:pPr>
        <w:pStyle w:val="10"/>
        <w:ind w:firstLine="281"/>
        <w:rPr>
          <w:color w:val="auto"/>
          <w:highlight w:val="none"/>
        </w:rPr>
      </w:pPr>
    </w:p>
    <w:p w14:paraId="262D5062">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法定代表人或法定代表人授权代理人签字或盖章：</w:t>
      </w:r>
    </w:p>
    <w:p w14:paraId="3447B2F1">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0D5FD22">
      <w:pPr>
        <w:spacing w:line="600" w:lineRule="exact"/>
        <w:ind w:firstLine="480" w:firstLineChars="200"/>
        <w:rPr>
          <w:rFonts w:ascii="仿宋" w:hAnsi="仿宋" w:eastAsia="仿宋" w:cs="仿宋"/>
          <w:color w:val="auto"/>
          <w:sz w:val="24"/>
          <w:highlight w:val="none"/>
        </w:rPr>
      </w:pPr>
    </w:p>
    <w:p w14:paraId="51A291B9">
      <w:pPr>
        <w:pStyle w:val="23"/>
        <w:ind w:firstLine="482"/>
        <w:rPr>
          <w:rFonts w:ascii="仿宋" w:hAnsi="仿宋" w:eastAsia="仿宋" w:cs="仿宋"/>
          <w:color w:val="auto"/>
          <w:sz w:val="24"/>
          <w:highlight w:val="none"/>
        </w:rPr>
      </w:pPr>
    </w:p>
    <w:p w14:paraId="2594B016">
      <w:pPr>
        <w:pStyle w:val="23"/>
        <w:ind w:firstLine="482"/>
        <w:rPr>
          <w:rFonts w:ascii="仿宋" w:hAnsi="仿宋" w:eastAsia="仿宋" w:cs="仿宋"/>
          <w:color w:val="auto"/>
          <w:sz w:val="24"/>
          <w:highlight w:val="none"/>
        </w:rPr>
      </w:pPr>
    </w:p>
    <w:p w14:paraId="30242652">
      <w:pPr>
        <w:pStyle w:val="23"/>
        <w:ind w:left="0" w:leftChars="0" w:firstLine="0" w:firstLineChars="0"/>
        <w:rPr>
          <w:rFonts w:ascii="仿宋" w:hAnsi="仿宋" w:eastAsia="仿宋" w:cs="仿宋"/>
          <w:bCs/>
          <w:color w:val="auto"/>
          <w:sz w:val="28"/>
          <w:szCs w:val="28"/>
          <w:highlight w:val="none"/>
        </w:rPr>
      </w:pPr>
    </w:p>
    <w:p w14:paraId="1A42152B">
      <w:pPr>
        <w:spacing w:line="400" w:lineRule="exact"/>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报价明细表（根据需要格式自拟）</w:t>
      </w:r>
    </w:p>
    <w:p w14:paraId="7FCE2D99">
      <w:pPr>
        <w:spacing w:line="400" w:lineRule="exact"/>
        <w:jc w:val="center"/>
        <w:rPr>
          <w:rFonts w:ascii="仿宋" w:hAnsi="仿宋" w:eastAsia="仿宋" w:cs="仿宋"/>
          <w:b/>
          <w:color w:val="auto"/>
          <w:sz w:val="24"/>
          <w:szCs w:val="20"/>
          <w:highlight w:val="none"/>
        </w:rPr>
      </w:pPr>
    </w:p>
    <w:p w14:paraId="5AD240F8">
      <w:pPr>
        <w:spacing w:line="400" w:lineRule="exact"/>
        <w:jc w:val="center"/>
        <w:rPr>
          <w:rFonts w:ascii="仿宋" w:hAnsi="仿宋" w:eastAsia="仿宋" w:cs="仿宋"/>
          <w:b/>
          <w:color w:val="auto"/>
          <w:sz w:val="24"/>
          <w:szCs w:val="20"/>
          <w:highlight w:val="none"/>
        </w:rPr>
      </w:pPr>
    </w:p>
    <w:p w14:paraId="1425E9D5">
      <w:pPr>
        <w:spacing w:line="400" w:lineRule="exact"/>
        <w:rPr>
          <w:rFonts w:ascii="仿宋" w:hAnsi="仿宋" w:eastAsia="仿宋" w:cs="仿宋"/>
          <w:b/>
          <w:color w:val="auto"/>
          <w:highlight w:val="none"/>
        </w:rPr>
      </w:pPr>
      <w:r>
        <w:rPr>
          <w:rFonts w:hint="eastAsia" w:ascii="仿宋" w:hAnsi="仿宋" w:eastAsia="仿宋" w:cs="仿宋"/>
          <w:color w:val="auto"/>
          <w:sz w:val="24"/>
          <w:highlight w:val="none"/>
        </w:rPr>
        <w:t>投标人全称（加盖公章）：                    招标文件编号：</w:t>
      </w:r>
    </w:p>
    <w:p w14:paraId="14163343">
      <w:pPr>
        <w:spacing w:line="46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投标单位：(盖章) </w:t>
      </w:r>
    </w:p>
    <w:p w14:paraId="3337C138">
      <w:pPr>
        <w:spacing w:line="460" w:lineRule="exact"/>
        <w:jc w:val="left"/>
        <w:rPr>
          <w:rFonts w:ascii="仿宋" w:hAnsi="仿宋" w:eastAsia="仿宋" w:cs="仿宋"/>
          <w:color w:val="auto"/>
          <w:kern w:val="0"/>
          <w:szCs w:val="21"/>
          <w:highlight w:val="none"/>
        </w:rPr>
      </w:pPr>
    </w:p>
    <w:p w14:paraId="41FB6108">
      <w:pPr>
        <w:pStyle w:val="23"/>
        <w:ind w:firstLine="482"/>
        <w:jc w:val="center"/>
        <w:rPr>
          <w:rFonts w:ascii="仿宋" w:hAnsi="仿宋" w:eastAsia="仿宋" w:cs="仿宋"/>
          <w:bCs/>
          <w:color w:val="auto"/>
          <w:sz w:val="24"/>
          <w:highlight w:val="none"/>
        </w:rPr>
      </w:pPr>
    </w:p>
    <w:p w14:paraId="34364B6F">
      <w:pPr>
        <w:pStyle w:val="23"/>
        <w:ind w:firstLine="482"/>
        <w:jc w:val="center"/>
        <w:rPr>
          <w:rFonts w:ascii="仿宋" w:hAnsi="仿宋" w:eastAsia="仿宋" w:cs="仿宋"/>
          <w:bCs/>
          <w:color w:val="auto"/>
          <w:sz w:val="24"/>
          <w:highlight w:val="none"/>
        </w:rPr>
      </w:pPr>
    </w:p>
    <w:p w14:paraId="4676F93D">
      <w:pPr>
        <w:pStyle w:val="23"/>
        <w:ind w:firstLine="482"/>
        <w:jc w:val="center"/>
        <w:rPr>
          <w:rFonts w:ascii="仿宋" w:hAnsi="仿宋" w:eastAsia="仿宋" w:cs="仿宋"/>
          <w:bCs/>
          <w:color w:val="auto"/>
          <w:sz w:val="24"/>
          <w:highlight w:val="none"/>
        </w:rPr>
      </w:pPr>
    </w:p>
    <w:p w14:paraId="4CE6B976">
      <w:pPr>
        <w:spacing w:line="400" w:lineRule="exact"/>
        <w:jc w:val="center"/>
        <w:rPr>
          <w:rFonts w:ascii="仿宋" w:hAnsi="仿宋" w:eastAsia="仿宋" w:cs="仿宋"/>
          <w:b/>
          <w:color w:val="auto"/>
          <w:sz w:val="24"/>
          <w:szCs w:val="20"/>
          <w:highlight w:val="none"/>
        </w:rPr>
      </w:pPr>
    </w:p>
    <w:p w14:paraId="21775233">
      <w:pPr>
        <w:spacing w:line="400" w:lineRule="exact"/>
        <w:jc w:val="center"/>
        <w:rPr>
          <w:rFonts w:ascii="仿宋" w:hAnsi="仿宋" w:eastAsia="仿宋" w:cs="仿宋"/>
          <w:b/>
          <w:color w:val="auto"/>
          <w:sz w:val="24"/>
          <w:szCs w:val="20"/>
          <w:highlight w:val="none"/>
        </w:rPr>
      </w:pPr>
    </w:p>
    <w:p w14:paraId="71EE50FE">
      <w:pPr>
        <w:spacing w:line="400" w:lineRule="exact"/>
        <w:jc w:val="center"/>
        <w:rPr>
          <w:rFonts w:ascii="仿宋" w:hAnsi="仿宋" w:eastAsia="仿宋" w:cs="仿宋"/>
          <w:b/>
          <w:color w:val="auto"/>
          <w:sz w:val="24"/>
          <w:szCs w:val="20"/>
          <w:highlight w:val="none"/>
        </w:rPr>
      </w:pPr>
    </w:p>
    <w:p w14:paraId="36477C4E">
      <w:pPr>
        <w:spacing w:line="400" w:lineRule="exact"/>
        <w:jc w:val="center"/>
        <w:rPr>
          <w:rFonts w:ascii="仿宋" w:hAnsi="仿宋" w:eastAsia="仿宋" w:cs="仿宋"/>
          <w:b/>
          <w:color w:val="auto"/>
          <w:sz w:val="24"/>
          <w:szCs w:val="20"/>
          <w:highlight w:val="none"/>
        </w:rPr>
      </w:pPr>
    </w:p>
    <w:p w14:paraId="3A07CC56">
      <w:pPr>
        <w:spacing w:line="400" w:lineRule="exact"/>
        <w:jc w:val="center"/>
        <w:rPr>
          <w:rFonts w:ascii="仿宋" w:hAnsi="仿宋" w:eastAsia="仿宋" w:cs="仿宋"/>
          <w:b/>
          <w:color w:val="auto"/>
          <w:sz w:val="24"/>
          <w:szCs w:val="20"/>
          <w:highlight w:val="none"/>
        </w:rPr>
      </w:pPr>
    </w:p>
    <w:p w14:paraId="42646E22">
      <w:pPr>
        <w:spacing w:line="400" w:lineRule="exact"/>
        <w:jc w:val="center"/>
        <w:rPr>
          <w:rFonts w:ascii="仿宋" w:hAnsi="仿宋" w:eastAsia="仿宋" w:cs="仿宋"/>
          <w:b/>
          <w:color w:val="auto"/>
          <w:sz w:val="24"/>
          <w:szCs w:val="20"/>
          <w:highlight w:val="none"/>
        </w:rPr>
      </w:pPr>
    </w:p>
    <w:p w14:paraId="5C2DFA13">
      <w:pPr>
        <w:spacing w:line="400" w:lineRule="exact"/>
        <w:jc w:val="center"/>
        <w:rPr>
          <w:rFonts w:ascii="仿宋" w:hAnsi="仿宋" w:eastAsia="仿宋" w:cs="仿宋"/>
          <w:b/>
          <w:color w:val="auto"/>
          <w:sz w:val="24"/>
          <w:szCs w:val="20"/>
          <w:highlight w:val="none"/>
        </w:rPr>
      </w:pPr>
    </w:p>
    <w:p w14:paraId="60132E70">
      <w:pPr>
        <w:spacing w:line="400" w:lineRule="exact"/>
        <w:jc w:val="center"/>
        <w:rPr>
          <w:rFonts w:ascii="仿宋" w:hAnsi="仿宋" w:eastAsia="仿宋" w:cs="仿宋"/>
          <w:b/>
          <w:color w:val="auto"/>
          <w:sz w:val="24"/>
          <w:szCs w:val="20"/>
          <w:highlight w:val="none"/>
        </w:rPr>
      </w:pPr>
    </w:p>
    <w:p w14:paraId="277F9BEB">
      <w:pPr>
        <w:spacing w:line="400" w:lineRule="exact"/>
        <w:jc w:val="center"/>
        <w:rPr>
          <w:rFonts w:ascii="仿宋" w:hAnsi="仿宋" w:eastAsia="仿宋" w:cs="仿宋"/>
          <w:b/>
          <w:color w:val="auto"/>
          <w:sz w:val="24"/>
          <w:szCs w:val="20"/>
          <w:highlight w:val="none"/>
        </w:rPr>
      </w:pPr>
    </w:p>
    <w:p w14:paraId="0D5A7630">
      <w:pPr>
        <w:spacing w:line="400" w:lineRule="exact"/>
        <w:jc w:val="center"/>
        <w:rPr>
          <w:rFonts w:ascii="仿宋" w:hAnsi="仿宋" w:eastAsia="仿宋" w:cs="仿宋"/>
          <w:b/>
          <w:color w:val="auto"/>
          <w:sz w:val="24"/>
          <w:szCs w:val="20"/>
          <w:highlight w:val="none"/>
        </w:rPr>
      </w:pPr>
    </w:p>
    <w:p w14:paraId="5BC0AA41">
      <w:pPr>
        <w:spacing w:line="400" w:lineRule="exact"/>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br w:type="page"/>
      </w:r>
    </w:p>
    <w:p w14:paraId="604D915C">
      <w:pPr>
        <w:widowControl/>
        <w:jc w:val="center"/>
        <w:rPr>
          <w:rFonts w:ascii="仿宋" w:hAnsi="仿宋" w:eastAsia="仿宋" w:cs="仿宋"/>
          <w:b/>
          <w:color w:val="auto"/>
          <w:sz w:val="24"/>
          <w:szCs w:val="20"/>
          <w:highlight w:val="none"/>
        </w:rPr>
      </w:pPr>
    </w:p>
    <w:p w14:paraId="76A0110C">
      <w:pPr>
        <w:widowControl/>
        <w:jc w:val="center"/>
        <w:rPr>
          <w:rFonts w:ascii="仿宋" w:hAnsi="仿宋" w:eastAsia="仿宋" w:cs="仿宋"/>
          <w:b/>
          <w:color w:val="auto"/>
          <w:sz w:val="24"/>
          <w:szCs w:val="20"/>
          <w:highlight w:val="none"/>
        </w:rPr>
      </w:pPr>
    </w:p>
    <w:p w14:paraId="79E9A858">
      <w:pPr>
        <w:widowControl/>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商务响应表</w:t>
      </w:r>
    </w:p>
    <w:p w14:paraId="3F00D2AF">
      <w:pPr>
        <w:spacing w:line="360" w:lineRule="auto"/>
        <w:jc w:val="center"/>
        <w:rPr>
          <w:rFonts w:ascii="仿宋" w:hAnsi="仿宋" w:eastAsia="仿宋" w:cs="仿宋"/>
          <w:color w:val="auto"/>
          <w:sz w:val="28"/>
          <w:szCs w:val="28"/>
          <w:highlight w:val="none"/>
        </w:rPr>
      </w:pP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1985"/>
        <w:gridCol w:w="3118"/>
      </w:tblGrid>
      <w:tr w14:paraId="7ADE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9" w:type="dxa"/>
            <w:noWrap/>
            <w:vAlign w:val="center"/>
          </w:tcPr>
          <w:p w14:paraId="462774D0">
            <w:pPr>
              <w:snapToGrid w:val="0"/>
              <w:spacing w:before="50" w:after="156" w:after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977" w:type="dxa"/>
            <w:noWrap/>
            <w:vAlign w:val="center"/>
          </w:tcPr>
          <w:p w14:paraId="7B7DA7CA">
            <w:pPr>
              <w:snapToGrid w:val="0"/>
              <w:spacing w:before="50" w:after="156" w:after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公开招标采购文件要求</w:t>
            </w:r>
          </w:p>
        </w:tc>
        <w:tc>
          <w:tcPr>
            <w:tcW w:w="1985" w:type="dxa"/>
            <w:noWrap/>
            <w:vAlign w:val="center"/>
          </w:tcPr>
          <w:p w14:paraId="6407081C">
            <w:pPr>
              <w:snapToGrid w:val="0"/>
              <w:spacing w:before="50" w:after="156" w:after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是否投标</w:t>
            </w:r>
          </w:p>
        </w:tc>
        <w:tc>
          <w:tcPr>
            <w:tcW w:w="3118" w:type="dxa"/>
            <w:noWrap/>
            <w:vAlign w:val="center"/>
          </w:tcPr>
          <w:p w14:paraId="7855580D">
            <w:pPr>
              <w:snapToGrid w:val="0"/>
              <w:spacing w:before="50" w:after="156" w:after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投标供应商承诺及偏离说明</w:t>
            </w:r>
          </w:p>
        </w:tc>
      </w:tr>
      <w:tr w14:paraId="1C91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ign w:val="center"/>
          </w:tcPr>
          <w:p w14:paraId="093058F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2977" w:type="dxa"/>
            <w:noWrap/>
            <w:vAlign w:val="center"/>
          </w:tcPr>
          <w:p w14:paraId="3A57AF41">
            <w:pPr>
              <w:snapToGrid w:val="0"/>
              <w:spacing w:before="50" w:after="156" w:afterLines="50"/>
              <w:ind w:firstLine="480"/>
              <w:jc w:val="center"/>
              <w:rPr>
                <w:rFonts w:ascii="仿宋" w:hAnsi="仿宋" w:eastAsia="仿宋" w:cs="仿宋"/>
                <w:color w:val="auto"/>
                <w:sz w:val="24"/>
                <w:highlight w:val="none"/>
              </w:rPr>
            </w:pPr>
          </w:p>
        </w:tc>
        <w:tc>
          <w:tcPr>
            <w:tcW w:w="1985" w:type="dxa"/>
            <w:noWrap/>
            <w:vAlign w:val="center"/>
          </w:tcPr>
          <w:p w14:paraId="1EC8A0BF">
            <w:pPr>
              <w:snapToGrid w:val="0"/>
              <w:spacing w:before="50" w:after="156" w:afterLines="50"/>
              <w:ind w:firstLine="480"/>
              <w:jc w:val="center"/>
              <w:rPr>
                <w:rFonts w:ascii="仿宋" w:hAnsi="仿宋" w:eastAsia="仿宋" w:cs="仿宋"/>
                <w:color w:val="auto"/>
                <w:sz w:val="24"/>
                <w:highlight w:val="none"/>
              </w:rPr>
            </w:pPr>
          </w:p>
        </w:tc>
        <w:tc>
          <w:tcPr>
            <w:tcW w:w="3118" w:type="dxa"/>
            <w:noWrap/>
            <w:vAlign w:val="center"/>
          </w:tcPr>
          <w:p w14:paraId="27716719">
            <w:pPr>
              <w:snapToGrid w:val="0"/>
              <w:spacing w:before="50" w:after="156" w:afterLines="50"/>
              <w:ind w:firstLine="480"/>
              <w:jc w:val="center"/>
              <w:rPr>
                <w:rFonts w:ascii="仿宋" w:hAnsi="仿宋" w:eastAsia="仿宋" w:cs="仿宋"/>
                <w:color w:val="auto"/>
                <w:sz w:val="24"/>
                <w:highlight w:val="none"/>
              </w:rPr>
            </w:pPr>
          </w:p>
        </w:tc>
      </w:tr>
      <w:tr w14:paraId="1A01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ign w:val="center"/>
          </w:tcPr>
          <w:p w14:paraId="09C50A2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2977" w:type="dxa"/>
            <w:noWrap/>
            <w:vAlign w:val="center"/>
          </w:tcPr>
          <w:p w14:paraId="661A79AF">
            <w:pPr>
              <w:snapToGrid w:val="0"/>
              <w:spacing w:before="50" w:after="156" w:afterLines="50"/>
              <w:ind w:firstLine="480"/>
              <w:jc w:val="center"/>
              <w:rPr>
                <w:rFonts w:ascii="仿宋" w:hAnsi="仿宋" w:eastAsia="仿宋" w:cs="仿宋"/>
                <w:color w:val="auto"/>
                <w:sz w:val="24"/>
                <w:highlight w:val="none"/>
              </w:rPr>
            </w:pPr>
          </w:p>
        </w:tc>
        <w:tc>
          <w:tcPr>
            <w:tcW w:w="1985" w:type="dxa"/>
            <w:noWrap/>
            <w:vAlign w:val="center"/>
          </w:tcPr>
          <w:p w14:paraId="475EF807">
            <w:pPr>
              <w:snapToGrid w:val="0"/>
              <w:spacing w:before="50" w:after="156" w:afterLines="50"/>
              <w:ind w:firstLine="480"/>
              <w:jc w:val="center"/>
              <w:rPr>
                <w:rFonts w:ascii="仿宋" w:hAnsi="仿宋" w:eastAsia="仿宋" w:cs="仿宋"/>
                <w:color w:val="auto"/>
                <w:sz w:val="24"/>
                <w:highlight w:val="none"/>
              </w:rPr>
            </w:pPr>
          </w:p>
        </w:tc>
        <w:tc>
          <w:tcPr>
            <w:tcW w:w="3118" w:type="dxa"/>
            <w:noWrap/>
            <w:vAlign w:val="center"/>
          </w:tcPr>
          <w:p w14:paraId="3378FD44">
            <w:pPr>
              <w:snapToGrid w:val="0"/>
              <w:spacing w:before="50" w:after="156" w:afterLines="50"/>
              <w:ind w:firstLine="480"/>
              <w:jc w:val="center"/>
              <w:rPr>
                <w:rFonts w:ascii="仿宋" w:hAnsi="仿宋" w:eastAsia="仿宋" w:cs="仿宋"/>
                <w:color w:val="auto"/>
                <w:sz w:val="24"/>
                <w:highlight w:val="none"/>
              </w:rPr>
            </w:pPr>
          </w:p>
        </w:tc>
      </w:tr>
      <w:tr w14:paraId="76AF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ign w:val="center"/>
          </w:tcPr>
          <w:p w14:paraId="7D44B6D7">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供货期</w:t>
            </w:r>
          </w:p>
        </w:tc>
        <w:tc>
          <w:tcPr>
            <w:tcW w:w="2977" w:type="dxa"/>
            <w:noWrap/>
            <w:vAlign w:val="center"/>
          </w:tcPr>
          <w:p w14:paraId="0576826C">
            <w:pPr>
              <w:snapToGrid w:val="0"/>
              <w:spacing w:before="50" w:after="156" w:afterLines="50"/>
              <w:ind w:firstLine="480"/>
              <w:jc w:val="left"/>
              <w:rPr>
                <w:rFonts w:ascii="仿宋" w:hAnsi="仿宋" w:eastAsia="仿宋" w:cs="仿宋"/>
                <w:color w:val="auto"/>
                <w:sz w:val="24"/>
                <w:highlight w:val="none"/>
              </w:rPr>
            </w:pPr>
          </w:p>
        </w:tc>
        <w:tc>
          <w:tcPr>
            <w:tcW w:w="1985" w:type="dxa"/>
            <w:noWrap/>
            <w:vAlign w:val="center"/>
          </w:tcPr>
          <w:p w14:paraId="0EEEE584">
            <w:pPr>
              <w:snapToGrid w:val="0"/>
              <w:spacing w:before="50" w:after="156" w:afterLines="50"/>
              <w:ind w:firstLine="480"/>
              <w:jc w:val="center"/>
              <w:rPr>
                <w:rFonts w:ascii="仿宋" w:hAnsi="仿宋" w:eastAsia="仿宋" w:cs="仿宋"/>
                <w:color w:val="auto"/>
                <w:sz w:val="24"/>
                <w:highlight w:val="none"/>
              </w:rPr>
            </w:pPr>
          </w:p>
        </w:tc>
        <w:tc>
          <w:tcPr>
            <w:tcW w:w="3118" w:type="dxa"/>
            <w:noWrap/>
            <w:vAlign w:val="center"/>
          </w:tcPr>
          <w:p w14:paraId="076F1662">
            <w:pPr>
              <w:snapToGrid w:val="0"/>
              <w:spacing w:before="50" w:after="156" w:afterLines="50"/>
              <w:ind w:firstLine="480"/>
              <w:jc w:val="center"/>
              <w:rPr>
                <w:rFonts w:ascii="仿宋" w:hAnsi="仿宋" w:eastAsia="仿宋" w:cs="仿宋"/>
                <w:color w:val="auto"/>
                <w:sz w:val="24"/>
                <w:highlight w:val="none"/>
              </w:rPr>
            </w:pPr>
          </w:p>
        </w:tc>
      </w:tr>
      <w:tr w14:paraId="37E5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ign w:val="center"/>
          </w:tcPr>
          <w:p w14:paraId="1BA9B94D">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服务质量要求</w:t>
            </w:r>
          </w:p>
        </w:tc>
        <w:tc>
          <w:tcPr>
            <w:tcW w:w="2977" w:type="dxa"/>
            <w:noWrap/>
            <w:vAlign w:val="center"/>
          </w:tcPr>
          <w:p w14:paraId="0FE8A596">
            <w:pPr>
              <w:snapToGrid w:val="0"/>
              <w:spacing w:before="50" w:after="156" w:afterLines="50"/>
              <w:ind w:firstLine="480"/>
              <w:jc w:val="center"/>
              <w:rPr>
                <w:rFonts w:ascii="仿宋" w:hAnsi="仿宋" w:eastAsia="仿宋" w:cs="仿宋"/>
                <w:color w:val="auto"/>
                <w:sz w:val="24"/>
                <w:highlight w:val="none"/>
              </w:rPr>
            </w:pPr>
          </w:p>
        </w:tc>
        <w:tc>
          <w:tcPr>
            <w:tcW w:w="1985" w:type="dxa"/>
            <w:noWrap/>
            <w:vAlign w:val="center"/>
          </w:tcPr>
          <w:p w14:paraId="5B01567D">
            <w:pPr>
              <w:snapToGrid w:val="0"/>
              <w:spacing w:before="50" w:after="156" w:afterLines="50"/>
              <w:ind w:firstLine="480"/>
              <w:jc w:val="center"/>
              <w:rPr>
                <w:rFonts w:ascii="仿宋" w:hAnsi="仿宋" w:eastAsia="仿宋" w:cs="仿宋"/>
                <w:color w:val="auto"/>
                <w:sz w:val="24"/>
                <w:highlight w:val="none"/>
              </w:rPr>
            </w:pPr>
          </w:p>
        </w:tc>
        <w:tc>
          <w:tcPr>
            <w:tcW w:w="3118" w:type="dxa"/>
            <w:noWrap/>
            <w:vAlign w:val="center"/>
          </w:tcPr>
          <w:p w14:paraId="3F0051B4">
            <w:pPr>
              <w:snapToGrid w:val="0"/>
              <w:spacing w:before="50" w:after="156" w:afterLines="50"/>
              <w:ind w:firstLine="480"/>
              <w:jc w:val="center"/>
              <w:rPr>
                <w:rFonts w:ascii="仿宋" w:hAnsi="仿宋" w:eastAsia="仿宋" w:cs="仿宋"/>
                <w:color w:val="auto"/>
                <w:sz w:val="24"/>
                <w:highlight w:val="none"/>
              </w:rPr>
            </w:pPr>
          </w:p>
        </w:tc>
      </w:tr>
      <w:tr w14:paraId="3FDA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ign w:val="center"/>
          </w:tcPr>
          <w:p w14:paraId="39E930DF">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维修响应时间</w:t>
            </w:r>
          </w:p>
        </w:tc>
        <w:tc>
          <w:tcPr>
            <w:tcW w:w="2977" w:type="dxa"/>
            <w:noWrap/>
            <w:vAlign w:val="center"/>
          </w:tcPr>
          <w:p w14:paraId="3AB56917">
            <w:pPr>
              <w:snapToGrid w:val="0"/>
              <w:spacing w:before="50" w:after="156" w:afterLines="50"/>
              <w:ind w:firstLine="480"/>
              <w:rPr>
                <w:rFonts w:ascii="仿宋" w:hAnsi="仿宋" w:eastAsia="仿宋" w:cs="仿宋"/>
                <w:color w:val="auto"/>
                <w:sz w:val="24"/>
                <w:highlight w:val="none"/>
              </w:rPr>
            </w:pPr>
          </w:p>
        </w:tc>
        <w:tc>
          <w:tcPr>
            <w:tcW w:w="1985" w:type="dxa"/>
            <w:noWrap/>
            <w:vAlign w:val="center"/>
          </w:tcPr>
          <w:p w14:paraId="4B43E0ED">
            <w:pPr>
              <w:snapToGrid w:val="0"/>
              <w:spacing w:before="50" w:after="156" w:afterLines="50"/>
              <w:ind w:firstLine="480"/>
              <w:jc w:val="center"/>
              <w:rPr>
                <w:rFonts w:ascii="仿宋" w:hAnsi="仿宋" w:eastAsia="仿宋" w:cs="仿宋"/>
                <w:color w:val="auto"/>
                <w:sz w:val="24"/>
                <w:highlight w:val="none"/>
              </w:rPr>
            </w:pPr>
          </w:p>
        </w:tc>
        <w:tc>
          <w:tcPr>
            <w:tcW w:w="3118" w:type="dxa"/>
            <w:noWrap/>
            <w:vAlign w:val="center"/>
          </w:tcPr>
          <w:p w14:paraId="7A70B716">
            <w:pPr>
              <w:snapToGrid w:val="0"/>
              <w:spacing w:before="50" w:after="156" w:afterLines="50"/>
              <w:ind w:firstLine="480"/>
              <w:jc w:val="center"/>
              <w:rPr>
                <w:rFonts w:ascii="仿宋" w:hAnsi="仿宋" w:eastAsia="仿宋" w:cs="仿宋"/>
                <w:color w:val="auto"/>
                <w:sz w:val="24"/>
                <w:highlight w:val="none"/>
              </w:rPr>
            </w:pPr>
          </w:p>
        </w:tc>
      </w:tr>
      <w:tr w14:paraId="60D0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ign w:val="center"/>
          </w:tcPr>
          <w:p w14:paraId="5275637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2977" w:type="dxa"/>
            <w:noWrap/>
            <w:vAlign w:val="center"/>
          </w:tcPr>
          <w:p w14:paraId="2C36A44E">
            <w:pPr>
              <w:snapToGrid w:val="0"/>
              <w:spacing w:before="50" w:after="156" w:afterLines="50"/>
              <w:ind w:firstLine="480"/>
              <w:rPr>
                <w:rFonts w:ascii="仿宋" w:hAnsi="仿宋" w:eastAsia="仿宋" w:cs="仿宋"/>
                <w:color w:val="auto"/>
                <w:sz w:val="24"/>
                <w:highlight w:val="none"/>
              </w:rPr>
            </w:pPr>
          </w:p>
        </w:tc>
        <w:tc>
          <w:tcPr>
            <w:tcW w:w="1985" w:type="dxa"/>
            <w:noWrap/>
            <w:vAlign w:val="center"/>
          </w:tcPr>
          <w:p w14:paraId="02D0C20D">
            <w:pPr>
              <w:snapToGrid w:val="0"/>
              <w:spacing w:before="50" w:after="156" w:afterLines="50"/>
              <w:ind w:firstLine="480"/>
              <w:jc w:val="center"/>
              <w:rPr>
                <w:rFonts w:ascii="仿宋" w:hAnsi="仿宋" w:eastAsia="仿宋" w:cs="仿宋"/>
                <w:color w:val="auto"/>
                <w:sz w:val="24"/>
                <w:highlight w:val="none"/>
              </w:rPr>
            </w:pPr>
          </w:p>
        </w:tc>
        <w:tc>
          <w:tcPr>
            <w:tcW w:w="3118" w:type="dxa"/>
            <w:noWrap/>
            <w:vAlign w:val="center"/>
          </w:tcPr>
          <w:p w14:paraId="76B24C12">
            <w:pPr>
              <w:snapToGrid w:val="0"/>
              <w:spacing w:before="50" w:after="156" w:afterLines="50"/>
              <w:ind w:firstLine="480"/>
              <w:jc w:val="center"/>
              <w:rPr>
                <w:rFonts w:ascii="仿宋" w:hAnsi="仿宋" w:eastAsia="仿宋" w:cs="仿宋"/>
                <w:color w:val="auto"/>
                <w:sz w:val="24"/>
                <w:highlight w:val="none"/>
              </w:rPr>
            </w:pPr>
          </w:p>
        </w:tc>
      </w:tr>
      <w:tr w14:paraId="2BBD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noWrap/>
            <w:vAlign w:val="center"/>
          </w:tcPr>
          <w:p w14:paraId="4F804E3E">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977" w:type="dxa"/>
            <w:noWrap/>
            <w:vAlign w:val="center"/>
          </w:tcPr>
          <w:p w14:paraId="3E26E44D">
            <w:pPr>
              <w:snapToGrid w:val="0"/>
              <w:spacing w:before="50" w:after="156" w:afterLines="50"/>
              <w:ind w:firstLine="480"/>
              <w:rPr>
                <w:rFonts w:ascii="仿宋" w:hAnsi="仿宋" w:eastAsia="仿宋" w:cs="仿宋"/>
                <w:color w:val="auto"/>
                <w:sz w:val="24"/>
                <w:highlight w:val="none"/>
              </w:rPr>
            </w:pPr>
          </w:p>
        </w:tc>
        <w:tc>
          <w:tcPr>
            <w:tcW w:w="1985" w:type="dxa"/>
            <w:noWrap/>
            <w:vAlign w:val="center"/>
          </w:tcPr>
          <w:p w14:paraId="60C739E2">
            <w:pPr>
              <w:snapToGrid w:val="0"/>
              <w:spacing w:before="50" w:after="156" w:afterLines="50"/>
              <w:ind w:firstLine="480"/>
              <w:jc w:val="center"/>
              <w:rPr>
                <w:rFonts w:ascii="仿宋" w:hAnsi="仿宋" w:eastAsia="仿宋" w:cs="仿宋"/>
                <w:color w:val="auto"/>
                <w:sz w:val="24"/>
                <w:highlight w:val="none"/>
              </w:rPr>
            </w:pPr>
          </w:p>
        </w:tc>
        <w:tc>
          <w:tcPr>
            <w:tcW w:w="3118" w:type="dxa"/>
            <w:noWrap/>
            <w:vAlign w:val="center"/>
          </w:tcPr>
          <w:p w14:paraId="78A21181">
            <w:pPr>
              <w:snapToGrid w:val="0"/>
              <w:spacing w:before="50" w:after="156" w:afterLines="50"/>
              <w:ind w:firstLine="480"/>
              <w:jc w:val="center"/>
              <w:rPr>
                <w:rFonts w:ascii="仿宋" w:hAnsi="仿宋" w:eastAsia="仿宋" w:cs="仿宋"/>
                <w:color w:val="auto"/>
                <w:sz w:val="24"/>
                <w:highlight w:val="none"/>
              </w:rPr>
            </w:pPr>
          </w:p>
        </w:tc>
      </w:tr>
    </w:tbl>
    <w:p w14:paraId="1EF476AD">
      <w:pPr>
        <w:spacing w:line="480" w:lineRule="exact"/>
        <w:ind w:left="4200" w:leftChars="20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p>
    <w:p w14:paraId="155820B0">
      <w:pPr>
        <w:spacing w:line="480" w:lineRule="exact"/>
        <w:ind w:left="4200" w:leftChars="20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投标供应商公章：</w:t>
      </w:r>
    </w:p>
    <w:p w14:paraId="387721F7">
      <w:pPr>
        <w:ind w:left="4200" w:leftChars="2000"/>
        <w:jc w:val="left"/>
        <w:rPr>
          <w:rFonts w:ascii="仿宋" w:hAnsi="仿宋" w:eastAsia="仿宋" w:cs="仿宋"/>
          <w:color w:val="auto"/>
          <w:sz w:val="24"/>
          <w:highlight w:val="none"/>
        </w:rPr>
      </w:pPr>
    </w:p>
    <w:p w14:paraId="4A4E8611">
      <w:pPr>
        <w:spacing w:line="48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435B6A50">
      <w:pPr>
        <w:spacing w:after="312" w:afterLines="100" w:line="500" w:lineRule="exact"/>
        <w:rPr>
          <w:rFonts w:ascii="仿宋" w:hAnsi="仿宋" w:eastAsia="仿宋" w:cs="仿宋"/>
          <w:b/>
          <w:color w:val="auto"/>
          <w:sz w:val="44"/>
          <w:szCs w:val="44"/>
          <w:highlight w:val="none"/>
        </w:rPr>
      </w:pPr>
      <w:r>
        <w:rPr>
          <w:rFonts w:hint="eastAsia" w:ascii="仿宋" w:hAnsi="仿宋" w:eastAsia="仿宋" w:cs="仿宋"/>
          <w:color w:val="auto"/>
          <w:sz w:val="24"/>
          <w:highlight w:val="none"/>
        </w:rPr>
        <w:br w:type="page"/>
      </w:r>
    </w:p>
    <w:p w14:paraId="4615843F">
      <w:pPr>
        <w:widowControl/>
        <w:jc w:val="center"/>
        <w:rPr>
          <w:rFonts w:ascii="仿宋" w:hAnsi="仿宋" w:eastAsia="仿宋" w:cs="仿宋"/>
          <w:b/>
          <w:color w:val="auto"/>
          <w:sz w:val="24"/>
          <w:szCs w:val="20"/>
          <w:highlight w:val="none"/>
        </w:rPr>
      </w:pPr>
    </w:p>
    <w:p w14:paraId="30B1F8F7">
      <w:pPr>
        <w:widowControl/>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参加政府采购活动前 3 年内在经营活动中没有重大违法记录的声明函</w:t>
      </w:r>
    </w:p>
    <w:p w14:paraId="47F75471">
      <w:pPr>
        <w:spacing w:before="9" w:line="100" w:lineRule="exact"/>
        <w:rPr>
          <w:rFonts w:ascii="仿宋" w:hAnsi="仿宋" w:eastAsia="仿宋" w:cs="仿宋"/>
          <w:color w:val="auto"/>
          <w:sz w:val="10"/>
          <w:szCs w:val="10"/>
          <w:highlight w:val="none"/>
        </w:rPr>
      </w:pPr>
    </w:p>
    <w:p w14:paraId="1253937E">
      <w:pPr>
        <w:spacing w:line="270" w:lineRule="auto"/>
        <w:ind w:left="594" w:right="31" w:hanging="480"/>
        <w:rPr>
          <w:rFonts w:ascii="仿宋" w:hAnsi="仿宋" w:eastAsia="仿宋" w:cs="仿宋"/>
          <w:color w:val="auto"/>
          <w:sz w:val="24"/>
          <w:highlight w:val="none"/>
        </w:rPr>
      </w:pPr>
      <w:r>
        <w:rPr>
          <w:rFonts w:hint="eastAsia" w:ascii="仿宋" w:hAnsi="仿宋" w:eastAsia="仿宋" w:cs="仿宋"/>
          <w:color w:val="auto"/>
          <w:sz w:val="24"/>
          <w:highlight w:val="none"/>
          <w:u w:val="single" w:color="000000"/>
        </w:rPr>
        <w:t>（采购人）</w:t>
      </w:r>
      <w:r>
        <w:rPr>
          <w:rFonts w:hint="eastAsia" w:ascii="仿宋" w:hAnsi="仿宋" w:eastAsia="仿宋" w:cs="仿宋"/>
          <w:color w:val="auto"/>
          <w:sz w:val="24"/>
          <w:highlight w:val="none"/>
        </w:rPr>
        <w:t xml:space="preserve">： </w:t>
      </w:r>
    </w:p>
    <w:p w14:paraId="4090F272">
      <w:pPr>
        <w:spacing w:line="270" w:lineRule="auto"/>
        <w:ind w:left="567" w:leftChars="270" w:right="31"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pacing w:val="-1"/>
          <w:sz w:val="24"/>
          <w:highlight w:val="none"/>
        </w:rPr>
        <w:t>方</w:t>
      </w:r>
      <w:r>
        <w:rPr>
          <w:rFonts w:hint="eastAsia" w:ascii="仿宋" w:hAnsi="仿宋" w:eastAsia="仿宋" w:cs="仿宋"/>
          <w:color w:val="auto"/>
          <w:sz w:val="24"/>
          <w:highlight w:val="none"/>
          <w:u w:val="single" w:color="000000"/>
        </w:rPr>
        <w:t>（投标供应商</w:t>
      </w:r>
      <w:r>
        <w:rPr>
          <w:rFonts w:hint="eastAsia" w:ascii="仿宋" w:hAnsi="仿宋" w:eastAsia="仿宋" w:cs="仿宋"/>
          <w:color w:val="auto"/>
          <w:spacing w:val="-12"/>
          <w:sz w:val="24"/>
          <w:highlight w:val="none"/>
          <w:u w:val="single" w:color="000000"/>
        </w:rPr>
        <w:t>）</w:t>
      </w:r>
      <w:r>
        <w:rPr>
          <w:rFonts w:hint="eastAsia" w:ascii="仿宋" w:hAnsi="仿宋" w:eastAsia="仿宋" w:cs="仿宋"/>
          <w:color w:val="auto"/>
          <w:sz w:val="24"/>
          <w:highlight w:val="none"/>
        </w:rPr>
        <w:t>具有良好的商业信誉</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依法缴纳税收和社会保障资金</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未被列入</w:t>
      </w:r>
    </w:p>
    <w:p w14:paraId="0C822EFF">
      <w:pPr>
        <w:spacing w:before="12" w:line="271" w:lineRule="auto"/>
        <w:ind w:left="114" w:right="110"/>
        <w:rPr>
          <w:rFonts w:ascii="仿宋" w:hAnsi="仿宋" w:eastAsia="仿宋" w:cs="仿宋"/>
          <w:color w:val="auto"/>
          <w:sz w:val="24"/>
          <w:highlight w:val="none"/>
        </w:rPr>
      </w:pPr>
      <w:r>
        <w:rPr>
          <w:rFonts w:hint="eastAsia" w:ascii="仿宋" w:hAnsi="仿宋" w:eastAsia="仿宋" w:cs="仿宋"/>
          <w:color w:val="auto"/>
          <w:sz w:val="24"/>
          <w:highlight w:val="none"/>
        </w:rPr>
        <w:t>失信被执行人名单、重大税收违法案件当事人名单、政府采购严重违法失信行为记录 名单，参加本次政府采购活动前 3年内在经营活动中没有重大违法记录（没有因违法 经营受到刑事处罚，没有被责令停产停业、被吊销许可证或者执照、被处以较大数额 罚款等行政处罚，没有因违法经营被禁止参加政府采购活动的期限未满情形）。如有 虚假，采购人可取消我方任何资格（投标</w:t>
      </w:r>
      <w:r>
        <w:rPr>
          <w:rFonts w:hint="eastAsia" w:ascii="仿宋" w:hAnsi="仿宋" w:eastAsia="仿宋" w:cs="仿宋"/>
          <w:color w:val="auto"/>
          <w:w w:val="119"/>
          <w:sz w:val="24"/>
          <w:highlight w:val="none"/>
        </w:rPr>
        <w:t>/</w:t>
      </w:r>
      <w:r>
        <w:rPr>
          <w:rFonts w:hint="eastAsia" w:ascii="仿宋" w:hAnsi="仿宋" w:eastAsia="仿宋" w:cs="仿宋"/>
          <w:color w:val="auto"/>
          <w:sz w:val="24"/>
          <w:highlight w:val="none"/>
        </w:rPr>
        <w:t>中标</w:t>
      </w:r>
      <w:r>
        <w:rPr>
          <w:rFonts w:hint="eastAsia" w:ascii="仿宋" w:hAnsi="仿宋" w:eastAsia="仿宋" w:cs="仿宋"/>
          <w:color w:val="auto"/>
          <w:w w:val="119"/>
          <w:sz w:val="24"/>
          <w:highlight w:val="none"/>
        </w:rPr>
        <w:t>/</w:t>
      </w:r>
      <w:r>
        <w:rPr>
          <w:rFonts w:hint="eastAsia" w:ascii="仿宋" w:hAnsi="仿宋" w:eastAsia="仿宋" w:cs="仿宋"/>
          <w:color w:val="auto"/>
          <w:sz w:val="24"/>
          <w:highlight w:val="none"/>
        </w:rPr>
        <w:t>签订合同），我方对此无任何异议。</w:t>
      </w:r>
    </w:p>
    <w:p w14:paraId="760B569F">
      <w:pPr>
        <w:spacing w:before="83" w:line="934" w:lineRule="exact"/>
        <w:ind w:left="594" w:right="5990"/>
        <w:rPr>
          <w:rFonts w:ascii="仿宋" w:hAnsi="仿宋" w:eastAsia="仿宋" w:cs="仿宋"/>
          <w:color w:val="auto"/>
          <w:sz w:val="24"/>
          <w:highlight w:val="none"/>
        </w:rPr>
      </w:pPr>
      <w:r>
        <w:rPr>
          <w:rFonts w:hint="eastAsia" w:ascii="仿宋" w:hAnsi="仿宋" w:eastAsia="仿宋" w:cs="仿宋"/>
          <w:color w:val="auto"/>
          <w:sz w:val="24"/>
          <w:highlight w:val="none"/>
        </w:rPr>
        <w:t xml:space="preserve">特此承诺！ </w:t>
      </w:r>
    </w:p>
    <w:p w14:paraId="2972786D">
      <w:pPr>
        <w:ind w:firstLine="600" w:firstLineChars="25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法定代表人或委托代理人签名：</w:t>
      </w:r>
    </w:p>
    <w:p w14:paraId="2A0C6DBE">
      <w:pPr>
        <w:ind w:firstLine="600" w:firstLineChars="250"/>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投标供应商盖章：</w:t>
      </w:r>
    </w:p>
    <w:p w14:paraId="4EDCABEF">
      <w:pPr>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5F0A2AA">
      <w:pPr>
        <w:spacing w:before="83" w:line="934" w:lineRule="exact"/>
        <w:ind w:left="594" w:right="5990"/>
        <w:rPr>
          <w:rFonts w:ascii="仿宋" w:hAnsi="仿宋" w:eastAsia="仿宋" w:cs="仿宋"/>
          <w:b/>
          <w:color w:val="auto"/>
          <w:sz w:val="44"/>
          <w:szCs w:val="44"/>
          <w:highlight w:val="none"/>
        </w:rPr>
      </w:pPr>
    </w:p>
    <w:p w14:paraId="5B5322F8">
      <w:pPr>
        <w:spacing w:before="83" w:line="934" w:lineRule="exact"/>
        <w:ind w:left="594" w:right="5990"/>
        <w:rPr>
          <w:rFonts w:ascii="仿宋" w:hAnsi="仿宋" w:eastAsia="仿宋" w:cs="仿宋"/>
          <w:b/>
          <w:color w:val="auto"/>
          <w:sz w:val="44"/>
          <w:szCs w:val="44"/>
          <w:highlight w:val="none"/>
        </w:rPr>
      </w:pPr>
    </w:p>
    <w:p w14:paraId="46A4C606">
      <w:pPr>
        <w:spacing w:before="83" w:line="934" w:lineRule="exact"/>
        <w:ind w:left="594" w:right="5990"/>
        <w:rPr>
          <w:rFonts w:ascii="仿宋" w:hAnsi="仿宋" w:eastAsia="仿宋" w:cs="仿宋"/>
          <w:b/>
          <w:color w:val="auto"/>
          <w:sz w:val="44"/>
          <w:szCs w:val="44"/>
          <w:highlight w:val="none"/>
        </w:rPr>
      </w:pPr>
    </w:p>
    <w:p w14:paraId="304773CD">
      <w:pPr>
        <w:spacing w:before="83" w:line="934" w:lineRule="exact"/>
        <w:ind w:left="594" w:right="5990"/>
        <w:rPr>
          <w:rFonts w:ascii="仿宋" w:hAnsi="仿宋" w:eastAsia="仿宋" w:cs="仿宋"/>
          <w:b/>
          <w:color w:val="auto"/>
          <w:sz w:val="44"/>
          <w:szCs w:val="44"/>
          <w:highlight w:val="none"/>
        </w:rPr>
      </w:pPr>
    </w:p>
    <w:p w14:paraId="17FE5D77">
      <w:pPr>
        <w:jc w:val="center"/>
        <w:rPr>
          <w:rFonts w:ascii="仿宋" w:hAnsi="仿宋" w:eastAsia="仿宋" w:cs="仿宋"/>
          <w:b/>
          <w:color w:val="auto"/>
          <w:sz w:val="24"/>
          <w:highlight w:val="none"/>
        </w:rPr>
      </w:pPr>
    </w:p>
    <w:p w14:paraId="1985340E">
      <w:pPr>
        <w:jc w:val="center"/>
        <w:rPr>
          <w:rFonts w:ascii="仿宋" w:hAnsi="仿宋" w:eastAsia="仿宋" w:cs="仿宋"/>
          <w:b/>
          <w:color w:val="auto"/>
          <w:sz w:val="24"/>
          <w:highlight w:val="none"/>
        </w:rPr>
      </w:pPr>
    </w:p>
    <w:p w14:paraId="5BC60C7A">
      <w:pPr>
        <w:jc w:val="center"/>
        <w:rPr>
          <w:rFonts w:ascii="仿宋" w:hAnsi="仿宋" w:eastAsia="仿宋" w:cs="仿宋"/>
          <w:b/>
          <w:color w:val="auto"/>
          <w:sz w:val="24"/>
          <w:highlight w:val="none"/>
        </w:rPr>
      </w:pPr>
    </w:p>
    <w:p w14:paraId="5E8C176D">
      <w:pPr>
        <w:jc w:val="center"/>
        <w:rPr>
          <w:rFonts w:ascii="仿宋" w:hAnsi="仿宋" w:eastAsia="仿宋" w:cs="仿宋"/>
          <w:b/>
          <w:color w:val="auto"/>
          <w:sz w:val="24"/>
          <w:highlight w:val="none"/>
        </w:rPr>
      </w:pPr>
    </w:p>
    <w:p w14:paraId="77117A37">
      <w:pPr>
        <w:jc w:val="center"/>
        <w:rPr>
          <w:rFonts w:ascii="仿宋" w:hAnsi="仿宋" w:eastAsia="仿宋" w:cs="仿宋"/>
          <w:b/>
          <w:color w:val="auto"/>
          <w:sz w:val="24"/>
          <w:highlight w:val="none"/>
        </w:rPr>
      </w:pPr>
    </w:p>
    <w:p w14:paraId="3B5A1197">
      <w:pPr>
        <w:jc w:val="center"/>
        <w:rPr>
          <w:rFonts w:ascii="仿宋" w:hAnsi="仿宋" w:eastAsia="仿宋" w:cs="仿宋"/>
          <w:b/>
          <w:color w:val="auto"/>
          <w:sz w:val="24"/>
          <w:highlight w:val="none"/>
        </w:rPr>
      </w:pPr>
    </w:p>
    <w:p w14:paraId="44A21B0C">
      <w:pPr>
        <w:jc w:val="center"/>
        <w:rPr>
          <w:rFonts w:ascii="仿宋" w:hAnsi="仿宋" w:eastAsia="仿宋" w:cs="仿宋"/>
          <w:b/>
          <w:color w:val="auto"/>
          <w:sz w:val="24"/>
          <w:highlight w:val="none"/>
        </w:rPr>
      </w:pPr>
    </w:p>
    <w:p w14:paraId="46FD4FC6">
      <w:pPr>
        <w:jc w:val="center"/>
        <w:rPr>
          <w:rFonts w:ascii="仿宋" w:hAnsi="仿宋" w:eastAsia="仿宋" w:cs="仿宋"/>
          <w:b/>
          <w:color w:val="auto"/>
          <w:sz w:val="24"/>
          <w:highlight w:val="none"/>
        </w:rPr>
      </w:pPr>
    </w:p>
    <w:p w14:paraId="74C6D319">
      <w:pPr>
        <w:jc w:val="center"/>
        <w:rPr>
          <w:rFonts w:ascii="仿宋" w:hAnsi="仿宋" w:eastAsia="仿宋" w:cs="仿宋"/>
          <w:b/>
          <w:color w:val="auto"/>
          <w:sz w:val="24"/>
          <w:highlight w:val="none"/>
        </w:rPr>
      </w:pPr>
    </w:p>
    <w:p w14:paraId="4BD7884B">
      <w:pPr>
        <w:jc w:val="center"/>
        <w:rPr>
          <w:rFonts w:ascii="仿宋" w:hAnsi="仿宋" w:eastAsia="仿宋" w:cs="仿宋"/>
          <w:b/>
          <w:color w:val="auto"/>
          <w:sz w:val="24"/>
          <w:highlight w:val="none"/>
        </w:rPr>
      </w:pPr>
    </w:p>
    <w:p w14:paraId="16723D2F">
      <w:pPr>
        <w:jc w:val="center"/>
        <w:rPr>
          <w:rFonts w:ascii="仿宋" w:hAnsi="仿宋" w:eastAsia="仿宋" w:cs="仿宋"/>
          <w:b/>
          <w:color w:val="auto"/>
          <w:sz w:val="24"/>
          <w:highlight w:val="none"/>
        </w:rPr>
      </w:pPr>
    </w:p>
    <w:p w14:paraId="1D3BC363">
      <w:pPr>
        <w:jc w:val="center"/>
        <w:rPr>
          <w:rFonts w:ascii="仿宋" w:hAnsi="仿宋" w:eastAsia="仿宋" w:cs="仿宋"/>
          <w:b/>
          <w:color w:val="auto"/>
          <w:sz w:val="24"/>
          <w:highlight w:val="none"/>
        </w:rPr>
      </w:pPr>
    </w:p>
    <w:p w14:paraId="42C95728">
      <w:pPr>
        <w:jc w:val="center"/>
        <w:rPr>
          <w:rFonts w:ascii="仿宋" w:hAnsi="仿宋" w:eastAsia="仿宋" w:cs="仿宋"/>
          <w:b/>
          <w:color w:val="auto"/>
          <w:sz w:val="24"/>
          <w:highlight w:val="none"/>
        </w:rPr>
      </w:pPr>
    </w:p>
    <w:p w14:paraId="78A08BB0">
      <w:pPr>
        <w:jc w:val="center"/>
        <w:rPr>
          <w:rFonts w:ascii="仿宋" w:hAnsi="仿宋" w:eastAsia="仿宋" w:cs="仿宋"/>
          <w:b/>
          <w:color w:val="auto"/>
          <w:sz w:val="24"/>
          <w:highlight w:val="none"/>
        </w:rPr>
      </w:pPr>
    </w:p>
    <w:p w14:paraId="15D00B56">
      <w:pPr>
        <w:spacing w:before="55"/>
        <w:ind w:left="594" w:right="-2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中小企业声明函</w:t>
      </w:r>
    </w:p>
    <w:p w14:paraId="37FCC582">
      <w:pPr>
        <w:spacing w:before="55"/>
        <w:ind w:left="595" w:right="-23"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 （联合体）参加（单位名称）的（项目名称）采购活动，工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程的施工单位全部为符合政策要求的中小企业（或者：服务 全部由符合政策要求的中小企业承接）。相关企业（含联合 体中的中小企业、签订分包意向协议的中小企业）的具体情 况如下：</w:t>
      </w:r>
    </w:p>
    <w:p w14:paraId="5B8C6E91">
      <w:pPr>
        <w:spacing w:before="55"/>
        <w:ind w:left="595" w:right="-23"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 （标的名称） ，属于（采购文件中明确的所属行业）； 承建（承接）企业为，从业人员人，营业 收入为万元，资产总额为 万元，属于（中型企业、 小型企业、微型企业）； </w:t>
      </w:r>
    </w:p>
    <w:p w14:paraId="6F7E2ADA">
      <w:pPr>
        <w:spacing w:before="55"/>
        <w:ind w:left="595" w:right="-23"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（标的名称） ，属于（采购文件中明确的所属行业）； 承建（承接）企业为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 xml:space="preserve">），从业人员人，营业收入为万元，资产总额为万元，属于（中型企业、 小型企业、微型企业）； </w:t>
      </w:r>
    </w:p>
    <w:p w14:paraId="3044187F">
      <w:pPr>
        <w:spacing w:before="55"/>
        <w:ind w:left="594" w:right="-2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6755660">
      <w:pPr>
        <w:spacing w:before="55"/>
        <w:ind w:left="595" w:right="-23"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BCCFD4C">
      <w:pPr>
        <w:spacing w:before="55"/>
        <w:ind w:left="595" w:right="-23" w:firstLine="480" w:firstLineChars="200"/>
        <w:rPr>
          <w:rFonts w:ascii="仿宋" w:hAnsi="仿宋" w:eastAsia="仿宋" w:cs="仿宋"/>
          <w:color w:val="auto"/>
          <w:sz w:val="24"/>
          <w:highlight w:val="none"/>
        </w:rPr>
      </w:pPr>
    </w:p>
    <w:p w14:paraId="1DAE70E3">
      <w:pPr>
        <w:spacing w:before="55"/>
        <w:ind w:left="595" w:right="-23"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本企业对上述声明内容的真实性负责。如有虚假，将依法承担相应责任。 </w:t>
      </w:r>
    </w:p>
    <w:p w14:paraId="175E21FD">
      <w:pPr>
        <w:spacing w:before="55"/>
        <w:ind w:left="594" w:right="-20"/>
        <w:jc w:val="right"/>
        <w:rPr>
          <w:rFonts w:ascii="仿宋" w:hAnsi="仿宋" w:eastAsia="仿宋" w:cs="仿宋"/>
          <w:color w:val="auto"/>
          <w:sz w:val="24"/>
          <w:highlight w:val="none"/>
        </w:rPr>
      </w:pPr>
    </w:p>
    <w:p w14:paraId="702D6238">
      <w:pPr>
        <w:spacing w:before="55"/>
        <w:ind w:left="594" w:right="-20"/>
        <w:jc w:val="right"/>
        <w:rPr>
          <w:rFonts w:ascii="仿宋" w:hAnsi="仿宋" w:eastAsia="仿宋" w:cs="仿宋"/>
          <w:color w:val="auto"/>
          <w:sz w:val="24"/>
          <w:highlight w:val="none"/>
        </w:rPr>
      </w:pPr>
    </w:p>
    <w:p w14:paraId="0DCD6E5F">
      <w:pPr>
        <w:spacing w:before="55"/>
        <w:ind w:left="594" w:right="-2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14:paraId="692293C0">
      <w:pPr>
        <w:spacing w:before="55"/>
        <w:ind w:left="594" w:right="-2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日 期：  </w:t>
      </w:r>
    </w:p>
    <w:p w14:paraId="732B7E34">
      <w:pPr>
        <w:spacing w:before="55"/>
        <w:ind w:left="594" w:right="-2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从业人员、营业收入、资产总额填报上一年度数据，无上一年度数据的新成立企业可不填报。</w:t>
      </w:r>
    </w:p>
    <w:p w14:paraId="2A715C27">
      <w:pPr>
        <w:spacing w:before="55"/>
        <w:ind w:left="594" w:right="-20"/>
        <w:rPr>
          <w:rFonts w:ascii="仿宋" w:hAnsi="仿宋" w:eastAsia="仿宋" w:cs="仿宋"/>
          <w:color w:val="auto"/>
          <w:sz w:val="24"/>
          <w:highlight w:val="none"/>
        </w:rPr>
      </w:pPr>
    </w:p>
    <w:p w14:paraId="0587FF33">
      <w:pPr>
        <w:spacing w:before="55"/>
        <w:ind w:left="594" w:right="-20"/>
        <w:rPr>
          <w:rFonts w:ascii="仿宋" w:hAnsi="仿宋" w:eastAsia="仿宋" w:cs="仿宋"/>
          <w:color w:val="auto"/>
          <w:sz w:val="24"/>
          <w:highlight w:val="none"/>
        </w:rPr>
      </w:pPr>
    </w:p>
    <w:p w14:paraId="7CD4E5DD">
      <w:pPr>
        <w:spacing w:before="55"/>
        <w:ind w:left="594" w:right="-20"/>
        <w:rPr>
          <w:rFonts w:ascii="仿宋" w:hAnsi="仿宋" w:eastAsia="仿宋" w:cs="仿宋"/>
          <w:color w:val="auto"/>
          <w:sz w:val="24"/>
          <w:highlight w:val="none"/>
        </w:rPr>
      </w:pPr>
      <w:r>
        <w:rPr>
          <w:rFonts w:ascii="仿宋" w:hAnsi="仿宋" w:eastAsia="仿宋" w:cs="仿宋"/>
          <w:color w:val="auto"/>
          <w:sz w:val="24"/>
          <w:highlight w:val="none"/>
        </w:rPr>
        <mc:AlternateContent>
          <mc:Choice Requires="wpg">
            <w:drawing>
              <wp:anchor distT="0" distB="0" distL="114300" distR="114300" simplePos="0" relativeHeight="251659264" behindDoc="1" locked="0" layoutInCell="1" allowOverlap="1">
                <wp:simplePos x="0" y="0"/>
                <wp:positionH relativeFrom="page">
                  <wp:posOffset>935990</wp:posOffset>
                </wp:positionH>
                <wp:positionV relativeFrom="paragraph">
                  <wp:posOffset>-286385</wp:posOffset>
                </wp:positionV>
                <wp:extent cx="5688330" cy="1270"/>
                <wp:effectExtent l="0" t="0" r="0" b="0"/>
                <wp:wrapNone/>
                <wp:docPr id="2" name="组合 3"/>
                <wp:cNvGraphicFramePr/>
                <a:graphic xmlns:a="http://schemas.openxmlformats.org/drawingml/2006/main">
                  <a:graphicData uri="http://schemas.microsoft.com/office/word/2010/wordprocessingGroup">
                    <wpg:wgp>
                      <wpg:cNvGrpSpPr/>
                      <wpg:grpSpPr>
                        <a:xfrm>
                          <a:off x="0" y="0"/>
                          <a:ext cx="5688330" cy="1270"/>
                          <a:chOff x="1474" y="-451"/>
                          <a:chExt cx="8958" cy="2203203"/>
                        </a:xfrm>
                      </wpg:grpSpPr>
                      <wps:wsp>
                        <wps:cNvPr id="1" name="自选图形 2"/>
                        <wps:cNvSpPr/>
                        <wps:spPr>
                          <a:xfrm>
                            <a:off x="1474" y="-451"/>
                            <a:ext cx="8958" cy="2"/>
                          </a:xfrm>
                          <a:custGeom>
                            <a:avLst/>
                            <a:gdLst>
                              <a:gd name="A1" fmla="val 0"/>
                              <a:gd name="A2" fmla="val 0"/>
                              <a:gd name="A3" fmla="val 0"/>
                            </a:gdLst>
                            <a:ahLst/>
                            <a:cxnLst/>
                            <a:rect l="0" t="0" r="0" b="0"/>
                            <a:pathLst>
                              <a:path w="8958" h="1">
                                <a:moveTo>
                                  <a:pt x="0" y="0"/>
                                </a:moveTo>
                                <a:lnTo>
                                  <a:pt x="8958" y="0"/>
                                </a:lnTo>
                              </a:path>
                            </a:pathLst>
                          </a:custGeom>
                          <a:noFill/>
                          <a:ln w="10414" cap="flat" cmpd="sng">
                            <a:solidFill>
                              <a:srgbClr val="000000"/>
                            </a:solidFill>
                            <a:prstDash val="solid"/>
                            <a:round/>
                            <a:headEnd type="none" w="med" len="med"/>
                            <a:tailEnd type="none" w="med" len="med"/>
                          </a:ln>
                        </wps:spPr>
                        <wps:bodyPr upright="1"/>
                      </wps:wsp>
                    </wpg:wgp>
                  </a:graphicData>
                </a:graphic>
              </wp:anchor>
            </w:drawing>
          </mc:Choice>
          <mc:Fallback>
            <w:pict>
              <v:group id="组合 3" o:spid="_x0000_s1026" o:spt="203" style="position:absolute;left:0pt;margin-left:73.7pt;margin-top:-22.55pt;height:0.1pt;width:447.9pt;mso-position-horizontal-relative:page;z-index:-251657216;mso-width-relative:page;mso-height-relative:page;" coordorigin="1474,-451" coordsize="8958,2203203" o:gfxdata="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kXyRT9sAAAAM&#10;AQAADwAAAAAAAAABACAAAAAiAAAAZHJzL2Rvd25yZXYueG1sUEsBAhQAFAAAAAgAh07iQLvrGfvE&#10;AgAASAYAAA4AAAAAAAAAAQAgAAAAKgEAAGRycy9lMm9Eb2MueG1sUEsFBgAAAAAGAAYAWQEAAGAG&#10;AAAAAA==&#10;">
                <o:lock v:ext="edit" aspectratio="f"/>
                <v:shape id="自选图形 2" o:spid="_x0000_s1026" o:spt="100" style="position:absolute;left:1474;top:-451;height:2;width:8958;" filled="f" stroked="t" coordsize="8958,1" o:gfxdata="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ZYk+22AAAA2gAAAA8A&#10;AAAAAAAAAQAgAAAAIgAAAGRycy9kb3ducmV2LnhtbFBLAQIUABQAAAAIAIdO4kAzLwWeOwAAADkA&#10;AAAQAAAAAAAAAAEAIAAAAAUBAABkcnMvc2hhcGV4bWwueG1sUEsFBgAAAAAGAAYAWwEAAK8DAAAA&#10;AA==&#10;" path="m0,0l8958,0e">
                  <v:fill on="f" focussize="0,0"/>
                  <v:stroke weight="0.82pt" color="#000000" joinstyle="round"/>
                  <v:imagedata o:title=""/>
                  <o:lock v:ext="edit" aspectratio="f"/>
                </v:shape>
              </v:group>
            </w:pict>
          </mc:Fallback>
        </mc:AlternateContent>
      </w:r>
      <w:r>
        <w:rPr>
          <w:rFonts w:hint="eastAsia" w:ascii="仿宋" w:hAnsi="仿宋" w:eastAsia="仿宋" w:cs="仿宋"/>
          <w:color w:val="auto"/>
          <w:sz w:val="24"/>
          <w:highlight w:val="none"/>
        </w:rPr>
        <w:t>填写说明：</w:t>
      </w:r>
    </w:p>
    <w:p w14:paraId="61252F5F">
      <w:pPr>
        <w:spacing w:before="55"/>
        <w:ind w:left="594" w:right="-20"/>
        <w:rPr>
          <w:rFonts w:ascii="仿宋" w:hAnsi="仿宋" w:eastAsia="仿宋" w:cs="仿宋"/>
          <w:color w:val="auto"/>
          <w:sz w:val="24"/>
          <w:highlight w:val="none"/>
        </w:rPr>
      </w:pPr>
      <w:r>
        <w:rPr>
          <w:rFonts w:hint="eastAsia" w:ascii="仿宋" w:hAnsi="仿宋" w:eastAsia="仿宋" w:cs="仿宋"/>
          <w:color w:val="auto"/>
          <w:sz w:val="24"/>
          <w:highlight w:val="none"/>
        </w:rPr>
        <w:t>1）投标供应商为中型、小型、微型企业的提供此函；</w:t>
      </w:r>
    </w:p>
    <w:p w14:paraId="2516E151">
      <w:pPr>
        <w:spacing w:before="53" w:line="272" w:lineRule="auto"/>
        <w:ind w:left="114" w:right="31" w:firstLine="48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中型企业不享受价格扣除</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小型</w:t>
      </w:r>
      <w:r>
        <w:rPr>
          <w:rFonts w:hint="eastAsia" w:ascii="仿宋" w:hAnsi="仿宋" w:eastAsia="仿宋" w:cs="仿宋"/>
          <w:color w:val="auto"/>
          <w:spacing w:val="-12"/>
          <w:sz w:val="24"/>
          <w:highlight w:val="none"/>
        </w:rPr>
        <w:t>、</w:t>
      </w:r>
      <w:r>
        <w:rPr>
          <w:rFonts w:hint="eastAsia" w:ascii="仿宋" w:hAnsi="仿宋" w:eastAsia="仿宋" w:cs="仿宋"/>
          <w:color w:val="auto"/>
          <w:sz w:val="24"/>
          <w:highlight w:val="none"/>
        </w:rPr>
        <w:t>微型企业的行业类别由评审专家结合投标供应商 出具的证明材料认定；经认定不符合小型、微型企业标准的，不享受价格扣除；</w:t>
      </w:r>
    </w:p>
    <w:p w14:paraId="722B0C8C">
      <w:pPr>
        <w:spacing w:before="10" w:line="272" w:lineRule="auto"/>
        <w:ind w:left="114" w:right="31" w:firstLine="48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所投标项内的产品如由多个企业制造的</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在填写企业类型时</w:t>
      </w:r>
      <w:r>
        <w:rPr>
          <w:rFonts w:hint="eastAsia" w:ascii="仿宋" w:hAnsi="仿宋" w:eastAsia="仿宋" w:cs="仿宋"/>
          <w:color w:val="auto"/>
          <w:spacing w:val="-12"/>
          <w:sz w:val="24"/>
          <w:highlight w:val="none"/>
        </w:rPr>
        <w:t>，</w:t>
      </w:r>
      <w:r>
        <w:rPr>
          <w:rFonts w:hint="eastAsia" w:ascii="仿宋" w:hAnsi="仿宋" w:eastAsia="仿宋" w:cs="仿宋"/>
          <w:color w:val="auto"/>
          <w:sz w:val="24"/>
          <w:highlight w:val="none"/>
        </w:rPr>
        <w:t>按产品生产企业 中规模最大的企业类型填写；</w:t>
      </w:r>
    </w:p>
    <w:p w14:paraId="029FD214">
      <w:pPr>
        <w:spacing w:before="10" w:line="271" w:lineRule="auto"/>
        <w:ind w:left="114" w:right="31" w:firstLine="48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投标产品制造商投标</w:t>
      </w:r>
      <w:r>
        <w:rPr>
          <w:rFonts w:hint="eastAsia" w:ascii="仿宋" w:hAnsi="仿宋" w:eastAsia="仿宋" w:cs="仿宋"/>
          <w:color w:val="auto"/>
          <w:spacing w:val="-12"/>
          <w:sz w:val="24"/>
          <w:highlight w:val="none"/>
        </w:rPr>
        <w:t>，</w:t>
      </w:r>
      <w:r>
        <w:rPr>
          <w:rFonts w:hint="eastAsia" w:ascii="仿宋" w:hAnsi="仿宋" w:eastAsia="仿宋" w:cs="仿宋"/>
          <w:color w:val="auto"/>
          <w:sz w:val="24"/>
          <w:highlight w:val="none"/>
        </w:rPr>
        <w:t>提供投标供应商出具</w:t>
      </w:r>
      <w:r>
        <w:rPr>
          <w:rFonts w:hint="eastAsia" w:ascii="仿宋" w:hAnsi="仿宋" w:eastAsia="仿宋" w:cs="仿宋"/>
          <w:color w:val="auto"/>
          <w:spacing w:val="-10"/>
          <w:sz w:val="24"/>
          <w:highlight w:val="none"/>
        </w:rPr>
        <w:t>的</w:t>
      </w:r>
      <w:r>
        <w:rPr>
          <w:rFonts w:hint="eastAsia" w:ascii="仿宋" w:hAnsi="仿宋" w:eastAsia="仿宋" w:cs="仿宋"/>
          <w:color w:val="auto"/>
          <w:sz w:val="24"/>
          <w:highlight w:val="none"/>
        </w:rPr>
        <w:t>《中小企业声明函</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及其相关的充分 的证明材料；代理商投标，提供投标供应商及主要产品制造商出具的《中小企业声明函》及其相关的充分的证明材料；</w:t>
      </w:r>
    </w:p>
    <w:p w14:paraId="0220DCAC">
      <w:pPr>
        <w:spacing w:before="10" w:line="271" w:lineRule="auto"/>
        <w:ind w:left="114" w:right="31"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▲投标供应商提供的中小企业声明函与实际情况不符的，视为投标供应商提供虚假材料投标的，投标无效。</w:t>
      </w:r>
    </w:p>
    <w:p w14:paraId="1025CDEB">
      <w:pPr>
        <w:spacing w:before="10" w:line="271" w:lineRule="auto"/>
        <w:ind w:left="114" w:right="31" w:firstLine="480"/>
        <w:rPr>
          <w:rFonts w:ascii="仿宋" w:hAnsi="仿宋" w:eastAsia="仿宋" w:cs="仿宋"/>
          <w:color w:val="auto"/>
          <w:sz w:val="24"/>
          <w:highlight w:val="none"/>
        </w:rPr>
      </w:pPr>
    </w:p>
    <w:p w14:paraId="58DF0269">
      <w:pPr>
        <w:spacing w:before="10" w:line="271" w:lineRule="auto"/>
        <w:ind w:left="114" w:right="31" w:firstLine="480"/>
        <w:rPr>
          <w:rFonts w:ascii="仿宋" w:hAnsi="仿宋" w:eastAsia="仿宋" w:cs="仿宋"/>
          <w:color w:val="auto"/>
          <w:sz w:val="24"/>
          <w:highlight w:val="none"/>
        </w:rPr>
      </w:pPr>
    </w:p>
    <w:p w14:paraId="0E2E2E05">
      <w:pPr>
        <w:spacing w:line="200" w:lineRule="exact"/>
        <w:rPr>
          <w:rFonts w:ascii="仿宋" w:hAnsi="仿宋" w:eastAsia="仿宋" w:cs="仿宋"/>
          <w:color w:val="auto"/>
          <w:sz w:val="20"/>
          <w:szCs w:val="20"/>
          <w:highlight w:val="none"/>
        </w:rPr>
      </w:pPr>
    </w:p>
    <w:p w14:paraId="75410521">
      <w:pPr>
        <w:ind w:left="3714" w:right="3691"/>
        <w:jc w:val="center"/>
        <w:rPr>
          <w:rFonts w:ascii="仿宋" w:hAnsi="仿宋" w:eastAsia="仿宋" w:cs="仿宋"/>
          <w:b/>
          <w:color w:val="auto"/>
          <w:sz w:val="24"/>
          <w:highlight w:val="none"/>
        </w:rPr>
      </w:pPr>
    </w:p>
    <w:p w14:paraId="60BAD68C">
      <w:pPr>
        <w:ind w:right="3691"/>
        <w:rPr>
          <w:rFonts w:ascii="仿宋" w:hAnsi="仿宋" w:eastAsia="仿宋" w:cs="仿宋"/>
          <w:b/>
          <w:color w:val="auto"/>
          <w:sz w:val="24"/>
          <w:highlight w:val="none"/>
        </w:rPr>
      </w:pPr>
    </w:p>
    <w:p w14:paraId="51E7C623">
      <w:pPr>
        <w:ind w:left="3714" w:right="3691"/>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监</w:t>
      </w:r>
      <w:r>
        <w:rPr>
          <w:rFonts w:hint="eastAsia" w:ascii="仿宋" w:hAnsi="仿宋" w:eastAsia="仿宋" w:cs="仿宋"/>
          <w:b/>
          <w:color w:val="auto"/>
          <w:spacing w:val="2"/>
          <w:sz w:val="24"/>
          <w:highlight w:val="none"/>
        </w:rPr>
        <w:t>狱</w:t>
      </w:r>
      <w:r>
        <w:rPr>
          <w:rFonts w:hint="eastAsia" w:ascii="仿宋" w:hAnsi="仿宋" w:eastAsia="仿宋" w:cs="仿宋"/>
          <w:b/>
          <w:color w:val="auto"/>
          <w:sz w:val="24"/>
          <w:highlight w:val="none"/>
        </w:rPr>
        <w:t>企</w:t>
      </w:r>
      <w:r>
        <w:rPr>
          <w:rFonts w:hint="eastAsia" w:ascii="仿宋" w:hAnsi="仿宋" w:eastAsia="仿宋" w:cs="仿宋"/>
          <w:b/>
          <w:color w:val="auto"/>
          <w:spacing w:val="2"/>
          <w:sz w:val="24"/>
          <w:highlight w:val="none"/>
        </w:rPr>
        <w:t>业</w:t>
      </w:r>
      <w:r>
        <w:rPr>
          <w:rFonts w:hint="eastAsia" w:ascii="仿宋" w:hAnsi="仿宋" w:eastAsia="仿宋" w:cs="仿宋"/>
          <w:b/>
          <w:color w:val="auto"/>
          <w:sz w:val="24"/>
          <w:highlight w:val="none"/>
        </w:rPr>
        <w:t>声函</w:t>
      </w:r>
    </w:p>
    <w:p w14:paraId="74762339">
      <w:pPr>
        <w:spacing w:before="55" w:line="270" w:lineRule="auto"/>
        <w:ind w:left="563" w:right="62"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【不属于监狱企业的无需填写、递交】 </w:t>
      </w:r>
    </w:p>
    <w:p w14:paraId="24E773D9">
      <w:pPr>
        <w:spacing w:before="55" w:line="270" w:lineRule="auto"/>
        <w:ind w:left="563" w:right="62"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本公司郑重声明</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根</w:t>
      </w:r>
      <w:r>
        <w:rPr>
          <w:rFonts w:hint="eastAsia" w:ascii="仿宋" w:hAnsi="仿宋" w:eastAsia="仿宋" w:cs="仿宋"/>
          <w:color w:val="auto"/>
          <w:spacing w:val="-12"/>
          <w:sz w:val="24"/>
          <w:highlight w:val="none"/>
        </w:rPr>
        <w:t>据</w:t>
      </w:r>
      <w:r>
        <w:rPr>
          <w:rFonts w:hint="eastAsia" w:ascii="仿宋" w:hAnsi="仿宋" w:eastAsia="仿宋" w:cs="仿宋"/>
          <w:color w:val="auto"/>
          <w:sz w:val="24"/>
          <w:highlight w:val="none"/>
        </w:rPr>
        <w:t>《关于政府采购支持监狱企业发展有关问题的通知》（财</w:t>
      </w:r>
    </w:p>
    <w:p w14:paraId="0390A8D7">
      <w:pPr>
        <w:tabs>
          <w:tab w:val="left" w:pos="2740"/>
          <w:tab w:val="left" w:pos="4180"/>
          <w:tab w:val="left" w:pos="6680"/>
        </w:tabs>
        <w:spacing w:before="14" w:line="271" w:lineRule="auto"/>
        <w:ind w:left="594" w:right="31" w:hanging="480"/>
        <w:rPr>
          <w:rFonts w:ascii="仿宋" w:hAnsi="仿宋" w:eastAsia="仿宋" w:cs="仿宋"/>
          <w:color w:val="auto"/>
          <w:sz w:val="24"/>
          <w:highlight w:val="none"/>
        </w:rPr>
      </w:pPr>
      <w:r>
        <w:rPr>
          <w:rFonts w:hint="eastAsia" w:ascii="仿宋" w:hAnsi="仿宋" w:eastAsia="仿宋" w:cs="仿宋"/>
          <w:color w:val="auto"/>
          <w:sz w:val="24"/>
          <w:highlight w:val="none"/>
        </w:rPr>
        <w:t>库</w:t>
      </w:r>
      <w:r>
        <w:rPr>
          <w:rFonts w:hint="eastAsia" w:ascii="仿宋" w:hAnsi="仿宋" w:eastAsia="仿宋" w:cs="仿宋"/>
          <w:color w:val="auto"/>
          <w:w w:val="155"/>
          <w:sz w:val="24"/>
          <w:highlight w:val="none"/>
        </w:rPr>
        <w:t>[</w:t>
      </w:r>
      <w:r>
        <w:rPr>
          <w:rFonts w:hint="eastAsia" w:ascii="仿宋" w:hAnsi="仿宋" w:eastAsia="仿宋" w:cs="仿宋"/>
          <w:color w:val="auto"/>
          <w:w w:val="86"/>
          <w:sz w:val="24"/>
          <w:highlight w:val="none"/>
        </w:rPr>
        <w:t>2014</w:t>
      </w:r>
      <w:r>
        <w:rPr>
          <w:rFonts w:hint="eastAsia" w:ascii="仿宋" w:hAnsi="仿宋" w:eastAsia="仿宋" w:cs="仿宋"/>
          <w:color w:val="auto"/>
          <w:w w:val="155"/>
          <w:sz w:val="24"/>
          <w:highlight w:val="none"/>
        </w:rPr>
        <w:t>]</w:t>
      </w:r>
      <w:r>
        <w:rPr>
          <w:rFonts w:hint="eastAsia" w:ascii="仿宋" w:hAnsi="仿宋" w:eastAsia="仿宋" w:cs="仿宋"/>
          <w:color w:val="auto"/>
          <w:w w:val="86"/>
          <w:sz w:val="24"/>
          <w:highlight w:val="none"/>
        </w:rPr>
        <w:t>68</w:t>
      </w:r>
      <w:r>
        <w:rPr>
          <w:rFonts w:hint="eastAsia" w:ascii="仿宋" w:hAnsi="仿宋" w:eastAsia="仿宋" w:cs="仿宋"/>
          <w:color w:val="auto"/>
          <w:sz w:val="24"/>
          <w:highlight w:val="none"/>
        </w:rPr>
        <w:t xml:space="preserve">  号）的规定，本公司为</w:t>
      </w:r>
      <w:r>
        <w:rPr>
          <w:rFonts w:hint="eastAsia" w:ascii="仿宋" w:hAnsi="仿宋" w:eastAsia="仿宋" w:cs="仿宋"/>
          <w:color w:val="auto"/>
          <w:sz w:val="24"/>
          <w:highlight w:val="none"/>
          <w:u w:val="single" w:color="000000"/>
        </w:rPr>
        <w:t>监狱企业</w:t>
      </w:r>
      <w:r>
        <w:rPr>
          <w:rFonts w:hint="eastAsia" w:ascii="仿宋" w:hAnsi="仿宋" w:eastAsia="仿宋" w:cs="仿宋"/>
          <w:color w:val="auto"/>
          <w:sz w:val="24"/>
          <w:highlight w:val="none"/>
        </w:rPr>
        <w:t>。 根据上述标准，我公司属于监狱企业</w:t>
      </w:r>
    </w:p>
    <w:p w14:paraId="04852D46">
      <w:pPr>
        <w:tabs>
          <w:tab w:val="left" w:pos="2740"/>
          <w:tab w:val="left" w:pos="4180"/>
          <w:tab w:val="left" w:pos="6680"/>
        </w:tabs>
        <w:spacing w:before="14" w:line="271" w:lineRule="auto"/>
        <w:ind w:left="594" w:right="31" w:hanging="480"/>
        <w:rPr>
          <w:rFonts w:ascii="仿宋" w:hAnsi="仿宋" w:eastAsia="仿宋" w:cs="仿宋"/>
          <w:color w:val="auto"/>
          <w:sz w:val="24"/>
          <w:highlight w:val="none"/>
        </w:rPr>
      </w:pPr>
      <w:r>
        <w:rPr>
          <w:rFonts w:hint="eastAsia" w:ascii="仿宋" w:hAnsi="仿宋" w:eastAsia="仿宋" w:cs="仿宋"/>
          <w:color w:val="auto"/>
          <w:sz w:val="24"/>
          <w:highlight w:val="none"/>
        </w:rPr>
        <w:t>的理由为</w:t>
      </w:r>
      <w:r>
        <w:rPr>
          <w:rFonts w:hint="eastAsia" w:ascii="仿宋" w:hAnsi="仿宋" w:eastAsia="仿宋" w:cs="仿宋"/>
          <w:color w:val="auto"/>
          <w:spacing w:val="-1"/>
          <w:sz w:val="24"/>
          <w:highlight w:val="none"/>
        </w:rPr>
        <w:t>：</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rPr>
        <w:t>。 本公司为参</w:t>
      </w:r>
      <w:r>
        <w:rPr>
          <w:rFonts w:hint="eastAsia" w:ascii="仿宋" w:hAnsi="仿宋" w:eastAsia="仿宋" w:cs="仿宋"/>
          <w:color w:val="auto"/>
          <w:spacing w:val="-7"/>
          <w:sz w:val="24"/>
          <w:highlight w:val="none"/>
        </w:rPr>
        <w:t>加</w:t>
      </w:r>
      <w:r>
        <w:rPr>
          <w:rFonts w:hint="eastAsia" w:ascii="仿宋" w:hAnsi="仿宋" w:eastAsia="仿宋" w:cs="仿宋"/>
          <w:color w:val="auto"/>
          <w:spacing w:val="-2"/>
          <w:sz w:val="24"/>
          <w:highlight w:val="none"/>
        </w:rPr>
        <w:t>（</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u w:val="single" w:color="000000"/>
        </w:rPr>
        <w:t>项目名称</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rPr>
        <w:t>）</w:t>
      </w:r>
      <w:r>
        <w:rPr>
          <w:rFonts w:hint="eastAsia" w:ascii="仿宋" w:hAnsi="仿宋" w:eastAsia="仿宋" w:cs="仿宋"/>
          <w:color w:val="auto"/>
          <w:spacing w:val="-2"/>
          <w:sz w:val="24"/>
          <w:highlight w:val="none"/>
        </w:rPr>
        <w:t>（</w:t>
      </w:r>
      <w:r>
        <w:rPr>
          <w:rFonts w:hint="eastAsia" w:ascii="仿宋" w:hAnsi="仿宋" w:eastAsia="仿宋" w:cs="仿宋"/>
          <w:color w:val="auto"/>
          <w:sz w:val="24"/>
          <w:highlight w:val="none"/>
        </w:rPr>
        <w:t>项目</w:t>
      </w:r>
    </w:p>
    <w:p w14:paraId="7970EE42">
      <w:pPr>
        <w:tabs>
          <w:tab w:val="left" w:pos="2740"/>
          <w:tab w:val="left" w:pos="4180"/>
          <w:tab w:val="left" w:pos="6680"/>
        </w:tabs>
        <w:spacing w:before="14" w:line="271" w:lineRule="auto"/>
        <w:ind w:left="594" w:right="31" w:hanging="480"/>
        <w:rPr>
          <w:rFonts w:ascii="仿宋" w:hAnsi="仿宋" w:eastAsia="仿宋" w:cs="仿宋"/>
          <w:color w:val="auto"/>
          <w:sz w:val="24"/>
          <w:highlight w:val="none"/>
        </w:rPr>
      </w:pPr>
      <w:r>
        <w:rPr>
          <w:rFonts w:hint="eastAsia" w:ascii="仿宋" w:hAnsi="仿宋" w:eastAsia="仿宋" w:cs="仿宋"/>
          <w:color w:val="auto"/>
          <w:sz w:val="24"/>
          <w:highlight w:val="none"/>
        </w:rPr>
        <w:t>编号</w:t>
      </w:r>
      <w:r>
        <w:rPr>
          <w:rFonts w:hint="eastAsia" w:ascii="仿宋" w:hAnsi="仿宋" w:eastAsia="仿宋" w:cs="仿宋"/>
          <w:color w:val="auto"/>
          <w:spacing w:val="-7"/>
          <w:sz w:val="24"/>
          <w:highlight w:val="none"/>
        </w:rPr>
        <w:t>：</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7"/>
          <w:sz w:val="24"/>
          <w:highlight w:val="none"/>
        </w:rPr>
        <w:t>）</w:t>
      </w:r>
      <w:r>
        <w:rPr>
          <w:rFonts w:hint="eastAsia" w:ascii="仿宋" w:hAnsi="仿宋" w:eastAsia="仿宋" w:cs="仿宋"/>
          <w:color w:val="auto"/>
          <w:sz w:val="24"/>
          <w:highlight w:val="none"/>
        </w:rPr>
        <w:t>采购活动提供本企业提供服务。 本公司对上述声明的真实</w:t>
      </w:r>
    </w:p>
    <w:p w14:paraId="4CDDFBE6">
      <w:pPr>
        <w:tabs>
          <w:tab w:val="left" w:pos="2740"/>
          <w:tab w:val="left" w:pos="4180"/>
          <w:tab w:val="left" w:pos="6680"/>
        </w:tabs>
        <w:spacing w:before="14" w:line="271" w:lineRule="auto"/>
        <w:ind w:left="594" w:right="31" w:hanging="480"/>
        <w:rPr>
          <w:rFonts w:ascii="仿宋" w:hAnsi="仿宋" w:eastAsia="仿宋" w:cs="仿宋"/>
          <w:color w:val="auto"/>
          <w:sz w:val="24"/>
          <w:highlight w:val="none"/>
        </w:rPr>
      </w:pPr>
      <w:r>
        <w:rPr>
          <w:rFonts w:hint="eastAsia" w:ascii="仿宋" w:hAnsi="仿宋" w:eastAsia="仿宋" w:cs="仿宋"/>
          <w:color w:val="auto"/>
          <w:sz w:val="24"/>
          <w:highlight w:val="none"/>
        </w:rPr>
        <w:t>性负责。如有虚假，将依法承担相应责任。</w:t>
      </w:r>
    </w:p>
    <w:p w14:paraId="104D68CE">
      <w:pPr>
        <w:tabs>
          <w:tab w:val="left" w:pos="1780"/>
          <w:tab w:val="left" w:pos="2260"/>
          <w:tab w:val="left" w:pos="2740"/>
        </w:tabs>
        <w:spacing w:line="272" w:lineRule="auto"/>
        <w:ind w:right="6110"/>
        <w:rPr>
          <w:rFonts w:ascii="仿宋" w:hAnsi="仿宋" w:eastAsia="仿宋" w:cs="仿宋"/>
          <w:color w:val="auto"/>
          <w:sz w:val="24"/>
          <w:highlight w:val="none"/>
        </w:rPr>
      </w:pPr>
    </w:p>
    <w:p w14:paraId="59CEBBF8">
      <w:pPr>
        <w:tabs>
          <w:tab w:val="left" w:pos="1780"/>
          <w:tab w:val="left" w:pos="2260"/>
          <w:tab w:val="left" w:pos="2740"/>
        </w:tabs>
        <w:spacing w:line="272" w:lineRule="auto"/>
        <w:ind w:right="6110"/>
        <w:rPr>
          <w:rFonts w:ascii="仿宋" w:hAnsi="仿宋" w:eastAsia="仿宋" w:cs="仿宋"/>
          <w:color w:val="auto"/>
          <w:sz w:val="24"/>
          <w:highlight w:val="none"/>
        </w:rPr>
      </w:pPr>
    </w:p>
    <w:p w14:paraId="096DE39F">
      <w:pPr>
        <w:tabs>
          <w:tab w:val="left" w:pos="1780"/>
          <w:tab w:val="left" w:pos="2260"/>
          <w:tab w:val="left" w:pos="2740"/>
        </w:tabs>
        <w:spacing w:line="272" w:lineRule="auto"/>
        <w:ind w:right="611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投标供应商名称（盖章）： </w:t>
      </w:r>
    </w:p>
    <w:p w14:paraId="446CE932">
      <w:pPr>
        <w:tabs>
          <w:tab w:val="left" w:pos="1780"/>
          <w:tab w:val="left" w:pos="2260"/>
          <w:tab w:val="left" w:pos="2740"/>
        </w:tabs>
        <w:spacing w:line="272" w:lineRule="auto"/>
        <w:ind w:right="6110"/>
        <w:rPr>
          <w:rFonts w:ascii="仿宋" w:hAnsi="仿宋" w:eastAsia="仿宋" w:cs="仿宋"/>
          <w:color w:val="auto"/>
          <w:sz w:val="24"/>
          <w:highlight w:val="none"/>
        </w:rPr>
      </w:pPr>
    </w:p>
    <w:p w14:paraId="54677AA6">
      <w:pPr>
        <w:tabs>
          <w:tab w:val="left" w:pos="1780"/>
          <w:tab w:val="left" w:pos="2260"/>
          <w:tab w:val="left" w:pos="2740"/>
        </w:tabs>
        <w:spacing w:line="272" w:lineRule="auto"/>
        <w:ind w:right="6110"/>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月 日</w:t>
      </w:r>
    </w:p>
    <w:p w14:paraId="455A40C4">
      <w:pPr>
        <w:spacing w:line="930" w:lineRule="atLeast"/>
        <w:ind w:left="594" w:right="31"/>
        <w:jc w:val="center"/>
        <w:rPr>
          <w:rFonts w:ascii="仿宋" w:hAnsi="仿宋" w:eastAsia="仿宋" w:cs="仿宋"/>
          <w:b/>
          <w:color w:val="auto"/>
          <w:spacing w:val="12"/>
          <w:sz w:val="24"/>
          <w:highlight w:val="none"/>
        </w:rPr>
      </w:pPr>
    </w:p>
    <w:p w14:paraId="193730A2">
      <w:pPr>
        <w:spacing w:line="930" w:lineRule="atLeast"/>
        <w:ind w:left="594" w:right="31"/>
        <w:jc w:val="center"/>
        <w:rPr>
          <w:rFonts w:ascii="仿宋" w:hAnsi="仿宋" w:eastAsia="仿宋" w:cs="仿宋"/>
          <w:b/>
          <w:color w:val="auto"/>
          <w:spacing w:val="12"/>
          <w:sz w:val="24"/>
          <w:highlight w:val="none"/>
        </w:rPr>
      </w:pPr>
    </w:p>
    <w:p w14:paraId="22F134C7">
      <w:pPr>
        <w:spacing w:line="930" w:lineRule="atLeast"/>
        <w:ind w:left="594" w:right="31"/>
        <w:jc w:val="center"/>
        <w:rPr>
          <w:rFonts w:ascii="仿宋" w:hAnsi="仿宋" w:eastAsia="仿宋" w:cs="仿宋"/>
          <w:b/>
          <w:color w:val="auto"/>
          <w:spacing w:val="12"/>
          <w:sz w:val="24"/>
          <w:highlight w:val="none"/>
        </w:rPr>
      </w:pPr>
    </w:p>
    <w:p w14:paraId="6FA33D35">
      <w:pPr>
        <w:spacing w:line="930" w:lineRule="atLeast"/>
        <w:ind w:left="594" w:right="31"/>
        <w:jc w:val="center"/>
        <w:rPr>
          <w:rFonts w:ascii="仿宋" w:hAnsi="仿宋" w:eastAsia="仿宋" w:cs="仿宋"/>
          <w:b/>
          <w:color w:val="auto"/>
          <w:spacing w:val="12"/>
          <w:sz w:val="24"/>
          <w:highlight w:val="none"/>
        </w:rPr>
      </w:pPr>
    </w:p>
    <w:p w14:paraId="6D19209D">
      <w:pPr>
        <w:spacing w:line="930" w:lineRule="atLeast"/>
        <w:ind w:left="594" w:right="31"/>
        <w:jc w:val="center"/>
        <w:rPr>
          <w:rFonts w:ascii="仿宋" w:hAnsi="仿宋" w:eastAsia="仿宋" w:cs="仿宋"/>
          <w:b/>
          <w:color w:val="auto"/>
          <w:spacing w:val="12"/>
          <w:sz w:val="24"/>
          <w:highlight w:val="none"/>
        </w:rPr>
      </w:pPr>
    </w:p>
    <w:p w14:paraId="6C0F9550">
      <w:pPr>
        <w:spacing w:line="930" w:lineRule="atLeast"/>
        <w:ind w:left="594" w:right="31"/>
        <w:jc w:val="center"/>
        <w:rPr>
          <w:rFonts w:ascii="仿宋" w:hAnsi="仿宋" w:eastAsia="仿宋" w:cs="仿宋"/>
          <w:b/>
          <w:color w:val="auto"/>
          <w:spacing w:val="12"/>
          <w:sz w:val="24"/>
          <w:highlight w:val="none"/>
        </w:rPr>
      </w:pPr>
    </w:p>
    <w:p w14:paraId="7E87335E">
      <w:pPr>
        <w:spacing w:line="930" w:lineRule="atLeast"/>
        <w:ind w:left="594" w:right="31"/>
        <w:jc w:val="center"/>
        <w:rPr>
          <w:rFonts w:ascii="仿宋" w:hAnsi="仿宋" w:eastAsia="仿宋" w:cs="仿宋"/>
          <w:b/>
          <w:color w:val="auto"/>
          <w:spacing w:val="12"/>
          <w:sz w:val="24"/>
          <w:highlight w:val="none"/>
        </w:rPr>
      </w:pPr>
    </w:p>
    <w:p w14:paraId="74C0B566">
      <w:pPr>
        <w:spacing w:line="930" w:lineRule="atLeast"/>
        <w:ind w:left="594" w:right="31"/>
        <w:jc w:val="center"/>
        <w:rPr>
          <w:rFonts w:ascii="仿宋" w:hAnsi="仿宋" w:eastAsia="仿宋" w:cs="仿宋"/>
          <w:b/>
          <w:color w:val="auto"/>
          <w:spacing w:val="12"/>
          <w:sz w:val="24"/>
          <w:highlight w:val="none"/>
        </w:rPr>
      </w:pPr>
    </w:p>
    <w:p w14:paraId="452C1A7A">
      <w:pPr>
        <w:spacing w:line="930" w:lineRule="atLeast"/>
        <w:ind w:left="594" w:right="31"/>
        <w:jc w:val="center"/>
        <w:rPr>
          <w:rFonts w:ascii="仿宋" w:hAnsi="仿宋" w:eastAsia="仿宋" w:cs="仿宋"/>
          <w:b/>
          <w:color w:val="auto"/>
          <w:spacing w:val="12"/>
          <w:sz w:val="24"/>
          <w:highlight w:val="none"/>
        </w:rPr>
      </w:pPr>
    </w:p>
    <w:p w14:paraId="5C742BE2">
      <w:pPr>
        <w:spacing w:line="930" w:lineRule="atLeast"/>
        <w:ind w:left="594" w:right="31"/>
        <w:jc w:val="center"/>
        <w:rPr>
          <w:rFonts w:ascii="仿宋" w:hAnsi="仿宋" w:eastAsia="仿宋" w:cs="仿宋"/>
          <w:b/>
          <w:color w:val="auto"/>
          <w:sz w:val="24"/>
          <w:highlight w:val="none"/>
        </w:rPr>
      </w:pPr>
      <w:r>
        <w:rPr>
          <w:rFonts w:hint="eastAsia" w:ascii="仿宋" w:hAnsi="仿宋" w:eastAsia="仿宋" w:cs="仿宋"/>
          <w:b/>
          <w:color w:val="auto"/>
          <w:spacing w:val="12"/>
          <w:sz w:val="24"/>
          <w:highlight w:val="none"/>
        </w:rPr>
        <w:t>残</w:t>
      </w:r>
      <w:r>
        <w:rPr>
          <w:rFonts w:hint="eastAsia" w:ascii="仿宋" w:hAnsi="仿宋" w:eastAsia="仿宋" w:cs="仿宋"/>
          <w:b/>
          <w:color w:val="auto"/>
          <w:spacing w:val="14"/>
          <w:sz w:val="24"/>
          <w:highlight w:val="none"/>
        </w:rPr>
        <w:t>疾</w:t>
      </w:r>
      <w:r>
        <w:rPr>
          <w:rFonts w:hint="eastAsia" w:ascii="仿宋" w:hAnsi="仿宋" w:eastAsia="仿宋" w:cs="仿宋"/>
          <w:b/>
          <w:color w:val="auto"/>
          <w:spacing w:val="12"/>
          <w:sz w:val="24"/>
          <w:highlight w:val="none"/>
        </w:rPr>
        <w:t>人</w:t>
      </w:r>
      <w:r>
        <w:rPr>
          <w:rFonts w:hint="eastAsia" w:ascii="仿宋" w:hAnsi="仿宋" w:eastAsia="仿宋" w:cs="仿宋"/>
          <w:b/>
          <w:color w:val="auto"/>
          <w:spacing w:val="14"/>
          <w:sz w:val="24"/>
          <w:highlight w:val="none"/>
        </w:rPr>
        <w:t>福</w:t>
      </w:r>
      <w:r>
        <w:rPr>
          <w:rFonts w:hint="eastAsia" w:ascii="仿宋" w:hAnsi="仿宋" w:eastAsia="仿宋" w:cs="仿宋"/>
          <w:b/>
          <w:color w:val="auto"/>
          <w:spacing w:val="12"/>
          <w:sz w:val="24"/>
          <w:highlight w:val="none"/>
        </w:rPr>
        <w:t>利性</w:t>
      </w:r>
      <w:r>
        <w:rPr>
          <w:rFonts w:hint="eastAsia" w:ascii="仿宋" w:hAnsi="仿宋" w:eastAsia="仿宋" w:cs="仿宋"/>
          <w:b/>
          <w:color w:val="auto"/>
          <w:spacing w:val="14"/>
          <w:sz w:val="24"/>
          <w:highlight w:val="none"/>
        </w:rPr>
        <w:t>单</w:t>
      </w:r>
      <w:r>
        <w:rPr>
          <w:rFonts w:hint="eastAsia" w:ascii="仿宋" w:hAnsi="仿宋" w:eastAsia="仿宋" w:cs="仿宋"/>
          <w:b/>
          <w:color w:val="auto"/>
          <w:spacing w:val="12"/>
          <w:sz w:val="24"/>
          <w:highlight w:val="none"/>
        </w:rPr>
        <w:t>位</w:t>
      </w:r>
      <w:r>
        <w:rPr>
          <w:rFonts w:hint="eastAsia" w:ascii="仿宋" w:hAnsi="仿宋" w:eastAsia="仿宋" w:cs="仿宋"/>
          <w:b/>
          <w:color w:val="auto"/>
          <w:spacing w:val="14"/>
          <w:sz w:val="24"/>
          <w:highlight w:val="none"/>
        </w:rPr>
        <w:t>声</w:t>
      </w:r>
      <w:r>
        <w:rPr>
          <w:rFonts w:hint="eastAsia" w:ascii="仿宋" w:hAnsi="仿宋" w:eastAsia="仿宋" w:cs="仿宋"/>
          <w:b/>
          <w:color w:val="auto"/>
          <w:spacing w:val="12"/>
          <w:sz w:val="24"/>
          <w:highlight w:val="none"/>
        </w:rPr>
        <w:t>明</w:t>
      </w:r>
      <w:r>
        <w:rPr>
          <w:rFonts w:hint="eastAsia" w:ascii="仿宋" w:hAnsi="仿宋" w:eastAsia="仿宋" w:cs="仿宋"/>
          <w:b/>
          <w:color w:val="auto"/>
          <w:sz w:val="24"/>
          <w:highlight w:val="none"/>
        </w:rPr>
        <w:t>函</w:t>
      </w:r>
    </w:p>
    <w:p w14:paraId="12494ADE">
      <w:pPr>
        <w:spacing w:line="930" w:lineRule="atLeast"/>
        <w:ind w:left="594" w:right="31" w:firstLine="488" w:firstLineChars="200"/>
        <w:rPr>
          <w:rFonts w:ascii="仿宋" w:hAnsi="仿宋" w:eastAsia="仿宋" w:cs="仿宋"/>
          <w:color w:val="auto"/>
          <w:sz w:val="24"/>
          <w:highlight w:val="none"/>
        </w:rPr>
      </w:pPr>
      <w:r>
        <w:rPr>
          <w:rFonts w:hint="eastAsia" w:ascii="仿宋" w:hAnsi="仿宋" w:eastAsia="仿宋" w:cs="仿宋"/>
          <w:color w:val="auto"/>
          <w:spacing w:val="2"/>
          <w:sz w:val="24"/>
          <w:highlight w:val="none"/>
        </w:rPr>
        <w:t>本单位郑重声</w:t>
      </w:r>
      <w:r>
        <w:rPr>
          <w:rFonts w:hint="eastAsia" w:ascii="仿宋" w:hAnsi="仿宋" w:eastAsia="仿宋" w:cs="仿宋"/>
          <w:color w:val="auto"/>
          <w:sz w:val="24"/>
          <w:highlight w:val="none"/>
        </w:rPr>
        <w:t>明</w:t>
      </w:r>
      <w:r>
        <w:rPr>
          <w:rFonts w:hint="eastAsia" w:ascii="仿宋" w:hAnsi="仿宋" w:eastAsia="仿宋" w:cs="仿宋"/>
          <w:color w:val="auto"/>
          <w:spacing w:val="2"/>
          <w:sz w:val="24"/>
          <w:highlight w:val="none"/>
        </w:rPr>
        <w:t>，根据《财政</w:t>
      </w:r>
      <w:r>
        <w:rPr>
          <w:rFonts w:hint="eastAsia" w:ascii="仿宋" w:hAnsi="仿宋" w:eastAsia="仿宋" w:cs="仿宋"/>
          <w:color w:val="auto"/>
          <w:sz w:val="24"/>
          <w:highlight w:val="none"/>
        </w:rPr>
        <w:t>部</w:t>
      </w:r>
      <w:r>
        <w:rPr>
          <w:rFonts w:hint="eastAsia" w:ascii="仿宋" w:hAnsi="仿宋" w:eastAsia="仿宋" w:cs="仿宋"/>
          <w:color w:val="auto"/>
          <w:spacing w:val="2"/>
          <w:sz w:val="24"/>
          <w:highlight w:val="none"/>
        </w:rPr>
        <w:t>民政</w:t>
      </w:r>
      <w:r>
        <w:rPr>
          <w:rFonts w:hint="eastAsia" w:ascii="仿宋" w:hAnsi="仿宋" w:eastAsia="仿宋" w:cs="仿宋"/>
          <w:color w:val="auto"/>
          <w:sz w:val="24"/>
          <w:highlight w:val="none"/>
        </w:rPr>
        <w:t>部</w:t>
      </w:r>
      <w:r>
        <w:rPr>
          <w:rFonts w:hint="eastAsia" w:ascii="仿宋" w:hAnsi="仿宋" w:eastAsia="仿宋" w:cs="仿宋"/>
          <w:color w:val="auto"/>
          <w:spacing w:val="2"/>
          <w:sz w:val="24"/>
          <w:highlight w:val="none"/>
        </w:rPr>
        <w:t>中国残疾人联</w:t>
      </w:r>
      <w:r>
        <w:rPr>
          <w:rFonts w:hint="eastAsia" w:ascii="仿宋" w:hAnsi="仿宋" w:eastAsia="仿宋" w:cs="仿宋"/>
          <w:color w:val="auto"/>
          <w:sz w:val="24"/>
          <w:highlight w:val="none"/>
        </w:rPr>
        <w:t>合</w:t>
      </w:r>
      <w:r>
        <w:rPr>
          <w:rFonts w:hint="eastAsia" w:ascii="仿宋" w:hAnsi="仿宋" w:eastAsia="仿宋" w:cs="仿宋"/>
          <w:color w:val="auto"/>
          <w:spacing w:val="2"/>
          <w:sz w:val="24"/>
          <w:highlight w:val="none"/>
        </w:rPr>
        <w:t>会关于促进残疾人就</w:t>
      </w:r>
      <w:r>
        <w:rPr>
          <w:rFonts w:hint="eastAsia" w:ascii="仿宋" w:hAnsi="仿宋" w:eastAsia="仿宋" w:cs="仿宋"/>
          <w:color w:val="auto"/>
          <w:sz w:val="24"/>
          <w:highlight w:val="none"/>
        </w:rPr>
        <w:t>业政府</w:t>
      </w:r>
      <w:r>
        <w:rPr>
          <w:rFonts w:hint="eastAsia" w:ascii="仿宋" w:hAnsi="仿宋" w:eastAsia="仿宋" w:cs="仿宋"/>
          <w:color w:val="auto"/>
          <w:spacing w:val="2"/>
          <w:sz w:val="24"/>
          <w:highlight w:val="none"/>
        </w:rPr>
        <w:t>采</w:t>
      </w:r>
      <w:r>
        <w:rPr>
          <w:rFonts w:hint="eastAsia" w:ascii="仿宋" w:hAnsi="仿宋" w:eastAsia="仿宋" w:cs="仿宋"/>
          <w:color w:val="auto"/>
          <w:sz w:val="24"/>
          <w:highlight w:val="none"/>
        </w:rPr>
        <w:t>购政策的</w:t>
      </w:r>
      <w:r>
        <w:rPr>
          <w:rFonts w:hint="eastAsia" w:ascii="仿宋" w:hAnsi="仿宋" w:eastAsia="仿宋" w:cs="仿宋"/>
          <w:color w:val="auto"/>
          <w:spacing w:val="2"/>
          <w:sz w:val="24"/>
          <w:highlight w:val="none"/>
        </w:rPr>
        <w:t>通</w:t>
      </w:r>
      <w:r>
        <w:rPr>
          <w:rFonts w:hint="eastAsia" w:ascii="仿宋" w:hAnsi="仿宋" w:eastAsia="仿宋" w:cs="仿宋"/>
          <w:color w:val="auto"/>
          <w:sz w:val="24"/>
          <w:highlight w:val="none"/>
        </w:rPr>
        <w:t>知》（</w:t>
      </w:r>
      <w:r>
        <w:rPr>
          <w:rFonts w:hint="eastAsia" w:ascii="仿宋" w:hAnsi="仿宋" w:eastAsia="仿宋" w:cs="仿宋"/>
          <w:color w:val="auto"/>
          <w:spacing w:val="2"/>
          <w:sz w:val="24"/>
          <w:highlight w:val="none"/>
        </w:rPr>
        <w:t>财</w:t>
      </w:r>
      <w:r>
        <w:rPr>
          <w:rFonts w:hint="eastAsia" w:ascii="仿宋" w:hAnsi="仿宋" w:eastAsia="仿宋" w:cs="仿宋"/>
          <w:color w:val="auto"/>
          <w:sz w:val="24"/>
          <w:highlight w:val="none"/>
        </w:rPr>
        <w:t>库〔2017〕</w:t>
      </w:r>
      <w:r>
        <w:rPr>
          <w:rFonts w:hint="eastAsia" w:ascii="仿宋" w:hAnsi="仿宋" w:eastAsia="仿宋" w:cs="仿宋"/>
          <w:color w:val="auto"/>
          <w:w w:val="86"/>
          <w:sz w:val="24"/>
          <w:highlight w:val="none"/>
        </w:rPr>
        <w:t>141</w:t>
      </w:r>
      <w:r>
        <w:rPr>
          <w:rFonts w:hint="eastAsia" w:ascii="仿宋" w:hAnsi="仿宋" w:eastAsia="仿宋" w:cs="仿宋"/>
          <w:color w:val="auto"/>
          <w:sz w:val="24"/>
          <w:highlight w:val="none"/>
        </w:rPr>
        <w:t>号）</w:t>
      </w:r>
      <w:r>
        <w:rPr>
          <w:rFonts w:hint="eastAsia" w:ascii="仿宋" w:hAnsi="仿宋" w:eastAsia="仿宋" w:cs="仿宋"/>
          <w:color w:val="auto"/>
          <w:spacing w:val="2"/>
          <w:sz w:val="24"/>
          <w:highlight w:val="none"/>
        </w:rPr>
        <w:t>的</w:t>
      </w:r>
      <w:r>
        <w:rPr>
          <w:rFonts w:hint="eastAsia" w:ascii="仿宋" w:hAnsi="仿宋" w:eastAsia="仿宋" w:cs="仿宋"/>
          <w:color w:val="auto"/>
          <w:sz w:val="24"/>
          <w:highlight w:val="none"/>
        </w:rPr>
        <w:t>规定，本</w:t>
      </w:r>
      <w:r>
        <w:rPr>
          <w:rFonts w:hint="eastAsia" w:ascii="仿宋" w:hAnsi="仿宋" w:eastAsia="仿宋" w:cs="仿宋"/>
          <w:color w:val="auto"/>
          <w:spacing w:val="2"/>
          <w:sz w:val="24"/>
          <w:highlight w:val="none"/>
        </w:rPr>
        <w:t>单</w:t>
      </w:r>
      <w:r>
        <w:rPr>
          <w:rFonts w:hint="eastAsia" w:ascii="仿宋" w:hAnsi="仿宋" w:eastAsia="仿宋" w:cs="仿宋"/>
          <w:color w:val="auto"/>
          <w:sz w:val="24"/>
          <w:highlight w:val="none"/>
        </w:rPr>
        <w:t>位为符</w:t>
      </w:r>
      <w:r>
        <w:rPr>
          <w:rFonts w:hint="eastAsia" w:ascii="仿宋" w:hAnsi="仿宋" w:eastAsia="仿宋" w:cs="仿宋"/>
          <w:color w:val="auto"/>
          <w:spacing w:val="2"/>
          <w:sz w:val="24"/>
          <w:highlight w:val="none"/>
        </w:rPr>
        <w:t>合</w:t>
      </w:r>
      <w:r>
        <w:rPr>
          <w:rFonts w:hint="eastAsia" w:ascii="仿宋" w:hAnsi="仿宋" w:eastAsia="仿宋" w:cs="仿宋"/>
          <w:color w:val="auto"/>
          <w:sz w:val="24"/>
          <w:highlight w:val="none"/>
        </w:rPr>
        <w:t>条件的残</w:t>
      </w:r>
      <w:r>
        <w:rPr>
          <w:rFonts w:hint="eastAsia" w:ascii="仿宋" w:hAnsi="仿宋" w:eastAsia="仿宋" w:cs="仿宋"/>
          <w:color w:val="auto"/>
          <w:spacing w:val="2"/>
          <w:sz w:val="24"/>
          <w:highlight w:val="none"/>
        </w:rPr>
        <w:t>疾</w:t>
      </w:r>
      <w:r>
        <w:rPr>
          <w:rFonts w:hint="eastAsia" w:ascii="仿宋" w:hAnsi="仿宋" w:eastAsia="仿宋" w:cs="仿宋"/>
          <w:color w:val="auto"/>
          <w:sz w:val="24"/>
          <w:highlight w:val="none"/>
        </w:rPr>
        <w:t>人</w:t>
      </w:r>
      <w:r>
        <w:rPr>
          <w:rFonts w:hint="eastAsia" w:ascii="仿宋" w:hAnsi="仿宋" w:eastAsia="仿宋" w:cs="仿宋"/>
          <w:color w:val="auto"/>
          <w:spacing w:val="2"/>
          <w:sz w:val="24"/>
          <w:highlight w:val="none"/>
        </w:rPr>
        <w:t>福利性单位，且本单位参加</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2"/>
          <w:sz w:val="24"/>
          <w:highlight w:val="none"/>
        </w:rPr>
        <w:t>单位的</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2"/>
          <w:sz w:val="24"/>
          <w:highlight w:val="none"/>
        </w:rPr>
        <w:t>项目采购活动提供本单位制造的货</w:t>
      </w:r>
      <w:r>
        <w:rPr>
          <w:rFonts w:hint="eastAsia" w:ascii="仿宋" w:hAnsi="仿宋" w:eastAsia="仿宋" w:cs="仿宋"/>
          <w:color w:val="auto"/>
          <w:sz w:val="24"/>
          <w:highlight w:val="none"/>
        </w:rPr>
        <w:t>物（由本单位承担工程</w:t>
      </w:r>
      <w:r>
        <w:rPr>
          <w:rFonts w:hint="eastAsia" w:ascii="仿宋" w:hAnsi="仿宋" w:eastAsia="仿宋" w:cs="仿宋"/>
          <w:color w:val="auto"/>
          <w:w w:val="119"/>
          <w:sz w:val="24"/>
          <w:highlight w:val="none"/>
        </w:rPr>
        <w:t>/</w:t>
      </w:r>
      <w:r>
        <w:rPr>
          <w:rFonts w:hint="eastAsia" w:ascii="仿宋" w:hAnsi="仿宋" w:eastAsia="仿宋" w:cs="仿宋"/>
          <w:color w:val="auto"/>
          <w:sz w:val="24"/>
          <w:highlight w:val="none"/>
        </w:rPr>
        <w:t>提供服务</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或者提供其他残疾人福利性单位制造的货</w:t>
      </w:r>
      <w:r>
        <w:rPr>
          <w:rFonts w:hint="eastAsia" w:ascii="仿宋" w:hAnsi="仿宋" w:eastAsia="仿宋" w:cs="仿宋"/>
          <w:color w:val="auto"/>
          <w:spacing w:val="-12"/>
          <w:sz w:val="24"/>
          <w:highlight w:val="none"/>
        </w:rPr>
        <w:t>物</w:t>
      </w:r>
      <w:r>
        <w:rPr>
          <w:rFonts w:hint="eastAsia" w:ascii="仿宋" w:hAnsi="仿宋" w:eastAsia="仿宋" w:cs="仿宋"/>
          <w:color w:val="auto"/>
          <w:sz w:val="24"/>
          <w:highlight w:val="none"/>
        </w:rPr>
        <w:t>（不包 括使用非残疾人福利性单位注册商标的货物）。</w:t>
      </w:r>
    </w:p>
    <w:p w14:paraId="4F133F0A">
      <w:pPr>
        <w:spacing w:before="14"/>
        <w:ind w:left="594" w:right="-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C06E731">
      <w:pPr>
        <w:spacing w:before="6" w:line="180" w:lineRule="exact"/>
        <w:rPr>
          <w:rFonts w:ascii="仿宋" w:hAnsi="仿宋" w:eastAsia="仿宋" w:cs="仿宋"/>
          <w:color w:val="auto"/>
          <w:sz w:val="18"/>
          <w:szCs w:val="18"/>
          <w:highlight w:val="none"/>
        </w:rPr>
      </w:pPr>
    </w:p>
    <w:p w14:paraId="62F19B96">
      <w:pPr>
        <w:spacing w:line="200" w:lineRule="exact"/>
        <w:rPr>
          <w:rFonts w:ascii="仿宋" w:hAnsi="仿宋" w:eastAsia="仿宋" w:cs="仿宋"/>
          <w:color w:val="auto"/>
          <w:sz w:val="20"/>
          <w:szCs w:val="20"/>
          <w:highlight w:val="none"/>
        </w:rPr>
      </w:pPr>
    </w:p>
    <w:p w14:paraId="73D6657D">
      <w:pPr>
        <w:spacing w:line="200" w:lineRule="exact"/>
        <w:rPr>
          <w:rFonts w:ascii="仿宋" w:hAnsi="仿宋" w:eastAsia="仿宋" w:cs="仿宋"/>
          <w:color w:val="auto"/>
          <w:sz w:val="20"/>
          <w:szCs w:val="20"/>
          <w:highlight w:val="none"/>
        </w:rPr>
      </w:pPr>
    </w:p>
    <w:p w14:paraId="480B9E20">
      <w:pPr>
        <w:spacing w:line="200" w:lineRule="exact"/>
        <w:rPr>
          <w:rFonts w:ascii="仿宋" w:hAnsi="仿宋" w:eastAsia="仿宋" w:cs="仿宋"/>
          <w:color w:val="auto"/>
          <w:sz w:val="20"/>
          <w:szCs w:val="20"/>
          <w:highlight w:val="none"/>
        </w:rPr>
      </w:pPr>
    </w:p>
    <w:p w14:paraId="32A2818F">
      <w:pPr>
        <w:spacing w:line="200" w:lineRule="exact"/>
        <w:rPr>
          <w:rFonts w:ascii="仿宋" w:hAnsi="仿宋" w:eastAsia="仿宋" w:cs="仿宋"/>
          <w:color w:val="auto"/>
          <w:sz w:val="20"/>
          <w:szCs w:val="20"/>
          <w:highlight w:val="none"/>
        </w:rPr>
      </w:pPr>
    </w:p>
    <w:p w14:paraId="2EA27D03">
      <w:pPr>
        <w:tabs>
          <w:tab w:val="left" w:pos="1900"/>
        </w:tabs>
        <w:spacing w:line="272" w:lineRule="auto"/>
        <w:ind w:left="1434" w:right="5510"/>
        <w:rPr>
          <w:rFonts w:ascii="仿宋" w:hAnsi="仿宋" w:eastAsia="仿宋" w:cs="仿宋"/>
          <w:color w:val="auto"/>
          <w:sz w:val="24"/>
          <w:highlight w:val="none"/>
        </w:rPr>
      </w:pPr>
      <w:r>
        <w:rPr>
          <w:rFonts w:hint="eastAsia" w:ascii="仿宋" w:hAnsi="仿宋" w:eastAsia="仿宋" w:cs="仿宋"/>
          <w:color w:val="auto"/>
          <w:sz w:val="24"/>
          <w:highlight w:val="none"/>
        </w:rPr>
        <w:t>单位名称（盖章）：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期：</w:t>
      </w:r>
    </w:p>
    <w:p w14:paraId="249DBC49">
      <w:pPr>
        <w:spacing w:before="83" w:line="934" w:lineRule="exact"/>
        <w:ind w:left="594" w:right="5990"/>
        <w:rPr>
          <w:rFonts w:ascii="仿宋" w:hAnsi="仿宋" w:eastAsia="仿宋" w:cs="仿宋"/>
          <w:b/>
          <w:color w:val="auto"/>
          <w:sz w:val="44"/>
          <w:szCs w:val="44"/>
          <w:highlight w:val="none"/>
        </w:rPr>
      </w:pPr>
    </w:p>
    <w:p w14:paraId="3F181488">
      <w:pPr>
        <w:spacing w:before="83" w:line="934" w:lineRule="exact"/>
        <w:ind w:left="594" w:right="5990"/>
        <w:rPr>
          <w:rFonts w:ascii="仿宋" w:hAnsi="仿宋" w:eastAsia="仿宋" w:cs="仿宋"/>
          <w:b/>
          <w:color w:val="auto"/>
          <w:sz w:val="44"/>
          <w:szCs w:val="44"/>
          <w:highlight w:val="none"/>
        </w:rPr>
      </w:pPr>
    </w:p>
    <w:p w14:paraId="7B2CB584">
      <w:pPr>
        <w:spacing w:before="83" w:line="934" w:lineRule="exact"/>
        <w:ind w:left="594" w:right="5990"/>
        <w:rPr>
          <w:rFonts w:ascii="仿宋" w:hAnsi="仿宋" w:eastAsia="仿宋" w:cs="仿宋"/>
          <w:b/>
          <w:color w:val="auto"/>
          <w:sz w:val="44"/>
          <w:szCs w:val="44"/>
          <w:highlight w:val="none"/>
        </w:rPr>
      </w:pPr>
    </w:p>
    <w:p w14:paraId="4A963ABD">
      <w:pPr>
        <w:spacing w:before="83" w:line="934" w:lineRule="exact"/>
        <w:ind w:right="5990"/>
        <w:rPr>
          <w:rFonts w:ascii="仿宋" w:hAnsi="仿宋" w:eastAsia="仿宋" w:cs="仿宋"/>
          <w:b/>
          <w:color w:val="auto"/>
          <w:sz w:val="44"/>
          <w:szCs w:val="44"/>
          <w:highlight w:val="none"/>
        </w:rPr>
      </w:pPr>
    </w:p>
    <w:p w14:paraId="393F9F28">
      <w:pPr>
        <w:spacing w:after="312" w:afterLines="100" w:line="500" w:lineRule="exact"/>
        <w:rPr>
          <w:rFonts w:ascii="仿宋" w:hAnsi="仿宋" w:eastAsia="仿宋" w:cs="仿宋"/>
          <w:b/>
          <w:color w:val="auto"/>
          <w:sz w:val="44"/>
          <w:szCs w:val="44"/>
          <w:highlight w:val="none"/>
        </w:rPr>
      </w:pPr>
    </w:p>
    <w:p w14:paraId="79A3EFFC">
      <w:pPr>
        <w:rPr>
          <w:color w:val="auto"/>
          <w:highlight w:val="none"/>
        </w:rPr>
      </w:pPr>
    </w:p>
    <w:p w14:paraId="5AE21739">
      <w:pPr>
        <w:rPr>
          <w:color w:val="auto"/>
          <w:highlight w:val="none"/>
        </w:rPr>
      </w:pPr>
    </w:p>
    <w:sectPr>
      <w:headerReference r:id="rId6" w:type="default"/>
      <w:footerReference r:id="rId7" w:type="default"/>
      <w:footerReference r:id="rId8" w:type="even"/>
      <w:pgSz w:w="11906" w:h="16838"/>
      <w:pgMar w:top="1440" w:right="1418" w:bottom="155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9FCC">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552C14">
                          <w:pPr>
                            <w:pStyle w:val="17"/>
                            <w:jc w:val="center"/>
                          </w:pPr>
                          <w:r>
                            <w:fldChar w:fldCharType="begin"/>
                          </w:r>
                          <w:r>
                            <w:instrText xml:space="preserve"> PAGE   \* MERGEFORMAT </w:instrText>
                          </w:r>
                          <w:r>
                            <w:fldChar w:fldCharType="separate"/>
                          </w:r>
                          <w:r>
                            <w:rPr>
                              <w:lang w:val="zh-CN"/>
                            </w:rPr>
                            <w:t>58</w:t>
                          </w:r>
                          <w:r>
                            <w:rPr>
                              <w:lang w:val="zh-CN"/>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cqo7S0QEAAKUDAAAOAAAAAAAAAAEAIAAAACIB&#10;AABkcnMvZTJvRG9jLnhtbFBLBQYAAAAABgAGAFkBAABlBQAAAAA=&#10;">
              <v:fill on="f" focussize="0,0"/>
              <v:stroke on="f" weight="1.25pt"/>
              <v:imagedata o:title=""/>
              <o:lock v:ext="edit" aspectratio="f"/>
              <v:textbox inset="0mm,0mm,0mm,0mm" style="mso-fit-shape-to-text:t;">
                <w:txbxContent>
                  <w:p w14:paraId="46552C14">
                    <w:pPr>
                      <w:pStyle w:val="17"/>
                      <w:jc w:val="center"/>
                    </w:pPr>
                    <w:r>
                      <w:fldChar w:fldCharType="begin"/>
                    </w:r>
                    <w:r>
                      <w:instrText xml:space="preserve"> PAGE   \* MERGEFORMAT </w:instrText>
                    </w:r>
                    <w:r>
                      <w:fldChar w:fldCharType="separate"/>
                    </w:r>
                    <w:r>
                      <w:rPr>
                        <w:lang w:val="zh-CN"/>
                      </w:rPr>
                      <w:t>58</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4D44">
    <w:pPr>
      <w:pStyle w:val="17"/>
      <w:ind w:right="360"/>
      <w:rPr>
        <w:rFonts w:ascii="微软雅黑" w:hAnsi="微软雅黑" w:eastAsia="微软雅黑"/>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7A5A0C9">
                          <w:pPr>
                            <w:pStyle w:val="17"/>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MW6Xh0QEAAKUDAAAOAAAAAAAAAAEAIAAAACIB&#10;AABkcnMvZTJvRG9jLnhtbFBLBQYAAAAABgAGAFkBAABlBQAAAAA=&#10;">
              <v:fill on="f" focussize="0,0"/>
              <v:stroke on="f" weight="1.25pt"/>
              <v:imagedata o:title=""/>
              <o:lock v:ext="edit" aspectratio="f"/>
              <v:textbox inset="0mm,0mm,0mm,0mm" style="mso-fit-shape-to-text:t;">
                <w:txbxContent>
                  <w:p w14:paraId="07A5A0C9">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DA0B">
    <w:pPr>
      <w:pStyle w:val="17"/>
      <w:framePr w:wrap="around" w:vAnchor="text" w:hAnchor="margin" w:xAlign="center" w:y="1"/>
      <w:rPr>
        <w:rStyle w:val="26"/>
      </w:rPr>
    </w:pPr>
    <w:r>
      <w:fldChar w:fldCharType="begin"/>
    </w:r>
    <w:r>
      <w:rPr>
        <w:rStyle w:val="26"/>
      </w:rPr>
      <w:instrText xml:space="preserve">PAGE  </w:instrText>
    </w:r>
    <w:r>
      <w:fldChar w:fldCharType="end"/>
    </w:r>
  </w:p>
  <w:p w14:paraId="76619E71">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A469">
    <w:pPr>
      <w:pStyle w:val="18"/>
      <w:pBdr>
        <w:bottom w:val="thinThickSmallGap" w:color="auto" w:sz="12" w:space="1"/>
      </w:pBdr>
      <w:tabs>
        <w:tab w:val="left" w:pos="8485"/>
        <w:tab w:val="clear" w:pos="8306"/>
      </w:tabs>
      <w:jc w:val="left"/>
      <w:rPr>
        <w:rFonts w:ascii="仿宋" w:hAnsi="仿宋" w:eastAsia="仿宋" w:cs="仿宋"/>
      </w:rPr>
    </w:pPr>
  </w:p>
  <w:p w14:paraId="2A430A32">
    <w:pPr>
      <w:pStyle w:val="18"/>
      <w:pBdr>
        <w:bottom w:val="thinThickSmallGap" w:color="auto" w:sz="12" w:space="1"/>
      </w:pBdr>
      <w:tabs>
        <w:tab w:val="left" w:pos="8485"/>
        <w:tab w:val="clear" w:pos="8306"/>
      </w:tabs>
      <w:jc w:val="left"/>
      <w:rPr>
        <w:rFonts w:eastAsia="仿宋"/>
      </w:rPr>
    </w:pPr>
    <w:r>
      <w:rPr>
        <w:rFonts w:hint="eastAsia" w:ascii="仿宋" w:hAnsi="仿宋" w:eastAsia="仿宋" w:cs="仿宋"/>
        <w:sz w:val="24"/>
        <w:szCs w:val="24"/>
        <w:lang w:eastAsia="zh-CN"/>
      </w:rPr>
      <w:t>湖东街道“民生服务”协调处理服务采购项目</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公开招标文件                                               </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3AA7">
    <w:pPr>
      <w:pStyle w:val="18"/>
      <w:tabs>
        <w:tab w:val="right" w:pos="8710"/>
        <w:tab w:val="clear" w:pos="8306"/>
      </w:tabs>
      <w:ind w:right="360"/>
      <w:jc w:val="left"/>
      <w:rPr>
        <w:rFonts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湖东街道“民生服务”协调处理服务采购项目</w:t>
    </w:r>
    <w:r>
      <w:rPr>
        <w:rFonts w:hint="eastAsia" w:ascii="仿宋" w:hAnsi="仿宋" w:eastAsia="仿宋" w:cs="仿宋"/>
        <w:color w:val="000000"/>
        <w:kern w:val="0"/>
        <w:sz w:val="21"/>
        <w:szCs w:val="21"/>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AACE">
    <w:pPr>
      <w:pStyle w:val="18"/>
      <w:tabs>
        <w:tab w:val="right" w:pos="8710"/>
        <w:tab w:val="clear" w:pos="8306"/>
      </w:tabs>
      <w:ind w:right="360"/>
      <w:jc w:val="left"/>
      <w:rPr>
        <w:rFonts w:ascii="仿宋" w:hAnsi="仿宋" w:eastAsia="仿宋" w:cs="仿宋"/>
        <w:sz w:val="21"/>
        <w:szCs w:val="21"/>
      </w:rPr>
    </w:pPr>
    <w:r>
      <w:rPr>
        <w:rFonts w:hint="eastAsia" w:ascii="仿宋" w:hAnsi="仿宋" w:eastAsia="仿宋" w:cs="仿宋"/>
        <w:color w:val="000000"/>
        <w:kern w:val="0"/>
        <w:sz w:val="21"/>
        <w:szCs w:val="21"/>
        <w:lang w:eastAsia="zh-CN"/>
      </w:rPr>
      <w:t>湖东街道“民生服务”协调处理服务采购项目</w:t>
    </w:r>
    <w:r>
      <w:rPr>
        <w:rFonts w:hint="eastAsia" w:ascii="仿宋" w:hAnsi="仿宋" w:eastAsia="仿宋" w:cs="仿宋"/>
        <w:color w:val="000000"/>
        <w:kern w:val="0"/>
        <w:sz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7748C"/>
    <w:multiLevelType w:val="singleLevel"/>
    <w:tmpl w:val="8547748C"/>
    <w:lvl w:ilvl="0" w:tentative="0">
      <w:start w:val="4"/>
      <w:numFmt w:val="chineseCounting"/>
      <w:suff w:val="nothing"/>
      <w:lvlText w:val="（%1）"/>
      <w:lvlJc w:val="left"/>
      <w:rPr>
        <w:rFonts w:hint="eastAsia"/>
      </w:rPr>
    </w:lvl>
  </w:abstractNum>
  <w:abstractNum w:abstractNumId="1">
    <w:nsid w:val="88EFB668"/>
    <w:multiLevelType w:val="singleLevel"/>
    <w:tmpl w:val="88EFB668"/>
    <w:lvl w:ilvl="0" w:tentative="0">
      <w:start w:val="1"/>
      <w:numFmt w:val="decimal"/>
      <w:lvlText w:val="(%1)"/>
      <w:lvlJc w:val="left"/>
      <w:pPr>
        <w:ind w:left="425" w:hanging="425"/>
      </w:pPr>
      <w:rPr>
        <w:rFonts w:hint="default"/>
      </w:rPr>
    </w:lvl>
  </w:abstractNum>
  <w:abstractNum w:abstractNumId="2">
    <w:nsid w:val="C9292581"/>
    <w:multiLevelType w:val="singleLevel"/>
    <w:tmpl w:val="C9292581"/>
    <w:lvl w:ilvl="0" w:tentative="0">
      <w:start w:val="1"/>
      <w:numFmt w:val="decimal"/>
      <w:pStyle w:val="5"/>
      <w:lvlText w:val="%1."/>
      <w:lvlJc w:val="left"/>
      <w:pPr>
        <w:tabs>
          <w:tab w:val="left" w:pos="360"/>
        </w:tabs>
        <w:ind w:left="360" w:hanging="360"/>
      </w:pPr>
    </w:lvl>
  </w:abstractNum>
  <w:abstractNum w:abstractNumId="3">
    <w:nsid w:val="D40BCFCC"/>
    <w:multiLevelType w:val="singleLevel"/>
    <w:tmpl w:val="D40BCFCC"/>
    <w:lvl w:ilvl="0" w:tentative="0">
      <w:start w:val="1"/>
      <w:numFmt w:val="decimal"/>
      <w:lvlText w:val="(%1)"/>
      <w:lvlJc w:val="left"/>
      <w:pPr>
        <w:ind w:left="425" w:hanging="425"/>
      </w:pPr>
      <w:rPr>
        <w:rFonts w:hint="default"/>
      </w:rPr>
    </w:lvl>
  </w:abstractNum>
  <w:abstractNum w:abstractNumId="4">
    <w:nsid w:val="D7C03138"/>
    <w:multiLevelType w:val="singleLevel"/>
    <w:tmpl w:val="D7C03138"/>
    <w:lvl w:ilvl="0" w:tentative="0">
      <w:start w:val="1"/>
      <w:numFmt w:val="decimal"/>
      <w:lvlText w:val="(%1)"/>
      <w:lvlJc w:val="left"/>
      <w:pPr>
        <w:ind w:left="425" w:hanging="425"/>
      </w:pPr>
      <w:rPr>
        <w:rFonts w:hint="default"/>
      </w:rPr>
    </w:lvl>
  </w:abstractNum>
  <w:abstractNum w:abstractNumId="5">
    <w:nsid w:val="460C281C"/>
    <w:multiLevelType w:val="singleLevel"/>
    <w:tmpl w:val="460C281C"/>
    <w:lvl w:ilvl="0" w:tentative="0">
      <w:start w:val="1"/>
      <w:numFmt w:val="decimal"/>
      <w:suff w:val="nothing"/>
      <w:lvlText w:val="%1、"/>
      <w:lvlJc w:val="left"/>
    </w:lvl>
  </w:abstractNum>
  <w:abstractNum w:abstractNumId="6">
    <w:nsid w:val="4D776E7C"/>
    <w:multiLevelType w:val="singleLevel"/>
    <w:tmpl w:val="4D776E7C"/>
    <w:lvl w:ilvl="0" w:tentative="0">
      <w:start w:val="1"/>
      <w:numFmt w:val="decimal"/>
      <w:lvlText w:val="(%1)"/>
      <w:lvlJc w:val="left"/>
      <w:pPr>
        <w:ind w:left="425" w:hanging="425"/>
      </w:pPr>
      <w:rPr>
        <w:rFonts w:hint="default"/>
      </w:rPr>
    </w:lvl>
  </w:abstractNum>
  <w:abstractNum w:abstractNumId="7">
    <w:nsid w:val="729F617F"/>
    <w:multiLevelType w:val="singleLevel"/>
    <w:tmpl w:val="729F617F"/>
    <w:lvl w:ilvl="0" w:tentative="0">
      <w:start w:val="1"/>
      <w:numFmt w:val="decimal"/>
      <w:suff w:val="nothing"/>
      <w:lvlText w:val="%1、"/>
      <w:lvlJc w:val="left"/>
    </w:lvl>
  </w:abstractNum>
  <w:num w:numId="1">
    <w:abstractNumId w:val="2"/>
  </w:num>
  <w:num w:numId="2">
    <w:abstractNumId w:val="0"/>
  </w:num>
  <w:num w:numId="3">
    <w:abstractNumId w:val="7"/>
  </w:num>
  <w:num w:numId="4">
    <w:abstractNumId w:val="2"/>
    <w:lvlOverride w:ilvl="0">
      <w:startOverride w:val="1"/>
    </w:lvlOverride>
  </w:num>
  <w:num w:numId="5">
    <w:abstractNumId w:val="1"/>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BmMzQ2MWFmYjAwNzE2ZWMyOTU1NDBhODc5YjYifQ=="/>
  </w:docVars>
  <w:rsids>
    <w:rsidRoot w:val="00FE3C94"/>
    <w:rsid w:val="00007F30"/>
    <w:rsid w:val="00040F4C"/>
    <w:rsid w:val="00056735"/>
    <w:rsid w:val="000975FA"/>
    <w:rsid w:val="00117478"/>
    <w:rsid w:val="00130F0D"/>
    <w:rsid w:val="001613A9"/>
    <w:rsid w:val="001875D3"/>
    <w:rsid w:val="001E33BE"/>
    <w:rsid w:val="001E3F7C"/>
    <w:rsid w:val="001F0516"/>
    <w:rsid w:val="00215A23"/>
    <w:rsid w:val="002B263D"/>
    <w:rsid w:val="0031008E"/>
    <w:rsid w:val="00356262"/>
    <w:rsid w:val="00367BDB"/>
    <w:rsid w:val="00375773"/>
    <w:rsid w:val="00390A38"/>
    <w:rsid w:val="003A04B3"/>
    <w:rsid w:val="003A2028"/>
    <w:rsid w:val="003B265F"/>
    <w:rsid w:val="003B392D"/>
    <w:rsid w:val="003E697E"/>
    <w:rsid w:val="00431993"/>
    <w:rsid w:val="00435FB9"/>
    <w:rsid w:val="00446C40"/>
    <w:rsid w:val="00461917"/>
    <w:rsid w:val="00464258"/>
    <w:rsid w:val="004B5E17"/>
    <w:rsid w:val="00592D01"/>
    <w:rsid w:val="006037C8"/>
    <w:rsid w:val="00605D3E"/>
    <w:rsid w:val="006A1FA3"/>
    <w:rsid w:val="006A6102"/>
    <w:rsid w:val="006B5C81"/>
    <w:rsid w:val="00754F2E"/>
    <w:rsid w:val="00757B9E"/>
    <w:rsid w:val="00765912"/>
    <w:rsid w:val="007748FE"/>
    <w:rsid w:val="007B1EE2"/>
    <w:rsid w:val="007D2D40"/>
    <w:rsid w:val="007E6746"/>
    <w:rsid w:val="00814FB8"/>
    <w:rsid w:val="008510E6"/>
    <w:rsid w:val="00852688"/>
    <w:rsid w:val="008724C1"/>
    <w:rsid w:val="00884F7C"/>
    <w:rsid w:val="00892077"/>
    <w:rsid w:val="0089468B"/>
    <w:rsid w:val="008A3304"/>
    <w:rsid w:val="008C483E"/>
    <w:rsid w:val="008D4766"/>
    <w:rsid w:val="00903B0F"/>
    <w:rsid w:val="00935A7B"/>
    <w:rsid w:val="00974CAC"/>
    <w:rsid w:val="009800B9"/>
    <w:rsid w:val="009A464E"/>
    <w:rsid w:val="009A4D86"/>
    <w:rsid w:val="00A13578"/>
    <w:rsid w:val="00A33E55"/>
    <w:rsid w:val="00A43F15"/>
    <w:rsid w:val="00A5570D"/>
    <w:rsid w:val="00AA0E47"/>
    <w:rsid w:val="00B065B9"/>
    <w:rsid w:val="00B10E22"/>
    <w:rsid w:val="00B51888"/>
    <w:rsid w:val="00B65701"/>
    <w:rsid w:val="00BE6B58"/>
    <w:rsid w:val="00C6098D"/>
    <w:rsid w:val="00C730C2"/>
    <w:rsid w:val="00C805C2"/>
    <w:rsid w:val="00C82B9A"/>
    <w:rsid w:val="00D464B7"/>
    <w:rsid w:val="00D4748A"/>
    <w:rsid w:val="00D629CD"/>
    <w:rsid w:val="00D744E3"/>
    <w:rsid w:val="00DA1A1C"/>
    <w:rsid w:val="00DC2BF7"/>
    <w:rsid w:val="00DC6FBC"/>
    <w:rsid w:val="00DD1FFA"/>
    <w:rsid w:val="00E16D79"/>
    <w:rsid w:val="00E17546"/>
    <w:rsid w:val="00E51228"/>
    <w:rsid w:val="00E81B2F"/>
    <w:rsid w:val="00EE10C4"/>
    <w:rsid w:val="00EE1D32"/>
    <w:rsid w:val="00F0108B"/>
    <w:rsid w:val="00F11A72"/>
    <w:rsid w:val="00F42A07"/>
    <w:rsid w:val="00F50035"/>
    <w:rsid w:val="00F7137F"/>
    <w:rsid w:val="00F8068F"/>
    <w:rsid w:val="00F92ADD"/>
    <w:rsid w:val="00FD6A9D"/>
    <w:rsid w:val="00FE3C94"/>
    <w:rsid w:val="02482BC8"/>
    <w:rsid w:val="034026E5"/>
    <w:rsid w:val="036D1000"/>
    <w:rsid w:val="039944CD"/>
    <w:rsid w:val="03F434D0"/>
    <w:rsid w:val="04486AE1"/>
    <w:rsid w:val="04642403"/>
    <w:rsid w:val="04F96FF0"/>
    <w:rsid w:val="05412745"/>
    <w:rsid w:val="05834B0B"/>
    <w:rsid w:val="06896DBD"/>
    <w:rsid w:val="07AF1BE8"/>
    <w:rsid w:val="07BC27C0"/>
    <w:rsid w:val="08217FFB"/>
    <w:rsid w:val="08493DEA"/>
    <w:rsid w:val="08AC776E"/>
    <w:rsid w:val="099473D7"/>
    <w:rsid w:val="09992B4F"/>
    <w:rsid w:val="0B4354F2"/>
    <w:rsid w:val="0B882E7B"/>
    <w:rsid w:val="0F0C5788"/>
    <w:rsid w:val="0FB24B6F"/>
    <w:rsid w:val="10172A20"/>
    <w:rsid w:val="11186A50"/>
    <w:rsid w:val="12301B77"/>
    <w:rsid w:val="12485112"/>
    <w:rsid w:val="12687563"/>
    <w:rsid w:val="130C6140"/>
    <w:rsid w:val="135E49AF"/>
    <w:rsid w:val="13F54E26"/>
    <w:rsid w:val="16250789"/>
    <w:rsid w:val="162F7DD8"/>
    <w:rsid w:val="16A3500D"/>
    <w:rsid w:val="16AE5760"/>
    <w:rsid w:val="18C3415D"/>
    <w:rsid w:val="197E766C"/>
    <w:rsid w:val="1A5216A8"/>
    <w:rsid w:val="1B267FBB"/>
    <w:rsid w:val="1B50328A"/>
    <w:rsid w:val="1C0654D9"/>
    <w:rsid w:val="1C97207E"/>
    <w:rsid w:val="1D2642A2"/>
    <w:rsid w:val="1F0B246D"/>
    <w:rsid w:val="1F3D486C"/>
    <w:rsid w:val="1FEC3441"/>
    <w:rsid w:val="20CA314A"/>
    <w:rsid w:val="215C240F"/>
    <w:rsid w:val="21611D4D"/>
    <w:rsid w:val="21635AC5"/>
    <w:rsid w:val="2181419D"/>
    <w:rsid w:val="21976E5D"/>
    <w:rsid w:val="224551CB"/>
    <w:rsid w:val="22CF6876"/>
    <w:rsid w:val="24DF6264"/>
    <w:rsid w:val="25BF1245"/>
    <w:rsid w:val="26760048"/>
    <w:rsid w:val="27135897"/>
    <w:rsid w:val="2725381D"/>
    <w:rsid w:val="278251D4"/>
    <w:rsid w:val="27BB7CDD"/>
    <w:rsid w:val="297C3BF6"/>
    <w:rsid w:val="29800265"/>
    <w:rsid w:val="2AF21C68"/>
    <w:rsid w:val="2B2D2895"/>
    <w:rsid w:val="2B562674"/>
    <w:rsid w:val="2B940F71"/>
    <w:rsid w:val="2C666968"/>
    <w:rsid w:val="2C7F3F7A"/>
    <w:rsid w:val="2D3227EF"/>
    <w:rsid w:val="2D5E0891"/>
    <w:rsid w:val="2EA4771D"/>
    <w:rsid w:val="2F805E27"/>
    <w:rsid w:val="32BC2865"/>
    <w:rsid w:val="330001C4"/>
    <w:rsid w:val="33AA031F"/>
    <w:rsid w:val="34484736"/>
    <w:rsid w:val="34E42621"/>
    <w:rsid w:val="354E2190"/>
    <w:rsid w:val="3582316E"/>
    <w:rsid w:val="35C74B42"/>
    <w:rsid w:val="36D4069C"/>
    <w:rsid w:val="36EF2B2D"/>
    <w:rsid w:val="37ED7A3F"/>
    <w:rsid w:val="37EF1A09"/>
    <w:rsid w:val="39477622"/>
    <w:rsid w:val="394E050B"/>
    <w:rsid w:val="39BC3B6C"/>
    <w:rsid w:val="3B6735EE"/>
    <w:rsid w:val="3BF553A8"/>
    <w:rsid w:val="3CC33464"/>
    <w:rsid w:val="3D232EB9"/>
    <w:rsid w:val="3E2B12C1"/>
    <w:rsid w:val="3E4839FF"/>
    <w:rsid w:val="3E525E27"/>
    <w:rsid w:val="3FAF3CC3"/>
    <w:rsid w:val="3FB672B0"/>
    <w:rsid w:val="3FF17740"/>
    <w:rsid w:val="40CA3013"/>
    <w:rsid w:val="41A90E7A"/>
    <w:rsid w:val="4279744D"/>
    <w:rsid w:val="42AE0712"/>
    <w:rsid w:val="434C575E"/>
    <w:rsid w:val="443666A2"/>
    <w:rsid w:val="45943BEF"/>
    <w:rsid w:val="45AF0A29"/>
    <w:rsid w:val="462907DC"/>
    <w:rsid w:val="46316130"/>
    <w:rsid w:val="4743767B"/>
    <w:rsid w:val="48F8233C"/>
    <w:rsid w:val="491A5BAF"/>
    <w:rsid w:val="492A0AF7"/>
    <w:rsid w:val="49720C7E"/>
    <w:rsid w:val="49882CAC"/>
    <w:rsid w:val="4BB23021"/>
    <w:rsid w:val="4C883D82"/>
    <w:rsid w:val="4CDA6125"/>
    <w:rsid w:val="4CF24E78"/>
    <w:rsid w:val="4D194537"/>
    <w:rsid w:val="4D4218DC"/>
    <w:rsid w:val="4D693BB4"/>
    <w:rsid w:val="4D761E2D"/>
    <w:rsid w:val="4D8D235A"/>
    <w:rsid w:val="4E7F4223"/>
    <w:rsid w:val="50134F5F"/>
    <w:rsid w:val="52033BB9"/>
    <w:rsid w:val="528477D7"/>
    <w:rsid w:val="53387715"/>
    <w:rsid w:val="53EC2E48"/>
    <w:rsid w:val="542645AC"/>
    <w:rsid w:val="54556C40"/>
    <w:rsid w:val="54591BB3"/>
    <w:rsid w:val="54BE47E5"/>
    <w:rsid w:val="54CF07A0"/>
    <w:rsid w:val="55464A0E"/>
    <w:rsid w:val="55D15D82"/>
    <w:rsid w:val="56D976B4"/>
    <w:rsid w:val="56DE2F1C"/>
    <w:rsid w:val="56FE07E6"/>
    <w:rsid w:val="57857ED2"/>
    <w:rsid w:val="58146AE3"/>
    <w:rsid w:val="587832AB"/>
    <w:rsid w:val="58E16CF4"/>
    <w:rsid w:val="59101387"/>
    <w:rsid w:val="59AF6DF2"/>
    <w:rsid w:val="5BFB00CD"/>
    <w:rsid w:val="5C2E04A2"/>
    <w:rsid w:val="5CB23D5A"/>
    <w:rsid w:val="5DA56542"/>
    <w:rsid w:val="5DD07337"/>
    <w:rsid w:val="5DE30E18"/>
    <w:rsid w:val="5F1C2834"/>
    <w:rsid w:val="5F4700E8"/>
    <w:rsid w:val="60F1205C"/>
    <w:rsid w:val="61F93EE7"/>
    <w:rsid w:val="639D4067"/>
    <w:rsid w:val="65BA5074"/>
    <w:rsid w:val="65DA4D08"/>
    <w:rsid w:val="668D7F08"/>
    <w:rsid w:val="66915430"/>
    <w:rsid w:val="6751640F"/>
    <w:rsid w:val="677D0530"/>
    <w:rsid w:val="699B4C9D"/>
    <w:rsid w:val="699F653B"/>
    <w:rsid w:val="6AE52674"/>
    <w:rsid w:val="6B030D4C"/>
    <w:rsid w:val="6B504DD7"/>
    <w:rsid w:val="6C270A6A"/>
    <w:rsid w:val="6CE14670"/>
    <w:rsid w:val="6DBD52C5"/>
    <w:rsid w:val="6DE74955"/>
    <w:rsid w:val="6E6C09B6"/>
    <w:rsid w:val="6EAB17AE"/>
    <w:rsid w:val="6EBC193D"/>
    <w:rsid w:val="6F8F6108"/>
    <w:rsid w:val="6FFD045F"/>
    <w:rsid w:val="705957E5"/>
    <w:rsid w:val="70CB2853"/>
    <w:rsid w:val="71213F9D"/>
    <w:rsid w:val="71632544"/>
    <w:rsid w:val="71EA4A14"/>
    <w:rsid w:val="72225F5B"/>
    <w:rsid w:val="722575D6"/>
    <w:rsid w:val="72890402"/>
    <w:rsid w:val="737C5B3F"/>
    <w:rsid w:val="739823C6"/>
    <w:rsid w:val="76524A8B"/>
    <w:rsid w:val="769431A0"/>
    <w:rsid w:val="770025E3"/>
    <w:rsid w:val="788A03B6"/>
    <w:rsid w:val="78EC5A1E"/>
    <w:rsid w:val="794B3654"/>
    <w:rsid w:val="7B1448AF"/>
    <w:rsid w:val="7B174486"/>
    <w:rsid w:val="7C9A62C5"/>
    <w:rsid w:val="7D211266"/>
    <w:rsid w:val="7E1B5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480" w:lineRule="exact"/>
      <w:jc w:val="center"/>
      <w:outlineLvl w:val="0"/>
    </w:pPr>
    <w:rPr>
      <w:rFonts w:ascii="Cambria" w:hAnsi="Cambria"/>
      <w:b/>
      <w:bCs/>
      <w:sz w:val="32"/>
      <w:szCs w:val="32"/>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style>
  <w:style w:type="paragraph" w:styleId="9">
    <w:name w:val="Body Text"/>
    <w:basedOn w:val="1"/>
    <w:next w:val="10"/>
    <w:qFormat/>
    <w:uiPriority w:val="0"/>
    <w:pPr>
      <w:spacing w:line="520" w:lineRule="exact"/>
      <w:jc w:val="center"/>
    </w:pPr>
    <w:rPr>
      <w:rFonts w:ascii="仿宋_GB2312" w:eastAsia="黑体"/>
      <w:b/>
      <w:color w:val="FF0000"/>
      <w:sz w:val="44"/>
    </w:rPr>
  </w:style>
  <w:style w:type="paragraph" w:styleId="10">
    <w:name w:val="Body Text First Indent"/>
    <w:basedOn w:val="9"/>
    <w:next w:val="1"/>
    <w:link w:val="36"/>
    <w:qFormat/>
    <w:uiPriority w:val="0"/>
    <w:pPr>
      <w:spacing w:after="120" w:line="240" w:lineRule="auto"/>
      <w:ind w:firstLine="420" w:firstLineChars="100"/>
      <w:jc w:val="both"/>
    </w:pPr>
    <w:rPr>
      <w:sz w:val="28"/>
    </w:rPr>
  </w:style>
  <w:style w:type="paragraph" w:styleId="11">
    <w:name w:val="Body Text Indent"/>
    <w:basedOn w:val="1"/>
    <w:next w:val="12"/>
    <w:qFormat/>
    <w:uiPriority w:val="0"/>
    <w:pPr>
      <w:spacing w:line="360" w:lineRule="auto"/>
      <w:ind w:firstLine="600" w:firstLineChars="200"/>
    </w:pPr>
    <w:rPr>
      <w:rFonts w:ascii="仿宋_GB2312" w:hAnsi="宋体" w:eastAsia="仿宋_GB2312"/>
      <w:b/>
      <w:sz w:val="30"/>
    </w:rPr>
  </w:style>
  <w:style w:type="paragraph" w:styleId="12">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3">
    <w:name w:val="List 2"/>
    <w:basedOn w:val="1"/>
    <w:qFormat/>
    <w:uiPriority w:val="0"/>
    <w:pPr>
      <w:ind w:left="100" w:leftChars="200" w:hanging="200" w:hangingChars="200"/>
    </w:pPr>
  </w:style>
  <w:style w:type="paragraph" w:styleId="14">
    <w:name w:val="Block Text"/>
    <w:basedOn w:val="1"/>
    <w:qFormat/>
    <w:uiPriority w:val="99"/>
    <w:pPr>
      <w:adjustRightInd w:val="0"/>
      <w:ind w:left="420" w:right="33"/>
      <w:textAlignment w:val="baseline"/>
    </w:pPr>
    <w:rPr>
      <w:sz w:val="24"/>
    </w:rPr>
  </w:style>
  <w:style w:type="paragraph" w:styleId="15">
    <w:name w:val="Plain Text"/>
    <w:basedOn w:val="1"/>
    <w:link w:val="37"/>
    <w:qFormat/>
    <w:uiPriority w:val="0"/>
    <w:rPr>
      <w:rFonts w:ascii="宋体" w:hAnsi="Courier New"/>
      <w:szCs w:val="20"/>
    </w:rPr>
  </w:style>
  <w:style w:type="paragraph" w:styleId="16">
    <w:name w:val="Date"/>
    <w:basedOn w:val="1"/>
    <w:next w:val="1"/>
    <w:qFormat/>
    <w:uiPriority w:val="0"/>
    <w:pPr>
      <w:ind w:left="100" w:leftChars="2500"/>
    </w:pPr>
    <w:rPr>
      <w:rFonts w:ascii="仿宋_GB2312" w:hAnsi="宋体" w:eastAsia="仿宋_GB2312"/>
      <w:sz w:val="30"/>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next w:val="1"/>
    <w:qFormat/>
    <w:uiPriority w:val="0"/>
    <w:pPr>
      <w:ind w:left="200" w:hanging="200" w:hangingChars="200"/>
    </w:pPr>
    <w:rPr>
      <w:sz w:val="28"/>
    </w:rPr>
  </w:style>
  <w:style w:type="paragraph" w:styleId="20">
    <w:name w:val="footnote text"/>
    <w:basedOn w:val="1"/>
    <w:qFormat/>
    <w:uiPriority w:val="99"/>
    <w:pPr>
      <w:snapToGrid w:val="0"/>
      <w:jc w:val="left"/>
    </w:pPr>
    <w:rPr>
      <w:sz w:val="18"/>
    </w:rPr>
  </w:style>
  <w:style w:type="paragraph" w:styleId="21">
    <w:name w:val="Body Text Indent 3"/>
    <w:basedOn w:val="1"/>
    <w:qFormat/>
    <w:uiPriority w:val="99"/>
    <w:pPr>
      <w:spacing w:line="500" w:lineRule="atLeast"/>
      <w:ind w:firstLine="720" w:firstLineChars="300"/>
    </w:pPr>
    <w:rPr>
      <w:sz w:val="24"/>
    </w:rPr>
  </w:style>
  <w:style w:type="paragraph" w:styleId="22">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23">
    <w:name w:val="Body Text First Indent 2"/>
    <w:basedOn w:val="11"/>
    <w:next w:val="1"/>
    <w:qFormat/>
    <w:uiPriority w:val="0"/>
    <w:pPr>
      <w:spacing w:after="120" w:line="240" w:lineRule="auto"/>
      <w:ind w:left="420" w:leftChars="200" w:firstLine="420"/>
    </w:pPr>
    <w:rPr>
      <w:rFonts w:ascii="Times New Roman" w:hAnsi="Times New Roman"/>
      <w:sz w:val="21"/>
    </w:rPr>
  </w:style>
  <w:style w:type="character" w:styleId="26">
    <w:name w:val="page number"/>
    <w:basedOn w:val="25"/>
    <w:qFormat/>
    <w:uiPriority w:val="0"/>
  </w:style>
  <w:style w:type="character" w:styleId="27">
    <w:name w:val="Hyperlink"/>
    <w:qFormat/>
    <w:uiPriority w:val="0"/>
    <w:rPr>
      <w:rFonts w:ascii="仿宋_GB2312" w:eastAsia="仿宋_GB2312"/>
      <w:b/>
      <w:color w:val="0000FF"/>
      <w:sz w:val="32"/>
      <w:szCs w:val="32"/>
      <w:u w:val="single"/>
    </w:rPr>
  </w:style>
  <w:style w:type="paragraph" w:customStyle="1" w:styleId="28">
    <w:name w:val="Default"/>
    <w:next w:val="29"/>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29">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0">
    <w:name w:val="表格文字"/>
    <w:basedOn w:val="1"/>
    <w:next w:val="9"/>
    <w:qFormat/>
    <w:uiPriority w:val="0"/>
    <w:pPr>
      <w:adjustRightInd w:val="0"/>
      <w:spacing w:line="420" w:lineRule="atLeast"/>
      <w:jc w:val="left"/>
      <w:textAlignment w:val="baseline"/>
    </w:pPr>
    <w:rPr>
      <w:kern w:val="0"/>
    </w:rPr>
  </w:style>
  <w:style w:type="paragraph" w:customStyle="1" w:styleId="31">
    <w:name w:val="样式 首行缩进:  0.99 厘米"/>
    <w:basedOn w:val="1"/>
    <w:qFormat/>
    <w:uiPriority w:val="0"/>
    <w:pPr>
      <w:ind w:firstLine="560"/>
    </w:pPr>
    <w:rPr>
      <w:rFonts w:cs="宋体"/>
      <w:sz w:val="28"/>
      <w:szCs w:val="20"/>
    </w:rPr>
  </w:style>
  <w:style w:type="paragraph" w:customStyle="1" w:styleId="32">
    <w:name w:val="正文 A"/>
    <w:next w:val="33"/>
    <w:qFormat/>
    <w:uiPriority w:val="0"/>
    <w:pPr>
      <w:framePr w:wrap="around" w:vAnchor="margin" w:hAnchor="text" w:yAlign="top"/>
      <w:widowControl w:val="0"/>
      <w:jc w:val="both"/>
    </w:pPr>
    <w:rPr>
      <w:rFonts w:ascii="Times New Roman" w:hAnsi="Times New Roman" w:eastAsia="Times New Roman" w:cs="Calibri"/>
      <w:color w:val="000000"/>
      <w:kern w:val="2"/>
      <w:sz w:val="21"/>
      <w:szCs w:val="21"/>
      <w:u w:color="000000"/>
      <w:lang w:val="en-US" w:eastAsia="zh-CN" w:bidi="ar-SA"/>
    </w:rPr>
  </w:style>
  <w:style w:type="paragraph" w:customStyle="1" w:styleId="33">
    <w:name w:val="首行缩进"/>
    <w:qFormat/>
    <w:uiPriority w:val="0"/>
    <w:pPr>
      <w:framePr w:wrap="around" w:vAnchor="margin" w:hAnchor="text" w:y="1"/>
      <w:widowControl w:val="0"/>
      <w:spacing w:line="36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34">
    <w:name w:val="No Spacing"/>
    <w:qFormat/>
    <w:uiPriority w:val="1"/>
    <w:pPr>
      <w:widowControl w:val="0"/>
    </w:pPr>
    <w:rPr>
      <w:rFonts w:ascii="Times New Roman" w:hAnsi="Times New Roman" w:eastAsia="PMingLiU" w:cs="Times New Roman"/>
      <w:kern w:val="2"/>
      <w:sz w:val="24"/>
      <w:szCs w:val="24"/>
      <w:lang w:val="en-US" w:eastAsia="zh-TW" w:bidi="ar-SA"/>
    </w:rPr>
  </w:style>
  <w:style w:type="paragraph" w:styleId="35">
    <w:name w:val="List Paragraph"/>
    <w:basedOn w:val="1"/>
    <w:unhideWhenUsed/>
    <w:qFormat/>
    <w:uiPriority w:val="99"/>
    <w:pPr>
      <w:ind w:firstLine="420" w:firstLineChars="200"/>
    </w:pPr>
  </w:style>
  <w:style w:type="character" w:customStyle="1" w:styleId="36">
    <w:name w:val="正文文本首行缩进 字符"/>
    <w:basedOn w:val="25"/>
    <w:link w:val="10"/>
    <w:qFormat/>
    <w:uiPriority w:val="0"/>
    <w:rPr>
      <w:rFonts w:ascii="仿宋_GB2312" w:eastAsia="黑体"/>
      <w:b/>
      <w:color w:val="FF0000"/>
      <w:kern w:val="2"/>
      <w:sz w:val="28"/>
      <w:szCs w:val="24"/>
    </w:rPr>
  </w:style>
  <w:style w:type="character" w:customStyle="1" w:styleId="37">
    <w:name w:val="纯文本 字符"/>
    <w:basedOn w:val="25"/>
    <w:link w:val="15"/>
    <w:qFormat/>
    <w:uiPriority w:val="0"/>
    <w:rPr>
      <w:rFonts w:ascii="宋体" w:hAnsi="Courier New"/>
      <w:kern w:val="2"/>
      <w:sz w:val="21"/>
    </w:rPr>
  </w:style>
  <w:style w:type="character" w:customStyle="1" w:styleId="3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65</Pages>
  <Words>22605</Words>
  <Characters>23252</Characters>
  <Lines>262</Lines>
  <Paragraphs>73</Paragraphs>
  <TotalTime>2</TotalTime>
  <ScaleCrop>false</ScaleCrop>
  <LinksUpToDate>false</LinksUpToDate>
  <CharactersWithSpaces>23584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2023-02-09T01:19:00Z</dcterms:created>
  <dc:creator>Administrator.DESKTOP-DBRB0Q4</dc:creator>
  <cp:lastModifiedBy>萌小宝</cp:lastModifiedBy>
  <dcterms:modified xsi:type="dcterms:W3CDTF">2024-12-09T06:53:37Z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46860960F9CB43AA90041A711356156E_13</vt:lpwstr>
  </property>
</Properties>
</file>