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EF040">
      <w:pPr>
        <w:rPr>
          <w:rFonts w:hint="eastAsia" w:ascii="仿宋" w:hAnsi="仿宋" w:eastAsia="仿宋" w:cs="仿宋"/>
          <w:color w:val="auto"/>
          <w:sz w:val="22"/>
          <w:szCs w:val="21"/>
          <w:highlight w:val="none"/>
        </w:rPr>
      </w:pPr>
    </w:p>
    <w:p w14:paraId="192A499A">
      <w:pPr>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湖州职业技术学院新校园机械零部件测绘实训室建设项目</w:t>
      </w:r>
    </w:p>
    <w:p w14:paraId="0B8DC5C3">
      <w:pPr>
        <w:jc w:val="center"/>
        <w:rPr>
          <w:rFonts w:hint="eastAsia" w:ascii="仿宋" w:hAnsi="仿宋" w:eastAsia="仿宋" w:cs="仿宋"/>
          <w:b/>
          <w:bCs/>
          <w:color w:val="auto"/>
          <w:sz w:val="44"/>
          <w:szCs w:val="44"/>
          <w:highlight w:val="none"/>
          <w:lang w:eastAsia="zh-CN"/>
        </w:rPr>
      </w:pPr>
    </w:p>
    <w:p w14:paraId="3B99EB42">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（财政审批编号：[2025]4476号）</w:t>
      </w:r>
    </w:p>
    <w:p w14:paraId="12BC704F">
      <w:pPr>
        <w:rPr>
          <w:rFonts w:hint="eastAsia" w:ascii="仿宋" w:hAnsi="仿宋" w:eastAsia="仿宋" w:cs="仿宋"/>
          <w:b/>
          <w:bCs/>
          <w:color w:val="auto"/>
          <w:sz w:val="28"/>
          <w:szCs w:val="28"/>
          <w:highlight w:val="none"/>
        </w:rPr>
      </w:pPr>
    </w:p>
    <w:p w14:paraId="69AF30F7">
      <w:pPr>
        <w:rPr>
          <w:rFonts w:hint="eastAsia" w:ascii="仿宋" w:hAnsi="仿宋" w:eastAsia="仿宋" w:cs="仿宋"/>
          <w:b/>
          <w:bCs/>
          <w:color w:val="auto"/>
          <w:sz w:val="28"/>
          <w:szCs w:val="28"/>
          <w:highlight w:val="none"/>
        </w:rPr>
      </w:pPr>
    </w:p>
    <w:p w14:paraId="718B00DA">
      <w:pPr>
        <w:rPr>
          <w:rFonts w:hint="eastAsia" w:ascii="仿宋" w:hAnsi="仿宋" w:eastAsia="仿宋" w:cs="仿宋"/>
          <w:b/>
          <w:bCs/>
          <w:color w:val="auto"/>
          <w:sz w:val="28"/>
          <w:szCs w:val="28"/>
          <w:highlight w:val="none"/>
        </w:rPr>
      </w:pPr>
    </w:p>
    <w:p w14:paraId="2B3AFD6F">
      <w:pPr>
        <w:rPr>
          <w:rFonts w:hint="eastAsia" w:ascii="仿宋" w:hAnsi="仿宋" w:eastAsia="仿宋" w:cs="仿宋"/>
          <w:b/>
          <w:bCs/>
          <w:color w:val="auto"/>
          <w:sz w:val="28"/>
          <w:szCs w:val="28"/>
          <w:highlight w:val="none"/>
        </w:rPr>
      </w:pPr>
    </w:p>
    <w:p w14:paraId="03D5DF83">
      <w:pPr>
        <w:jc w:val="center"/>
        <w:rPr>
          <w:rFonts w:hint="eastAsia" w:ascii="仿宋" w:hAnsi="仿宋" w:eastAsia="仿宋" w:cs="仿宋"/>
          <w:b/>
          <w:bCs/>
          <w:color w:val="auto"/>
          <w:sz w:val="60"/>
          <w:szCs w:val="60"/>
          <w:highlight w:val="none"/>
        </w:rPr>
      </w:pPr>
      <w:r>
        <w:rPr>
          <w:rFonts w:hint="eastAsia" w:ascii="仿宋" w:hAnsi="仿宋" w:eastAsia="仿宋" w:cs="仿宋"/>
          <w:b/>
          <w:bCs/>
          <w:color w:val="auto"/>
          <w:sz w:val="60"/>
          <w:szCs w:val="60"/>
          <w:highlight w:val="none"/>
        </w:rPr>
        <w:t>公开招标文件</w:t>
      </w:r>
    </w:p>
    <w:p w14:paraId="148A5AB5">
      <w:pPr>
        <w:rPr>
          <w:rFonts w:hint="eastAsia" w:ascii="仿宋" w:hAnsi="仿宋" w:eastAsia="仿宋" w:cs="仿宋"/>
          <w:color w:val="auto"/>
          <w:sz w:val="22"/>
          <w:szCs w:val="21"/>
          <w:highlight w:val="none"/>
        </w:rPr>
      </w:pPr>
    </w:p>
    <w:p w14:paraId="691D8F5A">
      <w:pPr>
        <w:rPr>
          <w:rFonts w:hint="eastAsia" w:ascii="仿宋" w:hAnsi="仿宋" w:eastAsia="仿宋" w:cs="仿宋"/>
          <w:color w:val="auto"/>
          <w:sz w:val="22"/>
          <w:szCs w:val="21"/>
          <w:highlight w:val="none"/>
        </w:rPr>
      </w:pPr>
    </w:p>
    <w:p w14:paraId="21E00A9F">
      <w:pPr>
        <w:rPr>
          <w:rFonts w:hint="eastAsia" w:ascii="仿宋" w:hAnsi="仿宋" w:eastAsia="仿宋" w:cs="仿宋"/>
          <w:color w:val="auto"/>
          <w:sz w:val="22"/>
          <w:szCs w:val="21"/>
          <w:highlight w:val="none"/>
        </w:rPr>
      </w:pPr>
    </w:p>
    <w:p w14:paraId="79115C83">
      <w:pPr>
        <w:rPr>
          <w:rFonts w:hint="eastAsia" w:ascii="仿宋" w:hAnsi="仿宋" w:eastAsia="仿宋" w:cs="仿宋"/>
          <w:color w:val="auto"/>
          <w:sz w:val="22"/>
          <w:szCs w:val="21"/>
          <w:highlight w:val="none"/>
        </w:rPr>
      </w:pPr>
    </w:p>
    <w:p w14:paraId="1BD6EB3D">
      <w:pPr>
        <w:rPr>
          <w:rFonts w:hint="eastAsia" w:ascii="仿宋" w:hAnsi="仿宋" w:eastAsia="仿宋" w:cs="仿宋"/>
          <w:color w:val="auto"/>
          <w:sz w:val="22"/>
          <w:szCs w:val="21"/>
          <w:highlight w:val="none"/>
        </w:rPr>
      </w:pPr>
    </w:p>
    <w:p w14:paraId="0A9E2D88">
      <w:pPr>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ZJJY2025-027</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32FE4975">
      <w:pPr>
        <w:ind w:left="1350" w:hanging="1260" w:hangingChars="4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湖州职业技术学院新校园机械零部件测绘实训室建设项目</w:t>
      </w:r>
    </w:p>
    <w:p w14:paraId="34B5F0E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 购 人：</w:t>
      </w:r>
      <w:r>
        <w:rPr>
          <w:rFonts w:hint="eastAsia" w:ascii="仿宋" w:hAnsi="仿宋" w:eastAsia="仿宋" w:cs="仿宋"/>
          <w:color w:val="auto"/>
          <w:sz w:val="28"/>
          <w:szCs w:val="28"/>
          <w:highlight w:val="none"/>
          <w:u w:val="single"/>
        </w:rPr>
        <w:t xml:space="preserve">         湖州职业技术学院       （盖章）</w:t>
      </w:r>
    </w:p>
    <w:p w14:paraId="70FF3DE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u w:val="single"/>
        </w:rPr>
        <w:t xml:space="preserve">       浙江金业管理咨询有限公司   （盖章）</w:t>
      </w:r>
    </w:p>
    <w:p w14:paraId="6F59F883">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月</w:t>
      </w:r>
    </w:p>
    <w:p w14:paraId="1B3C9ABB">
      <w:pPr>
        <w:widowControl/>
        <w:spacing w:line="24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br w:type="page"/>
      </w:r>
    </w:p>
    <w:sdt>
      <w:sdtPr>
        <w:rPr>
          <w:rFonts w:hint="eastAsia" w:ascii="仿宋" w:hAnsi="仿宋" w:eastAsia="仿宋" w:cs="仿宋"/>
          <w:color w:val="auto"/>
          <w:kern w:val="2"/>
          <w:sz w:val="22"/>
          <w:szCs w:val="21"/>
          <w:highlight w:val="none"/>
          <w:lang w:val="zh-CN"/>
        </w:rPr>
        <w:id w:val="-1"/>
        <w:docPartObj>
          <w:docPartGallery w:val="Table of Contents"/>
          <w:docPartUnique/>
        </w:docPartObj>
      </w:sdtPr>
      <w:sdtEndPr>
        <w:rPr>
          <w:rFonts w:hint="eastAsia" w:ascii="仿宋" w:hAnsi="仿宋" w:eastAsia="仿宋" w:cs="仿宋"/>
          <w:b/>
          <w:bCs/>
          <w:color w:val="auto"/>
          <w:kern w:val="2"/>
          <w:sz w:val="22"/>
          <w:szCs w:val="21"/>
          <w:highlight w:val="none"/>
          <w:lang w:val="zh-CN"/>
        </w:rPr>
      </w:sdtEndPr>
      <w:sdtContent>
        <w:p w14:paraId="3696FE21">
          <w:pPr>
            <w:pStyle w:val="38"/>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lang w:val="zh-CN"/>
            </w:rPr>
            <w:t>目  录</w:t>
          </w:r>
        </w:p>
        <w:p w14:paraId="11CB68A1">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TOC \o "1-3" \h \z \u </w:instrText>
          </w:r>
          <w:r>
            <w:rPr>
              <w:rFonts w:hint="eastAsia" w:ascii="仿宋" w:hAnsi="仿宋" w:eastAsia="仿宋" w:cs="仿宋"/>
              <w:color w:val="auto"/>
              <w:sz w:val="22"/>
              <w:szCs w:val="21"/>
              <w:highlight w:val="none"/>
            </w:rPr>
            <w:fldChar w:fldCharType="separate"/>
          </w: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"_Toc131706337"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第一章 公开招标采购公告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_Toc131706337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8E8F8C5">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"_Toc131706338"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第二章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_Toc131706338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3D6FEF">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"_Toc131706339"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第三章 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91A88A">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"_Toc131706340"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FC861E0">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"_Toc131706341"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一、总则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CA1C22A">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"_Toc131706342"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二、招标文件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CD4F0BA">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"_Toc131706343"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三、投标文件的编制要求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E787C59">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"_Toc131706344"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四、开标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818D527">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"_Toc131706345"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五、评标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9A08273">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"_Toc131706346"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六、定标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A07DB5C">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"_Toc131706347"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七、合同授予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907BB13">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"_Toc131706349"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第四章 评标办法及评分标准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030AA2B">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"_Toc131706350"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第五章 合同主要条款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_Toc131706350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2C632CA">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"_Toc131706351"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第六章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_Toc131706351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ED5F95E">
          <w:pPr>
            <w:rPr>
              <w:rFonts w:hint="eastAsia" w:ascii="仿宋" w:hAnsi="仿宋" w:eastAsia="仿宋" w:cs="仿宋"/>
              <w:color w:val="auto"/>
              <w:sz w:val="22"/>
              <w:szCs w:val="21"/>
              <w:highlight w:val="none"/>
            </w:rPr>
          </w:pPr>
          <w:r>
            <w:rPr>
              <w:rFonts w:hint="eastAsia" w:ascii="仿宋" w:hAnsi="仿宋" w:eastAsia="仿宋" w:cs="仿宋"/>
              <w:b/>
              <w:bCs/>
              <w:color w:val="auto"/>
              <w:sz w:val="22"/>
              <w:szCs w:val="21"/>
              <w:highlight w:val="none"/>
              <w:lang w:val="zh-CN"/>
            </w:rPr>
            <w:fldChar w:fldCharType="end"/>
          </w:r>
        </w:p>
      </w:sdtContent>
    </w:sdt>
    <w:p w14:paraId="2227F07D">
      <w:pPr>
        <w:tabs>
          <w:tab w:val="left" w:pos="7242"/>
        </w:tabs>
        <w:rPr>
          <w:rFonts w:hint="eastAsia" w:ascii="仿宋" w:hAnsi="仿宋" w:eastAsia="仿宋" w:cs="仿宋"/>
          <w:color w:val="auto"/>
          <w:sz w:val="22"/>
          <w:szCs w:val="21"/>
          <w:highlight w:val="none"/>
          <w:lang w:eastAsia="zh-CN"/>
        </w:rPr>
      </w:pPr>
      <w:r>
        <w:rPr>
          <w:rFonts w:hint="eastAsia" w:ascii="仿宋" w:hAnsi="仿宋" w:eastAsia="仿宋" w:cs="仿宋"/>
          <w:color w:val="auto"/>
          <w:sz w:val="22"/>
          <w:szCs w:val="21"/>
          <w:highlight w:val="none"/>
          <w:lang w:eastAsia="zh-CN"/>
        </w:rPr>
        <w:tab/>
      </w:r>
    </w:p>
    <w:p w14:paraId="2E9CF4BC">
      <w:pPr>
        <w:rPr>
          <w:rFonts w:hint="eastAsia" w:ascii="仿宋" w:hAnsi="仿宋" w:eastAsia="仿宋" w:cs="仿宋"/>
          <w:color w:val="auto"/>
          <w:sz w:val="22"/>
          <w:szCs w:val="21"/>
          <w:highlight w:val="none"/>
        </w:rPr>
      </w:pPr>
    </w:p>
    <w:p w14:paraId="79FD1A4F">
      <w:pPr>
        <w:rPr>
          <w:rFonts w:hint="eastAsia" w:ascii="仿宋" w:hAnsi="仿宋" w:eastAsia="仿宋" w:cs="仿宋"/>
          <w:color w:val="auto"/>
          <w:sz w:val="22"/>
          <w:szCs w:val="21"/>
          <w:highlight w:val="none"/>
        </w:rPr>
        <w:sectPr>
          <w:headerReference r:id="rId5" w:type="default"/>
          <w:footerReference r:id="rId6" w:type="default"/>
          <w:pgSz w:w="11906" w:h="16838"/>
          <w:pgMar w:top="1418" w:right="1418" w:bottom="1418" w:left="1418" w:header="1020" w:footer="992" w:gutter="0"/>
          <w:pgNumType w:fmt="decimal" w:start="1"/>
          <w:cols w:space="425" w:num="1"/>
          <w:docGrid w:type="lines" w:linePitch="326" w:charSpace="0"/>
        </w:sectPr>
      </w:pPr>
    </w:p>
    <w:p w14:paraId="2449AB9B">
      <w:pPr>
        <w:pStyle w:val="2"/>
        <w:rPr>
          <w:rFonts w:hint="eastAsia" w:ascii="仿宋" w:hAnsi="仿宋" w:eastAsia="仿宋" w:cs="仿宋"/>
          <w:color w:val="auto"/>
          <w:sz w:val="28"/>
          <w:szCs w:val="28"/>
          <w:highlight w:val="none"/>
        </w:rPr>
      </w:pPr>
      <w:bookmarkStart w:id="0" w:name="_Toc131706337"/>
      <w:r>
        <w:rPr>
          <w:rFonts w:hint="eastAsia" w:ascii="仿宋" w:hAnsi="仿宋" w:eastAsia="仿宋" w:cs="仿宋"/>
          <w:color w:val="auto"/>
          <w:sz w:val="28"/>
          <w:szCs w:val="28"/>
          <w:highlight w:val="none"/>
        </w:rPr>
        <w:t>第一章 公开招标采购公告</w:t>
      </w:r>
      <w:bookmarkEnd w:id="0"/>
    </w:p>
    <w:p w14:paraId="6979B9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根据《中华人民共和国政府采购法》、《政府采购货物和服务招标投标管理办法》及相关法律、法规等规定，经湖州市财政局政府采购监管处（财政审批编号：[2025]4476号）批准，</w:t>
      </w:r>
      <w:r>
        <w:rPr>
          <w:rFonts w:hint="eastAsia" w:ascii="仿宋" w:hAnsi="仿宋" w:eastAsia="仿宋" w:cs="仿宋"/>
          <w:b/>
          <w:color w:val="auto"/>
          <w:sz w:val="24"/>
          <w:szCs w:val="24"/>
          <w:highlight w:val="none"/>
          <w:u w:val="single"/>
        </w:rPr>
        <w:t xml:space="preserve">浙江金业管理咨询有限公司 </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湖州职业技术学院 </w:t>
      </w:r>
      <w:r>
        <w:rPr>
          <w:rFonts w:hint="eastAsia" w:ascii="仿宋" w:hAnsi="仿宋" w:eastAsia="仿宋" w:cs="仿宋"/>
          <w:color w:val="auto"/>
          <w:sz w:val="24"/>
          <w:szCs w:val="24"/>
          <w:highlight w:val="none"/>
        </w:rPr>
        <w:t>委托，现就</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lang w:eastAsia="zh-CN"/>
        </w:rPr>
        <w:t>湖州职业技术学院</w:t>
      </w:r>
      <w:r>
        <w:rPr>
          <w:rFonts w:hint="eastAsia" w:ascii="仿宋" w:hAnsi="仿宋" w:eastAsia="仿宋" w:cs="仿宋"/>
          <w:b/>
          <w:color w:val="auto"/>
          <w:sz w:val="24"/>
          <w:szCs w:val="24"/>
          <w:highlight w:val="none"/>
          <w:u w:val="single"/>
          <w:lang w:val="en-US" w:eastAsia="zh-CN"/>
        </w:rPr>
        <w:t>新校园</w:t>
      </w:r>
      <w:r>
        <w:rPr>
          <w:rFonts w:hint="eastAsia" w:ascii="仿宋" w:hAnsi="仿宋" w:eastAsia="仿宋" w:cs="仿宋"/>
          <w:b/>
          <w:color w:val="auto"/>
          <w:sz w:val="24"/>
          <w:szCs w:val="24"/>
          <w:highlight w:val="none"/>
          <w:u w:val="single"/>
          <w:lang w:eastAsia="zh-CN"/>
        </w:rPr>
        <w:t>机械零部件测绘实训室建设项目</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进行公开招标采购，欢迎中华人民共和国境内的合格供应商前来参加投标。</w:t>
      </w:r>
    </w:p>
    <w:p w14:paraId="1572E1B4">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一、采购项目编号：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none"/>
        </w:rPr>
        <w:t>ZJJY202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-027</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 xml:space="preserve"> </w:t>
      </w:r>
    </w:p>
    <w:p w14:paraId="5B759FC1">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二、采购组织类型</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分散采购-分散委托中介</w:t>
      </w:r>
    </w:p>
    <w:p w14:paraId="4DD1C11A">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三、采购方式</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公开招标</w:t>
      </w:r>
    </w:p>
    <w:p w14:paraId="7B50C57C">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四、采购项目概况（内容、用途、数量、简要技术要求等）</w:t>
      </w:r>
      <w:r>
        <w:rPr>
          <w:rFonts w:hint="eastAsia" w:ascii="仿宋" w:hAnsi="仿宋" w:eastAsia="仿宋" w:cs="仿宋"/>
          <w:b/>
          <w:bCs/>
          <w:color w:val="auto"/>
          <w:sz w:val="24"/>
          <w:szCs w:val="24"/>
          <w:highlight w:val="none"/>
        </w:rPr>
        <w:t>：</w:t>
      </w:r>
    </w:p>
    <w:tbl>
      <w:tblPr>
        <w:tblStyle w:val="2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825"/>
        <w:gridCol w:w="1160"/>
        <w:gridCol w:w="1759"/>
        <w:gridCol w:w="2851"/>
      </w:tblGrid>
      <w:tr w14:paraId="6942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43" w:type="dxa"/>
            <w:vAlign w:val="center"/>
          </w:tcPr>
          <w:p w14:paraId="3C72C1FE">
            <w:pPr>
              <w:adjustRightInd w:val="0"/>
              <w:jc w:val="center"/>
              <w:rPr>
                <w:rFonts w:hint="eastAsia" w:ascii="仿宋" w:hAnsi="仿宋" w:eastAsia="仿宋" w:cs="仿宋"/>
                <w:color w:val="auto"/>
                <w:kern w:val="2"/>
                <w:sz w:val="21"/>
                <w:szCs w:val="20"/>
                <w:highlight w:val="none"/>
              </w:rPr>
            </w:pPr>
            <w:r>
              <w:rPr>
                <w:rFonts w:hint="eastAsia" w:ascii="仿宋" w:hAnsi="仿宋" w:eastAsia="仿宋" w:cs="仿宋"/>
                <w:color w:val="auto"/>
                <w:kern w:val="2"/>
                <w:sz w:val="21"/>
                <w:szCs w:val="20"/>
                <w:highlight w:val="none"/>
              </w:rPr>
              <w:t>序号</w:t>
            </w:r>
          </w:p>
        </w:tc>
        <w:tc>
          <w:tcPr>
            <w:tcW w:w="2825" w:type="dxa"/>
            <w:vAlign w:val="center"/>
          </w:tcPr>
          <w:p w14:paraId="23D05D3D">
            <w:pPr>
              <w:adjustRightInd w:val="0"/>
              <w:jc w:val="center"/>
              <w:rPr>
                <w:rFonts w:hint="eastAsia" w:ascii="仿宋" w:hAnsi="仿宋" w:eastAsia="仿宋" w:cs="仿宋"/>
                <w:color w:val="auto"/>
                <w:kern w:val="2"/>
                <w:sz w:val="21"/>
                <w:szCs w:val="20"/>
                <w:highlight w:val="none"/>
              </w:rPr>
            </w:pPr>
            <w:r>
              <w:rPr>
                <w:rFonts w:hint="eastAsia" w:ascii="仿宋" w:hAnsi="仿宋" w:eastAsia="仿宋" w:cs="仿宋"/>
                <w:color w:val="auto"/>
                <w:kern w:val="2"/>
                <w:sz w:val="21"/>
                <w:szCs w:val="20"/>
                <w:highlight w:val="none"/>
              </w:rPr>
              <w:t>项目内容</w:t>
            </w:r>
          </w:p>
        </w:tc>
        <w:tc>
          <w:tcPr>
            <w:tcW w:w="1160" w:type="dxa"/>
            <w:vAlign w:val="center"/>
          </w:tcPr>
          <w:p w14:paraId="41DF4EB3">
            <w:pPr>
              <w:adjustRightInd w:val="0"/>
              <w:jc w:val="center"/>
              <w:rPr>
                <w:rFonts w:hint="eastAsia" w:ascii="仿宋" w:hAnsi="仿宋" w:eastAsia="仿宋" w:cs="仿宋"/>
                <w:color w:val="auto"/>
                <w:kern w:val="2"/>
                <w:sz w:val="21"/>
                <w:szCs w:val="20"/>
                <w:highlight w:val="none"/>
              </w:rPr>
            </w:pPr>
            <w:r>
              <w:rPr>
                <w:rFonts w:hint="eastAsia" w:ascii="仿宋" w:hAnsi="仿宋" w:eastAsia="仿宋" w:cs="仿宋"/>
                <w:color w:val="auto"/>
                <w:kern w:val="2"/>
                <w:sz w:val="21"/>
                <w:szCs w:val="20"/>
                <w:highlight w:val="none"/>
              </w:rPr>
              <w:t>数量</w:t>
            </w:r>
          </w:p>
        </w:tc>
        <w:tc>
          <w:tcPr>
            <w:tcW w:w="1759" w:type="dxa"/>
            <w:vAlign w:val="center"/>
          </w:tcPr>
          <w:p w14:paraId="5F94DFC9">
            <w:pPr>
              <w:adjustRightInd w:val="0"/>
              <w:jc w:val="center"/>
              <w:rPr>
                <w:rFonts w:hint="eastAsia" w:ascii="仿宋" w:hAnsi="仿宋" w:eastAsia="仿宋" w:cs="仿宋"/>
                <w:color w:val="auto"/>
                <w:kern w:val="2"/>
                <w:sz w:val="21"/>
                <w:szCs w:val="20"/>
                <w:highlight w:val="none"/>
              </w:rPr>
            </w:pPr>
            <w:r>
              <w:rPr>
                <w:rFonts w:hint="eastAsia" w:ascii="仿宋" w:hAnsi="仿宋" w:eastAsia="仿宋" w:cs="仿宋"/>
                <w:color w:val="auto"/>
                <w:kern w:val="2"/>
                <w:sz w:val="21"/>
                <w:szCs w:val="20"/>
                <w:highlight w:val="none"/>
              </w:rPr>
              <w:t>预算金额</w:t>
            </w:r>
          </w:p>
          <w:p w14:paraId="6DFFCE53">
            <w:pPr>
              <w:adjustRightInd w:val="0"/>
              <w:jc w:val="center"/>
              <w:rPr>
                <w:rFonts w:hint="eastAsia" w:ascii="仿宋" w:hAnsi="仿宋" w:eastAsia="仿宋" w:cs="仿宋"/>
                <w:color w:val="auto"/>
                <w:kern w:val="2"/>
                <w:sz w:val="21"/>
                <w:szCs w:val="20"/>
                <w:highlight w:val="none"/>
              </w:rPr>
            </w:pPr>
            <w:r>
              <w:rPr>
                <w:rFonts w:hint="eastAsia" w:ascii="仿宋" w:hAnsi="仿宋" w:eastAsia="仿宋" w:cs="仿宋"/>
                <w:color w:val="auto"/>
                <w:kern w:val="2"/>
                <w:sz w:val="21"/>
                <w:szCs w:val="20"/>
                <w:highlight w:val="none"/>
              </w:rPr>
              <w:t>（元）</w:t>
            </w:r>
          </w:p>
        </w:tc>
        <w:tc>
          <w:tcPr>
            <w:tcW w:w="2851" w:type="dxa"/>
            <w:shd w:val="clear" w:color="auto" w:fill="auto"/>
            <w:vAlign w:val="center"/>
          </w:tcPr>
          <w:p w14:paraId="6CE05C0B">
            <w:pPr>
              <w:adjustRightInd w:val="0"/>
              <w:spacing w:line="360" w:lineRule="auto"/>
              <w:jc w:val="center"/>
              <w:rPr>
                <w:rFonts w:hint="eastAsia" w:ascii="仿宋" w:hAnsi="仿宋" w:eastAsia="仿宋" w:cs="仿宋"/>
                <w:color w:val="auto"/>
                <w:kern w:val="2"/>
                <w:sz w:val="21"/>
                <w:szCs w:val="20"/>
                <w:highlight w:val="none"/>
                <w:lang w:val="en-US" w:eastAsia="zh-CN" w:bidi="ar-SA"/>
              </w:rPr>
            </w:pPr>
            <w:r>
              <w:rPr>
                <w:rFonts w:hint="eastAsia" w:ascii="仿宋" w:hAnsi="仿宋" w:eastAsia="仿宋" w:cs="仿宋"/>
                <w:color w:val="auto"/>
                <w:sz w:val="21"/>
                <w:szCs w:val="20"/>
                <w:highlight w:val="none"/>
              </w:rPr>
              <w:t>简要规格描述或标项基本概况介绍</w:t>
            </w:r>
          </w:p>
        </w:tc>
      </w:tr>
      <w:tr w14:paraId="0934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43" w:type="dxa"/>
            <w:vAlign w:val="center"/>
          </w:tcPr>
          <w:p w14:paraId="027D513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825" w:type="dxa"/>
            <w:vAlign w:val="center"/>
          </w:tcPr>
          <w:p w14:paraId="4C332637">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湖州职业技术学院</w:t>
            </w:r>
            <w:r>
              <w:rPr>
                <w:rFonts w:hint="eastAsia" w:ascii="仿宋" w:hAnsi="仿宋" w:eastAsia="仿宋" w:cs="仿宋"/>
                <w:bCs/>
                <w:color w:val="auto"/>
                <w:sz w:val="24"/>
                <w:szCs w:val="24"/>
                <w:highlight w:val="none"/>
                <w:lang w:val="en-US" w:eastAsia="zh-CN"/>
              </w:rPr>
              <w:t>新校园</w:t>
            </w:r>
            <w:r>
              <w:rPr>
                <w:rFonts w:hint="eastAsia" w:ascii="仿宋" w:hAnsi="仿宋" w:eastAsia="仿宋" w:cs="仿宋"/>
                <w:bCs/>
                <w:color w:val="auto"/>
                <w:sz w:val="24"/>
                <w:szCs w:val="24"/>
                <w:highlight w:val="none"/>
                <w:lang w:eastAsia="zh-CN"/>
              </w:rPr>
              <w:t>机械零部件测绘实训室建设项目</w:t>
            </w:r>
          </w:p>
        </w:tc>
        <w:tc>
          <w:tcPr>
            <w:tcW w:w="1160" w:type="dxa"/>
            <w:vAlign w:val="center"/>
          </w:tcPr>
          <w:p w14:paraId="47770C45">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项</w:t>
            </w:r>
          </w:p>
        </w:tc>
        <w:tc>
          <w:tcPr>
            <w:tcW w:w="1759" w:type="dxa"/>
            <w:vAlign w:val="center"/>
          </w:tcPr>
          <w:p w14:paraId="272A6AA4">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880000</w:t>
            </w:r>
          </w:p>
        </w:tc>
        <w:tc>
          <w:tcPr>
            <w:tcW w:w="2851" w:type="dxa"/>
            <w:shd w:val="clear" w:color="auto" w:fill="auto"/>
            <w:vAlign w:val="center"/>
          </w:tcPr>
          <w:p w14:paraId="117BC957">
            <w:pPr>
              <w:widowControl/>
              <w:spacing w:before="0" w:after="0" w:line="240" w:lineRule="auto"/>
              <w:ind w:firstLine="480"/>
              <w:jc w:val="left"/>
              <w:rPr>
                <w:rFonts w:hint="eastAsia" w:ascii="仿宋" w:hAnsi="仿宋" w:eastAsia="仿宋" w:cs="仿宋"/>
                <w:color w:val="auto"/>
                <w:kern w:val="2"/>
                <w:sz w:val="21"/>
                <w:szCs w:val="20"/>
                <w:highlight w:val="none"/>
                <w:lang w:val="en-US" w:eastAsia="zh-CN" w:bidi="ar-SA"/>
              </w:rPr>
            </w:pPr>
            <w:r>
              <w:rPr>
                <w:rFonts w:hint="eastAsia" w:ascii="仿宋" w:hAnsi="仿宋" w:eastAsia="仿宋" w:cs="仿宋"/>
                <w:color w:val="auto"/>
                <w:sz w:val="21"/>
                <w:szCs w:val="20"/>
                <w:highlight w:val="none"/>
                <w:lang w:val="en-US" w:eastAsia="zh-CN"/>
              </w:rPr>
              <w:t>详见采购需求</w:t>
            </w:r>
          </w:p>
        </w:tc>
      </w:tr>
    </w:tbl>
    <w:p w14:paraId="1362E133">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五、投标供应商资格要求</w:t>
      </w:r>
      <w:r>
        <w:rPr>
          <w:rFonts w:hint="eastAsia" w:ascii="仿宋" w:hAnsi="仿宋" w:eastAsia="仿宋" w:cs="仿宋"/>
          <w:b/>
          <w:bCs/>
          <w:color w:val="auto"/>
          <w:sz w:val="24"/>
          <w:szCs w:val="24"/>
          <w:highlight w:val="none"/>
        </w:rPr>
        <w:t>：</w:t>
      </w:r>
    </w:p>
    <w:p w14:paraId="0D97582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5F1993E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2、本项目不接受联合体投标；</w:t>
      </w:r>
    </w:p>
    <w:p w14:paraId="44CEDDD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w:t>
      </w:r>
      <w:r>
        <w:rPr>
          <w:rFonts w:hint="eastAsia" w:ascii="仿宋" w:hAnsi="仿宋" w:eastAsia="仿宋" w:cs="仿宋"/>
          <w:color w:val="000000" w:themeColor="text1"/>
          <w:sz w:val="24"/>
          <w:szCs w:val="24"/>
          <w:highlight w:val="none"/>
          <w14:textFill>
            <w14:solidFill>
              <w14:schemeClr w14:val="tx1"/>
            </w14:solidFill>
          </w14:textFill>
        </w:rPr>
        <w:t>本项目专门面向中小企业采购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需符合国家《中小企业划型标准规定》要求。（监狱企业、残疾人福利性单位参加投标，视为小型、微型企业）。</w:t>
      </w:r>
    </w:p>
    <w:p w14:paraId="344B6CF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本项目采购标的对应的中小企业划分标准所属行业为：</w:t>
      </w:r>
      <w:r>
        <w:rPr>
          <w:rFonts w:hint="eastAsia" w:ascii="仿宋" w:hAnsi="仿宋" w:eastAsia="仿宋" w:cs="仿宋"/>
          <w:color w:val="auto"/>
          <w:sz w:val="24"/>
          <w:szCs w:val="24"/>
          <w:highlight w:val="none"/>
          <w:lang w:val="en-US" w:eastAsia="zh-CN"/>
        </w:rPr>
        <w:t>工</w:t>
      </w:r>
      <w:r>
        <w:rPr>
          <w:rFonts w:hint="eastAsia" w:ascii="仿宋" w:hAnsi="仿宋" w:eastAsia="仿宋" w:cs="仿宋"/>
          <w:color w:val="auto"/>
          <w:sz w:val="24"/>
          <w:szCs w:val="24"/>
          <w:highlight w:val="none"/>
          <w:lang w:eastAsia="zh-CN"/>
        </w:rPr>
        <w:t>业</w:t>
      </w:r>
      <w:r>
        <w:rPr>
          <w:rFonts w:hint="eastAsia" w:ascii="仿宋" w:hAnsi="仿宋" w:eastAsia="仿宋" w:cs="仿宋"/>
          <w:color w:val="auto"/>
          <w:sz w:val="24"/>
          <w:szCs w:val="24"/>
          <w:highlight w:val="none"/>
        </w:rPr>
        <w:t>。</w:t>
      </w:r>
    </w:p>
    <w:p w14:paraId="65C120C0">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六、报名及获取招标文件时间：</w:t>
      </w:r>
    </w:p>
    <w:p w14:paraId="0EB0E3D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1、报名及获取招标文件时间：公告发布时间起至投标截止时间止（潜在供应商报名及获取招标文件前应当在政采云电子交易平台上注册账号并登录，截止时间后不再接受潜在供应商报名及获取招标文件）。</w:t>
      </w:r>
    </w:p>
    <w:p w14:paraId="106E862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091ED30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3、免费注册网址：浙江政府采购网（供应商注册页面）：https://middle.zcygov.cn/settle-front/#/registry“政采云”，咨询电话：400-881-7190。已经注册成功的供应商无需重复注册。</w:t>
      </w:r>
    </w:p>
    <w:p w14:paraId="6661CB1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七、投标文件的递交及相关事宜：</w:t>
      </w:r>
    </w:p>
    <w:p w14:paraId="4D2F0E32">
      <w:pPr>
        <w:ind w:left="300" w:leftChars="125"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1、投标文件递交的截止时间（投标截止时间，下同）：</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00</w:t>
      </w:r>
      <w:r>
        <w:rPr>
          <w:rFonts w:hint="eastAsia" w:ascii="仿宋" w:hAnsi="仿宋" w:eastAsia="仿宋" w:cs="仿宋"/>
          <w:color w:val="FF0000"/>
          <w:sz w:val="24"/>
          <w:szCs w:val="24"/>
          <w:highlight w:val="none"/>
        </w:rPr>
        <w:t>分（北京时间）</w:t>
      </w:r>
      <w:r>
        <w:rPr>
          <w:rFonts w:hint="eastAsia" w:ascii="仿宋" w:hAnsi="仿宋" w:eastAsia="仿宋" w:cs="仿宋"/>
          <w:color w:val="auto"/>
          <w:sz w:val="24"/>
          <w:szCs w:val="24"/>
          <w:highlight w:val="none"/>
        </w:rPr>
        <w:t>。</w:t>
      </w:r>
    </w:p>
    <w:p w14:paraId="66EE356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2、投标文件的递交方式：</w:t>
      </w:r>
    </w:p>
    <w:p w14:paraId="2FF4BE5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2.1电子投标文件：按政采云平台项目采购-电子交易操作指南及本招标文件要求制作、加密并递交。供应商应于</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00</w:t>
      </w:r>
      <w:r>
        <w:rPr>
          <w:rFonts w:hint="eastAsia" w:ascii="仿宋" w:hAnsi="仿宋" w:eastAsia="仿宋" w:cs="仿宋"/>
          <w:color w:val="FF0000"/>
          <w:sz w:val="24"/>
          <w:szCs w:val="24"/>
          <w:highlight w:val="none"/>
        </w:rPr>
        <w:t>分（北京时间）</w:t>
      </w:r>
      <w:r>
        <w:rPr>
          <w:rFonts w:hint="eastAsia" w:ascii="仿宋" w:hAnsi="仿宋" w:eastAsia="仿宋" w:cs="仿宋"/>
          <w:color w:val="auto"/>
          <w:sz w:val="24"/>
          <w:szCs w:val="24"/>
          <w:highlight w:val="none"/>
        </w:rPr>
        <w:t>前将制作、加密的电子版投标文件上传到政采云系统中（未准时上传的视为放弃投标资格，作无效标处理）；</w:t>
      </w:r>
    </w:p>
    <w:p w14:paraId="20AF460A">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2.2数据电子备份投标文件（U盘）：以U盘形式提供的数据电子备份投标文件格式及内容须与政采云平台项目采购-电子交易操作指南中制作、加密并递交的电子投标文件格式及内容一致。</w:t>
      </w:r>
    </w:p>
    <w:p w14:paraId="5F04F83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2.2.1提倡供应商采用邮寄方式递交数据电子备份投标文件（原则上邮寄公司统一采用顺丰），邮寄地址为：浙江金业管理咨询有限公司[湖州市中南大厦A幢18楼]，联系电话：</w:t>
      </w:r>
      <w:r>
        <w:rPr>
          <w:rFonts w:hint="eastAsia" w:ascii="仿宋" w:hAnsi="仿宋" w:eastAsia="仿宋" w:cs="仿宋"/>
          <w:color w:val="auto"/>
          <w:sz w:val="24"/>
          <w:szCs w:val="24"/>
          <w:highlight w:val="none"/>
          <w:lang w:val="en-US" w:eastAsia="zh-CN"/>
        </w:rPr>
        <w:t>13757284489</w:t>
      </w:r>
      <w:r>
        <w:rPr>
          <w:rFonts w:hint="eastAsia" w:ascii="仿宋" w:hAnsi="仿宋" w:eastAsia="仿宋" w:cs="仿宋"/>
          <w:color w:val="auto"/>
          <w:sz w:val="24"/>
          <w:szCs w:val="24"/>
          <w:highlight w:val="none"/>
        </w:rPr>
        <w:t>。邮寄截止时间：供应商应于</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00</w:t>
      </w:r>
      <w:r>
        <w:rPr>
          <w:rFonts w:hint="eastAsia" w:ascii="仿宋" w:hAnsi="仿宋" w:eastAsia="仿宋" w:cs="仿宋"/>
          <w:color w:val="FF0000"/>
          <w:sz w:val="24"/>
          <w:szCs w:val="24"/>
          <w:highlight w:val="none"/>
        </w:rPr>
        <w:t>分</w:t>
      </w:r>
      <w:r>
        <w:rPr>
          <w:rFonts w:hint="eastAsia" w:ascii="仿宋" w:hAnsi="仿宋" w:eastAsia="仿宋" w:cs="仿宋"/>
          <w:color w:val="auto"/>
          <w:sz w:val="24"/>
          <w:szCs w:val="24"/>
          <w:highlight w:val="none"/>
        </w:rPr>
        <w:t>前准时送达，逾期不予受理。供应商须留足投标文件邮寄时间,确保数据电子备份投标文件（U盘）于规定的时间前送达指定地点，未按时送达的，均按未提供处理；</w:t>
      </w:r>
    </w:p>
    <w:p w14:paraId="238B1EFC">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注：1）供应商应权衡利弊考虑是否提供数据电子备份投标文件（U盘），采购人及采购代理机构不做强制性要求</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2）供应商应对提供的数据电子备份投标文件（U盘）进行加密处理，若需要启用数据电子备份投标文件（U盘）时，再由供应商告知采购人及采购代理机构加密信息进行解密；</w:t>
      </w:r>
    </w:p>
    <w:p w14:paraId="29CFD70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3、CA锁解密时间为开标当日投标截止时间后，各供应商须提供符合要求的CA加密后的电子投标文件、有效的CA锁供开标</w:t>
      </w:r>
      <w:r>
        <w:rPr>
          <w:rFonts w:hint="eastAsia" w:ascii="仿宋" w:hAnsi="仿宋" w:eastAsia="仿宋" w:cs="仿宋"/>
          <w:color w:val="auto"/>
          <w:sz w:val="24"/>
          <w:szCs w:val="24"/>
          <w:highlight w:val="none"/>
          <w:lang w:val="en-US" w:eastAsia="zh-CN"/>
        </w:rPr>
        <w:t>在线</w:t>
      </w:r>
      <w:r>
        <w:rPr>
          <w:rFonts w:hint="eastAsia" w:ascii="仿宋" w:hAnsi="仿宋" w:eastAsia="仿宋" w:cs="仿宋"/>
          <w:color w:val="auto"/>
          <w:sz w:val="24"/>
          <w:szCs w:val="24"/>
          <w:highlight w:val="none"/>
        </w:rPr>
        <w:t>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765E261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4、供应商须在线获取CA数字证书</w:t>
      </w:r>
      <w:r>
        <w:rPr>
          <w:rFonts w:hint="eastAsia" w:ascii="仿宋" w:hAnsi="仿宋" w:eastAsia="仿宋" w:cs="仿宋"/>
          <w:b/>
          <w:bCs/>
          <w:color w:val="auto"/>
          <w:sz w:val="24"/>
          <w:szCs w:val="24"/>
          <w:highlight w:val="none"/>
        </w:rPr>
        <w:t>（完成CA数字证书办理预计一周左右，建议各供应商自行把握时间）</w:t>
      </w:r>
      <w:r>
        <w:rPr>
          <w:rFonts w:hint="eastAsia" w:ascii="仿宋" w:hAnsi="仿宋" w:eastAsia="仿宋" w:cs="仿宋"/>
          <w:color w:val="auto"/>
          <w:sz w:val="24"/>
          <w:szCs w:val="24"/>
          <w:highlight w:val="none"/>
        </w:rPr>
        <w:t>，并登陆“浙江政府采购网”（http://zfcg.czt.zj.gov.cn/），进入“下载专区”下载“电子交易客户端”，制作投标文件。</w:t>
      </w:r>
    </w:p>
    <w:p w14:paraId="4D66B21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5、供应商须将制作、加密后的电子版投标文件于投标截止时间前上传到政采云系统中，超过投标截止时间上传的，均按无效标处理。</w:t>
      </w:r>
    </w:p>
    <w:p w14:paraId="1A2C09AF">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具体的响应文件加密上传等操作详见政采云平台操作指南。https://edu.zcygov.cn/luban/e-biding?utm=a0004.2ef5001f.0001.0109.da8b35e0da8611e98d8937b7ef8a3544</w:t>
      </w:r>
    </w:p>
    <w:p w14:paraId="75AD738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6、按照“不见面、少接触”的原则，本项目原则上采取“不见面”形式进行开评标活动，</w:t>
      </w:r>
      <w:r>
        <w:rPr>
          <w:rFonts w:hint="eastAsia" w:ascii="仿宋" w:hAnsi="仿宋" w:eastAsia="仿宋" w:cs="仿宋"/>
          <w:b w:val="0"/>
          <w:bCs w:val="0"/>
          <w:color w:val="auto"/>
          <w:sz w:val="24"/>
          <w:szCs w:val="24"/>
          <w:highlight w:val="none"/>
        </w:rPr>
        <w:t>法定代表人或其授权代表无须到场，在线响应即可</w:t>
      </w:r>
      <w:r>
        <w:rPr>
          <w:rFonts w:hint="eastAsia" w:ascii="仿宋" w:hAnsi="仿宋" w:eastAsia="仿宋" w:cs="仿宋"/>
          <w:color w:val="auto"/>
          <w:sz w:val="24"/>
          <w:szCs w:val="24"/>
          <w:highlight w:val="none"/>
        </w:rPr>
        <w:t>（通过指定的电子邮箱等）。</w:t>
      </w:r>
    </w:p>
    <w:p w14:paraId="2D78E75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八、投标地址：</w:t>
      </w:r>
    </w:p>
    <w:p w14:paraId="01483D2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1、本项目通过“政府采购云平台（www.zcygov.cn）”实行在线投标响应（电子投标）。</w:t>
      </w:r>
    </w:p>
    <w:p w14:paraId="7198B85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47D45B2E">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九、开标时间：</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rPr>
        <w:t xml:space="preserve"> </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00</w:t>
      </w:r>
      <w:r>
        <w:rPr>
          <w:rFonts w:hint="eastAsia" w:ascii="仿宋" w:hAnsi="仿宋" w:eastAsia="仿宋" w:cs="仿宋"/>
          <w:color w:val="FF0000"/>
          <w:sz w:val="24"/>
          <w:szCs w:val="24"/>
          <w:highlight w:val="none"/>
        </w:rPr>
        <w:t>分</w:t>
      </w:r>
      <w:r>
        <w:rPr>
          <w:rFonts w:hint="eastAsia" w:ascii="仿宋" w:hAnsi="仿宋" w:eastAsia="仿宋" w:cs="仿宋"/>
          <w:color w:val="auto"/>
          <w:sz w:val="24"/>
          <w:szCs w:val="24"/>
          <w:highlight w:val="none"/>
        </w:rPr>
        <w:t>（北京时间）</w:t>
      </w:r>
    </w:p>
    <w:p w14:paraId="54E31B87">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十、开标地址：</w:t>
      </w:r>
      <w:r>
        <w:rPr>
          <w:rFonts w:hint="eastAsia" w:ascii="仿宋" w:hAnsi="仿宋" w:eastAsia="仿宋" w:cs="仿宋"/>
          <w:color w:val="auto"/>
          <w:sz w:val="24"/>
          <w:szCs w:val="24"/>
          <w:highlight w:val="none"/>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37EDD686">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、其他事项：</w:t>
      </w:r>
    </w:p>
    <w:p w14:paraId="016101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14:paraId="054D0AE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潜在供应商已依法获取（依法获取指：供应商按本项目招标公告要求在政采云系统上获取并报名成功）其可质疑的招标文件的，可以对该文件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未按照规定方式依法获取招标文件的，不得对招标文件提起质疑投诉。</w:t>
      </w:r>
    </w:p>
    <w:p w14:paraId="161AD0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E5705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4、参与政府采购项目的注册供应商，需登录浙江政府采购云平台（http://www.zcygov.cn）进行网上报名，尚未注册的供应商应当先在浙江政府采购云平台上申请注册，注册终审通过后再进行网上报名。</w:t>
      </w:r>
    </w:p>
    <w:p w14:paraId="48F5504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5、本项目公告发布网站：</w:t>
      </w:r>
    </w:p>
    <w:p w14:paraId="1873855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5.1浙江政府采购网：http://zfcg.czt.zj.gov.cn/</w:t>
      </w:r>
    </w:p>
    <w:p w14:paraId="0C87BA5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5.2湖州市公共资源交易信息网：http://ggzyjy.huzhou.gov.cn/-“政府采购”模块</w:t>
      </w:r>
    </w:p>
    <w:p w14:paraId="054F128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14:paraId="2BD3E39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000000" w:themeColor="text1"/>
          <w:sz w:val="24"/>
          <w:szCs w:val="24"/>
          <w:highlight w:val="none"/>
          <w14:textFill>
            <w14:solidFill>
              <w14:schemeClr w14:val="tx1"/>
            </w14:solidFill>
          </w14:textFill>
        </w:rPr>
        <w:t>本项目是否专门面向中小企业采购：是</w:t>
      </w:r>
      <w:r>
        <w:rPr>
          <w:rFonts w:hint="eastAsia" w:ascii="仿宋" w:hAnsi="仿宋" w:eastAsia="仿宋" w:cs="仿宋"/>
          <w:color w:val="auto"/>
          <w:sz w:val="24"/>
          <w:szCs w:val="24"/>
          <w:highlight w:val="none"/>
        </w:rPr>
        <w:t>，本项目采购标的对应的中小企业划分标准所属行业为“</w:t>
      </w:r>
      <w:r>
        <w:rPr>
          <w:rFonts w:hint="eastAsia" w:ascii="仿宋" w:hAnsi="仿宋" w:eastAsia="仿宋" w:cs="仿宋"/>
          <w:color w:val="auto"/>
          <w:sz w:val="24"/>
          <w:szCs w:val="24"/>
          <w:highlight w:val="none"/>
          <w:lang w:val="en-US" w:eastAsia="zh-CN"/>
        </w:rPr>
        <w:t>工</w:t>
      </w:r>
      <w:r>
        <w:rPr>
          <w:rFonts w:hint="eastAsia" w:ascii="仿宋" w:hAnsi="仿宋" w:eastAsia="仿宋" w:cs="仿宋"/>
          <w:color w:val="auto"/>
          <w:sz w:val="24"/>
          <w:szCs w:val="24"/>
          <w:highlight w:val="none"/>
          <w:lang w:eastAsia="zh-CN"/>
        </w:rPr>
        <w:t>业</w:t>
      </w:r>
      <w:r>
        <w:rPr>
          <w:rFonts w:hint="eastAsia" w:ascii="仿宋" w:hAnsi="仿宋" w:eastAsia="仿宋" w:cs="仿宋"/>
          <w:color w:val="auto"/>
          <w:sz w:val="24"/>
          <w:szCs w:val="24"/>
          <w:highlight w:val="none"/>
        </w:rPr>
        <w:t>”</w:t>
      </w:r>
    </w:p>
    <w:p w14:paraId="0B06A5AD">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、联系方式：</w:t>
      </w:r>
    </w:p>
    <w:p w14:paraId="31E2810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1、采购人名称：湖州职业技术学院</w:t>
      </w:r>
    </w:p>
    <w:p w14:paraId="50912F5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老师</w:t>
      </w:r>
    </w:p>
    <w:p w14:paraId="2668C5A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联系电话：0572-2363699</w:t>
      </w:r>
    </w:p>
    <w:p w14:paraId="6F98065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地址：浙江省湖州市吴兴区学府路299号</w:t>
      </w:r>
    </w:p>
    <w:p w14:paraId="5E16A24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质疑函接收人：吴佩婷</w:t>
      </w:r>
    </w:p>
    <w:p w14:paraId="41B10DF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联系方式：0572-2364333 </w:t>
      </w:r>
    </w:p>
    <w:p w14:paraId="3DBB568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2、采购代理机构名称：浙江金业管理咨询有限公司</w:t>
      </w:r>
    </w:p>
    <w:p w14:paraId="1BBE526C">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周悦欢</w:t>
      </w:r>
    </w:p>
    <w:p w14:paraId="70182C83">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联系电话：0572-255728</w:t>
      </w:r>
      <w:r>
        <w:rPr>
          <w:rFonts w:hint="eastAsia" w:ascii="仿宋" w:hAnsi="仿宋" w:eastAsia="仿宋" w:cs="仿宋"/>
          <w:color w:val="auto"/>
          <w:sz w:val="24"/>
          <w:szCs w:val="24"/>
          <w:highlight w:val="none"/>
          <w:lang w:val="en-US" w:eastAsia="zh-CN"/>
        </w:rPr>
        <w:t>2</w:t>
      </w:r>
    </w:p>
    <w:p w14:paraId="229D72E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地址：湖州市中南大厦A幢18楼</w:t>
      </w:r>
    </w:p>
    <w:p w14:paraId="21602B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3、供应商质疑函接收人：：苏先生</w:t>
      </w:r>
    </w:p>
    <w:p w14:paraId="2BD9B712">
      <w:pPr>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联系方式：0572-25572</w:t>
      </w:r>
      <w:r>
        <w:rPr>
          <w:rFonts w:hint="eastAsia" w:ascii="仿宋" w:hAnsi="仿宋" w:eastAsia="仿宋" w:cs="仿宋"/>
          <w:color w:val="auto"/>
          <w:sz w:val="24"/>
          <w:szCs w:val="24"/>
          <w:highlight w:val="none"/>
          <w:lang w:val="en-US" w:eastAsia="zh-CN"/>
        </w:rPr>
        <w:t>88</w:t>
      </w:r>
      <w:r>
        <w:rPr>
          <w:rFonts w:hint="eastAsia" w:ascii="仿宋" w:hAnsi="仿宋" w:eastAsia="仿宋" w:cs="仿宋"/>
          <w:color w:val="auto"/>
          <w:sz w:val="24"/>
          <w:szCs w:val="24"/>
          <w:highlight w:val="none"/>
        </w:rPr>
        <w:t xml:space="preserve">     传真：0572-255</w:t>
      </w:r>
      <w:r>
        <w:rPr>
          <w:rFonts w:hint="eastAsia" w:ascii="仿宋" w:hAnsi="仿宋" w:eastAsia="仿宋" w:cs="仿宋"/>
          <w:color w:val="auto"/>
          <w:sz w:val="24"/>
          <w:szCs w:val="24"/>
          <w:highlight w:val="none"/>
          <w:lang w:val="en-US" w:eastAsia="zh-CN"/>
        </w:rPr>
        <w:t>7296</w:t>
      </w:r>
    </w:p>
    <w:p w14:paraId="4AFB94A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4、同级政府采购监督管理部门名称：湖州市财政局政府采购监管处</w:t>
      </w:r>
    </w:p>
    <w:p w14:paraId="18942D8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联系人：程先生</w:t>
      </w:r>
    </w:p>
    <w:p w14:paraId="176F2B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监督投诉电话：0572-2150216</w:t>
      </w:r>
    </w:p>
    <w:p w14:paraId="17680411">
      <w:pPr>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地址：浙江省湖州市龙王山路518号</w:t>
      </w:r>
    </w:p>
    <w:p w14:paraId="4F7561AB">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ADEC8C7">
      <w:pPr>
        <w:pStyle w:val="2"/>
        <w:rPr>
          <w:rFonts w:hint="eastAsia" w:ascii="仿宋" w:hAnsi="仿宋" w:eastAsia="仿宋" w:cs="仿宋"/>
          <w:color w:val="auto"/>
          <w:sz w:val="28"/>
          <w:szCs w:val="28"/>
          <w:highlight w:val="none"/>
        </w:rPr>
      </w:pPr>
      <w:bookmarkStart w:id="1" w:name="_Toc131706338"/>
      <w:r>
        <w:rPr>
          <w:rFonts w:hint="eastAsia" w:ascii="仿宋" w:hAnsi="仿宋" w:eastAsia="仿宋" w:cs="仿宋"/>
          <w:color w:val="auto"/>
          <w:sz w:val="28"/>
          <w:szCs w:val="28"/>
          <w:highlight w:val="none"/>
        </w:rPr>
        <w:t>第二章 采购需求</w:t>
      </w:r>
      <w:bookmarkEnd w:id="1"/>
    </w:p>
    <w:p w14:paraId="567F5CD9">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一、采购项目名称：</w:t>
      </w:r>
      <w:r>
        <w:rPr>
          <w:rFonts w:hint="eastAsia" w:ascii="仿宋" w:hAnsi="仿宋" w:eastAsia="仿宋" w:cs="仿宋"/>
          <w:b/>
          <w:color w:val="auto"/>
          <w:sz w:val="24"/>
          <w:szCs w:val="24"/>
          <w:highlight w:val="none"/>
          <w:lang w:eastAsia="zh-CN"/>
        </w:rPr>
        <w:t>湖州职业技术学院新校园机械零部件测绘实训室建设项目</w:t>
      </w:r>
    </w:p>
    <w:p w14:paraId="412B547C">
      <w:pPr>
        <w:rPr>
          <w:rFonts w:hint="eastAsia" w:ascii="仿宋" w:hAnsi="仿宋" w:eastAsia="仿宋" w:cs="仿宋"/>
          <w:color w:val="auto"/>
          <w:sz w:val="21"/>
          <w:szCs w:val="20"/>
          <w:highlight w:val="none"/>
          <w:lang w:val="en-US" w:eastAsia="zh-CN"/>
        </w:rPr>
      </w:pPr>
      <w:r>
        <w:rPr>
          <w:rFonts w:hint="eastAsia" w:ascii="仿宋" w:hAnsi="仿宋" w:eastAsia="仿宋" w:cs="仿宋"/>
          <w:b/>
          <w:color w:val="auto"/>
          <w:sz w:val="24"/>
          <w:szCs w:val="24"/>
          <w:highlight w:val="none"/>
        </w:rPr>
        <w:t>二、采购项目编号：</w:t>
      </w:r>
      <w:r>
        <w:rPr>
          <w:rFonts w:hint="eastAsia" w:ascii="仿宋" w:hAnsi="仿宋" w:eastAsia="仿宋" w:cs="仿宋"/>
          <w:b/>
          <w:bCs/>
          <w:color w:val="auto"/>
          <w:kern w:val="0"/>
          <w:sz w:val="24"/>
          <w:szCs w:val="24"/>
          <w:highlight w:val="none"/>
          <w:lang w:val="zh-CN"/>
        </w:rPr>
        <w:t xml:space="preserve"> </w:t>
      </w:r>
      <w:r>
        <w:rPr>
          <w:rFonts w:hint="eastAsia" w:ascii="仿宋" w:hAnsi="仿宋" w:eastAsia="仿宋" w:cs="仿宋"/>
          <w:b/>
          <w:bCs/>
          <w:color w:val="auto"/>
          <w:kern w:val="0"/>
          <w:sz w:val="24"/>
          <w:szCs w:val="24"/>
          <w:highlight w:val="none"/>
          <w:u w:val="none"/>
          <w:lang w:val="zh-CN"/>
        </w:rPr>
        <w:t>ZJJY202</w:t>
      </w:r>
      <w:r>
        <w:rPr>
          <w:rFonts w:hint="eastAsia" w:ascii="仿宋" w:hAnsi="仿宋" w:eastAsia="仿宋" w:cs="仿宋"/>
          <w:b/>
          <w:bCs/>
          <w:color w:val="auto"/>
          <w:kern w:val="0"/>
          <w:sz w:val="24"/>
          <w:szCs w:val="24"/>
          <w:highlight w:val="none"/>
          <w:u w:val="none"/>
          <w:lang w:val="en-US" w:eastAsia="zh-CN"/>
        </w:rPr>
        <w:t xml:space="preserve">5-027 </w:t>
      </w:r>
    </w:p>
    <w:p w14:paraId="70553B8D">
      <w:pPr>
        <w:rPr>
          <w:rFonts w:hint="eastAsia" w:ascii="仿宋" w:hAnsi="仿宋" w:eastAsia="仿宋" w:cs="仿宋"/>
          <w:color w:val="auto"/>
          <w:sz w:val="22"/>
          <w:szCs w:val="21"/>
          <w:highlight w:val="none"/>
          <w:lang w:eastAsia="zh-CN"/>
        </w:rPr>
      </w:pPr>
      <w:r>
        <w:rPr>
          <w:rFonts w:hint="eastAsia" w:ascii="仿宋" w:hAnsi="仿宋" w:eastAsia="仿宋" w:cs="仿宋"/>
          <w:b/>
          <w:color w:val="auto"/>
          <w:sz w:val="24"/>
          <w:szCs w:val="24"/>
          <w:highlight w:val="none"/>
          <w:lang w:val="en-US" w:eastAsia="zh-CN"/>
        </w:rPr>
        <w:t>三、采购清单和规格型号、技术参数等：</w:t>
      </w:r>
      <w:r>
        <w:rPr>
          <w:rFonts w:hint="eastAsia" w:ascii="仿宋" w:hAnsi="仿宋" w:eastAsia="仿宋" w:cs="仿宋"/>
          <w:b/>
          <w:color w:val="auto"/>
          <w:sz w:val="28"/>
          <w:szCs w:val="28"/>
          <w:highlight w:val="none"/>
          <w:lang w:val="en-US" w:eastAsia="zh-CN"/>
        </w:rPr>
        <w:t xml:space="preserve"> </w:t>
      </w:r>
    </w:p>
    <w:tbl>
      <w:tblPr>
        <w:tblStyle w:val="23"/>
        <w:tblW w:w="5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869"/>
        <w:gridCol w:w="725"/>
        <w:gridCol w:w="7700"/>
      </w:tblGrid>
      <w:tr w14:paraId="5DE4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96" w:type="pct"/>
            <w:vAlign w:val="center"/>
          </w:tcPr>
          <w:p w14:paraId="2023CF34">
            <w:pPr>
              <w:snapToGrid w:val="0"/>
              <w:spacing w:line="240" w:lineRule="auto"/>
              <w:jc w:val="center"/>
              <w:rPr>
                <w:rFonts w:hint="eastAsia" w:ascii="仿宋" w:hAnsi="仿宋" w:eastAsia="仿宋" w:cs="仿宋"/>
                <w:b/>
                <w:bCs/>
                <w:color w:val="000000" w:themeColor="text1"/>
                <w:szCs w:val="24"/>
                <w14:textFill>
                  <w14:solidFill>
                    <w14:schemeClr w14:val="tx1"/>
                  </w14:solidFill>
                </w14:textFill>
              </w:rPr>
            </w:pPr>
            <w:bookmarkStart w:id="2" w:name="_Toc176179133"/>
            <w:r>
              <w:rPr>
                <w:rFonts w:hint="eastAsia" w:ascii="仿宋" w:hAnsi="仿宋" w:eastAsia="仿宋" w:cs="仿宋"/>
                <w:b/>
                <w:bCs/>
                <w:color w:val="000000" w:themeColor="text1"/>
                <w:szCs w:val="24"/>
                <w14:textFill>
                  <w14:solidFill>
                    <w14:schemeClr w14:val="tx1"/>
                  </w14:solidFill>
                </w14:textFill>
              </w:rPr>
              <w:t>序号</w:t>
            </w:r>
          </w:p>
        </w:tc>
        <w:tc>
          <w:tcPr>
            <w:tcW w:w="440" w:type="pct"/>
            <w:vAlign w:val="center"/>
          </w:tcPr>
          <w:p w14:paraId="437285CB">
            <w:pPr>
              <w:snapToGrid w:val="0"/>
              <w:spacing w:line="240" w:lineRule="auto"/>
              <w:jc w:val="center"/>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货物名称</w:t>
            </w:r>
          </w:p>
        </w:tc>
        <w:tc>
          <w:tcPr>
            <w:tcW w:w="367" w:type="pct"/>
            <w:vAlign w:val="center"/>
          </w:tcPr>
          <w:p w14:paraId="52B42DD9">
            <w:pPr>
              <w:snapToGrid w:val="0"/>
              <w:spacing w:line="240" w:lineRule="auto"/>
              <w:jc w:val="center"/>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数量/单位</w:t>
            </w:r>
          </w:p>
        </w:tc>
        <w:tc>
          <w:tcPr>
            <w:tcW w:w="3897" w:type="pct"/>
            <w:vAlign w:val="center"/>
          </w:tcPr>
          <w:p w14:paraId="6AB9AAC5">
            <w:pPr>
              <w:snapToGrid w:val="0"/>
              <w:spacing w:line="240" w:lineRule="auto"/>
              <w:jc w:val="center"/>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规格及参数</w:t>
            </w:r>
          </w:p>
        </w:tc>
      </w:tr>
      <w:tr w14:paraId="0186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96" w:type="pct"/>
            <w:vAlign w:val="center"/>
          </w:tcPr>
          <w:p w14:paraId="4EE067C6">
            <w:pPr>
              <w:snapToGrid w:val="0"/>
              <w:spacing w:line="400" w:lineRule="exact"/>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w:t>
            </w:r>
          </w:p>
        </w:tc>
        <w:tc>
          <w:tcPr>
            <w:tcW w:w="440" w:type="pct"/>
            <w:vAlign w:val="center"/>
          </w:tcPr>
          <w:p w14:paraId="044B9E30">
            <w:pPr>
              <w:snapToGrid w:val="0"/>
              <w:spacing w:line="400" w:lineRule="exact"/>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机械零件测绘实训装置</w:t>
            </w:r>
          </w:p>
        </w:tc>
        <w:tc>
          <w:tcPr>
            <w:tcW w:w="367" w:type="pct"/>
            <w:vAlign w:val="center"/>
          </w:tcPr>
          <w:p w14:paraId="52B46453">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21/套</w:t>
            </w:r>
          </w:p>
        </w:tc>
        <w:tc>
          <w:tcPr>
            <w:tcW w:w="3897" w:type="pct"/>
            <w:vAlign w:val="center"/>
          </w:tcPr>
          <w:p w14:paraId="2CDD9972">
            <w:pP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一、设备功能</w:t>
            </w:r>
          </w:p>
          <w:p w14:paraId="7CFE7517">
            <w:pPr>
              <w:ind w:firstLine="480" w:firstLineChars="20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机械零件测绘实训装置是以实训为目的，加强</w:t>
            </w:r>
            <w:r>
              <w:rPr>
                <w:rFonts w:hint="eastAsia" w:ascii="仿宋" w:hAnsi="仿宋" w:eastAsia="仿宋" w:cs="仿宋"/>
                <w:color w:val="000000" w:themeColor="text1"/>
                <w:lang w:val="en-US" w:eastAsia="zh-CN"/>
                <w14:textFill>
                  <w14:solidFill>
                    <w14:schemeClr w14:val="tx1"/>
                  </w14:solidFill>
                </w14:textFill>
              </w:rPr>
              <w:t>学生</w:t>
            </w:r>
            <w:r>
              <w:rPr>
                <w:rFonts w:hint="eastAsia" w:ascii="仿宋" w:hAnsi="仿宋" w:eastAsia="仿宋" w:cs="仿宋"/>
                <w:color w:val="000000" w:themeColor="text1"/>
                <w14:textFill>
                  <w14:solidFill>
                    <w14:schemeClr w14:val="tx1"/>
                  </w14:solidFill>
                </w14:textFill>
              </w:rPr>
              <w:t>对测绘工具的准确使用及机械制图基本识图能力、绘图能力的训练。使学生熟悉和掌握标准化的规范绘图要求，训练和提高学生的识图绘图能力。通过机械制图相关项目实训，可以培养学生的组织管理能力、查阅资料能力、动手能力，提高绘图能力。使学生掌握机械图纸的识图技巧、熟悉手工绘图方法，并将学生的动手能力、分析、解决工程问题的主导思想溶于实训之中，激发学生实训的积极性，同时，提高学生综合运用机械制图识图绘图的能力。</w:t>
            </w:r>
          </w:p>
          <w:p w14:paraId="43E32BA0">
            <w:pP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二、详细技术参数</w:t>
            </w:r>
          </w:p>
          <w:p w14:paraId="08E8D06A">
            <w:pPr>
              <w:rPr>
                <w:rFonts w:hint="eastAsia" w:ascii="仿宋" w:hAnsi="仿宋" w:eastAsia="仿宋" w:cs="仿宋"/>
                <w:b/>
                <w:color w:val="000000" w:themeColor="text1"/>
                <w:highlight w:val="yellow"/>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w:t>
            </w:r>
            <w:r>
              <w:rPr>
                <w:rFonts w:hint="eastAsia" w:ascii="仿宋" w:hAnsi="仿宋" w:eastAsia="仿宋" w:cs="仿宋"/>
                <w:b w:val="0"/>
                <w:bCs/>
                <w:color w:val="000000" w:themeColor="text1"/>
                <w14:textFill>
                  <w14:solidFill>
                    <w14:schemeClr w14:val="tx1"/>
                  </w14:solidFill>
                </w14:textFill>
              </w:rPr>
              <w:t>绘图工作台</w:t>
            </w:r>
          </w:p>
          <w:p w14:paraId="5C642BFB">
            <w:pP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（1）主框架柜体，采用厚方管，通过剪切、折弯、焊接、冲压、打磨一系列工艺制成</w:t>
            </w:r>
            <w:r>
              <w:rPr>
                <w:rFonts w:hint="eastAsia" w:ascii="仿宋" w:hAnsi="仿宋" w:eastAsia="仿宋" w:cs="仿宋"/>
                <w:color w:val="000000" w:themeColor="text1"/>
                <w:lang w:eastAsia="zh-CN"/>
                <w14:textFill>
                  <w14:solidFill>
                    <w14:schemeClr w14:val="tx1"/>
                  </w14:solidFill>
                </w14:textFill>
              </w:rPr>
              <w:t>。</w:t>
            </w:r>
          </w:p>
          <w:p w14:paraId="6DBAE84E">
            <w:pP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（2）台面：高密度复合板厚实心台面；均匀承重不小于200KG；整体尺寸不小于1400X750X800mm</w:t>
            </w:r>
            <w:r>
              <w:rPr>
                <w:rFonts w:hint="eastAsia" w:ascii="仿宋" w:hAnsi="仿宋" w:eastAsia="仿宋" w:cs="仿宋"/>
                <w:color w:val="000000" w:themeColor="text1"/>
                <w:lang w:eastAsia="zh-CN"/>
                <w14:textFill>
                  <w14:solidFill>
                    <w14:schemeClr w14:val="tx1"/>
                  </w14:solidFill>
                </w14:textFill>
              </w:rPr>
              <w:t>。</w:t>
            </w:r>
          </w:p>
          <w:p w14:paraId="1F6555A5">
            <w:pP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val="0"/>
                <w:bCs/>
                <w:color w:val="000000" w:themeColor="text1"/>
                <w14:textFill>
                  <w14:solidFill>
                    <w14:schemeClr w14:val="tx1"/>
                  </w14:solidFill>
                </w14:textFill>
              </w:rPr>
              <w:t>机械制图测绘套装</w:t>
            </w:r>
          </w:p>
          <w:p w14:paraId="4B5C4955">
            <w:pP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（1）三位四通阀：规格：不小于75×95×65mm</w:t>
            </w:r>
            <w:r>
              <w:rPr>
                <w:rFonts w:hint="eastAsia" w:ascii="仿宋" w:hAnsi="仿宋" w:eastAsia="仿宋" w:cs="仿宋"/>
                <w:color w:val="000000" w:themeColor="text1"/>
                <w:lang w:eastAsia="zh-CN"/>
                <w14:textFill>
                  <w14:solidFill>
                    <w14:schemeClr w14:val="tx1"/>
                  </w14:solidFill>
                </w14:textFill>
              </w:rPr>
              <w:t>。</w:t>
            </w:r>
          </w:p>
          <w:p w14:paraId="3DDEEC0C">
            <w:pP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（2）减压阀：规格：不小于160X50X60mm</w:t>
            </w:r>
            <w:r>
              <w:rPr>
                <w:rFonts w:hint="eastAsia" w:ascii="仿宋" w:hAnsi="仿宋" w:eastAsia="仿宋" w:cs="仿宋"/>
                <w:color w:val="000000" w:themeColor="text1"/>
                <w:lang w:eastAsia="zh-CN"/>
                <w14:textFill>
                  <w14:solidFill>
                    <w14:schemeClr w14:val="tx1"/>
                  </w14:solidFill>
                </w14:textFill>
              </w:rPr>
              <w:t>。</w:t>
            </w:r>
          </w:p>
          <w:p w14:paraId="6B0E355E">
            <w:pP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（3）精密平口钳：规格：2.5寸，材质：铝</w:t>
            </w:r>
            <w:r>
              <w:rPr>
                <w:rFonts w:hint="eastAsia" w:ascii="仿宋" w:hAnsi="仿宋" w:eastAsia="仿宋" w:cs="仿宋"/>
                <w:color w:val="000000" w:themeColor="text1"/>
                <w:lang w:eastAsia="zh-CN"/>
                <w14:textFill>
                  <w14:solidFill>
                    <w14:schemeClr w14:val="tx1"/>
                  </w14:solidFill>
                </w14:textFill>
              </w:rPr>
              <w:t>。</w:t>
            </w:r>
          </w:p>
          <w:p w14:paraId="6E5D5A7E">
            <w:pP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（4）一级圆柱齿轮减速机：参考规格尺寸：200×180×140mm</w:t>
            </w:r>
            <w:r>
              <w:rPr>
                <w:rFonts w:hint="eastAsia" w:ascii="仿宋" w:hAnsi="仿宋" w:eastAsia="仿宋" w:cs="仿宋"/>
                <w:color w:val="000000" w:themeColor="text1"/>
                <w:lang w:eastAsia="zh-CN"/>
                <w14:textFill>
                  <w14:solidFill>
                    <w14:schemeClr w14:val="tx1"/>
                  </w14:solidFill>
                </w14:textFill>
              </w:rPr>
              <w:t>。</w:t>
            </w:r>
          </w:p>
          <w:p w14:paraId="03BFD7DF">
            <w:pP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3.零部件测绘评价系统</w:t>
            </w:r>
          </w:p>
          <w:p w14:paraId="293F6633">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（1）运行环境:本系统要求是独立于所有CAD的软件，可以支持对DWG文件的评测，并且提供对评分、评测、检查功能的交互能力。</w:t>
            </w:r>
          </w:p>
          <w:p w14:paraId="0DD57245">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智能识图：可识别制图的常用特征，不少于以下特征：图框、标题栏、技术要求、轮廓线、细实线、中心线、带箭头引线、尺寸标注、文本、几何公差、粗糙度、视图符号、图案填充。并能根据不同图纸提取的信息自动建立评分标准。</w:t>
            </w:r>
          </w:p>
          <w:p w14:paraId="49B00D33">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（3）依据GB/T 1800.2-2009公差与配合查询标准：可查询孔公差带、轴公差、基孔制配合、基轴制配合、标准公差数值，点击不同的公差带能根据国标自动显示相应的上下偏差值。</w:t>
            </w:r>
          </w:p>
          <w:p w14:paraId="1E808B34">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提供图元匹配精度设置功能：依据制图规范可以对以下特征匹配的精度进行设置:曲线精度、圆弧半径精度、角度精度，圆弧的总角度等进行设置、基准符号、注释、粗糙度、几何公差、视图符号、焊接符号等。</w:t>
            </w:r>
            <w:r>
              <w:rPr>
                <w:rFonts w:hint="eastAsia" w:ascii="仿宋" w:hAnsi="仿宋" w:eastAsia="仿宋" w:cs="仿宋"/>
                <w:b/>
                <w:color w:val="000000" w:themeColor="text1"/>
                <w14:textFill>
                  <w14:solidFill>
                    <w14:schemeClr w14:val="tx1"/>
                  </w14:solidFill>
                </w14:textFill>
              </w:rPr>
              <w:t>（需提供软件界面截图）</w:t>
            </w:r>
          </w:p>
          <w:p w14:paraId="182729E9">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（5）国标检查：软件内置检查项包含：制图基本规定、图样画法、尺寸注法、表面粗糙度、极限与配合、几何公差。</w:t>
            </w:r>
          </w:p>
          <w:p w14:paraId="37DF84BF">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（6）评分设置功能：能对CAD图纸的各评分项进行自定义设置，主要包括：</w:t>
            </w:r>
          </w:p>
          <w:p w14:paraId="7D11251C">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1）主观：对CAD整张图纸的完整度、正确度、合理性及美观度等方面给予综合主观评分。其中正确度和完整度应根据样卷、试卷得分项与所有参评图素间的关系，自动计算符合预期的分值。</w:t>
            </w:r>
            <w:r>
              <w:rPr>
                <w:rFonts w:hint="eastAsia" w:ascii="仿宋" w:hAnsi="仿宋" w:eastAsia="仿宋" w:cs="仿宋"/>
                <w:b/>
                <w:color w:val="000000" w:themeColor="text1"/>
                <w14:textFill>
                  <w14:solidFill>
                    <w14:schemeClr w14:val="tx1"/>
                  </w14:solidFill>
                </w14:textFill>
              </w:rPr>
              <w:t>（需提供软件界面截图）</w:t>
            </w:r>
          </w:p>
          <w:p w14:paraId="3CABA171">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2）环境：对CAD绘图环境进行评分，绘图环境包括绘图前应设置的图层、文字风格、尺寸风格、线型等可以分别赋分。</w:t>
            </w:r>
            <w:r>
              <w:rPr>
                <w:rFonts w:hint="eastAsia" w:ascii="仿宋" w:hAnsi="仿宋" w:eastAsia="仿宋" w:cs="仿宋"/>
                <w:b/>
                <w:color w:val="000000" w:themeColor="text1"/>
                <w14:textFill>
                  <w14:solidFill>
                    <w14:schemeClr w14:val="tx1"/>
                  </w14:solidFill>
                </w14:textFill>
              </w:rPr>
              <w:t>（需提供软件界面截图）</w:t>
            </w:r>
          </w:p>
          <w:p w14:paraId="44E96C84">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3）图素：对CAD图素按分组进行评分，可以按指定类型选择图素。</w:t>
            </w:r>
          </w:p>
          <w:p w14:paraId="2043DF48">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（7）评分标准设置</w:t>
            </w:r>
          </w:p>
          <w:p w14:paraId="6F37E61B">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1）支持手动创建多个评分标准。</w:t>
            </w:r>
          </w:p>
          <w:p w14:paraId="176C74D6">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2）根据软件识别的特征自动创建评分标准</w:t>
            </w:r>
          </w:p>
          <w:p w14:paraId="21F5C117">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对应规则的定义。选择评分树上的节点，可以设置对应的评分内容。评分树至少有3个主要的节点，分别是主观、环境和图素组。单击评分树根点，将显示三大项分别的分数，以及对应的总分数。单击按钮，可以跳转到对应的项评分。</w:t>
            </w:r>
            <w:r>
              <w:rPr>
                <w:rFonts w:hint="eastAsia" w:ascii="仿宋" w:hAnsi="仿宋" w:eastAsia="仿宋" w:cs="仿宋"/>
                <w:b/>
                <w:color w:val="000000" w:themeColor="text1"/>
                <w14:textFill>
                  <w14:solidFill>
                    <w14:schemeClr w14:val="tx1"/>
                  </w14:solidFill>
                </w14:textFill>
              </w:rPr>
              <w:t>（需提供软件界面截图）</w:t>
            </w:r>
          </w:p>
          <w:p w14:paraId="6BFB3A88">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环境评分：环境评分中应至少包含有图层、文本、尺寸、线型4种风格可以评分，可通过选择图层节点，显示图层相关内容。比如对轮廓实线层的线宽和中心线层的线型检测，可以分别在对应的单元格填上分数；选择文本风格、尺寸风格或是线型，分别对其具体内容进行分值的设定。</w:t>
            </w:r>
            <w:r>
              <w:rPr>
                <w:rFonts w:hint="eastAsia" w:ascii="仿宋" w:hAnsi="仿宋" w:eastAsia="仿宋" w:cs="仿宋"/>
                <w:b/>
                <w:color w:val="000000" w:themeColor="text1"/>
                <w14:textFill>
                  <w14:solidFill>
                    <w14:schemeClr w14:val="tx1"/>
                  </w14:solidFill>
                </w14:textFill>
              </w:rPr>
              <w:t>（需提供软件界面截图）</w:t>
            </w:r>
          </w:p>
          <w:p w14:paraId="11FA900E">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（8）试卷评分功能：</w:t>
            </w:r>
          </w:p>
          <w:p w14:paraId="7F153B7E">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1）能够按照制定的评分标准和包含评分标准样卷，对多张具有样卷内容的试卷可进行自动评分，同时也支持手动评分，评分结果以excel方式导出。</w:t>
            </w:r>
            <w:r>
              <w:rPr>
                <w:rFonts w:hint="eastAsia" w:ascii="仿宋" w:hAnsi="仿宋" w:eastAsia="仿宋" w:cs="仿宋"/>
                <w:b/>
                <w:color w:val="000000" w:themeColor="text1"/>
                <w14:textFill>
                  <w14:solidFill>
                    <w14:schemeClr w14:val="tx1"/>
                  </w14:solidFill>
                </w14:textFill>
              </w:rPr>
              <w:t>（需提供软件界面截图）</w:t>
            </w:r>
          </w:p>
          <w:p w14:paraId="19BE7C79">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2）根据图素评分标准中定义的制图能力（包括轮廓线、细实线、中心线等）及CAD绘图能力（包括直线、圆、圆弧等）进行统计分析，并能生成整体能力雷达图和各分项统计分析柱状图。</w:t>
            </w:r>
          </w:p>
          <w:p w14:paraId="44E44390">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4.控制系统：</w:t>
            </w:r>
            <w:r>
              <w:rPr>
                <w:rFonts w:hint="eastAsia" w:ascii="仿宋" w:hAnsi="仿宋" w:eastAsia="仿宋" w:cs="仿宋"/>
                <w:color w:val="000000" w:themeColor="text1"/>
                <w14:textFill>
                  <w14:solidFill>
                    <w14:schemeClr w14:val="tx1"/>
                  </w14:solidFill>
                </w14:textFill>
              </w:rPr>
              <w:t>工控机采用高性能板卡支持多PCI插槽,处理器主频不低于2.9GHz,线程不低于十二线程，内存储器不低于16G; 固态驱动器容量不低于512G;接口支持各种通讯协议。</w:t>
            </w:r>
          </w:p>
          <w:p w14:paraId="7974E349">
            <w:pPr>
              <w:pStyle w:val="12"/>
              <w:spacing w:after="97"/>
              <w:ind w:firstLine="0" w:firstLineChars="0"/>
              <w:rPr>
                <w:rFonts w:hint="eastAsia" w:ascii="仿宋" w:hAnsi="仿宋" w:eastAsia="仿宋" w:cs="仿宋"/>
                <w:color w:val="000000" w:themeColor="text1"/>
                <w:kern w:val="24"/>
                <w14:textFill>
                  <w14:solidFill>
                    <w14:schemeClr w14:val="tx1"/>
                  </w14:solidFill>
                </w14:textFill>
              </w:rPr>
            </w:pPr>
            <w:r>
              <w:rPr>
                <w:rFonts w:hint="eastAsia" w:ascii="仿宋" w:hAnsi="仿宋" w:eastAsia="仿宋" w:cs="仿宋"/>
                <w:color w:val="000000" w:themeColor="text1"/>
                <w:kern w:val="24"/>
                <w14:textFill>
                  <w14:solidFill>
                    <w14:schemeClr w14:val="tx1"/>
                  </w14:solidFill>
                </w14:textFill>
              </w:rPr>
              <w:t>5.齿轮泵测绘训练套装</w:t>
            </w:r>
          </w:p>
          <w:p w14:paraId="4B745746">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1.主要包含以下零部件：箱体；端盖；输出轴；输入轴等零件。</w:t>
            </w:r>
          </w:p>
          <w:p w14:paraId="791A8ED4">
            <w:pPr>
              <w:pBdr>
                <w:bottom w:val="single" w:color="B8CCE4" w:sz="4" w:space="2"/>
              </w:pBd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2.专用测量工具：游标卡尺0-150mm; 外径千分尺0-25mm; 螺纹样板1副；扳手 1副。</w:t>
            </w:r>
          </w:p>
          <w:p w14:paraId="76F60D05">
            <w:pPr>
              <w:tabs>
                <w:tab w:val="left" w:pos="2853"/>
              </w:tabs>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3.标准零件图纸（带3D资料包）</w:t>
            </w:r>
          </w:p>
        </w:tc>
      </w:tr>
      <w:tr w14:paraId="1E30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96" w:type="pct"/>
            <w:vAlign w:val="center"/>
          </w:tcPr>
          <w:p w14:paraId="6FBA1F42">
            <w:pPr>
              <w:snapToGrid w:val="0"/>
              <w:spacing w:line="400" w:lineRule="exact"/>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w:t>
            </w:r>
          </w:p>
        </w:tc>
        <w:tc>
          <w:tcPr>
            <w:tcW w:w="440" w:type="pct"/>
            <w:vAlign w:val="center"/>
          </w:tcPr>
          <w:p w14:paraId="6416EE01">
            <w:pPr>
              <w:snapToGrid w:val="0"/>
              <w:spacing w:line="4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《机械制图》陈列柜</w:t>
            </w:r>
          </w:p>
        </w:tc>
        <w:tc>
          <w:tcPr>
            <w:tcW w:w="367" w:type="pct"/>
            <w:vAlign w:val="center"/>
          </w:tcPr>
          <w:p w14:paraId="2775E9E9">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1/套</w:t>
            </w:r>
          </w:p>
        </w:tc>
        <w:tc>
          <w:tcPr>
            <w:tcW w:w="3897" w:type="pct"/>
            <w:vAlign w:val="center"/>
          </w:tcPr>
          <w:p w14:paraId="499B46B4">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第一柜：制图基本知识与工具：罗马数字示列、阿拉伯数字示例、拉丁字母示例、标题栏、明细栏、比例、字体基本要求、长仿宋体汉字示例、图纸幅面和尺寸、图框格式、三角尺、三棱比例尺、圆形量角器、多功能模板、圆规。</w:t>
            </w:r>
          </w:p>
          <w:p w14:paraId="7975B331">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2.第二柜：点、直线、平面投影：点的三面投影、一般位置直线的三面投影、线段实长和倾角α、垂面侧、水平面 、斜投影与正投影、直线的迹点、平面投影的特性、迹线平面、中心投影法、点在直线上的投影特性、线段的投影特征、四个分角中点的投影。</w:t>
            </w:r>
          </w:p>
          <w:p w14:paraId="0BD0704F">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第三柜：点、直线、平面的相对位置：直角投影定理、相交两直线的投影、利用投影的积聚性求直线与平面的贯穿点、用辅助面法求直线与平面的贯穿点、利用投影的积聚性求两平面的交线、平面迹线作法、正垂面上圆的投影、立体表面上的直线和投影的相对位置分析、交叉两直线的投影、相交两直线的投影特征、用辅助线法求直线与平面的贯穿点、求两个一般位置平面的交线、平行两直线的投影。</w:t>
            </w:r>
          </w:p>
          <w:p w14:paraId="4320C82E">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第四柜：投影变换：投影变换的两种基本方法、点绕正垂轴旋转、一般位置直线变换为新投影面垂直线、将一般位置直线旋转成投影面平行线、一般位置直线变换为新投影面的平行线、一般位置平面变换为新投影面平行面、一般位置平面变换为新投影面垂直面、将正垂面变换成投影面平行面、点的二次换面、投影面平行线变为投影面垂直线、求A点到P平面的距离及A点对P平面所作垂线的垂足K、用二次换面法画组合体视图。</w:t>
            </w:r>
          </w:p>
          <w:p w14:paraId="10E2F3EC">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第五柜：曲线与曲面：曲面立体的两面投影示例（斜置的圆柱）、曲面立体的两面投影示例（斜圆柱）、曲面立体的两面投影示例、曲面立体的两面投影示例（左上角有四分之一圆柱槽的四棱柱）、曲面立体的两面投影示例（斜置的圆锥）、曲面立体的两面投影示例（斜圆锥）、曲面立体的两面投影示例（上下倒置的圆台）、曲面立体的两面投影示例（有半个圆台槽的半圆柱）、曲面立体的两面投影示例（有半球槽的圆柱体）、曲面立体的两面投影示例（组合回转体示例一）、曲面立体的两面投影示例（组合回转体示例二）、连杆头部的截交线、铅垂面堆切圆球的截交线投影、曲线形成、空间曲线、回转曲面的形成及投影、锥面、柱状面、锥状面、圆柱螺旋线、圆锥螺旋线、单叶双曲回转面、圆环面的形成、顶针的截交线。</w:t>
            </w:r>
          </w:p>
          <w:p w14:paraId="5A4C893C">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6.第六柜：截交相贯：半圆球切槽的投影、缺口三棱锥、圆柱开槽的投影、开槽空心圆柱的投影、求截交线、镗刀杆头部的投影、接头投影、千斤顶盖投影、相惯线的剖面。</w:t>
            </w:r>
          </w:p>
          <w:p w14:paraId="5B3A247E">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第七柜：相贯线：正交两圆柱相贯线、正交两圆柱相贯线、用球面法求圆柱与圆锥的相贯线、两正交圆柱的相贯线、圆柱上钻孔及两圆柱孔的相贯线、圆柱上钻孔及两圆柱孔的相贯线、两偏交圆柱的相贯线、圆锥台和半圆球的相贯线、圆柱和圆锥正交的相贯线、斜交两圆柱的相贯线、圆柱与圆锥正交、作轴线不相交、直径不相等的两圆柱的相贯线、圆柱与半圆球相交、相贯线的特殊情况、圆柱、圆台和圆球的相贯线。</w:t>
            </w:r>
          </w:p>
          <w:p w14:paraId="3B919189">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第八柜：表面交线：圆柱的投影与表面上取点、圆锥的投影与表面上取点、六棱柱的投影与表面上求点、形体中面的分析、圆球投影和表面上取点、圆环投影与表面上的取点、专用垫圈的投影、五棱锥的投影与表面上的求点、表面交线模型。</w:t>
            </w:r>
          </w:p>
          <w:p w14:paraId="0BB3BF14">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第九柜：组合体：组合体的组合方式、外表面共面与不共面（、内表面共面与不共面、外表面相切、内表面相切、平面与曲面表面相交、两曲面相交、轴承座及其形体分析、垫块、几个视图联系起来看、支架、压板、构形设计力求新颖、叠加构成的组合体、圆柱挖切构成的组合体、综合构成的组合体。</w:t>
            </w:r>
          </w:p>
          <w:p w14:paraId="5A5066E9">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第十柜：机件表达方法：基本投影面、局部视图、对称物体局部视图、斜视图、剖视图、全剖视图、半剖视图、局部剖视图、单一斜剖切面：阶梯剖的全剖视图、阶梯剖的半剖视图、阶梯剖的局部剖视图、两个相交的剖切面、旋转剖视产生不完整要素的情况、复合剖、用断面表达轴和键槽等结构、剖切断面分离时断面图、两相交剖切平面剖出的移出断面图、相同结构的画法、多孔结构的画法、肋、孔的简化画法、法兰盘上均布孔的简化画法、椭圆的简化画法。</w:t>
            </w:r>
          </w:p>
        </w:tc>
      </w:tr>
      <w:tr w14:paraId="211C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96" w:type="pct"/>
            <w:vAlign w:val="center"/>
          </w:tcPr>
          <w:p w14:paraId="3CB361AE">
            <w:pPr>
              <w:snapToGrid w:val="0"/>
              <w:spacing w:line="400" w:lineRule="exact"/>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w:t>
            </w:r>
          </w:p>
        </w:tc>
        <w:tc>
          <w:tcPr>
            <w:tcW w:w="440" w:type="pct"/>
            <w:vAlign w:val="center"/>
          </w:tcPr>
          <w:p w14:paraId="5BF4F306">
            <w:pPr>
              <w:snapToGrid w:val="0"/>
              <w:spacing w:line="4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机械测绘成套模型</w:t>
            </w:r>
          </w:p>
        </w:tc>
        <w:tc>
          <w:tcPr>
            <w:tcW w:w="367" w:type="pct"/>
            <w:vAlign w:val="center"/>
          </w:tcPr>
          <w:p w14:paraId="428E3BD6">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3/套</w:t>
            </w:r>
          </w:p>
        </w:tc>
        <w:tc>
          <w:tcPr>
            <w:tcW w:w="3897" w:type="pct"/>
            <w:vAlign w:val="center"/>
          </w:tcPr>
          <w:p w14:paraId="3D649E3A">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1.配套教材及习题集示教模型：</w:t>
            </w:r>
          </w:p>
          <w:p w14:paraId="1DC6A40C">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（1）采用优质木料，表面油漆、剖面分色、外形美观，质量可靠。</w:t>
            </w:r>
          </w:p>
          <w:p w14:paraId="5A947748">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（2）数量：教材和习题集模型各不少于50件：</w:t>
            </w:r>
          </w:p>
          <w:p w14:paraId="7E7476B6">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2.常用机构模型：主要零部件包含前轴隔套、挡圈、后轴、立柱灯体灯嘴车体支撑块、内六角圆柱头螺钉M5×12、车轮、支架等零部件数量不少于12个，零件材质包含45#钢，铜和铝；参考尺寸：不小于230*150*180mm</w:t>
            </w:r>
            <w:r>
              <w:rPr>
                <w:rFonts w:hint="eastAsia" w:ascii="仿宋" w:hAnsi="仿宋" w:eastAsia="仿宋" w:cs="仿宋"/>
                <w:b/>
                <w:color w:val="000000" w:themeColor="text1"/>
                <w14:textFill>
                  <w14:solidFill>
                    <w14:schemeClr w14:val="tx1"/>
                  </w14:solidFill>
                </w14:textFill>
              </w:rPr>
              <w:t>（需提供实物照片）</w:t>
            </w:r>
          </w:p>
        </w:tc>
      </w:tr>
      <w:tr w14:paraId="4B19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96" w:type="pct"/>
            <w:vAlign w:val="center"/>
          </w:tcPr>
          <w:p w14:paraId="58164316">
            <w:pPr>
              <w:snapToGrid w:val="0"/>
              <w:spacing w:line="400" w:lineRule="exact"/>
              <w:jc w:val="center"/>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w:t>
            </w:r>
          </w:p>
        </w:tc>
        <w:tc>
          <w:tcPr>
            <w:tcW w:w="440" w:type="pct"/>
            <w:vAlign w:val="center"/>
          </w:tcPr>
          <w:p w14:paraId="5ACB8FF5">
            <w:pPr>
              <w:snapToGrid w:val="0"/>
              <w:spacing w:line="4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机械测绘专业知识评价平台</w:t>
            </w:r>
          </w:p>
        </w:tc>
        <w:tc>
          <w:tcPr>
            <w:tcW w:w="367" w:type="pct"/>
            <w:vAlign w:val="center"/>
          </w:tcPr>
          <w:p w14:paraId="0B6493D6">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1/套</w:t>
            </w:r>
          </w:p>
        </w:tc>
        <w:tc>
          <w:tcPr>
            <w:tcW w:w="3897" w:type="pct"/>
            <w:vAlign w:val="center"/>
          </w:tcPr>
          <w:p w14:paraId="27B26C84">
            <w:pPr>
              <w:numPr>
                <w:ilvl w:val="0"/>
                <w:numId w:val="1"/>
              </w:num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平台功能</w:t>
            </w:r>
          </w:p>
          <w:p w14:paraId="79A12358">
            <w:pPr>
              <w:pStyle w:val="39"/>
              <w:ind w:firstLineChars="17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测量是学生零部件测绘入门和必须的技能，平台能帮助学生正确认知和使用不同的测量工具；考察学生零部件测绘专业知识掌握情况及分析评价，同时方便老师教学，并随时掌握学生学习情况，更好地把握教学的重难点。</w:t>
            </w:r>
          </w:p>
          <w:p w14:paraId="3308B279">
            <w:pPr>
              <w:numPr>
                <w:ilvl w:val="0"/>
                <w:numId w:val="1"/>
              </w:num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技术参数</w:t>
            </w:r>
          </w:p>
          <w:p w14:paraId="534FFD60">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1.专业支持：支持生成机械专业粗糙度、几何公差、上下偏差等特殊符号的自动生成。</w:t>
            </w:r>
            <w:r>
              <w:rPr>
                <w:rFonts w:hint="eastAsia" w:ascii="仿宋" w:hAnsi="仿宋" w:eastAsia="仿宋" w:cs="仿宋"/>
                <w:b/>
                <w:color w:val="000000" w:themeColor="text1"/>
                <w14:textFill>
                  <w14:solidFill>
                    <w14:schemeClr w14:val="tx1"/>
                  </w14:solidFill>
                </w14:textFill>
              </w:rPr>
              <w:t>（需提供软件界面截图）</w:t>
            </w:r>
          </w:p>
          <w:p w14:paraId="096E1E93">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2.测评管理功能：</w:t>
            </w:r>
          </w:p>
          <w:p w14:paraId="46164818">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（1）支持随机组卷、人工组卷两种模式考试。</w:t>
            </w:r>
          </w:p>
          <w:p w14:paraId="4BB2A84B">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（2）支持考试，练习两种考试模式；考试需要老师评测修改后才能看到答案。练习答完之后可以直接看到答案。</w:t>
            </w:r>
          </w:p>
          <w:p w14:paraId="39BCCFC3">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（3）支持多科目组卷：一份试卷由多个科目、多个难易程度来组成，支持人工定义抽题规则。</w:t>
            </w:r>
          </w:p>
          <w:p w14:paraId="7AC0731A">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（4）支持多种题型的任意组卷，支持题型名称自定义，支持读取共享题库组卷。</w:t>
            </w:r>
          </w:p>
          <w:p w14:paraId="138E8E23">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（5）支持候考模式，可设置提前入场时间，考生可提前进入等待考试，考试开始后，题目自动加载，考生可以答题。</w:t>
            </w:r>
          </w:p>
          <w:p w14:paraId="0C22D69C">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（6）试卷支持导出标准格式，以备用传统笔试。</w:t>
            </w:r>
          </w:p>
          <w:p w14:paraId="54204935">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3.题库管理功能</w:t>
            </w:r>
          </w:p>
          <w:p w14:paraId="1A0A6C79">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（1）试题支持word,excel,手工等多种格式批量导入功能，支持图片，公式，特殊符号输入。</w:t>
            </w:r>
          </w:p>
          <w:p w14:paraId="7D1F4855">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（2）试题支持添加多种题型、难度、知识点类型等属性。</w:t>
            </w:r>
          </w:p>
          <w:p w14:paraId="61B4E378">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（3）试题支持题库分开存储，练习题库、考试题库分离不互相影响。</w:t>
            </w:r>
          </w:p>
          <w:p w14:paraId="3EB8CCC9">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（4）支持单选题、多选题、判断题、填空题、问答题等多种题型。</w:t>
            </w:r>
          </w:p>
          <w:p w14:paraId="345EF869">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4.自动评分，辅助复核功能：</w:t>
            </w:r>
          </w:p>
          <w:p w14:paraId="7653CEAD">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支持支持客观题自动评分，主观题智能辅助评分（根据答案匹配度）。</w:t>
            </w:r>
          </w:p>
          <w:p w14:paraId="09744D10">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5.统计分析：</w:t>
            </w:r>
          </w:p>
          <w:p w14:paraId="799ACA92">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（1）支持成绩综合查询功能：每场考试结束后都可以后端界面看到详细的数据分析和大数据诊断，支持将查询成绩导出功能;支持打印成绩单、查看批改试卷明细功能。</w:t>
            </w:r>
          </w:p>
          <w:p w14:paraId="0A4669E5">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（2）支持分析试卷中每道试题的正确率，容易了解所有考生对知识的掌握情况。</w:t>
            </w:r>
          </w:p>
          <w:p w14:paraId="7DA45496">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（3）支持分析每个考生个人成绩走势、平均分走势、试题正确率。</w:t>
            </w:r>
          </w:p>
          <w:p w14:paraId="317D9A61">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（4）支持根据不同的章节知识点进行分析统计，了解学生掌握易错知识点。</w:t>
            </w:r>
          </w:p>
          <w:p w14:paraId="0024226E">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6.配套《机械制图》题库不少于500道题。</w:t>
            </w:r>
          </w:p>
          <w:p w14:paraId="1F8189A4">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b/>
                <w:bCs/>
                <w:color w:val="000000" w:themeColor="text1"/>
                <w:lang w:val="en-US" w:eastAsia="zh-CN"/>
                <w14:textFill>
                  <w14:solidFill>
                    <w14:schemeClr w14:val="tx1"/>
                  </w14:solidFill>
                </w14:textFill>
              </w:rPr>
              <w:t>零部件</w:t>
            </w:r>
            <w:r>
              <w:rPr>
                <w:rFonts w:hint="eastAsia" w:ascii="仿宋" w:hAnsi="仿宋" w:eastAsia="仿宋" w:cs="仿宋"/>
                <w:b/>
                <w:bCs/>
                <w:color w:val="000000" w:themeColor="text1"/>
                <w14:textFill>
                  <w14:solidFill>
                    <w14:schemeClr w14:val="tx1"/>
                  </w14:solidFill>
                </w14:textFill>
              </w:rPr>
              <w:t>测绘量具虚拟仿真系统：</w:t>
            </w:r>
          </w:p>
          <w:p w14:paraId="49F0689F">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（1）系统至少包含角度尺、百分表等常用量具（不少于8种量具）的结构及读数说明</w:t>
            </w:r>
            <w:r>
              <w:rPr>
                <w:rFonts w:hint="eastAsia" w:ascii="仿宋" w:hAnsi="仿宋" w:eastAsia="仿宋" w:cs="仿宋"/>
                <w:b/>
                <w:color w:val="000000" w:themeColor="text1"/>
                <w14:textFill>
                  <w14:solidFill>
                    <w14:schemeClr w14:val="tx1"/>
                  </w14:solidFill>
                </w14:textFill>
              </w:rPr>
              <w:t>（需提供软件界面截图）</w:t>
            </w:r>
          </w:p>
          <w:p w14:paraId="54AE8990">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（2）虚拟工件尺寸自定义；测量结果自动判断正确性；能够综合定义多种量具组卷考试</w:t>
            </w:r>
            <w:r>
              <w:rPr>
                <w:rFonts w:hint="eastAsia" w:ascii="仿宋" w:hAnsi="仿宋" w:eastAsia="仿宋" w:cs="仿宋"/>
                <w:b/>
                <w:color w:val="000000" w:themeColor="text1"/>
                <w14:textFill>
                  <w14:solidFill>
                    <w14:schemeClr w14:val="tx1"/>
                  </w14:solidFill>
                </w14:textFill>
              </w:rPr>
              <w:t>（需提供软件界面截图）</w:t>
            </w:r>
          </w:p>
          <w:p w14:paraId="54C6575B">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（3）考试结果可查询</w:t>
            </w:r>
          </w:p>
          <w:p w14:paraId="5020DA66">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1）支持每种模拟工件的尺寸随机生成多组数据进行测验（数量可自定义）</w:t>
            </w:r>
          </w:p>
          <w:p w14:paraId="46363451">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2）支持考试结果系统自动评判，试卷提交后，即可实时显示考试得分情况</w:t>
            </w:r>
          </w:p>
          <w:p w14:paraId="4E9E0A52">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3）系统支持根据时间查询不同的考试项目，针对不同的考试项目可生成整个班级成绩统计分析的饼状图、柱状图；</w:t>
            </w:r>
          </w:p>
          <w:p w14:paraId="1C9F4DBB">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4）系统支持查看每个学生的针对每个项目的考试用时、得分、排名及查看错题。</w:t>
            </w:r>
          </w:p>
          <w:p w14:paraId="61A21E36">
            <w:pPr>
              <w:tabs>
                <w:tab w:val="left" w:pos="285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（4）支持根据垂直度、平行度、平面度、同轴度、直线度、圆柱度、圆度、跳动等几何公差设定的不同公差值进行动态仿真。</w:t>
            </w:r>
            <w:r>
              <w:rPr>
                <w:rFonts w:hint="eastAsia" w:ascii="仿宋" w:hAnsi="仿宋" w:eastAsia="仿宋" w:cs="仿宋"/>
                <w:b/>
                <w:color w:val="000000" w:themeColor="text1"/>
                <w14:textFill>
                  <w14:solidFill>
                    <w14:schemeClr w14:val="tx1"/>
                  </w14:solidFill>
                </w14:textFill>
              </w:rPr>
              <w:t>（以下6条参数均需提供每种几何公差的软件界面截图）</w:t>
            </w:r>
          </w:p>
          <w:p w14:paraId="1FB99A55">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 w:val="22"/>
                <w:szCs w:val="22"/>
                <w:highlight w:val="none"/>
                <w:lang w:eastAsia="zh-CN"/>
              </w:rPr>
              <w:t>▲</w:t>
            </w:r>
            <w:r>
              <w:rPr>
                <w:rFonts w:hint="eastAsia" w:ascii="仿宋" w:hAnsi="仿宋" w:eastAsia="仿宋" w:cs="仿宋"/>
                <w:color w:val="000000" w:themeColor="text1"/>
                <w:szCs w:val="21"/>
                <w14:textFill>
                  <w14:solidFill>
                    <w14:schemeClr w14:val="tx1"/>
                  </w14:solidFill>
                </w14:textFill>
              </w:rPr>
              <w:t>1）垂直度公差至少包含线对基准线、线对基准面、面对基准线、面对基准面的公差带定义，线、面、公差带可自定义显示；公差带的大小可自定义，系统根据自定义的公差带大小可动态演示。</w:t>
            </w:r>
          </w:p>
          <w:p w14:paraId="73150323">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 w:val="22"/>
                <w:szCs w:val="22"/>
                <w:highlight w:val="none"/>
                <w:lang w:eastAsia="zh-CN"/>
              </w:rPr>
              <w:t>▲</w:t>
            </w:r>
            <w:r>
              <w:rPr>
                <w:rFonts w:hint="eastAsia" w:ascii="仿宋" w:hAnsi="仿宋" w:eastAsia="仿宋" w:cs="仿宋"/>
                <w:color w:val="000000" w:themeColor="text1"/>
                <w:szCs w:val="21"/>
                <w14:textFill>
                  <w14:solidFill>
                    <w14:schemeClr w14:val="tx1"/>
                  </w14:solidFill>
                </w14:textFill>
              </w:rPr>
              <w:t>2）平行度几何公差的仿真教学：支持几何公差大小自定义，系统根据自定义的公差带大小可动态演示。</w:t>
            </w:r>
          </w:p>
          <w:p w14:paraId="7623EADE">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 w:val="22"/>
                <w:szCs w:val="22"/>
                <w:highlight w:val="none"/>
                <w:lang w:eastAsia="zh-CN"/>
              </w:rPr>
              <w:t>▲</w:t>
            </w:r>
            <w:r>
              <w:rPr>
                <w:rFonts w:hint="eastAsia" w:ascii="仿宋" w:hAnsi="仿宋" w:eastAsia="仿宋" w:cs="仿宋"/>
                <w:color w:val="000000" w:themeColor="text1"/>
                <w:szCs w:val="21"/>
                <w14:textFill>
                  <w14:solidFill>
                    <w14:schemeClr w14:val="tx1"/>
                  </w14:solidFill>
                </w14:textFill>
              </w:rPr>
              <w:t>3）平面度几何公差的仿真教学：支持几何公差大小自定义，系统根据自定义的公差带大小可动态演示。</w:t>
            </w:r>
          </w:p>
          <w:p w14:paraId="34DF9506">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 w:val="22"/>
                <w:szCs w:val="22"/>
                <w:highlight w:val="none"/>
                <w:lang w:eastAsia="zh-CN"/>
              </w:rPr>
              <w:t>▲</w:t>
            </w:r>
            <w:r>
              <w:rPr>
                <w:rFonts w:hint="eastAsia" w:ascii="仿宋" w:hAnsi="仿宋" w:eastAsia="仿宋" w:cs="仿宋"/>
                <w:color w:val="000000" w:themeColor="text1"/>
                <w:szCs w:val="21"/>
                <w14:textFill>
                  <w14:solidFill>
                    <w14:schemeClr w14:val="tx1"/>
                  </w14:solidFill>
                </w14:textFill>
              </w:rPr>
              <w:t>4）同轴度几何公差的仿真教学：支持几何公差大小自定义，系统根据自定义的公差带大小可动态演示。</w:t>
            </w:r>
          </w:p>
          <w:p w14:paraId="05BB0247">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 w:val="22"/>
                <w:szCs w:val="22"/>
                <w:highlight w:val="none"/>
                <w:lang w:eastAsia="zh-CN"/>
              </w:rPr>
              <w:t>▲</w:t>
            </w:r>
            <w:r>
              <w:rPr>
                <w:rFonts w:hint="eastAsia" w:ascii="仿宋" w:hAnsi="仿宋" w:eastAsia="仿宋" w:cs="仿宋"/>
                <w:color w:val="000000" w:themeColor="text1"/>
                <w:szCs w:val="21"/>
                <w14:textFill>
                  <w14:solidFill>
                    <w14:schemeClr w14:val="tx1"/>
                  </w14:solidFill>
                </w14:textFill>
              </w:rPr>
              <w:t>5）直线度几何公差的仿真教学：支持几何公差大小自定义，系统根据自定义的公差带大小可动态演示。</w:t>
            </w:r>
          </w:p>
          <w:p w14:paraId="4CC20D86">
            <w:pP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6）跳动几何公差的仿真教学：支持几何公差大小自定义，系统根据自定义的公差带大小可动态演示。</w:t>
            </w:r>
          </w:p>
        </w:tc>
      </w:tr>
    </w:tbl>
    <w:p w14:paraId="479B9A8A">
      <w:pPr>
        <w:pStyle w:val="3"/>
        <w:rPr>
          <w:rFonts w:hint="eastAsia" w:ascii="仿宋" w:hAnsi="仿宋" w:eastAsia="仿宋" w:cs="仿宋"/>
          <w:color w:val="auto"/>
          <w:sz w:val="22"/>
          <w:szCs w:val="28"/>
          <w:highlight w:val="none"/>
          <w:lang w:val="en-US" w:eastAsia="zh-CN"/>
        </w:rPr>
      </w:pPr>
    </w:p>
    <w:p w14:paraId="13D25057">
      <w:pPr>
        <w:pStyle w:val="3"/>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四</w:t>
      </w:r>
      <w:r>
        <w:rPr>
          <w:rFonts w:hint="eastAsia" w:ascii="仿宋" w:hAnsi="仿宋" w:eastAsia="仿宋" w:cs="仿宋"/>
          <w:color w:val="auto"/>
          <w:sz w:val="22"/>
          <w:szCs w:val="28"/>
          <w:highlight w:val="none"/>
        </w:rPr>
        <w:t>、商务要求</w:t>
      </w:r>
      <w:bookmarkEnd w:id="2"/>
    </w:p>
    <w:tbl>
      <w:tblPr>
        <w:tblStyle w:val="23"/>
        <w:tblW w:w="5000"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4"/>
        <w:gridCol w:w="7484"/>
      </w:tblGrid>
      <w:tr w14:paraId="68DDC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28EEA6F9">
            <w:pPr>
              <w:pStyle w:val="51"/>
              <w:spacing w:line="336" w:lineRule="auto"/>
              <w:rPr>
                <w:rFonts w:hint="eastAsia" w:ascii="仿宋" w:hAnsi="仿宋" w:eastAsia="仿宋" w:cs="仿宋"/>
                <w:color w:val="auto"/>
                <w:sz w:val="22"/>
                <w:szCs w:val="22"/>
                <w:highlight w:val="none"/>
              </w:rPr>
            </w:pPr>
            <w:bookmarkStart w:id="3" w:name="_Hlk45005608"/>
            <w:r>
              <w:rPr>
                <w:rFonts w:hint="eastAsia" w:ascii="仿宋" w:hAnsi="仿宋" w:eastAsia="仿宋" w:cs="仿宋"/>
                <w:color w:val="auto"/>
                <w:sz w:val="22"/>
                <w:szCs w:val="22"/>
                <w:highlight w:val="none"/>
              </w:rPr>
              <w:t>履约保证金</w:t>
            </w:r>
          </w:p>
        </w:tc>
        <w:tc>
          <w:tcPr>
            <w:tcW w:w="4029" w:type="pct"/>
            <w:noWrap w:val="0"/>
            <w:vAlign w:val="center"/>
          </w:tcPr>
          <w:p w14:paraId="0A1CCB39">
            <w:pPr>
              <w:pStyle w:val="51"/>
              <w:spacing w:line="336" w:lineRule="auto"/>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sym w:font="Wingdings 2" w:char="0052"/>
            </w:r>
            <w:r>
              <w:rPr>
                <w:rFonts w:hint="eastAsia" w:ascii="仿宋" w:hAnsi="仿宋" w:eastAsia="仿宋" w:cs="仿宋"/>
                <w:b/>
                <w:color w:val="auto"/>
                <w:sz w:val="22"/>
                <w:szCs w:val="22"/>
                <w:highlight w:val="none"/>
              </w:rPr>
              <w:t>需要</w:t>
            </w:r>
          </w:p>
          <w:p w14:paraId="33F54D1E">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按合同总金额的 1%计收，中标供应商应在合同签订后7日内向采购人交纳履约保证金，履约保证金待合同履行完成后5个工作日内视履约情况返还(缴纳形式为银行转账，或银行、保险公司出具的保函)。</w:t>
            </w:r>
          </w:p>
        </w:tc>
      </w:tr>
      <w:tr w14:paraId="3E2D6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761FF242">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付款方式</w:t>
            </w:r>
          </w:p>
        </w:tc>
        <w:tc>
          <w:tcPr>
            <w:tcW w:w="4029" w:type="pct"/>
            <w:noWrap w:val="0"/>
            <w:vAlign w:val="center"/>
          </w:tcPr>
          <w:p w14:paraId="5CD822D4">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采购人自采购合同生效及具备实施条件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财政相关资金到位</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后支付预付款，即合同金额的40%；剩余款项于采购项目验收合格后由采购人向供应商支付。</w:t>
            </w:r>
          </w:p>
          <w:p w14:paraId="28A4C10C">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备注：在签订合同时，中标人明确表示无需预付款或者主动要求降低预付款比例的，可降低预付款比例</w:t>
            </w:r>
            <w:r>
              <w:rPr>
                <w:rFonts w:hint="eastAsia" w:ascii="仿宋" w:hAnsi="仿宋" w:eastAsia="仿宋" w:cs="仿宋"/>
                <w:color w:val="auto"/>
                <w:sz w:val="22"/>
                <w:szCs w:val="22"/>
                <w:highlight w:val="none"/>
                <w:lang w:eastAsia="zh-CN"/>
              </w:rPr>
              <w:t>；</w:t>
            </w:r>
          </w:p>
          <w:p w14:paraId="2053C29D">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采购人自收到供应商开具的专用增值税发票后7个工作日内将上述相关款项支付到合同约定的供应商账户。</w:t>
            </w:r>
          </w:p>
        </w:tc>
      </w:tr>
      <w:tr w14:paraId="3F803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E07664D">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供货期</w:t>
            </w:r>
          </w:p>
        </w:tc>
        <w:tc>
          <w:tcPr>
            <w:tcW w:w="4029" w:type="pct"/>
            <w:noWrap w:val="0"/>
            <w:vAlign w:val="center"/>
          </w:tcPr>
          <w:p w14:paraId="17C17AD7">
            <w:pPr>
              <w:pStyle w:val="51"/>
              <w:spacing w:line="336" w:lineRule="auto"/>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中标供应商在合同</w:t>
            </w:r>
            <w:r>
              <w:rPr>
                <w:rFonts w:hint="eastAsia" w:ascii="仿宋" w:hAnsi="仿宋" w:eastAsia="仿宋" w:cs="仿宋"/>
                <w:color w:val="000000" w:themeColor="text1"/>
                <w:sz w:val="22"/>
                <w:szCs w:val="22"/>
                <w:highlight w:val="none"/>
                <w:lang w:val="en-US" w:eastAsia="zh-CN"/>
                <w14:textFill>
                  <w14:solidFill>
                    <w14:schemeClr w14:val="tx1"/>
                  </w14:solidFill>
                </w14:textFill>
              </w:rPr>
              <w:t>生效且接到采购人通知后30</w:t>
            </w:r>
            <w:r>
              <w:rPr>
                <w:rFonts w:hint="eastAsia" w:ascii="仿宋" w:hAnsi="仿宋" w:eastAsia="仿宋" w:cs="仿宋"/>
                <w:color w:val="000000" w:themeColor="text1"/>
                <w:sz w:val="22"/>
                <w:szCs w:val="22"/>
                <w:highlight w:val="none"/>
                <w:lang w:eastAsia="zh-CN"/>
                <w14:textFill>
                  <w14:solidFill>
                    <w14:schemeClr w14:val="tx1"/>
                  </w14:solidFill>
                </w14:textFill>
              </w:rPr>
              <w:t>天内完成供货和安装。</w:t>
            </w:r>
          </w:p>
        </w:tc>
      </w:tr>
      <w:tr w14:paraId="52C5B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2D8ACDAD">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质保期</w:t>
            </w:r>
          </w:p>
        </w:tc>
        <w:tc>
          <w:tcPr>
            <w:tcW w:w="4029" w:type="pct"/>
            <w:noWrap w:val="0"/>
            <w:vAlign w:val="center"/>
          </w:tcPr>
          <w:p w14:paraId="526058CA">
            <w:pPr>
              <w:pStyle w:val="51"/>
              <w:spacing w:line="336" w:lineRule="auto"/>
              <w:jc w:val="left"/>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质保期2年</w:t>
            </w:r>
          </w:p>
        </w:tc>
      </w:tr>
      <w:tr w14:paraId="67DAC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F5ABA3C">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▲施工地点</w:t>
            </w:r>
          </w:p>
        </w:tc>
        <w:tc>
          <w:tcPr>
            <w:tcW w:w="4029" w:type="pct"/>
            <w:noWrap w:val="0"/>
            <w:vAlign w:val="center"/>
          </w:tcPr>
          <w:p w14:paraId="566FBCEB">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采购人指定地点。</w:t>
            </w:r>
          </w:p>
        </w:tc>
      </w:tr>
      <w:tr w14:paraId="70057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45A5D316">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质量要求</w:t>
            </w:r>
          </w:p>
        </w:tc>
        <w:tc>
          <w:tcPr>
            <w:tcW w:w="4029" w:type="pct"/>
            <w:noWrap w:val="0"/>
            <w:vAlign w:val="center"/>
          </w:tcPr>
          <w:p w14:paraId="43037019">
            <w:pPr>
              <w:pStyle w:val="51"/>
              <w:jc w:val="left"/>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rPr>
              <w:t>合格</w:t>
            </w:r>
          </w:p>
        </w:tc>
      </w:tr>
      <w:tr w14:paraId="01E2F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42F8822">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验收标准</w:t>
            </w:r>
          </w:p>
        </w:tc>
        <w:tc>
          <w:tcPr>
            <w:tcW w:w="4029" w:type="pct"/>
            <w:noWrap w:val="0"/>
            <w:vAlign w:val="center"/>
          </w:tcPr>
          <w:p w14:paraId="7D02D760">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1.验收由采购人负责实施；</w:t>
            </w:r>
          </w:p>
          <w:p w14:paraId="385A2122">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w:t>
            </w:r>
            <w:r>
              <w:rPr>
                <w:rFonts w:hint="eastAsia" w:ascii="仿宋" w:hAnsi="仿宋" w:eastAsia="仿宋" w:cs="仿宋"/>
                <w:color w:val="auto"/>
                <w:sz w:val="22"/>
                <w:szCs w:val="22"/>
                <w:highlight w:val="none"/>
                <w:lang w:val="en-US" w:eastAsia="zh-CN"/>
              </w:rPr>
              <w:t>货物部分</w:t>
            </w:r>
            <w:r>
              <w:rPr>
                <w:rFonts w:hint="eastAsia" w:ascii="仿宋" w:hAnsi="仿宋" w:eastAsia="仿宋" w:cs="仿宋"/>
                <w:color w:val="auto"/>
                <w:sz w:val="22"/>
                <w:szCs w:val="22"/>
                <w:highlight w:val="none"/>
                <w:lang w:eastAsia="zh-CN"/>
              </w:rPr>
              <w:t>验收依据</w:t>
            </w:r>
          </w:p>
          <w:p w14:paraId="126BA6E2">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2.1合同、采购文件、投标文件；</w:t>
            </w:r>
          </w:p>
          <w:p w14:paraId="1101958C">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2.2中标人提供的技术规格、经采购人认可的合同货物的有效检验文件；</w:t>
            </w:r>
          </w:p>
          <w:p w14:paraId="2A298377">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2.3中标人投标文件中提供的经采购人认可的合同货物的验收标准（符合中国有关的国家、地方、行业标准）和检测办法及相应检测手段。</w:t>
            </w:r>
          </w:p>
          <w:p w14:paraId="657D2D0F">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0E1D29CB">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4.验收合格的条件</w:t>
            </w:r>
          </w:p>
          <w:p w14:paraId="6B7FADFE">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4.1所供货物符合产品标准和采购文件及合同的要求；</w:t>
            </w:r>
          </w:p>
          <w:p w14:paraId="26633474">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4.2在进行测试和验收过程中发现的问题已被解决并得到采购人的认可；</w:t>
            </w:r>
          </w:p>
          <w:p w14:paraId="2669B659">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4.3合同中规定的所有货物和材料均已交付；</w:t>
            </w:r>
          </w:p>
          <w:p w14:paraId="6EEEFCFE">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4.4所供货物已通过使用单位组织的验收；</w:t>
            </w:r>
          </w:p>
          <w:p w14:paraId="343A0222">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4.5所有相关的技术文件及资料均已提交并得到接受。</w:t>
            </w:r>
          </w:p>
        </w:tc>
      </w:tr>
      <w:tr w14:paraId="35817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4ED2AFB9">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其他</w:t>
            </w:r>
          </w:p>
        </w:tc>
        <w:tc>
          <w:tcPr>
            <w:tcW w:w="4029" w:type="pct"/>
            <w:noWrap w:val="0"/>
            <w:vAlign w:val="center"/>
          </w:tcPr>
          <w:p w14:paraId="7482C2D5">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1、</w:t>
            </w:r>
            <w:r>
              <w:rPr>
                <w:rFonts w:hint="eastAsia" w:ascii="仿宋" w:hAnsi="仿宋" w:eastAsia="仿宋" w:cs="仿宋"/>
                <w:color w:val="auto"/>
                <w:sz w:val="22"/>
                <w:szCs w:val="22"/>
                <w:highlight w:val="none"/>
              </w:rPr>
              <w:t>若质量保证期内出现任何质量问题，承包人应及时免费修复或更换，如发生较大质量问题则质量保证期从修复或更换后重新开始计算。</w:t>
            </w:r>
          </w:p>
          <w:p w14:paraId="20D36A98">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2、</w:t>
            </w:r>
            <w:r>
              <w:rPr>
                <w:rFonts w:hint="eastAsia" w:ascii="仿宋" w:hAnsi="仿宋" w:eastAsia="仿宋" w:cs="仿宋"/>
                <w:color w:val="auto"/>
                <w:sz w:val="22"/>
                <w:szCs w:val="22"/>
                <w:highlight w:val="none"/>
              </w:rPr>
              <w:t>在质量保证期满后，承包人仍应提供售后服务，负责货物的终身维护。</w:t>
            </w:r>
          </w:p>
          <w:p w14:paraId="7C22C2A8">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3、</w:t>
            </w:r>
            <w:r>
              <w:rPr>
                <w:rFonts w:hint="eastAsia" w:ascii="仿宋" w:hAnsi="仿宋" w:eastAsia="仿宋" w:cs="仿宋"/>
                <w:color w:val="auto"/>
                <w:sz w:val="22"/>
                <w:szCs w:val="22"/>
                <w:highlight w:val="none"/>
              </w:rPr>
              <w:t>由于承包人货物质量问题，而给予发包人造成重大损失，承包人应作相应的赔偿。</w:t>
            </w:r>
          </w:p>
        </w:tc>
      </w:tr>
      <w:bookmarkEnd w:id="3"/>
    </w:tbl>
    <w:p w14:paraId="4A328951">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注：扶持政策说明：</w:t>
      </w:r>
    </w:p>
    <w:p w14:paraId="2DD5083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1、本项目采购标的对应的中小企业划分标准所属行业为</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工</w:t>
      </w:r>
      <w:r>
        <w:rPr>
          <w:rFonts w:hint="eastAsia" w:ascii="仿宋" w:hAnsi="仿宋" w:eastAsia="仿宋" w:cs="仿宋"/>
          <w:b/>
          <w:bCs/>
          <w:color w:val="auto"/>
          <w:sz w:val="24"/>
          <w:szCs w:val="24"/>
          <w:highlight w:val="none"/>
          <w:lang w:eastAsia="zh-CN"/>
        </w:rPr>
        <w:t>业</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p w14:paraId="231DA0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2、依据《政府采购促进中小企业发展管理办法》（财库【2020】46号）规定享受扶持政策获得政府采购合同的，小微企业不得将合同分包给大中型企业，中型企业不得将合同分包给大型企业。</w:t>
      </w:r>
    </w:p>
    <w:p w14:paraId="2E08529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1411E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4、符合中小企业划分标准的个体工商户，在政府采购活动中视同中小企业。</w:t>
      </w:r>
    </w:p>
    <w:p w14:paraId="0DE33D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5、在政府采购活动中，供应商提供的货物、工程或者服务符合下列情形的，享受本办法规定的中小企业扶持政策：</w:t>
      </w:r>
    </w:p>
    <w:p w14:paraId="3A0DD8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6、在货物采购项目中，货物由中小企业制造，即货物由中小企业生产且使用该中小企业商号或者注册商标；</w:t>
      </w:r>
    </w:p>
    <w:p w14:paraId="75F0026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7、在工程采购项目中，工程由中小企业承建，即工程施工单位为中小企业；</w:t>
      </w:r>
    </w:p>
    <w:p w14:paraId="162476E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8、在服务采购项目中，服务由中小企业承接，即提供服务的人员为中小企业依照《中华人民共和国劳动合同法》订立劳动合同的从业人员。</w:t>
      </w:r>
    </w:p>
    <w:p w14:paraId="12617BE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9、在货物采购项目中，供应商提供的货物既有中小企业制造货物，也有大型企业制造货物的，不享受本办法规定的中小企业扶持政策。</w:t>
      </w:r>
    </w:p>
    <w:p w14:paraId="6FA3F31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10、以联合体形式参加政府采购活动，联合体各方均为中小企业的，联合体视同中小企业。其中，联合体各方均为小微企业的，联合体视同小微企业。</w:t>
      </w:r>
    </w:p>
    <w:p w14:paraId="24464F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11、监狱企业参加政府采购提供《监狱企业声明函》（见附件）及其相关的充分的证明材料的，视为小型、微型企业，享受小微企业政策扶持；监狱企业属于小型、微型企业的，不重复享受政策。</w:t>
      </w:r>
    </w:p>
    <w:p w14:paraId="543DCAF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12、残疾人福利性单位参加政府采购提供《残疾人福利性单位声明函》（格式见附件），视为小型、微型企业，享受小微企业政策扶持；残疾人福利性单位属于小型、微型企业的，不重复享受政策。</w:t>
      </w:r>
    </w:p>
    <w:p w14:paraId="24F48783">
      <w:pPr>
        <w:ind w:firstLine="480" w:firstLineChars="200"/>
        <w:rPr>
          <w:rFonts w:hint="eastAsia" w:ascii="仿宋" w:hAnsi="仿宋" w:eastAsia="仿宋" w:cs="仿宋"/>
          <w:color w:val="auto"/>
          <w:sz w:val="24"/>
          <w:szCs w:val="24"/>
          <w:highlight w:val="none"/>
        </w:rPr>
        <w:sectPr>
          <w:pgSz w:w="11906" w:h="16838"/>
          <w:pgMar w:top="1418" w:right="1417" w:bottom="1418" w:left="1417" w:header="1020" w:footer="1020" w:gutter="0"/>
          <w:pgNumType w:fmt="decimal"/>
          <w:cols w:space="0" w:num="1"/>
          <w:docGrid w:type="lines" w:linePitch="336" w:charSpace="0"/>
        </w:sectPr>
      </w:pPr>
      <w:r>
        <w:rPr>
          <w:rFonts w:hint="eastAsia" w:ascii="仿宋" w:hAnsi="仿宋" w:eastAsia="仿宋" w:cs="仿宋"/>
          <w:color w:val="auto"/>
          <w:sz w:val="24"/>
          <w:szCs w:val="24"/>
          <w:highlight w:val="none"/>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0D6349F4">
      <w:pPr>
        <w:pStyle w:val="2"/>
        <w:jc w:val="center"/>
        <w:rPr>
          <w:rFonts w:hint="eastAsia" w:ascii="仿宋" w:hAnsi="仿宋" w:eastAsia="仿宋" w:cs="仿宋"/>
          <w:color w:val="auto"/>
          <w:sz w:val="28"/>
          <w:szCs w:val="28"/>
          <w:highlight w:val="none"/>
        </w:rPr>
      </w:pPr>
      <w:bookmarkStart w:id="4" w:name="_Toc131706339"/>
      <w:r>
        <w:rPr>
          <w:rFonts w:hint="eastAsia" w:ascii="仿宋" w:hAnsi="仿宋" w:eastAsia="仿宋" w:cs="仿宋"/>
          <w:color w:val="auto"/>
          <w:sz w:val="28"/>
          <w:szCs w:val="28"/>
          <w:highlight w:val="none"/>
        </w:rPr>
        <w:t>第三章 供应商须知</w:t>
      </w:r>
      <w:bookmarkEnd w:id="4"/>
    </w:p>
    <w:p w14:paraId="11495D78">
      <w:pPr>
        <w:pStyle w:val="3"/>
        <w:jc w:val="center"/>
        <w:rPr>
          <w:rFonts w:hint="eastAsia" w:ascii="仿宋" w:hAnsi="仿宋" w:eastAsia="仿宋" w:cs="仿宋"/>
          <w:color w:val="auto"/>
          <w:sz w:val="28"/>
          <w:szCs w:val="28"/>
          <w:highlight w:val="none"/>
        </w:rPr>
      </w:pPr>
      <w:bookmarkStart w:id="5" w:name="_Toc131706340"/>
      <w:r>
        <w:rPr>
          <w:rFonts w:hint="eastAsia" w:ascii="仿宋" w:hAnsi="仿宋" w:eastAsia="仿宋" w:cs="仿宋"/>
          <w:color w:val="auto"/>
          <w:sz w:val="28"/>
          <w:szCs w:val="28"/>
          <w:highlight w:val="none"/>
        </w:rPr>
        <w:t>前附表</w:t>
      </w:r>
      <w:bookmarkEnd w:id="5"/>
    </w:p>
    <w:tbl>
      <w:tblPr>
        <w:tblStyle w:val="24"/>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0"/>
      </w:tblGrid>
      <w:tr w14:paraId="3A22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6B6B7B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8460" w:type="dxa"/>
            <w:vAlign w:val="center"/>
          </w:tcPr>
          <w:p w14:paraId="6D01277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内容、要求</w:t>
            </w:r>
          </w:p>
        </w:tc>
      </w:tr>
      <w:tr w14:paraId="60B9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B25D5C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460" w:type="dxa"/>
            <w:vAlign w:val="center"/>
          </w:tcPr>
          <w:p w14:paraId="37042799">
            <w:pP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湖州职业技术学院</w:t>
            </w:r>
            <w:r>
              <w:rPr>
                <w:rFonts w:hint="eastAsia" w:ascii="仿宋" w:hAnsi="仿宋" w:eastAsia="仿宋" w:cs="仿宋"/>
                <w:color w:val="auto"/>
                <w:kern w:val="0"/>
                <w:sz w:val="24"/>
                <w:szCs w:val="24"/>
                <w:highlight w:val="none"/>
                <w:lang w:val="en-US" w:eastAsia="zh-CN"/>
              </w:rPr>
              <w:t>新校园</w:t>
            </w:r>
            <w:r>
              <w:rPr>
                <w:rFonts w:hint="eastAsia" w:ascii="仿宋" w:hAnsi="仿宋" w:eastAsia="仿宋" w:cs="仿宋"/>
                <w:color w:val="auto"/>
                <w:kern w:val="0"/>
                <w:sz w:val="24"/>
                <w:szCs w:val="24"/>
                <w:highlight w:val="none"/>
                <w:lang w:eastAsia="zh-CN"/>
              </w:rPr>
              <w:t>机械零部件测绘实训室建设项目</w:t>
            </w:r>
          </w:p>
        </w:tc>
      </w:tr>
      <w:tr w14:paraId="18E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69E71E3">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8460" w:type="dxa"/>
            <w:vAlign w:val="center"/>
          </w:tcPr>
          <w:p w14:paraId="62745F2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采购内容及数量：详见第二章采购需求</w:t>
            </w:r>
          </w:p>
        </w:tc>
      </w:tr>
      <w:tr w14:paraId="13C4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5606A60">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8460" w:type="dxa"/>
            <w:vAlign w:val="center"/>
          </w:tcPr>
          <w:p w14:paraId="6675B7F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投标报价及费用：1、本项目投标应以人民币报价；2、不论投标结果如何，供应商均应自行承担所有与投标有关的全部费用；3、</w:t>
            </w:r>
            <w:r>
              <w:rPr>
                <w:rFonts w:hint="eastAsia" w:ascii="仿宋" w:hAnsi="仿宋" w:eastAsia="仿宋" w:cs="仿宋"/>
                <w:b/>
                <w:bCs/>
                <w:color w:val="auto"/>
                <w:kern w:val="0"/>
                <w:sz w:val="24"/>
                <w:szCs w:val="24"/>
                <w:highlight w:val="none"/>
              </w:rPr>
              <w:t>本项目招标代理服务费按人民币</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5920</w:t>
            </w:r>
            <w:r>
              <w:rPr>
                <w:rFonts w:hint="eastAsia" w:ascii="仿宋" w:hAnsi="仿宋" w:eastAsia="仿宋" w:cs="仿宋"/>
                <w:b/>
                <w:bCs/>
                <w:color w:val="000000" w:themeColor="text1"/>
                <w:kern w:val="0"/>
                <w:sz w:val="24"/>
                <w:szCs w:val="24"/>
                <w:highlight w:val="none"/>
                <w14:textFill>
                  <w14:solidFill>
                    <w14:schemeClr w14:val="tx1"/>
                  </w14:solidFill>
                </w14:textFill>
              </w:rPr>
              <w:t>元</w:t>
            </w:r>
            <w:r>
              <w:rPr>
                <w:rFonts w:hint="eastAsia" w:ascii="仿宋" w:hAnsi="仿宋" w:eastAsia="仿宋" w:cs="仿宋"/>
                <w:b/>
                <w:bCs/>
                <w:color w:val="auto"/>
                <w:kern w:val="0"/>
                <w:sz w:val="24"/>
                <w:szCs w:val="24"/>
                <w:highlight w:val="none"/>
              </w:rPr>
              <w:t>收取，在确定中标供应商后，领取中标通知书前，由中标供应商全额支付，请各供应商自行考虑计入投标报价中。</w:t>
            </w:r>
          </w:p>
        </w:tc>
      </w:tr>
      <w:tr w14:paraId="4FC7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ED39CB">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8460" w:type="dxa"/>
            <w:vAlign w:val="center"/>
          </w:tcPr>
          <w:p w14:paraId="33BBECB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答疑与澄清：</w:t>
            </w:r>
            <w:r>
              <w:rPr>
                <w:rFonts w:hint="eastAsia" w:ascii="仿宋" w:hAnsi="仿宋" w:eastAsia="仿宋" w:cs="仿宋"/>
                <w:bCs/>
                <w:color w:val="auto"/>
                <w:kern w:val="0"/>
                <w:sz w:val="24"/>
                <w:szCs w:val="24"/>
                <w:highlight w:val="none"/>
              </w:rPr>
              <w:t>供应商</w:t>
            </w:r>
            <w:r>
              <w:rPr>
                <w:rFonts w:hint="eastAsia" w:ascii="仿宋" w:hAnsi="仿宋" w:eastAsia="仿宋" w:cs="仿宋"/>
                <w:color w:val="auto"/>
                <w:kern w:val="0"/>
                <w:sz w:val="24"/>
                <w:szCs w:val="24"/>
                <w:highlight w:val="none"/>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14:paraId="6B60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C1D316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8460" w:type="dxa"/>
            <w:vAlign w:val="center"/>
          </w:tcPr>
          <w:p w14:paraId="5BDF844D">
            <w:pP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采购预算：人民币</w:t>
            </w:r>
            <w:r>
              <w:rPr>
                <w:rFonts w:hint="eastAsia" w:ascii="仿宋" w:hAnsi="仿宋" w:eastAsia="仿宋" w:cs="仿宋"/>
                <w:b/>
                <w:bCs/>
                <w:color w:val="auto"/>
                <w:sz w:val="24"/>
                <w:szCs w:val="24"/>
                <w:highlight w:val="none"/>
                <w:lang w:val="en-US" w:eastAsia="zh-CN"/>
              </w:rPr>
              <w:t>880000</w:t>
            </w:r>
            <w:r>
              <w:rPr>
                <w:rFonts w:hint="eastAsia" w:ascii="仿宋" w:hAnsi="仿宋" w:eastAsia="仿宋" w:cs="仿宋"/>
                <w:b/>
                <w:bCs/>
                <w:color w:val="auto"/>
                <w:kern w:val="0"/>
                <w:sz w:val="24"/>
                <w:szCs w:val="24"/>
                <w:highlight w:val="none"/>
              </w:rPr>
              <w:t>元，最高限价：</w:t>
            </w:r>
            <w:r>
              <w:rPr>
                <w:rFonts w:hint="eastAsia" w:ascii="仿宋" w:hAnsi="仿宋" w:eastAsia="仿宋" w:cs="仿宋"/>
                <w:b/>
                <w:bCs/>
                <w:color w:val="auto"/>
                <w:sz w:val="24"/>
                <w:szCs w:val="24"/>
                <w:highlight w:val="none"/>
                <w:lang w:val="en-US" w:eastAsia="zh-CN"/>
              </w:rPr>
              <w:t>880000</w:t>
            </w:r>
            <w:r>
              <w:rPr>
                <w:rFonts w:hint="eastAsia" w:ascii="仿宋" w:hAnsi="仿宋" w:eastAsia="仿宋" w:cs="仿宋"/>
                <w:b/>
                <w:bCs/>
                <w:color w:val="auto"/>
                <w:sz w:val="24"/>
                <w:szCs w:val="24"/>
                <w:highlight w:val="none"/>
              </w:rPr>
              <w:t>元</w:t>
            </w:r>
          </w:p>
        </w:tc>
      </w:tr>
      <w:tr w14:paraId="163E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486492">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8460" w:type="dxa"/>
            <w:vAlign w:val="center"/>
          </w:tcPr>
          <w:p w14:paraId="7660799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1、投标文件的制作：本项目实行电子招投标。</w:t>
            </w:r>
          </w:p>
          <w:p w14:paraId="0EA0B18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2、供应商应按要求提供电子投标文件及数据电子备份投标文件（U盘），具体内容如下：</w:t>
            </w:r>
          </w:p>
          <w:p w14:paraId="1191704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2.1电子投标文件：按政采云平台项目采购-电子交易操作指南及本招标文件要求制作、加密并递交，超过上传时间的视为放弃投标资格，作无效标处理；</w:t>
            </w:r>
          </w:p>
          <w:p w14:paraId="3CAD037D">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数据电子备份投标文件（U盘）：以U盘形式提供的数据电子备份投标文件格式及内容须与政采云平台项目采购-电子交易操作指南中制作、加密并递交的电子投标文件格式及内容一致。数据电子备份投标文件（U盘）应提供《资格文件》、《技术、商务、资信及其他文件》和《报价文件》，</w:t>
            </w:r>
            <w:r>
              <w:rPr>
                <w:rFonts w:hint="eastAsia" w:ascii="仿宋" w:hAnsi="仿宋" w:eastAsia="仿宋" w:cs="仿宋"/>
                <w:b/>
                <w:color w:val="auto"/>
                <w:kern w:val="0"/>
                <w:sz w:val="24"/>
                <w:szCs w:val="24"/>
                <w:highlight w:val="none"/>
              </w:rPr>
              <w:t>供应商应将数据电子备份（U盘）形式的投标文件密封、包装，不按此规定密封、包装的数据电子备份投标文件（U盘）均按未提供处理，《资格文件》和《技术、商务、资信及其他文件》均不得体现报价，否则按无效标处理。</w:t>
            </w:r>
          </w:p>
        </w:tc>
      </w:tr>
      <w:tr w14:paraId="3936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BDE169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8460" w:type="dxa"/>
            <w:vAlign w:val="center"/>
          </w:tcPr>
          <w:p w14:paraId="54C7D73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投标截止时间：</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rPr>
              <w:t>0</w:t>
            </w:r>
            <w:r>
              <w:rPr>
                <w:rFonts w:hint="eastAsia" w:ascii="仿宋" w:hAnsi="仿宋" w:eastAsia="仿宋" w:cs="仿宋"/>
                <w:color w:val="FF0000"/>
                <w:kern w:val="0"/>
                <w:sz w:val="24"/>
                <w:szCs w:val="24"/>
                <w:highlight w:val="none"/>
              </w:rPr>
              <w:t>分</w:t>
            </w:r>
            <w:r>
              <w:rPr>
                <w:rFonts w:hint="eastAsia" w:ascii="仿宋" w:hAnsi="仿宋" w:eastAsia="仿宋" w:cs="仿宋"/>
                <w:color w:val="auto"/>
                <w:kern w:val="0"/>
                <w:sz w:val="24"/>
                <w:szCs w:val="24"/>
                <w:highlight w:val="none"/>
              </w:rPr>
              <w:t>（北京时间）</w:t>
            </w:r>
          </w:p>
          <w:p w14:paraId="0B13033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71FF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584016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8460" w:type="dxa"/>
            <w:vAlign w:val="center"/>
          </w:tcPr>
          <w:p w14:paraId="0C2BD68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rPr>
              <w:t>0</w:t>
            </w:r>
            <w:r>
              <w:rPr>
                <w:rFonts w:hint="eastAsia" w:ascii="仿宋" w:hAnsi="仿宋" w:eastAsia="仿宋" w:cs="仿宋"/>
                <w:color w:val="FF0000"/>
                <w:kern w:val="0"/>
                <w:sz w:val="24"/>
                <w:szCs w:val="24"/>
                <w:highlight w:val="none"/>
              </w:rPr>
              <w:t>分</w:t>
            </w:r>
            <w:r>
              <w:rPr>
                <w:rFonts w:hint="eastAsia" w:ascii="仿宋" w:hAnsi="仿宋" w:eastAsia="仿宋" w:cs="仿宋"/>
                <w:color w:val="auto"/>
                <w:kern w:val="0"/>
                <w:sz w:val="24"/>
                <w:szCs w:val="24"/>
                <w:highlight w:val="none"/>
              </w:rPr>
              <w:t>（北京时间）</w:t>
            </w:r>
          </w:p>
          <w:p w14:paraId="63E7E96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开标地点：湖州市公共资源交易中心2号楼二楼开标室（湖州市仁皇山片区金盖山路66号），具体详见二楼休息区电子显示屏。</w:t>
            </w:r>
          </w:p>
          <w:p w14:paraId="3A89D1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0BB0B9D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2、数据电子备份投标文件（U盘）：以U盘形式提供的数据电子备份投标文件格式及内容须与政采云平台项目采购-电子交易操作指南中制作、加密并递交的电子投标文件格式及内容一致。</w:t>
            </w:r>
          </w:p>
          <w:p w14:paraId="75FE9B4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为加强疫情防控工作，进一步减少人员聚集，阻断疫情传播，提倡供应商采用邮寄方式递交数据电子备份投标文件（原则上邮寄公司统一采用顺丰），邮寄地址为：浙江金业管理咨询有限公司[湖州市中南大厦A幢18楼]，联系电话：</w:t>
            </w:r>
            <w:r>
              <w:rPr>
                <w:rFonts w:hint="eastAsia" w:ascii="仿宋" w:hAnsi="仿宋" w:eastAsia="仿宋" w:cs="仿宋"/>
                <w:color w:val="auto"/>
                <w:kern w:val="0"/>
                <w:sz w:val="24"/>
                <w:szCs w:val="24"/>
                <w:highlight w:val="none"/>
                <w:lang w:val="en-US" w:eastAsia="zh-CN"/>
              </w:rPr>
              <w:t>13757284489</w:t>
            </w:r>
            <w:r>
              <w:rPr>
                <w:rFonts w:hint="eastAsia" w:ascii="仿宋" w:hAnsi="仿宋" w:eastAsia="仿宋" w:cs="仿宋"/>
                <w:color w:val="auto"/>
                <w:kern w:val="0"/>
                <w:sz w:val="24"/>
                <w:szCs w:val="24"/>
                <w:highlight w:val="none"/>
              </w:rPr>
              <w:t>。邮寄截止时间：供应商应于</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rPr>
              <w:t>0</w:t>
            </w:r>
            <w:r>
              <w:rPr>
                <w:rFonts w:hint="eastAsia" w:ascii="仿宋" w:hAnsi="仿宋" w:eastAsia="仿宋" w:cs="仿宋"/>
                <w:color w:val="FF0000"/>
                <w:kern w:val="0"/>
                <w:sz w:val="24"/>
                <w:szCs w:val="24"/>
                <w:highlight w:val="none"/>
              </w:rPr>
              <w:t>分</w:t>
            </w:r>
            <w:r>
              <w:rPr>
                <w:rFonts w:hint="eastAsia" w:ascii="仿宋" w:hAnsi="仿宋" w:eastAsia="仿宋" w:cs="仿宋"/>
                <w:color w:val="auto"/>
                <w:kern w:val="0"/>
                <w:sz w:val="24"/>
                <w:szCs w:val="24"/>
                <w:highlight w:val="none"/>
              </w:rPr>
              <w:t>前准时送达，逾期不予受理。供应商须留足投标文件邮寄时间,确保数据电子备份投标文件（U盘）于规定的时间前送达指定地点，未按时送达的，均按未提供处理</w:t>
            </w:r>
          </w:p>
          <w:p w14:paraId="2AAF9376">
            <w:pP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14:paraId="7C60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AEE964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8460" w:type="dxa"/>
            <w:vAlign w:val="center"/>
          </w:tcPr>
          <w:p w14:paraId="4F17C1A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评标办法及评分标准：附后</w:t>
            </w:r>
          </w:p>
        </w:tc>
      </w:tr>
      <w:tr w14:paraId="0A86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FCA431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8460" w:type="dxa"/>
            <w:vAlign w:val="center"/>
          </w:tcPr>
          <w:p w14:paraId="7A67CF2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中标结果公告：采购人依法确定中标供应商后2个工作日内，并公告1个工作日，公告发布网址如下：</w:t>
            </w:r>
          </w:p>
          <w:p w14:paraId="773751C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浙江省政府采购网：https://zfcg.czt.zj.gov.cn/</w:t>
            </w:r>
          </w:p>
          <w:p w14:paraId="407D463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湖州市公共资源交易信息网：http://ggzyjy.huzhou.gov.cn/</w:t>
            </w:r>
          </w:p>
        </w:tc>
      </w:tr>
      <w:tr w14:paraId="3950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7802C1E">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8460" w:type="dxa"/>
            <w:vAlign w:val="center"/>
          </w:tcPr>
          <w:p w14:paraId="25F040D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中标通知书：在发布中标结果公告的同时，向中标供应商发中标通知书</w:t>
            </w:r>
          </w:p>
        </w:tc>
      </w:tr>
      <w:tr w14:paraId="6A1F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A8124A2">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8460" w:type="dxa"/>
            <w:vAlign w:val="center"/>
          </w:tcPr>
          <w:p w14:paraId="46B5A99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签订合同时间：中标通知书发出后30日内</w:t>
            </w:r>
          </w:p>
        </w:tc>
      </w:tr>
      <w:tr w14:paraId="3331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1892AA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8460" w:type="dxa"/>
            <w:vAlign w:val="center"/>
          </w:tcPr>
          <w:p w14:paraId="11F55924">
            <w:pPr>
              <w:pStyle w:val="51"/>
              <w:spacing w:line="336"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履约保证金的收取及退还:按合同总金额的 1%计收，中标供应商应在合同签订后7日内向采购人交纳履约保证金，履约保证金待合同履行完成后5个工作日内视履约情况返还(缴纳形式为银行转账，或银行、保险公司出具的保函)。</w:t>
            </w:r>
          </w:p>
        </w:tc>
      </w:tr>
      <w:tr w14:paraId="3CB1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E16B4BB">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8460" w:type="dxa"/>
            <w:vAlign w:val="center"/>
          </w:tcPr>
          <w:p w14:paraId="3199507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投标文件有效期：</w:t>
            </w:r>
            <w:r>
              <w:rPr>
                <w:rFonts w:hint="eastAsia" w:ascii="仿宋" w:hAnsi="仿宋" w:eastAsia="仿宋" w:cs="仿宋"/>
                <w:color w:val="auto"/>
                <w:kern w:val="0"/>
                <w:sz w:val="24"/>
                <w:szCs w:val="24"/>
                <w:highlight w:val="none"/>
                <w:lang w:val="en-US" w:eastAsia="zh-CN"/>
              </w:rPr>
              <w:t>90</w:t>
            </w:r>
            <w:r>
              <w:rPr>
                <w:rFonts w:hint="eastAsia" w:ascii="仿宋" w:hAnsi="仿宋" w:eastAsia="仿宋" w:cs="仿宋"/>
                <w:color w:val="auto"/>
                <w:kern w:val="0"/>
                <w:sz w:val="24"/>
                <w:szCs w:val="24"/>
                <w:highlight w:val="none"/>
              </w:rPr>
              <w:t>天</w:t>
            </w:r>
          </w:p>
        </w:tc>
      </w:tr>
      <w:tr w14:paraId="6F8C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E2277A4">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8460" w:type="dxa"/>
            <w:vAlign w:val="center"/>
          </w:tcPr>
          <w:p w14:paraId="15E60247">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解释：本招标文件的解释权属于采购人</w:t>
            </w:r>
          </w:p>
        </w:tc>
      </w:tr>
      <w:tr w14:paraId="2AE5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6163FE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8460" w:type="dxa"/>
            <w:vAlign w:val="center"/>
          </w:tcPr>
          <w:p w14:paraId="053FB15C">
            <w:pP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在确定中标供应商后，签订合同前，中标供应商须提供一正一副两份完整的纸质投标文件给采购人，纸质投标文件须与电子投标文件格式及内容一致。</w:t>
            </w:r>
          </w:p>
        </w:tc>
      </w:tr>
      <w:tr w14:paraId="0CF2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93F62C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8460" w:type="dxa"/>
            <w:vAlign w:val="center"/>
          </w:tcPr>
          <w:p w14:paraId="5C2EF175">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特别说明：政采云公司如对电子化开标及评审程序有调整的，应按调整的程序操作。</w:t>
            </w:r>
          </w:p>
        </w:tc>
      </w:tr>
    </w:tbl>
    <w:p w14:paraId="1AB436F8">
      <w:pPr>
        <w:pStyle w:val="3"/>
        <w:rPr>
          <w:rFonts w:hint="eastAsia" w:ascii="仿宋" w:hAnsi="仿宋" w:eastAsia="仿宋" w:cs="仿宋"/>
          <w:color w:val="auto"/>
          <w:sz w:val="24"/>
          <w:szCs w:val="24"/>
          <w:highlight w:val="none"/>
        </w:rPr>
      </w:pPr>
      <w:bookmarkStart w:id="6" w:name="_Toc131706341"/>
      <w:r>
        <w:rPr>
          <w:rFonts w:hint="eastAsia" w:ascii="仿宋" w:hAnsi="仿宋" w:eastAsia="仿宋" w:cs="仿宋"/>
          <w:color w:val="auto"/>
          <w:sz w:val="24"/>
          <w:szCs w:val="24"/>
          <w:highlight w:val="none"/>
        </w:rPr>
        <w:t>一、总则</w:t>
      </w:r>
      <w:bookmarkEnd w:id="6"/>
    </w:p>
    <w:p w14:paraId="676610B6">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（一）适用范围</w:t>
      </w:r>
    </w:p>
    <w:p w14:paraId="769C723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w:t>
      </w:r>
      <w:r>
        <w:rPr>
          <w:rFonts w:hint="eastAsia" w:ascii="仿宋" w:hAnsi="仿宋" w:eastAsia="仿宋" w:cs="仿宋"/>
          <w:b/>
          <w:color w:val="auto"/>
          <w:sz w:val="24"/>
          <w:szCs w:val="24"/>
          <w:highlight w:val="none"/>
          <w:u w:val="single"/>
          <w:lang w:eastAsia="zh-CN"/>
        </w:rPr>
        <w:t>湖州职业技术学院</w:t>
      </w:r>
      <w:r>
        <w:rPr>
          <w:rFonts w:hint="eastAsia" w:ascii="仿宋" w:hAnsi="仿宋" w:eastAsia="仿宋" w:cs="仿宋"/>
          <w:b/>
          <w:color w:val="auto"/>
          <w:sz w:val="24"/>
          <w:szCs w:val="24"/>
          <w:highlight w:val="none"/>
          <w:u w:val="single"/>
          <w:lang w:val="en-US" w:eastAsia="zh-CN"/>
        </w:rPr>
        <w:t>新校园</w:t>
      </w:r>
      <w:r>
        <w:rPr>
          <w:rFonts w:hint="eastAsia" w:ascii="仿宋" w:hAnsi="仿宋" w:eastAsia="仿宋" w:cs="仿宋"/>
          <w:b/>
          <w:color w:val="auto"/>
          <w:sz w:val="24"/>
          <w:szCs w:val="24"/>
          <w:highlight w:val="none"/>
          <w:u w:val="single"/>
          <w:lang w:eastAsia="zh-CN"/>
        </w:rPr>
        <w:t>机械零部件测绘实训室建设项目</w:t>
      </w:r>
      <w:r>
        <w:rPr>
          <w:rFonts w:hint="eastAsia" w:ascii="仿宋" w:hAnsi="仿宋" w:eastAsia="仿宋" w:cs="仿宋"/>
          <w:color w:val="auto"/>
          <w:sz w:val="24"/>
          <w:szCs w:val="24"/>
          <w:highlight w:val="none"/>
        </w:rPr>
        <w:t>的招标、投标、评标、定标、验收、合同履约、付款等行为（法律、法规另有规定的，从其规定）。</w:t>
      </w:r>
    </w:p>
    <w:p w14:paraId="1E7698A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（二）采购预算：人民币</w:t>
      </w:r>
      <w:r>
        <w:rPr>
          <w:rFonts w:hint="eastAsia" w:ascii="仿宋" w:hAnsi="仿宋" w:eastAsia="仿宋" w:cs="仿宋"/>
          <w:color w:val="auto"/>
          <w:sz w:val="24"/>
          <w:szCs w:val="24"/>
          <w:highlight w:val="none"/>
          <w:lang w:val="en-US" w:eastAsia="zh-CN"/>
        </w:rPr>
        <w:t>880000</w:t>
      </w:r>
      <w:r>
        <w:rPr>
          <w:rFonts w:hint="eastAsia" w:ascii="仿宋" w:hAnsi="仿宋" w:eastAsia="仿宋" w:cs="仿宋"/>
          <w:color w:val="auto"/>
          <w:sz w:val="24"/>
          <w:szCs w:val="24"/>
          <w:highlight w:val="none"/>
        </w:rPr>
        <w:t>元</w:t>
      </w:r>
    </w:p>
    <w:p w14:paraId="7CBFF78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（三）定义</w:t>
      </w:r>
    </w:p>
    <w:p w14:paraId="1DB8B23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1.采购人系指组织本次招标的</w:t>
      </w:r>
      <w:r>
        <w:rPr>
          <w:rFonts w:hint="eastAsia" w:ascii="仿宋" w:hAnsi="仿宋" w:eastAsia="仿宋" w:cs="仿宋"/>
          <w:b/>
          <w:color w:val="auto"/>
          <w:sz w:val="24"/>
          <w:szCs w:val="24"/>
          <w:highlight w:val="none"/>
          <w:u w:val="single"/>
        </w:rPr>
        <w:t>湖州职业技术学院</w:t>
      </w:r>
      <w:r>
        <w:rPr>
          <w:rFonts w:hint="eastAsia" w:ascii="仿宋" w:hAnsi="仿宋" w:eastAsia="仿宋" w:cs="仿宋"/>
          <w:color w:val="auto"/>
          <w:sz w:val="24"/>
          <w:szCs w:val="24"/>
          <w:highlight w:val="none"/>
        </w:rPr>
        <w:t>，采购代理机构系指受采购人委托组织本次招标的</w:t>
      </w:r>
      <w:r>
        <w:rPr>
          <w:rFonts w:hint="eastAsia" w:ascii="仿宋" w:hAnsi="仿宋" w:eastAsia="仿宋" w:cs="仿宋"/>
          <w:b/>
          <w:color w:val="auto"/>
          <w:sz w:val="24"/>
          <w:szCs w:val="24"/>
          <w:highlight w:val="none"/>
          <w:u w:val="single"/>
        </w:rPr>
        <w:t>浙江金业管理咨询有限公司</w:t>
      </w:r>
      <w:r>
        <w:rPr>
          <w:rFonts w:hint="eastAsia" w:ascii="仿宋" w:hAnsi="仿宋" w:eastAsia="仿宋" w:cs="仿宋"/>
          <w:color w:val="auto"/>
          <w:sz w:val="24"/>
          <w:szCs w:val="24"/>
          <w:highlight w:val="none"/>
        </w:rPr>
        <w:t>。</w:t>
      </w:r>
    </w:p>
    <w:p w14:paraId="5A0FA18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2.“供应商”指向采购人提交投标文件的单位。</w:t>
      </w:r>
    </w:p>
    <w:p w14:paraId="1BE3CD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3.“项目”系指供应商按招标文件规定向采购人提供的货物及服务。</w:t>
      </w:r>
    </w:p>
    <w:p w14:paraId="45804F6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4.“书面形式”包括信函、传真、电报等。</w:t>
      </w:r>
    </w:p>
    <w:p w14:paraId="0C6E62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5.“▲”系指实质性要求条款。</w:t>
      </w:r>
    </w:p>
    <w:p w14:paraId="214971F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（四）采购方式</w:t>
      </w:r>
    </w:p>
    <w:p w14:paraId="1D7F78F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本次招标采用公开招标方式进行。</w:t>
      </w:r>
    </w:p>
    <w:p w14:paraId="02F2E4E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（五）投标委托</w:t>
      </w:r>
    </w:p>
    <w:p w14:paraId="521FE38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本项目采用不见面形式开标，法定代表人或其授权委托人无需到场，在线响应即可（通过指定的电子邮箱、传真等方式）。</w:t>
      </w:r>
    </w:p>
    <w:p w14:paraId="78CD6B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（六）投标费用</w:t>
      </w:r>
    </w:p>
    <w:p w14:paraId="0DA1B7E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1.供应商应自行承担投标过程中的所有相关费用，不论中标与否，采购人在任何情况下不承担有关费用。</w:t>
      </w:r>
    </w:p>
    <w:p w14:paraId="37A18E8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000000" w:themeColor="text1"/>
          <w:sz w:val="24"/>
          <w:szCs w:val="24"/>
          <w:highlight w:val="none"/>
          <w14:textFill>
            <w14:solidFill>
              <w14:schemeClr w14:val="tx1"/>
            </w14:solidFill>
          </w14:textFill>
        </w:rPr>
        <w:t>本项目招标代理服务费按</w:t>
      </w:r>
      <w:r>
        <w:rPr>
          <w:rFonts w:hint="eastAsia" w:ascii="仿宋" w:hAnsi="仿宋" w:eastAsia="仿宋" w:cs="仿宋"/>
          <w:b/>
          <w:bCs/>
          <w:color w:val="000000" w:themeColor="text1"/>
          <w:sz w:val="24"/>
          <w:szCs w:val="24"/>
          <w:highlight w:val="none"/>
          <w14:textFill>
            <w14:solidFill>
              <w14:schemeClr w14:val="tx1"/>
            </w14:solidFill>
          </w14:textFill>
        </w:rPr>
        <w:t>人民币</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7920</w:t>
      </w:r>
      <w:r>
        <w:rPr>
          <w:rFonts w:hint="eastAsia" w:ascii="仿宋" w:hAnsi="仿宋" w:eastAsia="仿宋" w:cs="仿宋"/>
          <w:b/>
          <w:bCs/>
          <w:color w:val="000000" w:themeColor="text1"/>
          <w:sz w:val="24"/>
          <w:szCs w:val="24"/>
          <w:highlight w:val="none"/>
          <w14:textFill>
            <w14:solidFill>
              <w14:schemeClr w14:val="tx1"/>
            </w14:solidFill>
          </w14:textFill>
        </w:rPr>
        <w:t>元整</w:t>
      </w:r>
      <w:r>
        <w:rPr>
          <w:rFonts w:hint="eastAsia" w:ascii="仿宋" w:hAnsi="仿宋" w:eastAsia="仿宋" w:cs="仿宋"/>
          <w:color w:val="000000" w:themeColor="text1"/>
          <w:sz w:val="24"/>
          <w:szCs w:val="24"/>
          <w:highlight w:val="none"/>
          <w14:textFill>
            <w14:solidFill>
              <w14:schemeClr w14:val="tx1"/>
            </w14:solidFill>
          </w14:textFill>
        </w:rPr>
        <w:t>收取，在确定中标供应商后，领取中标通知书前，由中标供应商全额支付，请各供应商自行考虑计入投标报价中</w:t>
      </w:r>
      <w:r>
        <w:rPr>
          <w:rFonts w:hint="eastAsia" w:ascii="仿宋" w:hAnsi="仿宋" w:eastAsia="仿宋" w:cs="仿宋"/>
          <w:color w:val="auto"/>
          <w:sz w:val="24"/>
          <w:szCs w:val="24"/>
          <w:highlight w:val="none"/>
        </w:rPr>
        <w:t>。</w:t>
      </w:r>
    </w:p>
    <w:p w14:paraId="2188BD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（七）联合体投标</w:t>
      </w:r>
    </w:p>
    <w:p w14:paraId="772A642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p>
    <w:p w14:paraId="012307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（八）转包与分包</w:t>
      </w:r>
    </w:p>
    <w:p w14:paraId="75031AC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本项目不允许转包与分包。</w:t>
      </w:r>
    </w:p>
    <w:p w14:paraId="55D05E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w:t>
      </w:r>
    </w:p>
    <w:p w14:paraId="1D88B85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▲1.供应商应仔细阅读招标文件的所有内容，按照招标文件的要求提交投标文件，并对所提供的全部资料的真实性承担法律责任。</w:t>
      </w:r>
    </w:p>
    <w:p w14:paraId="62967C0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3DEB432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（九）质疑和投诉</w:t>
      </w:r>
    </w:p>
    <w:p w14:paraId="75C67A1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根据《中华人民共和国财政部令第94号-政府采购质疑和投诉办法》第二章规定。</w:t>
      </w:r>
    </w:p>
    <w:p w14:paraId="0B7CC53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18115A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2.提出质疑的供应商（以下简称质疑供应商）应当是参与所质疑项目采购活动的供应商。</w:t>
      </w:r>
    </w:p>
    <w:p w14:paraId="6A46F3F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潜在供应商已依法获取（</w:t>
      </w:r>
      <w:r>
        <w:rPr>
          <w:rFonts w:hint="eastAsia" w:ascii="仿宋" w:hAnsi="仿宋" w:eastAsia="仿宋" w:cs="仿宋"/>
          <w:b/>
          <w:color w:val="auto"/>
          <w:sz w:val="24"/>
          <w:szCs w:val="24"/>
          <w:highlight w:val="none"/>
          <w:u w:val="single"/>
        </w:rPr>
        <w:t>依法获取指：供应商按本项目招标公告要求在政采云系统上获取并报名成功</w:t>
      </w:r>
      <w:r>
        <w:rPr>
          <w:rFonts w:hint="eastAsia" w:ascii="仿宋" w:hAnsi="仿宋" w:eastAsia="仿宋" w:cs="仿宋"/>
          <w:color w:val="auto"/>
          <w:sz w:val="24"/>
          <w:szCs w:val="24"/>
          <w:highlight w:val="none"/>
        </w:rPr>
        <w:t>）其可质疑的招标文件的，可以对该文件提出质疑。未按照规定方式依法获取招标文件的，不得对招标文件提起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对招标文件提出质疑的，应当在获取招标文件或者招标文件公告期限届满之日起7个工作日内提出。</w:t>
      </w:r>
    </w:p>
    <w:p w14:paraId="5F2692A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3.供应商提出质疑应当提交质疑函和必要的证明材料。质疑函应当包括下列内容：</w:t>
      </w:r>
    </w:p>
    <w:p w14:paraId="5D234D9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（1）供应商的姓名或者名称、地址、邮编、联系人及联系电话；</w:t>
      </w:r>
    </w:p>
    <w:p w14:paraId="7C12FD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0D8A242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61F436F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6917928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7610699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04C7C0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供应商为自然人的，应当由本人签字；供应商为法人或者其他组织的，应当由法定代表人、主要负责人，或者其授权代表签字或者盖章，并加盖公章。</w:t>
      </w:r>
    </w:p>
    <w:p w14:paraId="5EE09A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4.采购人、采购代理机构不得拒收质疑供应商在法定质疑期内发出的质疑函，应当在收到质疑函后7个工作日内作出答复，并以书面形式通知质疑供应商和其他有关供应商。</w:t>
      </w:r>
    </w:p>
    <w:p w14:paraId="6330444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5.供应商对评审过程、中标或者中标结果提出质疑的，采购人、采购代理机构可以组织原评标委员会、竞争性谈判小组、询价小组或者竞争性磋商小组协助答复质疑。</w:t>
      </w:r>
    </w:p>
    <w:p w14:paraId="1EAC4FE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6.质疑答复应当包括下列内容：</w:t>
      </w:r>
    </w:p>
    <w:p w14:paraId="14868B0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（1）质疑供应商的姓名或者名称；</w:t>
      </w:r>
    </w:p>
    <w:p w14:paraId="6BBB30F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（2）收到质疑函的日期、质疑项目名称及编号；</w:t>
      </w:r>
    </w:p>
    <w:p w14:paraId="59AE1CA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（3）质疑事项、质疑答复的具体内容、事实依据和法律依据；</w:t>
      </w:r>
    </w:p>
    <w:p w14:paraId="2ADA61F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（4）告知质疑供应商依法投诉的权利；</w:t>
      </w:r>
    </w:p>
    <w:p w14:paraId="76DC783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（5）质疑答复人名称；</w:t>
      </w:r>
    </w:p>
    <w:p w14:paraId="5678B62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（6）答复质疑的日期。</w:t>
      </w:r>
    </w:p>
    <w:p w14:paraId="73D4272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质疑答复的内容不得涉及商业秘密。</w:t>
      </w:r>
    </w:p>
    <w:p w14:paraId="06871CC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7.采购人、采购代理机构认为供应商质疑不成立，或者成立但未对中标、中标结果构成影响的，继续开展采购活动；认为供应商质疑成立且影响或者可能影响中标、中标结果的，按照下列情况处理：</w:t>
      </w:r>
    </w:p>
    <w:p w14:paraId="29AC8B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（1）对招标文件提出的质疑，依法通过澄清或者修改可以继续开展采购活动的，澄清或者修改招标文件后继续开展采购活动；否则应当修改招标文件后重新开展采购活动。</w:t>
      </w:r>
    </w:p>
    <w:p w14:paraId="2F4E0A2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012A19A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质疑答复导致中标、中标结果改变的，采购人或者采购代理机构应当将有关情况书面报告本级财政部门。</w:t>
      </w:r>
    </w:p>
    <w:p w14:paraId="2BA1F4C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未按规定格式、内容提出的，招标方将不予受理。</w:t>
      </w:r>
    </w:p>
    <w:p w14:paraId="42241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7C8E28E7">
      <w:pPr>
        <w:pStyle w:val="3"/>
        <w:rPr>
          <w:rFonts w:hint="eastAsia" w:ascii="仿宋" w:hAnsi="仿宋" w:eastAsia="仿宋" w:cs="仿宋"/>
          <w:color w:val="auto"/>
          <w:sz w:val="24"/>
          <w:szCs w:val="24"/>
          <w:highlight w:val="none"/>
        </w:rPr>
      </w:pPr>
      <w:bookmarkStart w:id="7" w:name="_Toc131706342"/>
      <w:r>
        <w:rPr>
          <w:rFonts w:hint="eastAsia" w:ascii="仿宋" w:hAnsi="仿宋" w:eastAsia="仿宋" w:cs="仿宋"/>
          <w:color w:val="auto"/>
          <w:sz w:val="24"/>
          <w:szCs w:val="24"/>
          <w:highlight w:val="none"/>
        </w:rPr>
        <w:t>二、招标文件</w:t>
      </w:r>
      <w:bookmarkEnd w:id="7"/>
    </w:p>
    <w:p w14:paraId="41ABBEC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（一）招标文件的组成</w:t>
      </w:r>
    </w:p>
    <w:p w14:paraId="111A931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1.公开招标采购公告</w:t>
      </w:r>
    </w:p>
    <w:p w14:paraId="1F65FEB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2.采购需求</w:t>
      </w:r>
    </w:p>
    <w:p w14:paraId="1E074E1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3.供应商须知</w:t>
      </w:r>
    </w:p>
    <w:p w14:paraId="22098FE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4.评标办法及标准</w:t>
      </w:r>
    </w:p>
    <w:p w14:paraId="0C99745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5.合同主要条款</w:t>
      </w:r>
    </w:p>
    <w:p w14:paraId="5EF5E8C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14:paraId="49D6C9C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7.本项目招标文件的澄清、答复、修改、补充的内容</w:t>
      </w:r>
    </w:p>
    <w:p w14:paraId="605E842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（二）供应商的风险</w:t>
      </w:r>
    </w:p>
    <w:p w14:paraId="6592981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供应商没有按照招标文件要求提供全部资料，或者供应商没有对招标文件在各方面作出实质性响应是供应商的风险，并可能导致其投标被拒绝。</w:t>
      </w:r>
    </w:p>
    <w:p w14:paraId="7C5E6B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（三）招标文件的澄清与修改</w:t>
      </w:r>
    </w:p>
    <w:p w14:paraId="335E219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14:paraId="59E8C56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（2）招标采购单位可以视采购具体情况，延长投标截止时间和开标时间，并将变更时间书面通知所有招标文件收受人，并在财政部门指定的政府采购信息发布媒体上发布变更公告。</w:t>
      </w:r>
    </w:p>
    <w:p w14:paraId="41759295">
      <w:pPr>
        <w:pStyle w:val="3"/>
        <w:rPr>
          <w:rFonts w:hint="eastAsia" w:ascii="仿宋" w:hAnsi="仿宋" w:eastAsia="仿宋" w:cs="仿宋"/>
          <w:color w:val="auto"/>
          <w:sz w:val="24"/>
          <w:szCs w:val="24"/>
          <w:highlight w:val="none"/>
        </w:rPr>
      </w:pPr>
      <w:bookmarkStart w:id="8" w:name="_Toc131706343"/>
      <w:r>
        <w:rPr>
          <w:rFonts w:hint="eastAsia" w:ascii="仿宋" w:hAnsi="仿宋" w:eastAsia="仿宋" w:cs="仿宋"/>
          <w:color w:val="auto"/>
          <w:sz w:val="24"/>
          <w:szCs w:val="24"/>
          <w:highlight w:val="none"/>
        </w:rPr>
        <w:t>三、投标文件的编制要求</w:t>
      </w:r>
      <w:bookmarkEnd w:id="8"/>
    </w:p>
    <w:p w14:paraId="417BF75D">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（一）投标文件的形式和效力：</w:t>
      </w:r>
    </w:p>
    <w:p w14:paraId="76C3BE3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1.投标文件分为电子投标文件及数据电子备份投标文件（U盘），具体内容如下：</w:t>
      </w:r>
    </w:p>
    <w:p w14:paraId="188B9C60">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电子投标文件：按政采云平台项目采购-电子交易操作指南及本招标文件要求制作、加密并递交，具体的投标文件加密上传等操作详见政采云平台操作指南https://edu.zcygov.cn/luban/e-biding?utm=a0004.2ef5001f.0001.0109.da8b35e0da8611e98d8937b7ef8a3544</w:t>
      </w:r>
    </w:p>
    <w:p w14:paraId="04C31D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1.2数据电子备份投标文件（U盘）：以U盘形式提供的数据电子备份投标文件格式及内容须与政采云平台项目采购-电子交易操作指南中制作、加密并递交的电子投标文件格式及内容一致。</w:t>
      </w:r>
    </w:p>
    <w:p w14:paraId="260C388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2.投标文件的效力：</w:t>
      </w:r>
    </w:p>
    <w:p w14:paraId="55E4E598">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BA2A6F9">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（二）投标文件的组成（如无格式、格式自拟）</w:t>
      </w:r>
    </w:p>
    <w:p w14:paraId="7A5FADD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投标文件（包括电子投标文件及数据电子备份投标文件（U盘））由《资格文件》、《技术、商务、资信及其他文件》和《报价文件》组成，其中电子投标文件中所须加盖公章部分均采用CA签章。</w:t>
      </w:r>
    </w:p>
    <w:p w14:paraId="16CC9DE2">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1.资格文件主要包括下列内容：</w:t>
      </w:r>
    </w:p>
    <w:p w14:paraId="1FC5DFF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1.1有效的营业执照、税务登记证、组织机构代码证或“三证合一”的营业执照或“五证合一”的营业执照；</w:t>
      </w:r>
      <w:r>
        <w:rPr>
          <w:rFonts w:hint="eastAsia" w:ascii="仿宋" w:hAnsi="仿宋" w:eastAsia="仿宋" w:cs="仿宋"/>
          <w:b/>
          <w:color w:val="auto"/>
          <w:sz w:val="24"/>
          <w:szCs w:val="24"/>
          <w:highlight w:val="none"/>
        </w:rPr>
        <w:t>（资格审查条款）</w:t>
      </w:r>
    </w:p>
    <w:p w14:paraId="185F43C9">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1.2法定代表人有效身份证明书及身份证或法定代表人授权书及授权人身份证；</w:t>
      </w:r>
      <w:r>
        <w:rPr>
          <w:rFonts w:hint="eastAsia" w:ascii="仿宋" w:hAnsi="仿宋" w:eastAsia="仿宋" w:cs="仿宋"/>
          <w:b/>
          <w:color w:val="auto"/>
          <w:sz w:val="24"/>
          <w:szCs w:val="24"/>
          <w:highlight w:val="none"/>
        </w:rPr>
        <w:t>（资格审查条款）</w:t>
      </w:r>
    </w:p>
    <w:p w14:paraId="5BCD263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1.3自采购公告发布之后任意时间的“信用中国”（www.creditchina.gov.cn）、“中国政府采购网”（www.ccgp.gov.cn）供应商信用查询网页截图；</w:t>
      </w:r>
      <w:r>
        <w:rPr>
          <w:rFonts w:hint="eastAsia" w:ascii="仿宋" w:hAnsi="仿宋" w:eastAsia="仿宋" w:cs="仿宋"/>
          <w:b/>
          <w:color w:val="auto"/>
          <w:sz w:val="24"/>
          <w:szCs w:val="24"/>
          <w:highlight w:val="none"/>
        </w:rPr>
        <w:t>（资格审查条款，二者缺一不可）</w:t>
      </w:r>
    </w:p>
    <w:p w14:paraId="4CB4EBE4">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1.4信用承诺书；</w:t>
      </w:r>
      <w:r>
        <w:rPr>
          <w:rFonts w:hint="eastAsia" w:ascii="仿宋" w:hAnsi="仿宋" w:eastAsia="仿宋" w:cs="仿宋"/>
          <w:b/>
          <w:color w:val="auto"/>
          <w:sz w:val="24"/>
          <w:szCs w:val="24"/>
          <w:highlight w:val="none"/>
        </w:rPr>
        <w:t>（资格审查条款）</w:t>
      </w:r>
    </w:p>
    <w:p w14:paraId="5D009A09">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中小企业声明函。（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b/>
          <w:color w:val="auto"/>
          <w:sz w:val="24"/>
          <w:szCs w:val="24"/>
          <w:highlight w:val="none"/>
        </w:rPr>
        <w:t>（资格审查条款）</w:t>
      </w:r>
    </w:p>
    <w:p w14:paraId="3703EB32">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2.技术、商务、资信及其他文件主要包括下列内容：根据评分办法自行编制。</w:t>
      </w:r>
    </w:p>
    <w:p w14:paraId="4B289F80">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3报价文件：</w:t>
      </w:r>
    </w:p>
    <w:p w14:paraId="629869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3.1投标函；</w:t>
      </w:r>
    </w:p>
    <w:p w14:paraId="312D2F0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3.2开标一览表；</w:t>
      </w:r>
    </w:p>
    <w:p w14:paraId="5E8CB7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报价明细清单</w:t>
      </w:r>
      <w:r>
        <w:rPr>
          <w:rFonts w:hint="eastAsia" w:ascii="仿宋" w:hAnsi="仿宋" w:eastAsia="仿宋" w:cs="仿宋"/>
          <w:color w:val="auto"/>
          <w:sz w:val="24"/>
          <w:szCs w:val="24"/>
          <w:highlight w:val="none"/>
        </w:rPr>
        <w:t>；</w:t>
      </w:r>
    </w:p>
    <w:p w14:paraId="3533FC0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3.4招标代理费承诺函；</w:t>
      </w:r>
    </w:p>
    <w:p w14:paraId="518FC6A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3.5供应商针对报价需要说明的其他文件和说明（格式自拟）。</w:t>
      </w:r>
    </w:p>
    <w:p w14:paraId="55AB17A4">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（三）投标文件的语言及计量</w:t>
      </w:r>
    </w:p>
    <w:p w14:paraId="4CC9FF4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1.投标文件以及供应商与采购人就有关投标事宜的所有来往函电，均应以中文汉语书写。除签名、盖章、专用名称等特殊情形外，以中文汉语以外的文字表述的投标文件视同未提供。</w:t>
      </w:r>
    </w:p>
    <w:p w14:paraId="4A818B8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14:paraId="04D88634">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（四）投标报价</w:t>
      </w:r>
    </w:p>
    <w:p w14:paraId="7C0B157E">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1.投标报价应按招标文件中相关附表格式填写。投标报价为本招标项目全部工作内容的报价，所有报价均应使用人民币（元）表示。</w:t>
      </w:r>
    </w:p>
    <w:p w14:paraId="66A4616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2.供应商的报价是所需全部货物、服务，不得缺漏，是履行合同的最终价格，包括但不仅限于设备、运输、装卸、安装、调试、保险、人工、材料、机械、税金、保修、清理、</w:t>
      </w:r>
      <w:r>
        <w:rPr>
          <w:rFonts w:hint="eastAsia" w:ascii="仿宋" w:hAnsi="仿宋" w:eastAsia="仿宋" w:cs="仿宋"/>
          <w:color w:val="auto"/>
          <w:sz w:val="24"/>
          <w:szCs w:val="24"/>
          <w:highlight w:val="none"/>
          <w:lang w:val="en-US" w:eastAsia="zh-CN"/>
        </w:rPr>
        <w:t>设备搬迁、</w:t>
      </w:r>
      <w:r>
        <w:rPr>
          <w:rFonts w:hint="eastAsia" w:ascii="仿宋" w:hAnsi="仿宋" w:eastAsia="仿宋" w:cs="仿宋"/>
          <w:color w:val="auto"/>
          <w:sz w:val="24"/>
          <w:szCs w:val="24"/>
          <w:highlight w:val="none"/>
        </w:rPr>
        <w:t>利润、招标代理费等一切为本项目而产生的所有费用。投标人在编写投标方案时应充分考虑各种风险因素，凡投标人漏项、漏报均认为已包含在报价中，结算时不再增加</w:t>
      </w:r>
      <w:r>
        <w:rPr>
          <w:rFonts w:hint="eastAsia" w:ascii="仿宋" w:hAnsi="仿宋" w:eastAsia="仿宋" w:cs="仿宋"/>
          <w:b w:val="0"/>
          <w:bCs w:val="0"/>
          <w:color w:val="auto"/>
          <w:sz w:val="24"/>
          <w:szCs w:val="24"/>
          <w:highlight w:val="none"/>
        </w:rPr>
        <w:t>。</w:t>
      </w:r>
    </w:p>
    <w:p w14:paraId="4DFD70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3.只允许有一个报价，任何有选择的或有条件的报价将不予接受。</w:t>
      </w:r>
    </w:p>
    <w:p w14:paraId="5FB296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4.供应商的最终报价由供应商自担全部风险责任，中标后不得以任何理由调整报价或追加任何费用。</w:t>
      </w:r>
    </w:p>
    <w:p w14:paraId="6942C22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5.供应商所有优惠条件和优惠费用不得降低和影响本采购项目质量。</w:t>
      </w:r>
    </w:p>
    <w:p w14:paraId="384D549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6.报价如单价与总价不符时，以单价为准；大写与小写不符时以大写为准。</w:t>
      </w:r>
    </w:p>
    <w:p w14:paraId="4F87A1A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7.供应商对招标文件里有关投标报价的全部内容应仔细确认，若有个别异议，应在开标前提出修改意见，否则视同全部确认。</w:t>
      </w:r>
    </w:p>
    <w:p w14:paraId="69A5DBC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8.供应商在报价中应充分考虑所有可能发生的费用，否则采购人将视报价总价中已包括所有费用。</w:t>
      </w:r>
    </w:p>
    <w:p w14:paraId="22B38E5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9.供应商对在合同执行中，除上述费用及招标文件规定的由中标供应商负责的工作范围以外需要采购人协调或提供便利的工作应当在报价文件中说明。</w:t>
      </w:r>
    </w:p>
    <w:p w14:paraId="3C4AF9D9">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（五）投标文件的有效期</w:t>
      </w:r>
    </w:p>
    <w:p w14:paraId="1D2B96D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▲1.自投标截止日起</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天投标文件应保持有效。有效期不足的投标文件将被拒绝。</w:t>
      </w:r>
    </w:p>
    <w:p w14:paraId="4CDA78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2.在特殊情况下，采购人可与供应商协商延长投标书的有效期，这种要求和答复均以书面形式进行。</w:t>
      </w:r>
    </w:p>
    <w:p w14:paraId="19A5FB7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3.中标供应商的投标文件自开标之日起至合同履行完毕止均应保持有效。</w:t>
      </w:r>
    </w:p>
    <w:p w14:paraId="3FB41A76">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（六）备份投标文件的签署和份数</w:t>
      </w:r>
    </w:p>
    <w:p w14:paraId="4CDC9615">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1.电子投标文件：</w:t>
      </w:r>
    </w:p>
    <w:p w14:paraId="7563BCB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25AB60BD">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2.数据电子备份投标文件（U盘）：</w:t>
      </w:r>
    </w:p>
    <w:p w14:paraId="1B3F068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的备份文件以U盘形式存储。数据电子备份投标文件格式及内容须与政采云平台项目采购-电子交易操作指南中制作、加密并递交的电子投标文件格式及内容一致。数据电子备份投标文件（U盘）应包含《资格文件》、《技术、商务、资信及其他文件》和《报价文件》，供应商应将数据电子备份（U盘）形式的投标文件密封、包装，不按此规定密封、包装的数据电子备份投标文件（U盘）均按未提供处理。其中《资格文件》、《技术、商务、资信及其他文件》均不得体现报价部分内容，否则按无效标处理。凡是参加两个或者以上标项投标的，必须按标项分别单独密封、包装、单独提交。</w:t>
      </w:r>
    </w:p>
    <w:p w14:paraId="65D9A4F1">
      <w:pPr>
        <w:ind w:firstLine="482"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3.其他：</w:t>
      </w:r>
    </w:p>
    <w:p w14:paraId="29A30F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3.1投标文件需按招标文件要求的格式填写并签字盖章。</w:t>
      </w:r>
    </w:p>
    <w:p w14:paraId="0CEA0BC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3.2投标文件不应涂改或行间插字和增删，如有修改，修改处须加盖供应商的公章或由法定代表人或其授权委托人签字或盖章。投标文件因字迹潦草或表达不清所引起的后果由供应商负责。</w:t>
      </w:r>
    </w:p>
    <w:p w14:paraId="39E90790">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（七）投标文件的包装、递交、修改和撤回</w:t>
      </w:r>
    </w:p>
    <w:p w14:paraId="57FAF88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454E14B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2.数据电子备份投标文件（U盘）：以U盘形式提供的数据电子备份投标文件格式及内容须与政采云平台项目采购-电子交易操作指南中制作、加密并递交的电子投标文件格式及内容一致。</w:t>
      </w:r>
    </w:p>
    <w:p w14:paraId="7BA587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提倡供应商采用邮寄方式递交数据电子备份投标文件（原则上邮寄公司统一采用顺丰），邮寄地址为：浙江金业管理咨询有限公司[湖州市中南大厦A幢18楼]，联系电话：</w:t>
      </w:r>
      <w:r>
        <w:rPr>
          <w:rFonts w:hint="eastAsia" w:ascii="仿宋" w:hAnsi="仿宋" w:eastAsia="仿宋" w:cs="仿宋"/>
          <w:color w:val="auto"/>
          <w:sz w:val="24"/>
          <w:szCs w:val="24"/>
          <w:highlight w:val="none"/>
          <w:lang w:val="en-US" w:eastAsia="zh-CN"/>
        </w:rPr>
        <w:t>13757284489</w:t>
      </w:r>
      <w:r>
        <w:rPr>
          <w:rFonts w:hint="eastAsia" w:ascii="仿宋" w:hAnsi="仿宋" w:eastAsia="仿宋" w:cs="仿宋"/>
          <w:color w:val="auto"/>
          <w:sz w:val="24"/>
          <w:szCs w:val="24"/>
          <w:highlight w:val="none"/>
        </w:rPr>
        <w:t>。邮寄截止时间：供应商应于</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rPr>
        <w:t>0</w:t>
      </w:r>
      <w:r>
        <w:rPr>
          <w:rFonts w:hint="eastAsia" w:ascii="仿宋" w:hAnsi="仿宋" w:eastAsia="仿宋" w:cs="仿宋"/>
          <w:color w:val="FF0000"/>
          <w:kern w:val="0"/>
          <w:sz w:val="24"/>
          <w:szCs w:val="24"/>
          <w:highlight w:val="none"/>
        </w:rPr>
        <w:t>分</w:t>
      </w:r>
      <w:r>
        <w:rPr>
          <w:rFonts w:hint="eastAsia" w:ascii="仿宋" w:hAnsi="仿宋" w:eastAsia="仿宋" w:cs="仿宋"/>
          <w:color w:val="auto"/>
          <w:sz w:val="24"/>
          <w:szCs w:val="24"/>
          <w:highlight w:val="none"/>
        </w:rPr>
        <w:t>前准时送达，逾期不予受理。供应商须留足投标文件邮寄时间,确保数据电子备份投标文件（U盘）于规定的时间前送达指定地点，未按时送达的，均按未提供处理。</w:t>
      </w:r>
    </w:p>
    <w:p w14:paraId="574CB8E2">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A2E639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14:paraId="0F447BCC">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17E35DFE">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（八）投标无效的情形</w:t>
      </w:r>
    </w:p>
    <w:p w14:paraId="3CF83C87">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14:paraId="6974E019">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1.在开标结束后（评标开始前），采购人或采购代理机构对供应商的资格进行审查，如发现下列情形之一的，投标文件将被视为无效，不在进行下一步评审：</w:t>
      </w:r>
    </w:p>
    <w:p w14:paraId="7671E2A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（1）未提供有效的营业执照、税务登记证、组织机构代码证或未提供“三证合一”的营业执照或未提供“五证合一”的营业执照；</w:t>
      </w:r>
    </w:p>
    <w:p w14:paraId="2928374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（2）未提供法定代表人有效身份证明书及身份证或未提供法定代表人授权书与授权人身份证或与法定代表人授权委托人身份不符的；</w:t>
      </w:r>
    </w:p>
    <w:p w14:paraId="4A39285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（3）自采购公告发布之日起至投标截止日内，在“信用中国”（www.creditchina.gov.cn）被列入失信被执行人、重大税收违法当事人名单、政府采购严重违法失信行为记录名单的供应商，资格审查时不予以通过； </w:t>
      </w:r>
    </w:p>
    <w:p w14:paraId="3783D61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（4）投标截止前，在“中国政府采购网”(www.ccgp.gov.cn)被列入政府采购严重违法失信行为记录名单中的供应商且在处罚有效期内的供应商，资格审查时不予以通过；</w:t>
      </w:r>
    </w:p>
    <w:p w14:paraId="44041DD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（5）未提供信用承诺书的；</w:t>
      </w:r>
    </w:p>
    <w:p w14:paraId="79FEF65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（6）未提供中小企业声明函的；监狱企业参加未提供《监狱企业声明函》及其相关的证明材料的；残疾人福利性单位参加未提供《残疾人福利性单位声明函》及其相关的证明材料的；</w:t>
      </w:r>
    </w:p>
    <w:p w14:paraId="6AB4960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（7）其他重大违法、违规记录；</w:t>
      </w:r>
    </w:p>
    <w:p w14:paraId="382F2A3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（8）资格证明文件不全的，或者不符合招标文件标明的资格要求的。</w:t>
      </w:r>
    </w:p>
    <w:p w14:paraId="240E0EC6">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2.在符合性审查和商务评审时，如发现下列情形之一的，投标文件将被视为无效：</w:t>
      </w:r>
    </w:p>
    <w:p w14:paraId="6968E1C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（1）投标文件未按招标文件要求签字或盖章；</w:t>
      </w:r>
    </w:p>
    <w:p w14:paraId="5033008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（2）《资格文件》或《技术、商务、资信及其他文件》中出现报价的；</w:t>
      </w:r>
    </w:p>
    <w:p w14:paraId="40E2367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（3）未在浙江政府采购网（政采云平台）完成本项目网上报名的；</w:t>
      </w:r>
    </w:p>
    <w:p w14:paraId="5A8D00B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（4）在投标截止时间以后传送的电子投标文件的；</w:t>
      </w:r>
    </w:p>
    <w:p w14:paraId="674C31C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（5）投标文件格式不规范、项目不齐全或者内容虚假的；</w:t>
      </w:r>
    </w:p>
    <w:p w14:paraId="6DEAAA4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（6）投标文件的实质性内容未使用中文表述、意思表述不明确、前后矛盾或者使用计量单位不符合招标文件要求的（经评标委员会认定并允许其当场更正的笔误除外）</w:t>
      </w:r>
    </w:p>
    <w:p w14:paraId="006346E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（7）投标有效期、供货期（服务期）、服务质量保证期、质保期等商务条款不能满足招标文件要求的；</w:t>
      </w:r>
    </w:p>
    <w:p w14:paraId="4F87386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（8）未实质性响应招标文件要求或者投标文件有采购人不能接受的附加条件的。</w:t>
      </w:r>
    </w:p>
    <w:p w14:paraId="30F16C4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3.在技术评审时，如发现下列情形之一的，投标文件将被视为无效：</w:t>
      </w:r>
    </w:p>
    <w:p w14:paraId="169350B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（1）未提供或未如实提供投标货物的技术参数，或者投标文件标明的响应或偏离与事实不符或虚假投标的；</w:t>
      </w:r>
    </w:p>
    <w:p w14:paraId="2E6E0C9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（2）明显不符合招标文件要求的规格型号、质量标准，或者与招标文件中标“▲”的技术指标、主要功能项目发生实质性偏离的；</w:t>
      </w:r>
    </w:p>
    <w:p w14:paraId="292F811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（3）投标技术方案不明确，存在一个或一个以上备选（替代）投标方案的；</w:t>
      </w:r>
    </w:p>
    <w:p w14:paraId="7DE936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（4）与其他参加本次投标供应商的投标文件（技术文件）的文字表述内容相同连续20行以上或者差错相同2处以上的。</w:t>
      </w:r>
    </w:p>
    <w:p w14:paraId="35BEF828">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4.在报价评审时，如发现下列情形之一的，投标文件将被视为无效：</w:t>
      </w:r>
    </w:p>
    <w:p w14:paraId="00FC70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（1）未采用人民币报价或者未按照招标文件标明的币种报价的；</w:t>
      </w:r>
    </w:p>
    <w:p w14:paraId="6E556BA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（2）报价超出最高限价，采购人不能支付的；</w:t>
      </w:r>
    </w:p>
    <w:p w14:paraId="31A6A5F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（3）投标报价具有选择性，或者开标价格与投标文件承诺的优惠（折扣）价格不一致的。</w:t>
      </w:r>
    </w:p>
    <w:p w14:paraId="38D96622">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5.被拒绝的投标文件为无效。</w:t>
      </w:r>
    </w:p>
    <w:p w14:paraId="0D2528B6">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6.供应商有下列情形之一的，视为供应商串通投标，其投标无效：</w:t>
      </w:r>
    </w:p>
    <w:p w14:paraId="0FABAB3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（1）不同供应商的投标（响应）文件由同一单位或者个人编制；</w:t>
      </w:r>
    </w:p>
    <w:p w14:paraId="72E480A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（2）不同供应商委托同一单位或者个人办理投标事宜；</w:t>
      </w:r>
    </w:p>
    <w:p w14:paraId="3897DB0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（3）不同供应商的投标文件或响应文件载明的项目管理成员或者联系人员为同一人；</w:t>
      </w:r>
    </w:p>
    <w:p w14:paraId="13CF8E1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（4）不同供应商的投标（响应）文件件异常一致或者投标报价呈规律性差异；</w:t>
      </w:r>
    </w:p>
    <w:p w14:paraId="3D098F7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（5）不同供应商的投标（响应）文件相互混装。</w:t>
      </w:r>
    </w:p>
    <w:p w14:paraId="48E2BC10">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7.供应商有下列情形之一的，属于恶意串通，其投标无效：</w:t>
      </w:r>
    </w:p>
    <w:p w14:paraId="6232E21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（1）供应商直接或者间接从采购人或者采购代理机构处获得其他供应商的相关情况并修改其投标（响应）文件；</w:t>
      </w:r>
    </w:p>
    <w:p w14:paraId="2C95506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（2）供应商按照采购人或者采购代理机构的授意撤换、修改投标（响应）文件；</w:t>
      </w:r>
    </w:p>
    <w:p w14:paraId="0DAABE2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（3）供应商之间协商报价、技术方案等投标（响应）文件的实质性内容；</w:t>
      </w:r>
    </w:p>
    <w:p w14:paraId="1763D47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（4）属于同一集团、协会、商会等组织成员的供应商按照该组织要求协同参加政府采购活动；</w:t>
      </w:r>
    </w:p>
    <w:p w14:paraId="2106172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（5）供应商之间事先约定由某一特定供应商中标、成交；</w:t>
      </w:r>
    </w:p>
    <w:p w14:paraId="606BDF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（6）供应商之间商定部分供应商放弃参加政府采购活动或者放弃中标、成交；</w:t>
      </w:r>
    </w:p>
    <w:p w14:paraId="2BC539D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（7）供应商与采购人或者采购代理机构之间、供应商相互之间，为谋求特定供应商中标、成交或者排斥其他供应商的其他串通行为。</w:t>
      </w:r>
    </w:p>
    <w:p w14:paraId="624786C3">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8.出现以下情形，导致电子交易平台无法正常进行，或者无法保证电子交易的公平、公正和安全时，中止电子交易活动：</w:t>
      </w:r>
    </w:p>
    <w:p w14:paraId="6B80DBF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5F2FF70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4D3B165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53017CD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1B92C4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2BD6E81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54089120">
      <w:pPr>
        <w:pStyle w:val="3"/>
        <w:rPr>
          <w:rFonts w:hint="eastAsia" w:ascii="仿宋" w:hAnsi="仿宋" w:eastAsia="仿宋" w:cs="仿宋"/>
          <w:color w:val="auto"/>
          <w:sz w:val="24"/>
          <w:szCs w:val="24"/>
          <w:highlight w:val="none"/>
        </w:rPr>
      </w:pPr>
      <w:bookmarkStart w:id="9" w:name="_Toc131706344"/>
      <w:r>
        <w:rPr>
          <w:rFonts w:hint="eastAsia" w:ascii="仿宋" w:hAnsi="仿宋" w:eastAsia="仿宋" w:cs="仿宋"/>
          <w:color w:val="auto"/>
          <w:sz w:val="24"/>
          <w:szCs w:val="24"/>
          <w:highlight w:val="none"/>
        </w:rPr>
        <w:t>四、开标</w:t>
      </w:r>
      <w:bookmarkEnd w:id="9"/>
    </w:p>
    <w:p w14:paraId="6468F791">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（一）开标准备</w:t>
      </w:r>
    </w:p>
    <w:p w14:paraId="7998D00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14:paraId="3B33E39C">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（二）电子招投标开标及评审程序</w:t>
      </w:r>
    </w:p>
    <w:p w14:paraId="3FDD6AB3">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1、采购组织机构按照规定的时间通过政采云系统组织开标、开启响应文件，所有投标人均应当准时在线参加；</w:t>
      </w:r>
    </w:p>
    <w:p w14:paraId="408FF26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2、投标截止时间后，投标人登录政采云平台，用“项目采购开标评标”功能对电子投标文件进行在线解密。在线解密电子投标文件时间为开标时间起30分钟内；</w:t>
      </w:r>
    </w:p>
    <w:p w14:paraId="4D596015">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3、投标、响应文件未按时解密，供应商提供了备份投标、响应文件的，以备份投标、响应文件作为依据，否则视为投标、响应文件撤回。投标、响应文件已按时解密的，备份投标、响应文件自动失效；</w:t>
      </w:r>
    </w:p>
    <w:p w14:paraId="4EA0C23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4、评标委员会对资格和商务技术响应文件进行评审；</w:t>
      </w:r>
    </w:p>
    <w:p w14:paraId="10771438">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5、在系统上公开资格和商务技术评审结果；</w:t>
      </w:r>
    </w:p>
    <w:p w14:paraId="28AE3A24">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6、在系统上公开报价开标情况；</w:t>
      </w:r>
    </w:p>
    <w:p w14:paraId="5C36F94D">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7、评标委员会对报价情况进行评审；</w:t>
      </w:r>
    </w:p>
    <w:p w14:paraId="6F2C4256">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8、在系统上公布评审结果；</w:t>
      </w:r>
    </w:p>
    <w:p w14:paraId="365023B8">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9、开标会议结束。</w:t>
      </w:r>
    </w:p>
    <w:p w14:paraId="692EE1CB">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r>
        <w:rPr>
          <w:rFonts w:hint="eastAsia" w:ascii="仿宋" w:hAnsi="仿宋" w:eastAsia="仿宋" w:cs="仿宋"/>
          <w:b/>
          <w:color w:val="auto"/>
          <w:sz w:val="24"/>
          <w:szCs w:val="24"/>
          <w:highlight w:val="none"/>
          <w:u w:val="single"/>
        </w:rPr>
        <w:t>政采云公司如对电子化开标及评审程序有调整的，应按调整的程序操作</w:t>
      </w:r>
      <w:r>
        <w:rPr>
          <w:rFonts w:hint="eastAsia" w:ascii="仿宋" w:hAnsi="仿宋" w:eastAsia="仿宋" w:cs="仿宋"/>
          <w:b/>
          <w:color w:val="auto"/>
          <w:sz w:val="24"/>
          <w:szCs w:val="24"/>
          <w:highlight w:val="none"/>
        </w:rPr>
        <w:t>。</w:t>
      </w:r>
    </w:p>
    <w:p w14:paraId="5BA6438C">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w:t>
      </w:r>
    </w:p>
    <w:p w14:paraId="62F97F7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279171E">
      <w:pPr>
        <w:pStyle w:val="3"/>
        <w:rPr>
          <w:rFonts w:hint="eastAsia" w:ascii="仿宋" w:hAnsi="仿宋" w:eastAsia="仿宋" w:cs="仿宋"/>
          <w:color w:val="auto"/>
          <w:sz w:val="24"/>
          <w:szCs w:val="24"/>
          <w:highlight w:val="none"/>
        </w:rPr>
      </w:pPr>
      <w:bookmarkStart w:id="10" w:name="_Toc131706345"/>
      <w:r>
        <w:rPr>
          <w:rFonts w:hint="eastAsia" w:ascii="仿宋" w:hAnsi="仿宋" w:eastAsia="仿宋" w:cs="仿宋"/>
          <w:color w:val="auto"/>
          <w:sz w:val="24"/>
          <w:szCs w:val="24"/>
          <w:highlight w:val="none"/>
        </w:rPr>
        <w:t>五、评标</w:t>
      </w:r>
      <w:bookmarkEnd w:id="10"/>
    </w:p>
    <w:p w14:paraId="03ED5475">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（一）组建评标委员会</w:t>
      </w:r>
    </w:p>
    <w:p w14:paraId="7A652DE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将根据公开招标采购项目的特点，依照有关规定组建评审小组。成员人数为5人或以上单数，其成员由经济、技术等方面的评审专家以及采购人代表组成。其中评审专家不少于成员总数的三分之二，并由评审小组推选小组负责人。</w:t>
      </w:r>
    </w:p>
    <w:p w14:paraId="47CC381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评审专家从市级或以上财政部门设立的政府采购评审专家库中通过随机方式抽取产生。评审小组成员名单在采购结果公告前保密。</w:t>
      </w:r>
    </w:p>
    <w:p w14:paraId="551A63BE">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（二）评标的方式</w:t>
      </w:r>
    </w:p>
    <w:p w14:paraId="5DF2FF5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本项目采用不公开方式评标，评标的依据为招标文件和投标文件。</w:t>
      </w:r>
    </w:p>
    <w:p w14:paraId="4AD90BB2">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bCs/>
          <w:color w:val="auto"/>
          <w:sz w:val="24"/>
          <w:szCs w:val="24"/>
          <w:highlight w:val="none"/>
        </w:rPr>
        <w:t>评标程序</w:t>
      </w:r>
    </w:p>
    <w:p w14:paraId="0DEA924B">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1.形式审查</w:t>
      </w:r>
    </w:p>
    <w:p w14:paraId="17E51D9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在开标结束后（评标开始前），采购人或采购代理机构对供应商的资格和投标文件的完整性、合法性等进行审查。</w:t>
      </w:r>
    </w:p>
    <w:p w14:paraId="13AAF390">
      <w:pPr>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2.实质审查与比较</w:t>
      </w:r>
    </w:p>
    <w:p w14:paraId="534C968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（1）评标委员会审查投标文件的实质性内容是否符合招标文件的实质性要求。</w:t>
      </w:r>
    </w:p>
    <w:p w14:paraId="2218415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4D777EA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（3）各供应商的技术、商务、资信及其他得分为所有评委的有效评分的算术平均数。</w:t>
      </w:r>
    </w:p>
    <w:p w14:paraId="3E3CD25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（4）代理机构工作人员协助评标委员会根据本项目的报价评分标准计算各供应商的商务报价得分。</w:t>
      </w:r>
    </w:p>
    <w:p w14:paraId="57615E8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（5）评标委员会完成评标后,评委对各部分得分汇总,计算出本项目最终得分。评标委员会按评标原则通过电子评标系统推荐中标候选人并同时起草评标报告。</w:t>
      </w:r>
    </w:p>
    <w:p w14:paraId="5E4A43E5">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（四）澄清问题的形式</w:t>
      </w:r>
    </w:p>
    <w:p w14:paraId="14613CB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4A03B0F6">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（五）错误修正</w:t>
      </w:r>
    </w:p>
    <w:p w14:paraId="09DEC8F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投标文件如果出现计算或表达上的错误，修正错误的原则如下：</w:t>
      </w:r>
    </w:p>
    <w:p w14:paraId="4DF997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1.投标文件的大写金额和小写金额不一致的，以大写金额为准；</w:t>
      </w:r>
    </w:p>
    <w:p w14:paraId="697BADD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2.总价金额与按单价汇总金额不一致的，以单价金额计算结果为准；</w:t>
      </w:r>
    </w:p>
    <w:p w14:paraId="53C036F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3.对不同文字文本投标文件的解释发生异议的，以中文文本为准。</w:t>
      </w:r>
    </w:p>
    <w:p w14:paraId="64C7F3E3">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4DE615C1">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（六）评标原则和评标办法</w:t>
      </w:r>
    </w:p>
    <w:p w14:paraId="3A42B5A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4D2CC8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2.评标办法。本项目评标办法是</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综合评分法 </w:t>
      </w:r>
      <w:r>
        <w:rPr>
          <w:rFonts w:hint="eastAsia" w:ascii="仿宋" w:hAnsi="仿宋" w:eastAsia="仿宋" w:cs="仿宋"/>
          <w:color w:val="auto"/>
          <w:sz w:val="24"/>
          <w:szCs w:val="24"/>
          <w:highlight w:val="none"/>
        </w:rPr>
        <w:t>，具体评标内容及评分标准等详见《第四章：评标办法及评分标准》。</w:t>
      </w:r>
    </w:p>
    <w:p w14:paraId="2CD5340F">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（七）评标过程的监控</w:t>
      </w:r>
    </w:p>
    <w:p w14:paraId="70F4F6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本项目评标过程实行全程录音、录像监控，供应商在评标过程中所进行的试图影响评标结果的不公正活动，可能导致其投标被拒绝。</w:t>
      </w:r>
    </w:p>
    <w:p w14:paraId="3C65A462">
      <w:pPr>
        <w:pStyle w:val="3"/>
        <w:rPr>
          <w:rFonts w:hint="eastAsia" w:ascii="仿宋" w:hAnsi="仿宋" w:eastAsia="仿宋" w:cs="仿宋"/>
          <w:color w:val="auto"/>
          <w:sz w:val="24"/>
          <w:szCs w:val="24"/>
          <w:highlight w:val="none"/>
        </w:rPr>
      </w:pPr>
      <w:bookmarkStart w:id="11" w:name="_Toc131706346"/>
      <w:r>
        <w:rPr>
          <w:rFonts w:hint="eastAsia" w:ascii="仿宋" w:hAnsi="仿宋" w:eastAsia="仿宋" w:cs="仿宋"/>
          <w:color w:val="auto"/>
          <w:sz w:val="24"/>
          <w:szCs w:val="24"/>
          <w:highlight w:val="none"/>
        </w:rPr>
        <w:t>六、定标</w:t>
      </w:r>
      <w:bookmarkEnd w:id="11"/>
    </w:p>
    <w:p w14:paraId="1D2E8498">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（一）本项目由采购人根据评标委员会小组提交的《评审报告》，通过“政府采购云平台”依法确定成交人。</w:t>
      </w:r>
    </w:p>
    <w:p w14:paraId="23EAD0A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1.采购代理机构在评标结束后2个工作日内将评标报告交采购人确认。</w:t>
      </w:r>
    </w:p>
    <w:p w14:paraId="673501B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2.采购人应当自收到评标报告之日起5个工作日内，在评标报告确定的中标候选人中按顺序确认中标人。</w:t>
      </w:r>
    </w:p>
    <w:p w14:paraId="7087CCE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3.采购人依法确定中标人后2个工作日内，采购代理机构以书面形式发出《中标通知书》,并同时在相关网站上发布中标结果公告。</w:t>
      </w:r>
    </w:p>
    <w:p w14:paraId="0AEE7CC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4.中标通知书发出后，采购人改变中标结果，或者中标供应商放弃中标，应当承担相应的法律责任。</w:t>
      </w:r>
    </w:p>
    <w:p w14:paraId="6178A42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（二）中标通知书</w:t>
      </w:r>
    </w:p>
    <w:p w14:paraId="0E35764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1.采购代理机构将在中标人确定之日起2个工作日内向中标人签发《中标通知书》，同时在省级以上人民政府财政部门指定的媒体（浙江政府采购网）上公告采购结果，采购文件随中标结果同时公告。</w:t>
      </w:r>
    </w:p>
    <w:p w14:paraId="3C5107FD">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中标通知书发出后，中标人无正当理由不得放弃中标。</w:t>
      </w:r>
    </w:p>
    <w:p w14:paraId="1EC31B0A">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14:paraId="4FD6222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3.中标通知书为双方签订合同的依据。</w:t>
      </w:r>
    </w:p>
    <w:p w14:paraId="6590584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4.中标供应商应根据中标通知书中规定的时间内，由法定代表人或其授权代理人与采购人签订合同。</w:t>
      </w:r>
    </w:p>
    <w:p w14:paraId="188FF6D3">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（三）采购过程、采购结果的质疑</w:t>
      </w:r>
    </w:p>
    <w:p w14:paraId="646E437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CF03D9C">
      <w:pPr>
        <w:pStyle w:val="3"/>
        <w:rPr>
          <w:rFonts w:hint="eastAsia" w:ascii="仿宋" w:hAnsi="仿宋" w:eastAsia="仿宋" w:cs="仿宋"/>
          <w:color w:val="auto"/>
          <w:sz w:val="24"/>
          <w:szCs w:val="24"/>
          <w:highlight w:val="none"/>
        </w:rPr>
      </w:pPr>
      <w:bookmarkStart w:id="12" w:name="_Toc131706347"/>
      <w:r>
        <w:rPr>
          <w:rFonts w:hint="eastAsia" w:ascii="仿宋" w:hAnsi="仿宋" w:eastAsia="仿宋" w:cs="仿宋"/>
          <w:color w:val="auto"/>
          <w:sz w:val="24"/>
          <w:szCs w:val="24"/>
          <w:highlight w:val="none"/>
        </w:rPr>
        <w:t>七、合同授予</w:t>
      </w:r>
      <w:bookmarkEnd w:id="12"/>
    </w:p>
    <w:p w14:paraId="19B55ADA">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（一）签订合同</w:t>
      </w:r>
    </w:p>
    <w:p w14:paraId="03BC340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1.采购人与中标供应商应当在《中标通知书》发出之日起</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日内签订政府采购合同。同时，采购代理机构对合同内容进行审查，如发现与采购结果和投标承诺内容不一致的，应予以纠正。</w:t>
      </w:r>
    </w:p>
    <w:p w14:paraId="701E0B2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2.中标供应商拖延、拒签合同的,将被取消中标资格。</w:t>
      </w:r>
    </w:p>
    <w:p w14:paraId="1AEE6EAC">
      <w:pPr>
        <w:pStyle w:val="51"/>
        <w:spacing w:line="336"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（二）履约保证金：</w:t>
      </w:r>
    </w:p>
    <w:p w14:paraId="7C247D8B">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按合同总金额的 1%计收，中标供应商应在合同签订后7日内向采购人交纳履约保证金，履约保证金待合同履行完成后5个工作日内视履约情况返还(缴纳形式为银行转账，或银行、保险公司出具的保函)。</w:t>
      </w:r>
    </w:p>
    <w:p w14:paraId="22FFA820">
      <w:pPr>
        <w:pStyle w:val="3"/>
        <w:rPr>
          <w:rFonts w:hint="eastAsia" w:ascii="仿宋" w:hAnsi="仿宋" w:eastAsia="仿宋" w:cs="仿宋"/>
          <w:color w:val="auto"/>
          <w:sz w:val="24"/>
          <w:szCs w:val="24"/>
          <w:highlight w:val="none"/>
        </w:rPr>
      </w:pPr>
      <w:bookmarkStart w:id="13" w:name="_Toc131706349"/>
      <w:r>
        <w:rPr>
          <w:rFonts w:hint="eastAsia" w:ascii="仿宋" w:hAnsi="仿宋" w:eastAsia="仿宋" w:cs="仿宋"/>
          <w:color w:val="auto"/>
          <w:sz w:val="24"/>
          <w:szCs w:val="24"/>
          <w:highlight w:val="none"/>
        </w:rPr>
        <w:t>八、其他内容</w:t>
      </w:r>
    </w:p>
    <w:p w14:paraId="725173D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14:paraId="21DF221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1.供应商在提交投标（响应）文件截止时间后撤回投标（响应）文件的；</w:t>
      </w:r>
    </w:p>
    <w:p w14:paraId="5EAD814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2.供应商在投标（响应）文件中提交虚假材料的；</w:t>
      </w:r>
    </w:p>
    <w:p w14:paraId="1E6C8D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3.除因不可抗力或招标文件认可的情形以外，中标供应商不与采购人签订合同的；</w:t>
      </w:r>
    </w:p>
    <w:p w14:paraId="6DBE38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4.供应商与采购人、其他供应商或者采购代理机构恶意串通的；</w:t>
      </w:r>
    </w:p>
    <w:p w14:paraId="72270CA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5.中标供应商拒绝</w:t>
      </w:r>
      <w:r>
        <w:rPr>
          <w:rFonts w:hint="eastAsia" w:ascii="仿宋" w:hAnsi="仿宋" w:eastAsia="仿宋" w:cs="仿宋"/>
          <w:color w:val="auto"/>
          <w:sz w:val="24"/>
          <w:szCs w:val="24"/>
          <w:highlight w:val="none"/>
          <w:lang w:val="en-US" w:eastAsia="zh-CN"/>
        </w:rPr>
        <w:t>交</w:t>
      </w:r>
      <w:r>
        <w:rPr>
          <w:rFonts w:hint="eastAsia" w:ascii="仿宋" w:hAnsi="仿宋" w:eastAsia="仿宋" w:cs="仿宋"/>
          <w:color w:val="auto"/>
          <w:sz w:val="24"/>
          <w:szCs w:val="24"/>
          <w:highlight w:val="none"/>
        </w:rPr>
        <w:t>纳招标代理服务费的；</w:t>
      </w:r>
    </w:p>
    <w:p w14:paraId="591E5286">
      <w:pPr>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6.招标文件规定的其他情形。</w:t>
      </w:r>
    </w:p>
    <w:p w14:paraId="08A65D47">
      <w:pPr>
        <w:pStyle w:val="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第四章 评标办法及评分标准</w:t>
      </w:r>
      <w:bookmarkEnd w:id="13"/>
    </w:p>
    <w:p w14:paraId="0B1E916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为公正、公平、科学地选择中标供应商，根据《中华人民共和国政府采购法》、《政府采购货物和服务招标投标管理办法》及相关法律、法规等规定，并结合本项目的实际，制定本办法。</w:t>
      </w:r>
    </w:p>
    <w:p w14:paraId="7C6DFE0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本办法适用于</w:t>
      </w:r>
      <w:r>
        <w:rPr>
          <w:rFonts w:hint="eastAsia" w:ascii="仿宋" w:hAnsi="仿宋" w:eastAsia="仿宋" w:cs="仿宋"/>
          <w:b/>
          <w:bCs/>
          <w:color w:val="auto"/>
          <w:sz w:val="24"/>
          <w:szCs w:val="24"/>
          <w:highlight w:val="none"/>
          <w:u w:val="single"/>
          <w:lang w:eastAsia="zh-CN"/>
        </w:rPr>
        <w:t>湖州职业技术学院</w:t>
      </w:r>
      <w:r>
        <w:rPr>
          <w:rFonts w:hint="eastAsia" w:ascii="仿宋" w:hAnsi="仿宋" w:eastAsia="仿宋" w:cs="仿宋"/>
          <w:b/>
          <w:bCs/>
          <w:color w:val="auto"/>
          <w:sz w:val="24"/>
          <w:szCs w:val="24"/>
          <w:highlight w:val="none"/>
          <w:u w:val="single"/>
          <w:lang w:val="en-US" w:eastAsia="zh-CN"/>
        </w:rPr>
        <w:t>新校园</w:t>
      </w:r>
      <w:r>
        <w:rPr>
          <w:rFonts w:hint="eastAsia" w:ascii="仿宋" w:hAnsi="仿宋" w:eastAsia="仿宋" w:cs="仿宋"/>
          <w:b/>
          <w:bCs/>
          <w:color w:val="auto"/>
          <w:sz w:val="24"/>
          <w:szCs w:val="24"/>
          <w:highlight w:val="none"/>
          <w:u w:val="single"/>
          <w:lang w:eastAsia="zh-CN"/>
        </w:rPr>
        <w:t>机械零部件测绘实训室建设项目</w:t>
      </w:r>
      <w:r>
        <w:rPr>
          <w:rFonts w:hint="eastAsia" w:ascii="仿宋" w:hAnsi="仿宋" w:eastAsia="仿宋" w:cs="仿宋"/>
          <w:color w:val="auto"/>
          <w:sz w:val="24"/>
          <w:szCs w:val="24"/>
          <w:highlight w:val="none"/>
        </w:rPr>
        <w:t>的评标。</w:t>
      </w:r>
    </w:p>
    <w:p w14:paraId="0784040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一、总则</w:t>
      </w:r>
    </w:p>
    <w:p w14:paraId="7531E23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w:t>
      </w:r>
      <w:r>
        <w:rPr>
          <w:rFonts w:hint="eastAsia" w:ascii="仿宋" w:hAnsi="仿宋" w:eastAsia="仿宋" w:cs="仿宋"/>
          <w:b/>
          <w:color w:val="auto"/>
          <w:sz w:val="24"/>
          <w:szCs w:val="24"/>
          <w:highlight w:val="none"/>
        </w:rPr>
        <w:t>总分为100分，其中价格分</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0分、技术分、商务分和资信及其他部分占</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0分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合格投标人的评标得分为各项目汇总得分，按评标得分由高到低顺序排列，得分相同的，按投标报价由低到高顺序排列；得分且投标报价相同的，按照评审因素的量化指标评审得分最高得投标人为排名第一的中标候选人。评分过程中采用四舍五入法，并保留小数2位。</w:t>
      </w:r>
    </w:p>
    <w:p w14:paraId="76E9ED7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本项目由采购人授权评标委员会直接确定排名第一的供应商为中标人。评分过程中采用四舍五入法，并保留小数2位。</w:t>
      </w:r>
    </w:p>
    <w:p w14:paraId="2DFF79A4">
      <w:pPr>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各供应商最终得分=技术分、商务分和资信及其他分得分+价格分得分</w:t>
      </w:r>
    </w:p>
    <w:p w14:paraId="27AF0C3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二、评标内容及标准</w:t>
      </w:r>
    </w:p>
    <w:p w14:paraId="7C8E20F9">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（1）价格分</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0分</w:t>
      </w:r>
    </w:p>
    <w:p w14:paraId="1232A934">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价格分采用低价优先法计算，即满足招标文件要求且投标价格最低的投标报价为评标基准价，其他供应商的价格分按照下列公式计算：</w:t>
      </w:r>
    </w:p>
    <w:p w14:paraId="187DD261">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价格分=（评标基准价/投标报价）×</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0%×100</w:t>
      </w:r>
    </w:p>
    <w:p w14:paraId="020984CA">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评标委员会认为供应商的报价明显低于其他通过符合性审查供应商的报价，有可能影响产品质量或都不能诚信履约的，应当要求供应商询标说明并提供相关证明材料。供应商不能当场合理说明原因</w:t>
      </w:r>
      <w:r>
        <w:rPr>
          <w:rFonts w:hint="eastAsia" w:ascii="仿宋" w:hAnsi="仿宋" w:eastAsia="仿宋" w:cs="仿宋"/>
          <w:b/>
          <w:color w:val="auto"/>
          <w:sz w:val="24"/>
          <w:szCs w:val="24"/>
          <w:highlight w:val="none"/>
          <w:lang w:val="en-US" w:eastAsia="zh-CN"/>
        </w:rPr>
        <w:t>或</w:t>
      </w:r>
      <w:r>
        <w:rPr>
          <w:rFonts w:hint="eastAsia" w:ascii="仿宋" w:hAnsi="仿宋" w:eastAsia="仿宋" w:cs="仿宋"/>
          <w:b/>
          <w:color w:val="auto"/>
          <w:sz w:val="24"/>
          <w:szCs w:val="24"/>
          <w:highlight w:val="none"/>
        </w:rPr>
        <w:t>未提供相关证明材料的，评标委员会应将该供应商的磋商响应文件作无效处理，并在评审报告中说明。</w:t>
      </w:r>
    </w:p>
    <w:p w14:paraId="38D25EDF">
      <w:pPr>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（2）技术分、商务分、资信及其他分</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0分</w:t>
      </w:r>
    </w:p>
    <w:p w14:paraId="47889D0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（3）技术分、商务分、资信及其他分的计算</w:t>
      </w:r>
    </w:p>
    <w:p w14:paraId="1F1BC7B6">
      <w:pPr>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技术、商务、资信及其他分按照评标委员</w:t>
      </w:r>
      <w:r>
        <w:rPr>
          <w:rFonts w:hint="eastAsia" w:ascii="仿宋" w:hAnsi="仿宋" w:eastAsia="仿宋" w:cs="仿宋"/>
          <w:color w:val="auto"/>
          <w:sz w:val="24"/>
          <w:szCs w:val="24"/>
          <w:highlight w:val="none"/>
        </w:rPr>
        <w:t>会成员的独立评分结果汇总数的算术平均分计算，计算公式为：</w:t>
      </w:r>
    </w:p>
    <w:p w14:paraId="1C2C9ABA">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技术分、商务分、资信及其他分=（评标委员会所有成员评分合计数）/（评标委员会组成人员数）</w:t>
      </w:r>
    </w:p>
    <w:p w14:paraId="33BD1974">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附件：评分表格式（技术分、商务分、资信及其他分，共</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0分）</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742"/>
        <w:gridCol w:w="5523"/>
        <w:gridCol w:w="1154"/>
      </w:tblGrid>
      <w:tr w14:paraId="3C06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34A711D2">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938" w:type="pct"/>
            <w:vAlign w:val="center"/>
          </w:tcPr>
          <w:p w14:paraId="74B69EFE">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评审内容</w:t>
            </w:r>
          </w:p>
        </w:tc>
        <w:tc>
          <w:tcPr>
            <w:tcW w:w="2973" w:type="pct"/>
            <w:vAlign w:val="center"/>
          </w:tcPr>
          <w:p w14:paraId="7CFF443C">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621" w:type="pct"/>
            <w:vAlign w:val="center"/>
          </w:tcPr>
          <w:p w14:paraId="5179FAAC">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599D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76F4982E">
            <w:pPr>
              <w:snapToGrid w:val="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938" w:type="pct"/>
            <w:vAlign w:val="center"/>
          </w:tcPr>
          <w:p w14:paraId="4BEF82CF">
            <w:pPr>
              <w:snapToGrid w:val="0"/>
              <w:jc w:val="center"/>
              <w:rPr>
                <w:rFonts w:hint="eastAsia" w:ascii="仿宋" w:hAnsi="仿宋" w:eastAsia="仿宋" w:cs="仿宋"/>
                <w:bCs/>
                <w:sz w:val="24"/>
                <w:szCs w:val="24"/>
              </w:rPr>
            </w:pPr>
            <w:r>
              <w:rPr>
                <w:rFonts w:hint="eastAsia" w:ascii="仿宋" w:hAnsi="仿宋" w:eastAsia="仿宋" w:cs="仿宋"/>
                <w:bCs/>
                <w:sz w:val="24"/>
                <w:szCs w:val="24"/>
              </w:rPr>
              <w:t>货物技术响应</w:t>
            </w:r>
          </w:p>
        </w:tc>
        <w:tc>
          <w:tcPr>
            <w:tcW w:w="2973" w:type="pct"/>
            <w:vAlign w:val="center"/>
          </w:tcPr>
          <w:p w14:paraId="0CD39898">
            <w:pPr>
              <w:snapToGrid w:val="0"/>
              <w:rPr>
                <w:rFonts w:hint="eastAsia" w:ascii="仿宋" w:hAnsi="仿宋" w:eastAsia="仿宋" w:cs="仿宋"/>
                <w:sz w:val="24"/>
                <w:szCs w:val="24"/>
                <w:lang w:eastAsia="zh-CN"/>
              </w:rPr>
            </w:pPr>
            <w:r>
              <w:rPr>
                <w:rFonts w:hint="eastAsia" w:ascii="仿宋" w:hAnsi="仿宋" w:eastAsia="仿宋" w:cs="仿宋"/>
                <w:sz w:val="24"/>
                <w:szCs w:val="24"/>
              </w:rPr>
              <w:t>响应产品全部满足招标文件明确的功能、性能和技术指标要求，得30分</w:t>
            </w:r>
            <w:r>
              <w:rPr>
                <w:rFonts w:hint="eastAsia" w:ascii="仿宋" w:hAnsi="仿宋" w:eastAsia="仿宋" w:cs="仿宋"/>
                <w:sz w:val="24"/>
                <w:szCs w:val="24"/>
                <w:lang w:eastAsia="zh-CN"/>
              </w:rPr>
              <w:t>：</w:t>
            </w:r>
          </w:p>
          <w:p w14:paraId="34E4BAEB">
            <w:pPr>
              <w:snapToGrid w:val="0"/>
              <w:rPr>
                <w:rFonts w:hint="eastAsia" w:ascii="仿宋" w:hAnsi="仿宋" w:eastAsia="仿宋" w:cs="仿宋"/>
                <w:sz w:val="24"/>
                <w:szCs w:val="24"/>
              </w:rPr>
            </w:pPr>
            <w:r>
              <w:rPr>
                <w:rFonts w:hint="eastAsia" w:ascii="仿宋" w:hAnsi="仿宋" w:eastAsia="仿宋" w:cs="仿宋"/>
                <w:sz w:val="24"/>
                <w:szCs w:val="24"/>
              </w:rPr>
              <w:t>特别注意：招标需求中要求提供证明材料（视频文件、软件截图等）的，在投标文件中没有提供对应证明材料（视频文件、软件截图等）则视为负偏离。</w:t>
            </w:r>
          </w:p>
          <w:p w14:paraId="6368473C">
            <w:pPr>
              <w:snapToGrid w:val="0"/>
              <w:rPr>
                <w:rFonts w:hint="eastAsia" w:ascii="仿宋" w:hAnsi="仿宋" w:eastAsia="仿宋" w:cs="仿宋"/>
                <w:sz w:val="24"/>
                <w:szCs w:val="24"/>
              </w:rPr>
            </w:pPr>
            <w:r>
              <w:rPr>
                <w:rFonts w:hint="eastAsia" w:ascii="仿宋" w:hAnsi="仿宋" w:eastAsia="仿宋" w:cs="仿宋"/>
                <w:sz w:val="24"/>
                <w:szCs w:val="24"/>
              </w:rPr>
              <w:t>（1）重要技术参数标注“▲”为关键指标，共16项，每项1分，共16分。每负偏离一条，从评分标准中扣除1分。</w:t>
            </w:r>
          </w:p>
          <w:p w14:paraId="34789F47">
            <w:pPr>
              <w:snapToGrid w:val="0"/>
              <w:rPr>
                <w:rFonts w:hint="eastAsia" w:ascii="仿宋" w:hAnsi="仿宋" w:eastAsia="仿宋" w:cs="仿宋"/>
                <w:sz w:val="24"/>
                <w:szCs w:val="24"/>
              </w:rPr>
            </w:pPr>
            <w:r>
              <w:rPr>
                <w:rFonts w:hint="eastAsia" w:ascii="仿宋" w:hAnsi="仿宋" w:eastAsia="仿宋" w:cs="仿宋"/>
                <w:sz w:val="24"/>
                <w:szCs w:val="24"/>
              </w:rPr>
              <w:t>（2）一般技术参数共14分，（本招标文件中非“▲”、非“■”标注的部分为一般技术参数）。一般技术参数达不到招标文件要求的，每负偏离一条从评分标准中扣除0.5分，扣完为止。</w:t>
            </w:r>
          </w:p>
        </w:tc>
        <w:tc>
          <w:tcPr>
            <w:tcW w:w="621" w:type="pct"/>
            <w:vAlign w:val="center"/>
          </w:tcPr>
          <w:p w14:paraId="60F2C629">
            <w:pPr>
              <w:snapToGrid w:val="0"/>
              <w:jc w:val="center"/>
              <w:rPr>
                <w:rFonts w:hint="eastAsia" w:ascii="仿宋" w:hAnsi="仿宋" w:eastAsia="仿宋" w:cs="仿宋"/>
                <w:bCs/>
                <w:sz w:val="24"/>
                <w:szCs w:val="24"/>
              </w:rPr>
            </w:pPr>
            <w:r>
              <w:rPr>
                <w:rFonts w:hint="eastAsia" w:ascii="仿宋" w:hAnsi="仿宋" w:eastAsia="仿宋" w:cs="仿宋"/>
                <w:bCs/>
                <w:sz w:val="24"/>
                <w:szCs w:val="24"/>
              </w:rPr>
              <w:t>0-30分</w:t>
            </w:r>
          </w:p>
        </w:tc>
      </w:tr>
      <w:tr w14:paraId="4AA0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1C4EE686">
            <w:pPr>
              <w:snapToGrid w:val="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938" w:type="pct"/>
            <w:vAlign w:val="center"/>
          </w:tcPr>
          <w:p w14:paraId="7E2601A1">
            <w:pPr>
              <w:snapToGrid w:val="0"/>
              <w:jc w:val="center"/>
              <w:rPr>
                <w:rFonts w:hint="eastAsia" w:ascii="仿宋" w:hAnsi="仿宋" w:eastAsia="仿宋" w:cs="仿宋"/>
                <w:bCs/>
                <w:sz w:val="24"/>
                <w:szCs w:val="24"/>
              </w:rPr>
            </w:pPr>
            <w:r>
              <w:rPr>
                <w:rFonts w:hint="eastAsia" w:ascii="仿宋" w:hAnsi="仿宋" w:eastAsia="仿宋" w:cs="仿宋"/>
                <w:bCs/>
                <w:sz w:val="24"/>
                <w:szCs w:val="24"/>
              </w:rPr>
              <w:t>视频演示</w:t>
            </w:r>
          </w:p>
        </w:tc>
        <w:tc>
          <w:tcPr>
            <w:tcW w:w="2973" w:type="pct"/>
            <w:vAlign w:val="center"/>
          </w:tcPr>
          <w:p w14:paraId="3DB8F5C6">
            <w:pPr>
              <w:snapToGrid w:val="0"/>
              <w:rPr>
                <w:rFonts w:hint="eastAsia" w:ascii="仿宋" w:hAnsi="仿宋" w:eastAsia="仿宋" w:cs="仿宋"/>
                <w:bCs/>
                <w:sz w:val="24"/>
                <w:szCs w:val="24"/>
              </w:rPr>
            </w:pPr>
            <w:r>
              <w:rPr>
                <w:rFonts w:hint="eastAsia" w:ascii="仿宋" w:hAnsi="仿宋" w:eastAsia="仿宋" w:cs="仿宋"/>
                <w:bCs/>
                <w:sz w:val="24"/>
                <w:szCs w:val="24"/>
                <w:lang w:val="en-US" w:eastAsia="zh-CN"/>
              </w:rPr>
              <w:t>供应商</w:t>
            </w:r>
            <w:r>
              <w:rPr>
                <w:rFonts w:hint="eastAsia" w:ascii="仿宋" w:hAnsi="仿宋" w:eastAsia="仿宋" w:cs="仿宋"/>
                <w:bCs/>
                <w:sz w:val="24"/>
                <w:szCs w:val="24"/>
              </w:rPr>
              <w:t>应按要求对产品提前录制视频，</w:t>
            </w:r>
            <w:bookmarkStart w:id="16" w:name="_GoBack"/>
            <w:bookmarkEnd w:id="16"/>
            <w:r>
              <w:rPr>
                <w:rFonts w:hint="eastAsia" w:ascii="仿宋" w:hAnsi="仿宋" w:eastAsia="仿宋" w:cs="仿宋"/>
                <w:bCs/>
                <w:sz w:val="24"/>
                <w:szCs w:val="24"/>
              </w:rPr>
              <w:t>视频演示文件格式须为主流媒体格</w:t>
            </w:r>
            <w:r>
              <w:rPr>
                <w:rFonts w:hint="eastAsia" w:ascii="仿宋" w:hAnsi="仿宋" w:eastAsia="仿宋" w:cs="仿宋"/>
                <w:bCs/>
                <w:sz w:val="24"/>
                <w:szCs w:val="24"/>
                <w:lang w:val="en-US" w:eastAsia="zh-CN"/>
              </w:rPr>
              <w:t>式</w:t>
            </w:r>
            <w:r>
              <w:rPr>
                <w:rFonts w:hint="eastAsia" w:ascii="仿宋" w:hAnsi="仿宋" w:eastAsia="仿宋" w:cs="仿宋"/>
                <w:bCs/>
                <w:sz w:val="24"/>
                <w:szCs w:val="24"/>
              </w:rPr>
              <w:t>。视频总时长在15分钟内</w:t>
            </w:r>
            <w:r>
              <w:rPr>
                <w:rFonts w:hint="eastAsia" w:ascii="仿宋" w:hAnsi="仿宋" w:eastAsia="仿宋" w:cs="仿宋"/>
                <w:b/>
                <w:bCs w:val="0"/>
                <w:sz w:val="24"/>
                <w:szCs w:val="24"/>
              </w:rPr>
              <w:t>（演示视频与备份文件一同递交，递交截止时间及地点同备份文件递交要求）</w:t>
            </w:r>
            <w:r>
              <w:rPr>
                <w:rFonts w:hint="eastAsia" w:ascii="仿宋" w:hAnsi="仿宋" w:eastAsia="仿宋" w:cs="仿宋"/>
                <w:bCs/>
                <w:sz w:val="24"/>
                <w:szCs w:val="24"/>
              </w:rPr>
              <w:t>，未在规定时间内递交演示视频或视频无法打开的，此项不得分。注：演示视频所录制的操作环境要求：提供实际软件产品视频演示（不接受录像及PPT动画等其他形式）。</w:t>
            </w:r>
          </w:p>
          <w:p w14:paraId="4113D085">
            <w:pPr>
              <w:snapToGrid w:val="0"/>
              <w:rPr>
                <w:rFonts w:hint="eastAsia" w:ascii="仿宋" w:hAnsi="仿宋" w:eastAsia="仿宋" w:cs="仿宋"/>
                <w:bCs/>
                <w:sz w:val="24"/>
                <w:szCs w:val="24"/>
              </w:rPr>
            </w:pPr>
            <w:r>
              <w:rPr>
                <w:rFonts w:hint="eastAsia" w:ascii="仿宋" w:hAnsi="仿宋" w:eastAsia="仿宋" w:cs="仿宋"/>
                <w:bCs/>
                <w:sz w:val="24"/>
                <w:szCs w:val="24"/>
              </w:rPr>
              <w:t>视频1：零部件测绘评价系统（12分）</w:t>
            </w:r>
          </w:p>
          <w:p w14:paraId="173CD14B">
            <w:pPr>
              <w:snapToGrid w:val="0"/>
              <w:rPr>
                <w:rFonts w:hint="eastAsia" w:ascii="仿宋" w:hAnsi="仿宋" w:eastAsia="仿宋" w:cs="仿宋"/>
                <w:bCs/>
                <w:sz w:val="24"/>
                <w:szCs w:val="24"/>
              </w:rPr>
            </w:pPr>
            <w:r>
              <w:rPr>
                <w:rFonts w:hint="eastAsia" w:ascii="仿宋" w:hAnsi="仿宋" w:eastAsia="仿宋" w:cs="仿宋"/>
                <w:bCs/>
                <w:sz w:val="24"/>
                <w:szCs w:val="24"/>
              </w:rPr>
              <w:t>提供演示视频，视频内容如下</w:t>
            </w:r>
          </w:p>
          <w:p w14:paraId="5BE5A5C4">
            <w:pPr>
              <w:snapToGrid w:val="0"/>
              <w:rPr>
                <w:rFonts w:hint="eastAsia" w:ascii="仿宋" w:hAnsi="仿宋" w:eastAsia="仿宋" w:cs="仿宋"/>
                <w:bCs/>
                <w:sz w:val="24"/>
                <w:szCs w:val="24"/>
              </w:rPr>
            </w:pPr>
            <w:r>
              <w:rPr>
                <w:rFonts w:hint="eastAsia" w:ascii="仿宋" w:hAnsi="仿宋" w:eastAsia="仿宋" w:cs="仿宋"/>
                <w:bCs/>
                <w:sz w:val="24"/>
                <w:szCs w:val="24"/>
              </w:rPr>
              <w:t>（1）运行环境:本系统要求是独立于所有CAD的软件，可以支持对DWG文件的评测，并且提供对评分、评测、检查功能的交互能力。</w:t>
            </w:r>
          </w:p>
          <w:p w14:paraId="2296E0B9">
            <w:pPr>
              <w:snapToGrid w:val="0"/>
              <w:rPr>
                <w:rFonts w:hint="eastAsia" w:ascii="仿宋" w:hAnsi="仿宋" w:eastAsia="仿宋" w:cs="仿宋"/>
                <w:bCs/>
                <w:sz w:val="24"/>
                <w:szCs w:val="24"/>
              </w:rPr>
            </w:pPr>
            <w:r>
              <w:rPr>
                <w:rFonts w:hint="eastAsia" w:ascii="仿宋" w:hAnsi="仿宋" w:eastAsia="仿宋" w:cs="仿宋"/>
                <w:bCs/>
                <w:sz w:val="24"/>
                <w:szCs w:val="24"/>
              </w:rPr>
              <w:t>（2）智能识图：可识别制图的常用特征，不少于以下特征：图框、标题栏、技术要求、轮廓线、细实线、中心线、带箭头引线、尺寸标注、文本、几何公差、粗糙度、视图符号、图案填充。并能根据不同图纸提取的信息自动建立评分标准。</w:t>
            </w:r>
          </w:p>
          <w:p w14:paraId="38BD5F38">
            <w:pPr>
              <w:snapToGrid w:val="0"/>
              <w:rPr>
                <w:rFonts w:hint="eastAsia" w:ascii="仿宋" w:hAnsi="仿宋" w:eastAsia="仿宋" w:cs="仿宋"/>
                <w:bCs/>
                <w:sz w:val="24"/>
                <w:szCs w:val="24"/>
              </w:rPr>
            </w:pPr>
            <w:r>
              <w:rPr>
                <w:rFonts w:hint="eastAsia" w:ascii="仿宋" w:hAnsi="仿宋" w:eastAsia="仿宋" w:cs="仿宋"/>
                <w:bCs/>
                <w:sz w:val="24"/>
                <w:szCs w:val="24"/>
              </w:rPr>
              <w:t>（3）国标检查：软件内置检查项包含：制图基本规定、图样画法、尺寸注法、表面粗糙度、极限与配合、几何公差。</w:t>
            </w:r>
          </w:p>
          <w:p w14:paraId="04ED90D4">
            <w:pPr>
              <w:snapToGrid w:val="0"/>
              <w:rPr>
                <w:rFonts w:hint="eastAsia" w:ascii="仿宋" w:hAnsi="仿宋" w:eastAsia="仿宋" w:cs="仿宋"/>
                <w:bCs/>
                <w:sz w:val="24"/>
                <w:szCs w:val="24"/>
              </w:rPr>
            </w:pPr>
            <w:r>
              <w:rPr>
                <w:rFonts w:hint="eastAsia" w:ascii="仿宋" w:hAnsi="仿宋" w:eastAsia="仿宋" w:cs="仿宋"/>
                <w:bCs/>
                <w:sz w:val="24"/>
                <w:szCs w:val="24"/>
              </w:rPr>
              <w:t>（4）支持手动创建多个评分标准。</w:t>
            </w:r>
          </w:p>
          <w:p w14:paraId="2EA2D56D">
            <w:pPr>
              <w:snapToGrid w:val="0"/>
              <w:rPr>
                <w:rFonts w:hint="eastAsia" w:ascii="仿宋" w:hAnsi="仿宋" w:eastAsia="仿宋" w:cs="仿宋"/>
                <w:bCs/>
                <w:sz w:val="24"/>
                <w:szCs w:val="24"/>
              </w:rPr>
            </w:pPr>
            <w:r>
              <w:rPr>
                <w:rFonts w:hint="eastAsia" w:ascii="仿宋" w:hAnsi="仿宋" w:eastAsia="仿宋" w:cs="仿宋"/>
                <w:bCs/>
                <w:sz w:val="24"/>
                <w:szCs w:val="24"/>
              </w:rPr>
              <w:t>（5）根据软件识别的特征自动创建评分标准</w:t>
            </w:r>
          </w:p>
          <w:p w14:paraId="27974D8B">
            <w:pPr>
              <w:snapToGrid w:val="0"/>
              <w:rPr>
                <w:rFonts w:hint="eastAsia" w:ascii="仿宋" w:hAnsi="仿宋" w:eastAsia="仿宋" w:cs="仿宋"/>
                <w:bCs/>
                <w:sz w:val="24"/>
                <w:szCs w:val="24"/>
              </w:rPr>
            </w:pPr>
            <w:r>
              <w:rPr>
                <w:rFonts w:hint="eastAsia" w:ascii="仿宋" w:hAnsi="仿宋" w:eastAsia="仿宋" w:cs="仿宋"/>
                <w:bCs/>
                <w:sz w:val="24"/>
                <w:szCs w:val="24"/>
              </w:rPr>
              <w:t>（6）根据图素评分标准中定义的制图能力（包括轮廓线、细实线、中心线等）及CAD绘图能力（包括直线、圆、圆弧等）进行统计分析，并能生成整体能力雷达图和各分项统计分析柱状图。</w:t>
            </w:r>
          </w:p>
          <w:p w14:paraId="7A1E2E37">
            <w:pPr>
              <w:snapToGrid w:val="0"/>
              <w:rPr>
                <w:rFonts w:hint="eastAsia" w:ascii="仿宋" w:hAnsi="仿宋" w:eastAsia="仿宋" w:cs="仿宋"/>
                <w:bCs/>
                <w:sz w:val="24"/>
                <w:szCs w:val="24"/>
              </w:rPr>
            </w:pPr>
            <w:r>
              <w:rPr>
                <w:rFonts w:hint="eastAsia" w:ascii="仿宋" w:hAnsi="仿宋" w:eastAsia="仿宋" w:cs="仿宋"/>
                <w:bCs/>
                <w:sz w:val="24"/>
                <w:szCs w:val="24"/>
              </w:rPr>
              <w:t>根据演示内容与招标文件的技术要求的贴合度进行评审。每提供一条符合要求的视频演示得 2 分，满分12 分。不满足或者未提供不得分。</w:t>
            </w:r>
          </w:p>
          <w:p w14:paraId="2952351E">
            <w:pPr>
              <w:snapToGrid w:val="0"/>
              <w:rPr>
                <w:rFonts w:hint="eastAsia" w:ascii="仿宋" w:hAnsi="仿宋" w:eastAsia="仿宋" w:cs="仿宋"/>
                <w:bCs/>
                <w:sz w:val="24"/>
                <w:szCs w:val="24"/>
              </w:rPr>
            </w:pPr>
            <w:r>
              <w:rPr>
                <w:rFonts w:hint="eastAsia" w:ascii="仿宋" w:hAnsi="仿宋" w:eastAsia="仿宋" w:cs="仿宋"/>
                <w:bCs/>
                <w:sz w:val="24"/>
                <w:szCs w:val="24"/>
              </w:rPr>
              <w:t>视频2零件部测绘量具虚拟仿真系统（6分）</w:t>
            </w:r>
          </w:p>
          <w:p w14:paraId="23C854C8">
            <w:pPr>
              <w:snapToGrid w:val="0"/>
              <w:rPr>
                <w:rFonts w:hint="eastAsia" w:ascii="仿宋" w:hAnsi="仿宋" w:eastAsia="仿宋" w:cs="仿宋"/>
                <w:bCs/>
                <w:sz w:val="24"/>
                <w:szCs w:val="24"/>
              </w:rPr>
            </w:pPr>
            <w:r>
              <w:rPr>
                <w:rFonts w:hint="eastAsia" w:ascii="仿宋" w:hAnsi="仿宋" w:eastAsia="仿宋" w:cs="仿宋"/>
                <w:bCs/>
                <w:sz w:val="24"/>
                <w:szCs w:val="24"/>
              </w:rPr>
              <w:t>（1）支持每种模拟工件的尺寸随机生成多组数据进行测验（数量可自定义）</w:t>
            </w:r>
          </w:p>
          <w:p w14:paraId="2A1EDE34">
            <w:pPr>
              <w:snapToGrid w:val="0"/>
              <w:rPr>
                <w:rFonts w:hint="eastAsia" w:ascii="仿宋" w:hAnsi="仿宋" w:eastAsia="仿宋" w:cs="仿宋"/>
                <w:bCs/>
                <w:sz w:val="24"/>
                <w:szCs w:val="24"/>
              </w:rPr>
            </w:pPr>
            <w:r>
              <w:rPr>
                <w:rFonts w:hint="eastAsia" w:ascii="仿宋" w:hAnsi="仿宋" w:eastAsia="仿宋" w:cs="仿宋"/>
                <w:bCs/>
                <w:sz w:val="24"/>
                <w:szCs w:val="24"/>
              </w:rPr>
              <w:t>（2）系统支持根据时间查询不同的考试项目，针对不同的考试项目可生成整个班级成绩统计分析的饼状图、柱状图；</w:t>
            </w:r>
          </w:p>
          <w:p w14:paraId="1E483D37">
            <w:pPr>
              <w:snapToGrid w:val="0"/>
              <w:rPr>
                <w:rFonts w:hint="eastAsia" w:ascii="仿宋" w:hAnsi="仿宋" w:eastAsia="仿宋" w:cs="仿宋"/>
                <w:bCs/>
                <w:sz w:val="24"/>
                <w:szCs w:val="24"/>
              </w:rPr>
            </w:pPr>
            <w:r>
              <w:rPr>
                <w:rFonts w:hint="eastAsia" w:ascii="仿宋" w:hAnsi="仿宋" w:eastAsia="仿宋" w:cs="仿宋"/>
                <w:bCs/>
                <w:sz w:val="24"/>
                <w:szCs w:val="24"/>
              </w:rPr>
              <w:t>（3）系统支持查看每个学生的针对每个项目的考试用时、得分、排名及查看错题。</w:t>
            </w:r>
          </w:p>
          <w:p w14:paraId="7774E6D7">
            <w:pPr>
              <w:snapToGrid w:val="0"/>
              <w:rPr>
                <w:rFonts w:hint="eastAsia" w:ascii="仿宋" w:hAnsi="仿宋" w:eastAsia="仿宋" w:cs="仿宋"/>
                <w:bCs/>
                <w:sz w:val="24"/>
                <w:szCs w:val="24"/>
                <w:lang w:eastAsia="zh-CN"/>
              </w:rPr>
            </w:pPr>
            <w:r>
              <w:rPr>
                <w:rFonts w:hint="eastAsia" w:ascii="仿宋" w:hAnsi="仿宋" w:eastAsia="仿宋" w:cs="仿宋"/>
                <w:bCs/>
                <w:sz w:val="24"/>
                <w:szCs w:val="24"/>
              </w:rPr>
              <w:t>要求对招标文件参数内容提供实际软件产品视频演示（不接受录像及PPT动画等其他形式演示），根据演示内容与招标文件的技术要求的贴合度进行评审。每提供一条符合要求的演示得 2 分，满分6 分。不满足或者未提供不得分</w:t>
            </w:r>
            <w:r>
              <w:rPr>
                <w:rFonts w:hint="eastAsia" w:ascii="仿宋" w:hAnsi="仿宋" w:eastAsia="仿宋" w:cs="仿宋"/>
                <w:bCs/>
                <w:sz w:val="24"/>
                <w:szCs w:val="24"/>
                <w:lang w:eastAsia="zh-CN"/>
              </w:rPr>
              <w:t>。</w:t>
            </w:r>
          </w:p>
        </w:tc>
        <w:tc>
          <w:tcPr>
            <w:tcW w:w="621" w:type="pct"/>
            <w:vAlign w:val="center"/>
          </w:tcPr>
          <w:p w14:paraId="5C5BC734">
            <w:pPr>
              <w:snapToGrid w:val="0"/>
              <w:jc w:val="center"/>
              <w:rPr>
                <w:rFonts w:hint="eastAsia" w:ascii="仿宋" w:hAnsi="仿宋" w:eastAsia="仿宋" w:cs="仿宋"/>
                <w:bCs/>
                <w:sz w:val="24"/>
                <w:szCs w:val="24"/>
              </w:rPr>
            </w:pPr>
            <w:r>
              <w:rPr>
                <w:rFonts w:hint="eastAsia" w:ascii="仿宋" w:hAnsi="仿宋" w:eastAsia="仿宋" w:cs="仿宋"/>
                <w:bCs/>
                <w:sz w:val="24"/>
                <w:szCs w:val="24"/>
              </w:rPr>
              <w:t>0-18分</w:t>
            </w:r>
          </w:p>
        </w:tc>
      </w:tr>
      <w:tr w14:paraId="32D1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0BF8F8EE">
            <w:pPr>
              <w:snapToGrid w:val="0"/>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938" w:type="pct"/>
            <w:vAlign w:val="center"/>
          </w:tcPr>
          <w:p w14:paraId="1AB51A3F">
            <w:pPr>
              <w:snapToGrid w:val="0"/>
              <w:jc w:val="center"/>
              <w:rPr>
                <w:rFonts w:hint="eastAsia" w:ascii="仿宋" w:hAnsi="仿宋" w:eastAsia="仿宋" w:cs="仿宋"/>
                <w:bCs/>
                <w:sz w:val="24"/>
                <w:szCs w:val="24"/>
              </w:rPr>
            </w:pPr>
            <w:r>
              <w:rPr>
                <w:rFonts w:hint="eastAsia" w:ascii="仿宋" w:hAnsi="仿宋" w:eastAsia="仿宋" w:cs="仿宋"/>
                <w:bCs/>
                <w:sz w:val="24"/>
                <w:szCs w:val="24"/>
              </w:rPr>
              <w:t>实施方案</w:t>
            </w:r>
          </w:p>
        </w:tc>
        <w:tc>
          <w:tcPr>
            <w:tcW w:w="2973" w:type="pct"/>
            <w:vAlign w:val="center"/>
          </w:tcPr>
          <w:p w14:paraId="3AFB294B">
            <w:pPr>
              <w:snapToGrid w:val="0"/>
              <w:rPr>
                <w:rFonts w:hint="eastAsia" w:ascii="仿宋" w:hAnsi="仿宋" w:eastAsia="仿宋" w:cs="仿宋"/>
                <w:bCs/>
                <w:sz w:val="24"/>
                <w:szCs w:val="24"/>
              </w:rPr>
            </w:pPr>
            <w:r>
              <w:rPr>
                <w:rFonts w:hint="eastAsia" w:ascii="仿宋" w:hAnsi="仿宋" w:eastAsia="仿宋" w:cs="仿宋"/>
                <w:bCs/>
                <w:sz w:val="24"/>
                <w:szCs w:val="24"/>
              </w:rPr>
              <w:t>根据供应商对本项目供货组织方案、质量保障措施、货物运输方案及运输方式、实施进度计划，进行综合评审。方案详实具体、内容完善且完全符合采购需求的得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分,基本符合得</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分，部分符合得1分，不符合或未提供内容得0分。</w:t>
            </w:r>
          </w:p>
        </w:tc>
        <w:tc>
          <w:tcPr>
            <w:tcW w:w="621" w:type="pct"/>
            <w:vAlign w:val="center"/>
          </w:tcPr>
          <w:p w14:paraId="0D6642B6">
            <w:pPr>
              <w:snapToGrid w:val="0"/>
              <w:jc w:val="center"/>
              <w:rPr>
                <w:rFonts w:hint="eastAsia" w:ascii="仿宋" w:hAnsi="仿宋" w:eastAsia="仿宋" w:cs="仿宋"/>
                <w:bCs/>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p>
        </w:tc>
      </w:tr>
      <w:tr w14:paraId="29E0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390152D0">
            <w:pPr>
              <w:snapToGrid w:val="0"/>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938" w:type="pct"/>
            <w:vAlign w:val="center"/>
          </w:tcPr>
          <w:p w14:paraId="5F118944">
            <w:pPr>
              <w:snapToGrid w:val="0"/>
              <w:jc w:val="center"/>
              <w:rPr>
                <w:rFonts w:hint="eastAsia" w:ascii="仿宋" w:hAnsi="仿宋" w:eastAsia="仿宋" w:cs="仿宋"/>
                <w:bCs/>
                <w:sz w:val="24"/>
                <w:szCs w:val="24"/>
              </w:rPr>
            </w:pPr>
            <w:r>
              <w:rPr>
                <w:rFonts w:hint="eastAsia" w:ascii="仿宋" w:hAnsi="仿宋" w:eastAsia="仿宋" w:cs="仿宋"/>
                <w:bCs/>
                <w:sz w:val="24"/>
                <w:szCs w:val="24"/>
              </w:rPr>
              <w:t>专业人员配备</w:t>
            </w:r>
          </w:p>
        </w:tc>
        <w:tc>
          <w:tcPr>
            <w:tcW w:w="2973" w:type="pct"/>
            <w:vAlign w:val="center"/>
          </w:tcPr>
          <w:p w14:paraId="618D89F9">
            <w:pPr>
              <w:snapToGrid w:val="0"/>
              <w:rPr>
                <w:rFonts w:hint="eastAsia" w:ascii="仿宋" w:hAnsi="仿宋" w:eastAsia="仿宋" w:cs="仿宋"/>
                <w:bCs/>
                <w:sz w:val="24"/>
                <w:szCs w:val="24"/>
              </w:rPr>
            </w:pPr>
            <w:r>
              <w:rPr>
                <w:rFonts w:hint="eastAsia" w:ascii="仿宋" w:hAnsi="仿宋" w:eastAsia="仿宋" w:cs="仿宋"/>
                <w:bCs/>
                <w:sz w:val="24"/>
                <w:szCs w:val="24"/>
              </w:rPr>
              <w:t>根据供应商提供的人员配备方案是否完整可行进行综合评审。人员配备方案方案详实具体、内容完善且完全符合采购需求的得3分,基本符合得2分，部分符合得1分，不符合或未提供内容得0分。</w:t>
            </w:r>
          </w:p>
        </w:tc>
        <w:tc>
          <w:tcPr>
            <w:tcW w:w="621" w:type="pct"/>
            <w:vAlign w:val="center"/>
          </w:tcPr>
          <w:p w14:paraId="59FE3F20">
            <w:pPr>
              <w:snapToGrid w:val="0"/>
              <w:jc w:val="center"/>
              <w:rPr>
                <w:rFonts w:hint="eastAsia" w:ascii="仿宋" w:hAnsi="仿宋" w:eastAsia="仿宋" w:cs="仿宋"/>
                <w:bCs/>
                <w:sz w:val="24"/>
                <w:szCs w:val="24"/>
              </w:rPr>
            </w:pPr>
            <w:r>
              <w:rPr>
                <w:rFonts w:hint="eastAsia" w:ascii="仿宋" w:hAnsi="仿宋" w:eastAsia="仿宋" w:cs="仿宋"/>
                <w:bCs/>
                <w:sz w:val="24"/>
                <w:szCs w:val="24"/>
              </w:rPr>
              <w:t>0-3分</w:t>
            </w:r>
          </w:p>
        </w:tc>
      </w:tr>
      <w:tr w14:paraId="36CA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465" w:type="pct"/>
            <w:vAlign w:val="center"/>
          </w:tcPr>
          <w:p w14:paraId="493F49B1">
            <w:pPr>
              <w:snapToGrid w:val="0"/>
              <w:ind w:firstLine="240" w:firstLineChars="100"/>
              <w:jc w:val="both"/>
              <w:rPr>
                <w:rFonts w:hint="eastAsia" w:ascii="仿宋" w:hAnsi="仿宋" w:eastAsia="仿宋" w:cs="仿宋"/>
                <w:bCs/>
                <w:sz w:val="24"/>
                <w:szCs w:val="24"/>
              </w:rPr>
            </w:pPr>
            <w:r>
              <w:rPr>
                <w:rFonts w:hint="eastAsia" w:ascii="仿宋" w:hAnsi="仿宋" w:eastAsia="仿宋" w:cs="仿宋"/>
                <w:bCs/>
                <w:sz w:val="24"/>
                <w:szCs w:val="24"/>
              </w:rPr>
              <w:t>5</w:t>
            </w:r>
          </w:p>
        </w:tc>
        <w:tc>
          <w:tcPr>
            <w:tcW w:w="938" w:type="pct"/>
            <w:vAlign w:val="center"/>
          </w:tcPr>
          <w:p w14:paraId="434045A8">
            <w:pPr>
              <w:snapToGrid w:val="0"/>
              <w:ind w:firstLine="240" w:firstLineChars="100"/>
              <w:jc w:val="center"/>
              <w:rPr>
                <w:rFonts w:hint="eastAsia" w:ascii="仿宋" w:hAnsi="仿宋" w:eastAsia="仿宋" w:cs="仿宋"/>
                <w:bCs/>
                <w:sz w:val="24"/>
                <w:szCs w:val="24"/>
              </w:rPr>
            </w:pPr>
            <w:r>
              <w:rPr>
                <w:rFonts w:hint="eastAsia" w:ascii="仿宋" w:hAnsi="仿宋" w:eastAsia="仿宋" w:cs="仿宋"/>
                <w:bCs/>
                <w:sz w:val="24"/>
                <w:szCs w:val="24"/>
              </w:rPr>
              <w:t>售后服务</w:t>
            </w:r>
          </w:p>
        </w:tc>
        <w:tc>
          <w:tcPr>
            <w:tcW w:w="2973" w:type="pct"/>
            <w:vAlign w:val="center"/>
          </w:tcPr>
          <w:p w14:paraId="4231E9B8">
            <w:pPr>
              <w:snapToGrid w:val="0"/>
              <w:rPr>
                <w:rFonts w:hint="eastAsia" w:ascii="仿宋" w:hAnsi="仿宋" w:eastAsia="仿宋" w:cs="仿宋"/>
                <w:bCs/>
                <w:sz w:val="24"/>
                <w:szCs w:val="24"/>
              </w:rPr>
            </w:pPr>
            <w:r>
              <w:rPr>
                <w:rFonts w:hint="eastAsia" w:ascii="仿宋" w:hAnsi="仿宋" w:eastAsia="仿宋" w:cs="仿宋"/>
                <w:bCs/>
                <w:sz w:val="24"/>
                <w:szCs w:val="24"/>
                <w:lang w:val="zh-CN"/>
              </w:rPr>
              <w:t>售后服务维护计划：（1）服务团队（2）服务内容、（3）定期巡检（4）对故障的响应、修复时间承诺情况，每项内容完整的得1分，最高得4分。</w:t>
            </w:r>
          </w:p>
        </w:tc>
        <w:tc>
          <w:tcPr>
            <w:tcW w:w="621" w:type="pct"/>
            <w:vAlign w:val="center"/>
          </w:tcPr>
          <w:p w14:paraId="37C4C748">
            <w:pPr>
              <w:snapToGrid w:val="0"/>
              <w:jc w:val="center"/>
              <w:rPr>
                <w:rFonts w:hint="eastAsia" w:ascii="仿宋" w:hAnsi="仿宋" w:eastAsia="仿宋" w:cs="仿宋"/>
                <w:bCs/>
                <w:sz w:val="24"/>
                <w:szCs w:val="24"/>
              </w:rPr>
            </w:pPr>
            <w:r>
              <w:rPr>
                <w:rFonts w:hint="eastAsia" w:ascii="仿宋" w:hAnsi="仿宋" w:eastAsia="仿宋" w:cs="仿宋"/>
                <w:bCs/>
                <w:sz w:val="24"/>
                <w:szCs w:val="24"/>
              </w:rPr>
              <w:t>0-4分</w:t>
            </w:r>
          </w:p>
        </w:tc>
      </w:tr>
      <w:tr w14:paraId="6069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65" w:type="pct"/>
            <w:vAlign w:val="center"/>
          </w:tcPr>
          <w:p w14:paraId="5EA2B4E0">
            <w:pPr>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938" w:type="pct"/>
            <w:vAlign w:val="center"/>
          </w:tcPr>
          <w:p w14:paraId="5042680D">
            <w:pPr>
              <w:widowControl/>
              <w:snapToGrid w:val="0"/>
              <w:jc w:val="center"/>
              <w:rPr>
                <w:rFonts w:hint="eastAsia" w:ascii="仿宋" w:hAnsi="仿宋" w:eastAsia="仿宋" w:cs="仿宋"/>
                <w:sz w:val="24"/>
                <w:szCs w:val="24"/>
              </w:rPr>
            </w:pPr>
            <w:r>
              <w:rPr>
                <w:rFonts w:hint="eastAsia" w:ascii="仿宋" w:hAnsi="仿宋" w:eastAsia="仿宋" w:cs="仿宋"/>
                <w:kern w:val="0"/>
                <w:sz w:val="24"/>
                <w:szCs w:val="24"/>
                <w:lang w:bidi="ar"/>
              </w:rPr>
              <w:t>项目现状和难重点分析</w:t>
            </w:r>
          </w:p>
        </w:tc>
        <w:tc>
          <w:tcPr>
            <w:tcW w:w="2973" w:type="pct"/>
            <w:vAlign w:val="center"/>
          </w:tcPr>
          <w:p w14:paraId="78D2DEBC">
            <w:pPr>
              <w:widowControl/>
              <w:snapToGrid w:val="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供应商</w:t>
            </w:r>
            <w:r>
              <w:rPr>
                <w:rFonts w:hint="eastAsia" w:ascii="仿宋" w:hAnsi="仿宋" w:eastAsia="仿宋" w:cs="仿宋"/>
                <w:kern w:val="0"/>
                <w:sz w:val="24"/>
                <w:szCs w:val="24"/>
                <w:lang w:bidi="ar"/>
              </w:rPr>
              <w:t>根据项目建设需要，结合项目现状和难重点进行详细分析，方案详实具体、内容完善且完全符合采购需求的得3分，基本符合得2分，部分符合得1分，不符合或未提供内容得0分。</w:t>
            </w:r>
          </w:p>
        </w:tc>
        <w:tc>
          <w:tcPr>
            <w:tcW w:w="621" w:type="pct"/>
            <w:vAlign w:val="center"/>
          </w:tcPr>
          <w:p w14:paraId="4F7688CC">
            <w:pPr>
              <w:snapToGrid w:val="0"/>
              <w:jc w:val="center"/>
              <w:rPr>
                <w:rFonts w:hint="eastAsia" w:ascii="仿宋" w:hAnsi="仿宋" w:eastAsia="仿宋" w:cs="仿宋"/>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3</w:t>
            </w:r>
            <w:r>
              <w:rPr>
                <w:rFonts w:hint="eastAsia" w:ascii="仿宋" w:hAnsi="仿宋" w:eastAsia="仿宋" w:cs="仿宋"/>
                <w:sz w:val="24"/>
                <w:szCs w:val="24"/>
              </w:rPr>
              <w:t>分</w:t>
            </w:r>
          </w:p>
        </w:tc>
      </w:tr>
      <w:tr w14:paraId="203C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465" w:type="pct"/>
            <w:vAlign w:val="center"/>
          </w:tcPr>
          <w:p w14:paraId="447B4298">
            <w:pPr>
              <w:snapToGrid w:val="0"/>
              <w:jc w:val="center"/>
              <w:rPr>
                <w:rFonts w:hint="eastAsia" w:ascii="仿宋" w:hAnsi="仿宋" w:eastAsia="仿宋" w:cs="仿宋"/>
                <w:sz w:val="24"/>
                <w:szCs w:val="24"/>
              </w:rPr>
            </w:pPr>
            <w:r>
              <w:rPr>
                <w:rFonts w:hint="eastAsia" w:ascii="仿宋" w:hAnsi="仿宋" w:eastAsia="仿宋" w:cs="仿宋"/>
                <w:sz w:val="24"/>
                <w:szCs w:val="24"/>
              </w:rPr>
              <w:t>7</w:t>
            </w:r>
          </w:p>
        </w:tc>
        <w:tc>
          <w:tcPr>
            <w:tcW w:w="938" w:type="pct"/>
            <w:vAlign w:val="center"/>
          </w:tcPr>
          <w:p w14:paraId="77408532">
            <w:pPr>
              <w:snapToGrid w:val="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企业实力</w:t>
            </w:r>
          </w:p>
        </w:tc>
        <w:tc>
          <w:tcPr>
            <w:tcW w:w="2973" w:type="pct"/>
            <w:vAlign w:val="center"/>
          </w:tcPr>
          <w:p w14:paraId="2B554CE8">
            <w:pPr>
              <w:snapToGrid w:val="0"/>
              <w:rPr>
                <w:rFonts w:hint="eastAsia" w:ascii="仿宋" w:hAnsi="仿宋" w:eastAsia="仿宋" w:cs="仿宋"/>
                <w:bCs/>
                <w:sz w:val="24"/>
                <w:szCs w:val="24"/>
              </w:rPr>
            </w:pPr>
            <w:r>
              <w:rPr>
                <w:rFonts w:hint="eastAsia" w:ascii="仿宋" w:hAnsi="仿宋" w:eastAsia="仿宋" w:cs="仿宋"/>
                <w:bCs/>
                <w:sz w:val="24"/>
                <w:szCs w:val="24"/>
              </w:rPr>
              <w:t>供应商所投核心产品中具有软件著作权的每提供一个得2分，最高得2分。</w:t>
            </w:r>
          </w:p>
          <w:p w14:paraId="3E0F5422">
            <w:pPr>
              <w:snapToGrid w:val="0"/>
              <w:rPr>
                <w:rFonts w:hint="eastAsia" w:ascii="仿宋" w:hAnsi="仿宋" w:eastAsia="仿宋" w:cs="仿宋"/>
                <w:bCs/>
                <w:sz w:val="24"/>
                <w:szCs w:val="24"/>
                <w:lang w:eastAsia="zh-CN"/>
              </w:rPr>
            </w:pPr>
            <w:r>
              <w:rPr>
                <w:rFonts w:hint="eastAsia" w:ascii="仿宋" w:hAnsi="仿宋" w:eastAsia="仿宋" w:cs="仿宋"/>
                <w:bCs/>
                <w:sz w:val="24"/>
                <w:szCs w:val="24"/>
              </w:rPr>
              <w:t>注：如所投软件产品为代理产品，提供软件著作权的同时需提供加盖原厂商公章的项目授权书，否则不得分。本项目核心产品为机械零件测绘实训装置</w:t>
            </w:r>
            <w:r>
              <w:rPr>
                <w:rFonts w:hint="eastAsia" w:ascii="仿宋" w:hAnsi="仿宋" w:eastAsia="仿宋" w:cs="仿宋"/>
                <w:bCs/>
                <w:sz w:val="24"/>
                <w:szCs w:val="24"/>
                <w:lang w:eastAsia="zh-CN"/>
              </w:rPr>
              <w:t>。</w:t>
            </w:r>
          </w:p>
        </w:tc>
        <w:tc>
          <w:tcPr>
            <w:tcW w:w="621" w:type="pct"/>
            <w:vAlign w:val="center"/>
          </w:tcPr>
          <w:p w14:paraId="5BB9CC91">
            <w:pPr>
              <w:snapToGrid w:val="0"/>
              <w:jc w:val="center"/>
              <w:rPr>
                <w:rFonts w:hint="eastAsia" w:ascii="仿宋" w:hAnsi="仿宋" w:eastAsia="仿宋" w:cs="仿宋"/>
                <w:sz w:val="24"/>
                <w:szCs w:val="24"/>
              </w:rPr>
            </w:pPr>
            <w:r>
              <w:rPr>
                <w:rFonts w:hint="eastAsia" w:ascii="仿宋" w:hAnsi="仿宋" w:eastAsia="仿宋" w:cs="仿宋"/>
                <w:bCs/>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14:paraId="3B86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3D4FFA1E">
            <w:pPr>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8</w:t>
            </w:r>
          </w:p>
        </w:tc>
        <w:tc>
          <w:tcPr>
            <w:tcW w:w="938" w:type="pct"/>
            <w:vAlign w:val="center"/>
          </w:tcPr>
          <w:p w14:paraId="097BC247">
            <w:pPr>
              <w:snapToGrid w:val="0"/>
              <w:jc w:val="center"/>
              <w:rPr>
                <w:rFonts w:hint="eastAsia" w:ascii="仿宋" w:hAnsi="仿宋" w:eastAsia="仿宋" w:cs="仿宋"/>
                <w:bCs/>
                <w:sz w:val="24"/>
                <w:szCs w:val="24"/>
              </w:rPr>
            </w:pPr>
            <w:r>
              <w:rPr>
                <w:rFonts w:hint="eastAsia" w:ascii="仿宋" w:hAnsi="仿宋" w:eastAsia="仿宋" w:cs="仿宋"/>
                <w:bCs/>
                <w:sz w:val="24"/>
                <w:szCs w:val="24"/>
              </w:rPr>
              <w:t>培训方案</w:t>
            </w:r>
          </w:p>
        </w:tc>
        <w:tc>
          <w:tcPr>
            <w:tcW w:w="2973" w:type="pct"/>
            <w:vAlign w:val="center"/>
          </w:tcPr>
          <w:p w14:paraId="207F10CC">
            <w:pPr>
              <w:snapToGrid w:val="0"/>
              <w:rPr>
                <w:rFonts w:hint="eastAsia" w:ascii="仿宋" w:hAnsi="仿宋" w:eastAsia="仿宋" w:cs="仿宋"/>
                <w:bCs/>
                <w:sz w:val="24"/>
                <w:szCs w:val="24"/>
              </w:rPr>
            </w:pPr>
            <w:r>
              <w:rPr>
                <w:rFonts w:hint="eastAsia" w:ascii="仿宋" w:hAnsi="仿宋" w:eastAsia="仿宋" w:cs="仿宋"/>
                <w:bCs/>
                <w:sz w:val="24"/>
                <w:szCs w:val="24"/>
              </w:rPr>
              <w:t>提供人员培训方案，对方案中的培训计划、培训人员数量、培训内容等进行分析比较，方案详实具体、内容完善且完全符合采购需求的得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分,基本符合得</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分，部分符合得1分，不符合或未提供得0分。</w:t>
            </w:r>
          </w:p>
        </w:tc>
        <w:tc>
          <w:tcPr>
            <w:tcW w:w="621" w:type="pct"/>
            <w:vAlign w:val="center"/>
          </w:tcPr>
          <w:p w14:paraId="62E74EEB">
            <w:pPr>
              <w:snapToGrid w:val="0"/>
              <w:jc w:val="center"/>
              <w:rPr>
                <w:rFonts w:hint="eastAsia" w:ascii="仿宋" w:hAnsi="仿宋" w:eastAsia="仿宋" w:cs="仿宋"/>
                <w:bCs/>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p>
        </w:tc>
      </w:tr>
      <w:tr w14:paraId="4DC6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65" w:type="pct"/>
            <w:vAlign w:val="center"/>
          </w:tcPr>
          <w:p w14:paraId="51298BD7">
            <w:pPr>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9</w:t>
            </w:r>
          </w:p>
        </w:tc>
        <w:tc>
          <w:tcPr>
            <w:tcW w:w="938" w:type="pct"/>
            <w:vAlign w:val="center"/>
          </w:tcPr>
          <w:p w14:paraId="5594C4FC">
            <w:pPr>
              <w:snapToGrid w:val="0"/>
              <w:jc w:val="center"/>
              <w:rPr>
                <w:rFonts w:hint="eastAsia" w:ascii="仿宋" w:hAnsi="仿宋" w:eastAsia="仿宋" w:cs="仿宋"/>
                <w:bCs/>
                <w:sz w:val="24"/>
                <w:szCs w:val="24"/>
              </w:rPr>
            </w:pPr>
            <w:r>
              <w:rPr>
                <w:rFonts w:hint="eastAsia" w:ascii="仿宋" w:hAnsi="仿宋" w:eastAsia="仿宋" w:cs="仿宋"/>
                <w:bCs/>
                <w:sz w:val="24"/>
                <w:szCs w:val="24"/>
              </w:rPr>
              <w:t>业绩</w:t>
            </w:r>
          </w:p>
        </w:tc>
        <w:tc>
          <w:tcPr>
            <w:tcW w:w="2973" w:type="pct"/>
            <w:vAlign w:val="center"/>
          </w:tcPr>
          <w:p w14:paraId="11D6D25F">
            <w:pPr>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供应商近5年(2020年4月1日至今)</w:t>
            </w:r>
            <w:r>
              <w:rPr>
                <w:rFonts w:hint="eastAsia" w:ascii="仿宋" w:hAnsi="仿宋" w:eastAsia="仿宋" w:cs="仿宋"/>
                <w:bCs/>
                <w:sz w:val="24"/>
                <w:szCs w:val="24"/>
                <w:lang w:val="en-US" w:eastAsia="zh-CN"/>
              </w:rPr>
              <w:t>类似</w:t>
            </w:r>
            <w:r>
              <w:rPr>
                <w:rFonts w:hint="eastAsia" w:ascii="仿宋" w:hAnsi="仿宋" w:eastAsia="仿宋" w:cs="仿宋"/>
                <w:bCs/>
                <w:sz w:val="24"/>
                <w:szCs w:val="24"/>
              </w:rPr>
              <w:t>产品的业绩，每提供1份得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r>
              <w:rPr>
                <w:rFonts w:hint="eastAsia" w:ascii="仿宋" w:hAnsi="仿宋" w:eastAsia="仿宋" w:cs="仿宋"/>
                <w:bCs/>
                <w:sz w:val="24"/>
                <w:szCs w:val="24"/>
                <w:lang w:eastAsia="zh-CN"/>
              </w:rPr>
              <w:t>最高得</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w:t>
            </w:r>
            <w:r>
              <w:rPr>
                <w:rFonts w:hint="eastAsia" w:ascii="仿宋" w:hAnsi="仿宋" w:eastAsia="仿宋" w:cs="仿宋"/>
                <w:bCs/>
                <w:sz w:val="24"/>
                <w:szCs w:val="24"/>
                <w:lang w:val="en-US" w:eastAsia="zh-CN"/>
              </w:rPr>
              <w:t>(</w:t>
            </w:r>
            <w:r>
              <w:rPr>
                <w:rFonts w:hint="eastAsia" w:ascii="仿宋" w:hAnsi="仿宋" w:eastAsia="仿宋" w:cs="仿宋"/>
                <w:bCs/>
                <w:sz w:val="24"/>
                <w:szCs w:val="24"/>
              </w:rPr>
              <w:t>提供合同原件扫描件</w:t>
            </w:r>
            <w:r>
              <w:rPr>
                <w:rFonts w:hint="eastAsia" w:ascii="仿宋" w:hAnsi="仿宋" w:eastAsia="仿宋" w:cs="仿宋"/>
                <w:bCs/>
                <w:sz w:val="24"/>
                <w:szCs w:val="24"/>
                <w:lang w:val="en-US" w:eastAsia="zh-CN"/>
              </w:rPr>
              <w:t>或</w:t>
            </w:r>
            <w:r>
              <w:rPr>
                <w:rFonts w:hint="eastAsia" w:ascii="仿宋" w:hAnsi="仿宋" w:eastAsia="仿宋" w:cs="仿宋"/>
                <w:bCs/>
                <w:sz w:val="24"/>
                <w:szCs w:val="24"/>
              </w:rPr>
              <w:t>中标通知书原件扫描件，</w:t>
            </w:r>
            <w:r>
              <w:rPr>
                <w:rFonts w:hint="eastAsia" w:ascii="仿宋" w:hAnsi="仿宋" w:eastAsia="仿宋" w:cs="仿宋"/>
                <w:bCs/>
                <w:sz w:val="24"/>
                <w:szCs w:val="24"/>
                <w:lang w:val="en-US" w:eastAsia="zh-CN"/>
              </w:rPr>
              <w:t>未提供</w:t>
            </w:r>
            <w:r>
              <w:rPr>
                <w:rFonts w:hint="eastAsia" w:ascii="仿宋" w:hAnsi="仿宋" w:eastAsia="仿宋" w:cs="仿宋"/>
                <w:bCs/>
                <w:sz w:val="24"/>
                <w:szCs w:val="24"/>
              </w:rPr>
              <w:t>不得分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时间</w:t>
            </w:r>
            <w:r>
              <w:rPr>
                <w:rFonts w:hint="eastAsia" w:ascii="仿宋" w:hAnsi="仿宋" w:eastAsia="仿宋" w:cs="仿宋"/>
                <w:bCs/>
                <w:sz w:val="24"/>
                <w:szCs w:val="24"/>
              </w:rPr>
              <w:t>以合同签订时间为准。</w:t>
            </w:r>
            <w:r>
              <w:rPr>
                <w:rFonts w:hint="eastAsia" w:ascii="仿宋" w:hAnsi="仿宋" w:eastAsia="仿宋" w:cs="仿宋"/>
                <w:bCs/>
                <w:sz w:val="24"/>
                <w:szCs w:val="24"/>
                <w:lang w:val="en-US" w:eastAsia="zh-CN"/>
              </w:rPr>
              <w:t>)</w:t>
            </w:r>
          </w:p>
          <w:p w14:paraId="00A68B27">
            <w:pPr>
              <w:snapToGrid w:val="0"/>
              <w:rPr>
                <w:rFonts w:hint="eastAsia" w:ascii="仿宋" w:hAnsi="仿宋" w:eastAsia="仿宋" w:cs="仿宋"/>
                <w:bCs/>
                <w:sz w:val="24"/>
                <w:szCs w:val="24"/>
              </w:rPr>
            </w:pPr>
            <w:r>
              <w:rPr>
                <w:rFonts w:hint="eastAsia" w:ascii="仿宋" w:hAnsi="仿宋" w:eastAsia="仿宋" w:cs="仿宋"/>
                <w:bCs/>
                <w:sz w:val="24"/>
                <w:szCs w:val="24"/>
              </w:rPr>
              <w:t>本项目</w:t>
            </w:r>
            <w:r>
              <w:rPr>
                <w:rFonts w:hint="eastAsia" w:ascii="仿宋" w:hAnsi="仿宋" w:eastAsia="仿宋" w:cs="仿宋"/>
                <w:bCs/>
                <w:sz w:val="24"/>
                <w:szCs w:val="24"/>
                <w:lang w:val="en-US" w:eastAsia="zh-CN"/>
              </w:rPr>
              <w:t>核心</w:t>
            </w:r>
            <w:r>
              <w:rPr>
                <w:rFonts w:hint="eastAsia" w:ascii="仿宋" w:hAnsi="仿宋" w:eastAsia="仿宋" w:cs="仿宋"/>
                <w:bCs/>
                <w:sz w:val="24"/>
                <w:szCs w:val="24"/>
              </w:rPr>
              <w:t>产品为机械零件测绘实训装置</w:t>
            </w:r>
            <w:r>
              <w:rPr>
                <w:rFonts w:hint="eastAsia" w:ascii="仿宋" w:hAnsi="仿宋" w:eastAsia="仿宋" w:cs="仿宋"/>
                <w:bCs/>
                <w:sz w:val="24"/>
                <w:szCs w:val="24"/>
                <w:lang w:eastAsia="zh-CN"/>
              </w:rPr>
              <w:t>。</w:t>
            </w:r>
          </w:p>
        </w:tc>
        <w:tc>
          <w:tcPr>
            <w:tcW w:w="621" w:type="pct"/>
            <w:vAlign w:val="center"/>
          </w:tcPr>
          <w:p w14:paraId="2F3503B6">
            <w:pPr>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0-2分</w:t>
            </w:r>
          </w:p>
        </w:tc>
      </w:tr>
    </w:tbl>
    <w:p w14:paraId="26CF9D5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E3707FC">
      <w:pPr>
        <w:pStyle w:val="2"/>
        <w:rPr>
          <w:rFonts w:hint="eastAsia" w:ascii="仿宋" w:hAnsi="仿宋" w:eastAsia="仿宋" w:cs="仿宋"/>
          <w:color w:val="auto"/>
          <w:sz w:val="28"/>
          <w:szCs w:val="28"/>
          <w:highlight w:val="none"/>
          <w:lang w:eastAsia="zh-CN"/>
        </w:rPr>
      </w:pPr>
      <w:bookmarkStart w:id="14" w:name="_Toc131706350"/>
      <w:r>
        <w:rPr>
          <w:rFonts w:hint="eastAsia" w:ascii="仿宋" w:hAnsi="仿宋" w:eastAsia="仿宋" w:cs="仿宋"/>
          <w:color w:val="auto"/>
          <w:sz w:val="28"/>
          <w:szCs w:val="28"/>
          <w:highlight w:val="none"/>
        </w:rPr>
        <w:t>第五章 合同主要条款</w:t>
      </w:r>
      <w:bookmarkEnd w:id="14"/>
    </w:p>
    <w:p w14:paraId="04355489">
      <w:pPr>
        <w:jc w:val="center"/>
        <w:rPr>
          <w:rFonts w:hint="eastAsia" w:ascii="仿宋" w:hAnsi="仿宋" w:eastAsia="仿宋" w:cs="仿宋"/>
        </w:rPr>
      </w:pPr>
      <w:r>
        <w:rPr>
          <w:rFonts w:hint="eastAsia" w:ascii="仿宋" w:hAnsi="仿宋" w:eastAsia="仿宋" w:cs="仿宋"/>
        </w:rPr>
        <w:t>（本合同为合同样稿，最终稿由双方协商后确定，但不得改变实质性内容）</w:t>
      </w:r>
    </w:p>
    <w:p w14:paraId="59D322DC">
      <w:pPr>
        <w:rPr>
          <w:rFonts w:hint="eastAsia" w:ascii="仿宋" w:hAnsi="仿宋" w:eastAsia="仿宋" w:cs="仿宋"/>
          <w:b/>
        </w:rPr>
      </w:pPr>
    </w:p>
    <w:p w14:paraId="459BA624">
      <w:pPr>
        <w:rPr>
          <w:rFonts w:hint="eastAsia" w:ascii="仿宋" w:hAnsi="仿宋" w:eastAsia="仿宋" w:cs="仿宋"/>
        </w:rPr>
      </w:pPr>
      <w:r>
        <w:rPr>
          <w:rFonts w:hint="eastAsia" w:ascii="仿宋" w:hAnsi="仿宋" w:eastAsia="仿宋" w:cs="仿宋"/>
        </w:rPr>
        <w:t>财政审批编号：                                招标文件编号：</w:t>
      </w:r>
    </w:p>
    <w:p w14:paraId="34F19E50">
      <w:pPr>
        <w:rPr>
          <w:rFonts w:hint="eastAsia" w:ascii="仿宋" w:hAnsi="仿宋" w:eastAsia="仿宋" w:cs="仿宋"/>
          <w:b/>
          <w:bCs/>
        </w:rPr>
      </w:pPr>
      <w:r>
        <w:rPr>
          <w:rFonts w:hint="eastAsia" w:ascii="仿宋" w:hAnsi="仿宋" w:eastAsia="仿宋" w:cs="仿宋"/>
          <w:b/>
          <w:bCs/>
        </w:rPr>
        <w:t>1.定义</w:t>
      </w:r>
    </w:p>
    <w:p w14:paraId="7F562F65">
      <w:pPr>
        <w:ind w:firstLine="480" w:firstLineChars="200"/>
        <w:rPr>
          <w:rFonts w:hint="eastAsia" w:ascii="仿宋" w:hAnsi="仿宋" w:eastAsia="仿宋" w:cs="仿宋"/>
        </w:rPr>
      </w:pPr>
      <w:r>
        <w:rPr>
          <w:rFonts w:hint="eastAsia" w:ascii="仿宋" w:hAnsi="仿宋" w:eastAsia="仿宋" w:cs="仿宋"/>
        </w:rPr>
        <w:t>本合同中的下列术语应解释为：</w:t>
      </w:r>
    </w:p>
    <w:p w14:paraId="4FBD9B7A">
      <w:pPr>
        <w:ind w:firstLine="480" w:firstLineChars="200"/>
        <w:rPr>
          <w:rFonts w:hint="eastAsia" w:ascii="仿宋" w:hAnsi="仿宋" w:eastAsia="仿宋" w:cs="仿宋"/>
        </w:rPr>
      </w:pPr>
      <w:r>
        <w:rPr>
          <w:rFonts w:hint="eastAsia" w:ascii="仿宋" w:hAnsi="仿宋" w:eastAsia="仿宋" w:cs="仿宋"/>
        </w:rPr>
        <w:t>1.1“合同”系指供需双方签署的、合同格式中载明的供需双方所达成的协议，包括所有的附件、附录和构成合同的所有文件；</w:t>
      </w:r>
    </w:p>
    <w:p w14:paraId="1854CB52">
      <w:pPr>
        <w:ind w:firstLine="480" w:firstLineChars="200"/>
        <w:rPr>
          <w:rFonts w:hint="eastAsia" w:ascii="仿宋" w:hAnsi="仿宋" w:eastAsia="仿宋" w:cs="仿宋"/>
        </w:rPr>
      </w:pPr>
      <w:r>
        <w:rPr>
          <w:rFonts w:hint="eastAsia" w:ascii="仿宋" w:hAnsi="仿宋" w:eastAsia="仿宋" w:cs="仿宋"/>
        </w:rPr>
        <w:t>1.2“合同价”系指根据合同规定，采购人在供应商完全履行合同义务后应付给的价格；</w:t>
      </w:r>
    </w:p>
    <w:p w14:paraId="060996A1">
      <w:pPr>
        <w:ind w:firstLine="480" w:firstLineChars="200"/>
        <w:rPr>
          <w:rFonts w:hint="eastAsia" w:ascii="仿宋" w:hAnsi="仿宋" w:eastAsia="仿宋" w:cs="仿宋"/>
        </w:rPr>
      </w:pPr>
      <w:r>
        <w:rPr>
          <w:rFonts w:hint="eastAsia" w:ascii="仿宋" w:hAnsi="仿宋" w:eastAsia="仿宋" w:cs="仿宋"/>
        </w:rPr>
        <w:t>1.3“货物”系指供应商根据合同规定向采购人提供的一切货物、质量保证书和其他技术资料及技术参数；</w:t>
      </w:r>
    </w:p>
    <w:p w14:paraId="659285DA">
      <w:pPr>
        <w:ind w:firstLine="480" w:firstLineChars="200"/>
        <w:rPr>
          <w:rFonts w:hint="eastAsia" w:ascii="仿宋" w:hAnsi="仿宋" w:eastAsia="仿宋" w:cs="仿宋"/>
        </w:rPr>
      </w:pPr>
      <w:r>
        <w:rPr>
          <w:rFonts w:hint="eastAsia" w:ascii="仿宋" w:hAnsi="仿宋" w:eastAsia="仿宋" w:cs="仿宋"/>
        </w:rPr>
        <w:t>1.4“服务”系指根据合同规定供应商承担与供货有关的辅助服务，如运输、装卸、安装、保险以及其他的服务，例如安装、调试提供技术援助、培训和其他类似的义务；</w:t>
      </w:r>
    </w:p>
    <w:p w14:paraId="65A55136">
      <w:pPr>
        <w:ind w:firstLine="480" w:firstLineChars="200"/>
        <w:rPr>
          <w:rFonts w:hint="eastAsia" w:ascii="仿宋" w:hAnsi="仿宋" w:eastAsia="仿宋" w:cs="仿宋"/>
        </w:rPr>
      </w:pPr>
      <w:r>
        <w:rPr>
          <w:rFonts w:hint="eastAsia" w:ascii="仿宋" w:hAnsi="仿宋" w:eastAsia="仿宋" w:cs="仿宋"/>
        </w:rPr>
        <w:t>1.5“采购人”系指具体使用货物和接受服务的使用单位；</w:t>
      </w:r>
    </w:p>
    <w:p w14:paraId="45C8992A">
      <w:pPr>
        <w:ind w:firstLine="480" w:firstLineChars="200"/>
        <w:rPr>
          <w:rFonts w:hint="eastAsia" w:ascii="仿宋" w:hAnsi="仿宋" w:eastAsia="仿宋" w:cs="仿宋"/>
        </w:rPr>
      </w:pPr>
      <w:r>
        <w:rPr>
          <w:rFonts w:hint="eastAsia" w:ascii="仿宋" w:hAnsi="仿宋" w:eastAsia="仿宋" w:cs="仿宋"/>
        </w:rPr>
        <w:t>1.6“供应商”系指根据合同规定提供采购项目货物和服务的具有法人资格的公司、企业或实体；</w:t>
      </w:r>
    </w:p>
    <w:p w14:paraId="77B0E042">
      <w:pPr>
        <w:ind w:firstLine="480" w:firstLineChars="200"/>
        <w:rPr>
          <w:rFonts w:hint="eastAsia" w:ascii="仿宋" w:hAnsi="仿宋" w:eastAsia="仿宋" w:cs="仿宋"/>
        </w:rPr>
      </w:pPr>
      <w:r>
        <w:rPr>
          <w:rFonts w:hint="eastAsia" w:ascii="仿宋" w:hAnsi="仿宋" w:eastAsia="仿宋" w:cs="仿宋"/>
        </w:rPr>
        <w:t>1.7“财政审批编号”系指市财政局审批编号。</w:t>
      </w:r>
    </w:p>
    <w:p w14:paraId="4A0B2EEB">
      <w:pPr>
        <w:rPr>
          <w:rFonts w:hint="eastAsia" w:ascii="仿宋" w:hAnsi="仿宋" w:eastAsia="仿宋" w:cs="仿宋"/>
          <w:b/>
          <w:bCs/>
        </w:rPr>
      </w:pPr>
      <w:r>
        <w:rPr>
          <w:rFonts w:hint="eastAsia" w:ascii="仿宋" w:hAnsi="仿宋" w:eastAsia="仿宋" w:cs="仿宋"/>
          <w:b/>
          <w:bCs/>
        </w:rPr>
        <w:t>2.合同项目与内容</w:t>
      </w:r>
    </w:p>
    <w:p w14:paraId="18797226">
      <w:pPr>
        <w:rPr>
          <w:rFonts w:hint="eastAsia" w:ascii="仿宋" w:hAnsi="仿宋" w:eastAsia="仿宋" w:cs="仿宋"/>
          <w:color w:val="auto"/>
          <w:lang w:eastAsia="zh-CN"/>
        </w:rPr>
      </w:pPr>
      <w:r>
        <w:rPr>
          <w:rFonts w:hint="eastAsia" w:ascii="仿宋" w:hAnsi="仿宋" w:eastAsia="仿宋" w:cs="仿宋"/>
          <w:color w:val="auto"/>
          <w:lang w:eastAsia="zh-CN"/>
        </w:rPr>
        <w:t>湖州职业技术学院新校园机械零部件测绘实训室建设项目</w:t>
      </w:r>
    </w:p>
    <w:p w14:paraId="4A1E12FD">
      <w:pPr>
        <w:rPr>
          <w:rFonts w:hint="eastAsia" w:ascii="仿宋" w:hAnsi="仿宋" w:eastAsia="仿宋" w:cs="仿宋"/>
          <w:b/>
          <w:bCs/>
        </w:rPr>
      </w:pPr>
      <w:r>
        <w:rPr>
          <w:rFonts w:hint="eastAsia" w:ascii="仿宋" w:hAnsi="仿宋" w:eastAsia="仿宋" w:cs="仿宋"/>
          <w:b/>
          <w:bCs/>
        </w:rPr>
        <w:t>3.交货时间与服务地点</w:t>
      </w:r>
    </w:p>
    <w:p w14:paraId="74A183A0">
      <w:pPr>
        <w:ind w:firstLine="480" w:firstLineChars="200"/>
        <w:rPr>
          <w:rFonts w:hint="eastAsia" w:ascii="仿宋" w:hAnsi="仿宋" w:eastAsia="仿宋" w:cs="仿宋"/>
        </w:rPr>
      </w:pPr>
      <w:r>
        <w:rPr>
          <w:rFonts w:hint="eastAsia" w:ascii="仿宋" w:hAnsi="仿宋" w:eastAsia="仿宋" w:cs="仿宋"/>
        </w:rPr>
        <w:t>交货时间：详见</w:t>
      </w:r>
      <w:r>
        <w:rPr>
          <w:rFonts w:hint="eastAsia" w:ascii="仿宋" w:hAnsi="仿宋" w:eastAsia="仿宋" w:cs="仿宋"/>
          <w:lang w:val="en-US" w:eastAsia="zh-CN"/>
        </w:rPr>
        <w:t>招标</w:t>
      </w:r>
      <w:r>
        <w:rPr>
          <w:rFonts w:hint="eastAsia" w:ascii="仿宋" w:hAnsi="仿宋" w:eastAsia="仿宋" w:cs="仿宋"/>
        </w:rPr>
        <w:t>文件要求；</w:t>
      </w:r>
    </w:p>
    <w:p w14:paraId="01AC688F">
      <w:pPr>
        <w:ind w:firstLine="480" w:firstLineChars="200"/>
        <w:rPr>
          <w:rFonts w:hint="eastAsia" w:ascii="仿宋" w:hAnsi="仿宋" w:eastAsia="仿宋" w:cs="仿宋"/>
        </w:rPr>
      </w:pPr>
      <w:r>
        <w:rPr>
          <w:rFonts w:hint="eastAsia" w:ascii="仿宋" w:hAnsi="仿宋" w:eastAsia="仿宋" w:cs="仿宋"/>
        </w:rPr>
        <w:t>交货地点：由采购单位指定。</w:t>
      </w:r>
    </w:p>
    <w:p w14:paraId="6E1799F7">
      <w:pPr>
        <w:rPr>
          <w:rFonts w:hint="eastAsia" w:ascii="仿宋" w:hAnsi="仿宋" w:eastAsia="仿宋" w:cs="仿宋"/>
          <w:b/>
          <w:bCs/>
        </w:rPr>
      </w:pPr>
      <w:r>
        <w:rPr>
          <w:rFonts w:hint="eastAsia" w:ascii="仿宋" w:hAnsi="仿宋" w:eastAsia="仿宋" w:cs="仿宋"/>
          <w:b/>
          <w:bCs/>
        </w:rPr>
        <w:t>4.签署合同的要求</w:t>
      </w:r>
    </w:p>
    <w:p w14:paraId="57236680">
      <w:pPr>
        <w:ind w:firstLine="480" w:firstLineChars="200"/>
        <w:rPr>
          <w:rFonts w:hint="eastAsia" w:ascii="仿宋" w:hAnsi="仿宋" w:eastAsia="仿宋" w:cs="仿宋"/>
        </w:rPr>
      </w:pPr>
      <w:r>
        <w:rPr>
          <w:rFonts w:hint="eastAsia" w:ascii="仿宋" w:hAnsi="仿宋" w:eastAsia="仿宋" w:cs="仿宋"/>
        </w:rPr>
        <w:t>4.1供应商必须按照响应文件和询标过程中承诺的条款以及成交通知书中规定的时间、地点与采购人签订合同；</w:t>
      </w:r>
    </w:p>
    <w:p w14:paraId="56B511D2">
      <w:pPr>
        <w:ind w:firstLine="480" w:firstLineChars="200"/>
        <w:rPr>
          <w:rFonts w:hint="eastAsia" w:ascii="仿宋" w:hAnsi="仿宋" w:eastAsia="仿宋" w:cs="仿宋"/>
        </w:rPr>
      </w:pPr>
      <w:r>
        <w:rPr>
          <w:rFonts w:hint="eastAsia" w:ascii="仿宋" w:hAnsi="仿宋" w:eastAsia="仿宋" w:cs="仿宋"/>
        </w:rPr>
        <w:t>4.2所签订的合同内容不得对招标文件和供应商的响应文件作实质性修改；</w:t>
      </w:r>
    </w:p>
    <w:p w14:paraId="768E01ED">
      <w:pPr>
        <w:ind w:firstLine="480" w:firstLineChars="200"/>
        <w:rPr>
          <w:rFonts w:hint="eastAsia" w:ascii="仿宋" w:hAnsi="仿宋" w:eastAsia="仿宋" w:cs="仿宋"/>
        </w:rPr>
      </w:pPr>
      <w:r>
        <w:rPr>
          <w:rFonts w:hint="eastAsia" w:ascii="仿宋" w:hAnsi="仿宋" w:eastAsia="仿宋" w:cs="仿宋"/>
        </w:rPr>
        <w:t>4.3采购人不得向供应商提出任何不合理的要求，作为签订合同的条件，不得与供应商私下订立背离合同实质性内容的协议；</w:t>
      </w:r>
    </w:p>
    <w:p w14:paraId="15A335ED">
      <w:pPr>
        <w:ind w:firstLine="480" w:firstLineChars="200"/>
        <w:rPr>
          <w:rFonts w:hint="eastAsia" w:ascii="仿宋" w:hAnsi="仿宋" w:eastAsia="仿宋" w:cs="仿宋"/>
        </w:rPr>
      </w:pPr>
      <w:r>
        <w:rPr>
          <w:rFonts w:hint="eastAsia" w:ascii="仿宋" w:hAnsi="仿宋" w:eastAsia="仿宋" w:cs="仿宋"/>
        </w:rPr>
        <w:t>4.4自采购合同签订之日起7个工作日内，将采购合同副本1份送本项目招标代理机构备案。</w:t>
      </w:r>
    </w:p>
    <w:p w14:paraId="71CDC7B1">
      <w:pPr>
        <w:rPr>
          <w:rFonts w:hint="eastAsia" w:ascii="仿宋" w:hAnsi="仿宋" w:eastAsia="仿宋" w:cs="仿宋"/>
          <w:b/>
          <w:bCs/>
        </w:rPr>
      </w:pPr>
      <w:r>
        <w:rPr>
          <w:rFonts w:hint="eastAsia" w:ascii="仿宋" w:hAnsi="仿宋" w:eastAsia="仿宋" w:cs="仿宋"/>
          <w:b/>
          <w:bCs/>
        </w:rPr>
        <w:t>5.技术规范</w:t>
      </w:r>
    </w:p>
    <w:p w14:paraId="2148476F">
      <w:pPr>
        <w:ind w:firstLine="480" w:firstLineChars="200"/>
        <w:rPr>
          <w:rFonts w:hint="eastAsia" w:ascii="仿宋" w:hAnsi="仿宋" w:eastAsia="仿宋" w:cs="仿宋"/>
        </w:rPr>
      </w:pPr>
      <w:r>
        <w:rPr>
          <w:rFonts w:hint="eastAsia" w:ascii="仿宋" w:hAnsi="仿宋" w:eastAsia="仿宋" w:cs="仿宋"/>
        </w:rPr>
        <w:t>本合同执行国家及本省、市现行项目实施及验收规范及有关条例、实施办法等。</w:t>
      </w:r>
    </w:p>
    <w:p w14:paraId="575EFCFA">
      <w:pPr>
        <w:ind w:firstLine="480" w:firstLineChars="200"/>
        <w:rPr>
          <w:rFonts w:hint="eastAsia" w:ascii="仿宋" w:hAnsi="仿宋" w:eastAsia="仿宋" w:cs="仿宋"/>
        </w:rPr>
      </w:pPr>
      <w:r>
        <w:rPr>
          <w:rFonts w:hint="eastAsia" w:ascii="仿宋" w:hAnsi="仿宋" w:eastAsia="仿宋" w:cs="仿宋"/>
        </w:rPr>
        <w:t>提供和交付的服务技术规范应与磋商文件规定的技术规范相一致。</w:t>
      </w:r>
    </w:p>
    <w:p w14:paraId="2B68C73D">
      <w:pPr>
        <w:rPr>
          <w:rFonts w:hint="eastAsia" w:ascii="仿宋" w:hAnsi="仿宋" w:eastAsia="仿宋" w:cs="仿宋"/>
          <w:b/>
          <w:bCs/>
        </w:rPr>
      </w:pPr>
      <w:r>
        <w:rPr>
          <w:rFonts w:hint="eastAsia" w:ascii="仿宋" w:hAnsi="仿宋" w:eastAsia="仿宋" w:cs="仿宋"/>
          <w:b/>
          <w:bCs/>
        </w:rPr>
        <w:t>6.知识产权</w:t>
      </w:r>
    </w:p>
    <w:p w14:paraId="55565CD1">
      <w:pPr>
        <w:ind w:firstLine="480" w:firstLineChars="200"/>
        <w:rPr>
          <w:rFonts w:hint="eastAsia" w:ascii="仿宋" w:hAnsi="仿宋" w:eastAsia="仿宋" w:cs="仿宋"/>
        </w:rPr>
      </w:pPr>
      <w:r>
        <w:rPr>
          <w:rFonts w:hint="eastAsia" w:ascii="仿宋" w:hAnsi="仿宋" w:eastAsia="仿宋" w:cs="仿宋"/>
        </w:rPr>
        <w:t>供应商保证所提供的服务及货物均不存在知识产权纠纷。供应商应保证采购人在使用时不受第三方提出侵犯其专利权、商标权等知识产权的诉讼。</w:t>
      </w:r>
    </w:p>
    <w:p w14:paraId="4E3EEB56">
      <w:pPr>
        <w:rPr>
          <w:rFonts w:hint="eastAsia" w:ascii="仿宋" w:hAnsi="仿宋" w:eastAsia="仿宋" w:cs="仿宋"/>
          <w:b/>
          <w:bCs/>
        </w:rPr>
      </w:pPr>
      <w:r>
        <w:rPr>
          <w:rFonts w:hint="eastAsia" w:ascii="仿宋" w:hAnsi="仿宋" w:eastAsia="仿宋" w:cs="仿宋"/>
          <w:b/>
          <w:bCs/>
        </w:rPr>
        <w:t>7.付款方式：</w:t>
      </w:r>
    </w:p>
    <w:p w14:paraId="3993CB48">
      <w:pPr>
        <w:ind w:firstLine="48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根据省财政厅《关于进一步发挥政府采购政策功能全力推动经济稳进提质的通知》（浙财采监〔2022〕3号）要求，制定以下付款方式：</w:t>
      </w:r>
    </w:p>
    <w:p w14:paraId="0C4D9D92">
      <w:pPr>
        <w:ind w:firstLine="482"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采购人自采购合同生效及具备实施条件</w:t>
      </w:r>
      <w:r>
        <w:rPr>
          <w:rFonts w:hint="eastAsia" w:ascii="仿宋" w:hAnsi="仿宋" w:eastAsia="仿宋" w:cs="仿宋"/>
          <w:b/>
          <w:bCs/>
          <w:color w:val="000000" w:themeColor="text1"/>
          <w:lang w:eastAsia="zh-CN"/>
          <w14:textFill>
            <w14:solidFill>
              <w14:schemeClr w14:val="tx1"/>
            </w14:solidFill>
          </w14:textFill>
        </w:rPr>
        <w:t>（</w:t>
      </w:r>
      <w:r>
        <w:rPr>
          <w:rFonts w:hint="eastAsia" w:ascii="仿宋" w:hAnsi="仿宋" w:eastAsia="仿宋" w:cs="仿宋"/>
          <w:b/>
          <w:bCs/>
          <w:color w:val="000000" w:themeColor="text1"/>
          <w:lang w:val="en-US" w:eastAsia="zh-CN"/>
          <w14:textFill>
            <w14:solidFill>
              <w14:schemeClr w14:val="tx1"/>
            </w14:solidFill>
          </w14:textFill>
        </w:rPr>
        <w:t>财政相关资金到位</w:t>
      </w:r>
      <w:r>
        <w:rPr>
          <w:rFonts w:hint="eastAsia" w:ascii="仿宋" w:hAnsi="仿宋" w:eastAsia="仿宋" w:cs="仿宋"/>
          <w:b/>
          <w:bCs/>
          <w:color w:val="000000" w:themeColor="text1"/>
          <w:lang w:eastAsia="zh-CN"/>
          <w14:textFill>
            <w14:solidFill>
              <w14:schemeClr w14:val="tx1"/>
            </w14:solidFill>
          </w14:textFill>
        </w:rPr>
        <w:t>）</w:t>
      </w:r>
      <w:r>
        <w:rPr>
          <w:rFonts w:hint="eastAsia" w:ascii="仿宋" w:hAnsi="仿宋" w:eastAsia="仿宋" w:cs="仿宋"/>
          <w:b/>
          <w:bCs/>
          <w:color w:val="000000" w:themeColor="text1"/>
          <w14:textFill>
            <w14:solidFill>
              <w14:schemeClr w14:val="tx1"/>
            </w14:solidFill>
          </w14:textFill>
        </w:rPr>
        <w:t>后支付预付款，即合同金额的40%；剩余款项于采购项目验收合格后由采购人向供应商支付。中标供应商在采购人每次付款前开具专用增值税发票。</w:t>
      </w:r>
    </w:p>
    <w:p w14:paraId="3C6C3B95">
      <w:pPr>
        <w:ind w:firstLine="480" w:firstLineChars="200"/>
        <w:rPr>
          <w:rFonts w:hint="eastAsia" w:ascii="仿宋" w:hAnsi="仿宋" w:eastAsia="仿宋" w:cs="仿宋"/>
        </w:rPr>
      </w:pPr>
      <w:r>
        <w:rPr>
          <w:rFonts w:hint="eastAsia" w:ascii="仿宋" w:hAnsi="仿宋" w:eastAsia="仿宋" w:cs="仿宋"/>
        </w:rPr>
        <w:t>采购人应自收到供应商开具的</w:t>
      </w:r>
      <w:r>
        <w:rPr>
          <w:rFonts w:hint="eastAsia" w:ascii="仿宋" w:hAnsi="仿宋" w:eastAsia="仿宋" w:cs="仿宋"/>
          <w:lang w:val="en-US" w:eastAsia="zh-CN"/>
        </w:rPr>
        <w:t>专用增值税</w:t>
      </w:r>
      <w:r>
        <w:rPr>
          <w:rFonts w:hint="eastAsia" w:ascii="仿宋" w:hAnsi="仿宋" w:eastAsia="仿宋" w:cs="仿宋"/>
        </w:rPr>
        <w:t>发票后</w:t>
      </w:r>
      <w:r>
        <w:rPr>
          <w:rFonts w:hint="eastAsia" w:ascii="仿宋" w:hAnsi="仿宋" w:eastAsia="仿宋" w:cs="仿宋"/>
          <w:lang w:val="en-US" w:eastAsia="zh-CN"/>
        </w:rPr>
        <w:t>7个工作日</w:t>
      </w:r>
      <w:r>
        <w:rPr>
          <w:rFonts w:hint="eastAsia" w:ascii="仿宋" w:hAnsi="仿宋" w:eastAsia="仿宋" w:cs="仿宋"/>
        </w:rPr>
        <w:t>内将上述相关款项支付到合同约定的供应商账户。</w:t>
      </w:r>
    </w:p>
    <w:p w14:paraId="03F11C1A">
      <w:pPr>
        <w:ind w:firstLine="482" w:firstLineChars="200"/>
        <w:rPr>
          <w:rFonts w:hint="eastAsia" w:ascii="仿宋" w:hAnsi="仿宋" w:eastAsia="仿宋" w:cs="仿宋"/>
        </w:rPr>
      </w:pPr>
      <w:r>
        <w:rPr>
          <w:rFonts w:hint="eastAsia" w:ascii="仿宋" w:hAnsi="仿宋" w:eastAsia="仿宋" w:cs="仿宋"/>
          <w:b/>
          <w:bCs/>
        </w:rPr>
        <w:t>在签订合同时，供应商明确表示无需预付款或者主动要求降低预付款比例的，采购单位可不适用前述规定。</w:t>
      </w:r>
      <w:r>
        <w:rPr>
          <w:rFonts w:hint="eastAsia" w:ascii="仿宋" w:hAnsi="仿宋" w:eastAsia="仿宋" w:cs="仿宋"/>
        </w:rPr>
        <w:t>由供应商签订合同代表手抄并签字，手写文字上加盖供应商公章。供应商确认，不需支付预付款。（由供应商签订合同代表手抄并签字，手写文字上加盖供应商公章）</w:t>
      </w:r>
    </w:p>
    <w:p w14:paraId="217BCD52">
      <w:pPr>
        <w:rPr>
          <w:rFonts w:hint="eastAsia" w:ascii="仿宋" w:hAnsi="仿宋" w:eastAsia="仿宋" w:cs="仿宋"/>
          <w:b/>
          <w:bCs/>
        </w:rPr>
      </w:pPr>
      <w:r>
        <w:rPr>
          <w:rFonts w:hint="eastAsia" w:ascii="仿宋" w:hAnsi="仿宋" w:eastAsia="仿宋" w:cs="仿宋"/>
          <w:b/>
          <w:bCs/>
        </w:rPr>
        <w:t>8.支付：支付应使用人民币；</w:t>
      </w:r>
    </w:p>
    <w:p w14:paraId="03EEA304">
      <w:pPr>
        <w:rPr>
          <w:rFonts w:hint="eastAsia" w:ascii="仿宋" w:hAnsi="仿宋" w:eastAsia="仿宋" w:cs="仿宋"/>
          <w:b/>
          <w:bCs/>
        </w:rPr>
      </w:pPr>
      <w:r>
        <w:rPr>
          <w:rFonts w:hint="eastAsia" w:ascii="仿宋" w:hAnsi="仿宋" w:eastAsia="仿宋" w:cs="仿宋"/>
          <w:b/>
          <w:bCs/>
        </w:rPr>
        <w:t>9.技术服务</w:t>
      </w:r>
    </w:p>
    <w:p w14:paraId="23F5B7FF">
      <w:pPr>
        <w:ind w:firstLine="480" w:firstLineChars="200"/>
        <w:rPr>
          <w:rFonts w:hint="eastAsia" w:ascii="仿宋" w:hAnsi="仿宋" w:eastAsia="仿宋" w:cs="仿宋"/>
        </w:rPr>
      </w:pPr>
      <w:r>
        <w:rPr>
          <w:rFonts w:hint="eastAsia" w:ascii="仿宋" w:hAnsi="仿宋" w:eastAsia="仿宋" w:cs="仿宋"/>
        </w:rPr>
        <w:t>供应商应负责安排采购人相关人员进行操作、维修的培训。具体时间及培训内容在投标时由供应商提出建议；</w:t>
      </w:r>
    </w:p>
    <w:p w14:paraId="20DAA1EB">
      <w:pPr>
        <w:rPr>
          <w:rFonts w:hint="eastAsia" w:ascii="仿宋" w:hAnsi="仿宋" w:eastAsia="仿宋" w:cs="仿宋"/>
          <w:b/>
          <w:bCs/>
        </w:rPr>
      </w:pPr>
      <w:r>
        <w:rPr>
          <w:rFonts w:hint="eastAsia" w:ascii="仿宋" w:hAnsi="仿宋" w:eastAsia="仿宋" w:cs="仿宋"/>
          <w:b/>
          <w:bCs/>
        </w:rPr>
        <w:t>10.售后服务及承诺</w:t>
      </w:r>
    </w:p>
    <w:p w14:paraId="0522937E">
      <w:pPr>
        <w:ind w:firstLine="480" w:firstLineChars="200"/>
        <w:rPr>
          <w:rFonts w:hint="eastAsia" w:ascii="仿宋" w:hAnsi="仿宋" w:eastAsia="仿宋" w:cs="仿宋"/>
        </w:rPr>
      </w:pPr>
      <w:r>
        <w:rPr>
          <w:rFonts w:hint="eastAsia" w:ascii="仿宋" w:hAnsi="仿宋" w:eastAsia="仿宋" w:cs="仿宋"/>
        </w:rPr>
        <w:t>10.1供应商应明确承诺售后服务各项内容和措施，提供详细的服务地点、联系人、电话等有关资料；</w:t>
      </w:r>
    </w:p>
    <w:p w14:paraId="0A09545E">
      <w:pPr>
        <w:ind w:firstLine="480" w:firstLineChars="200"/>
        <w:rPr>
          <w:rFonts w:hint="eastAsia" w:ascii="仿宋" w:hAnsi="仿宋" w:eastAsia="仿宋" w:cs="仿宋"/>
        </w:rPr>
      </w:pPr>
      <w:r>
        <w:rPr>
          <w:rFonts w:hint="eastAsia" w:ascii="仿宋" w:hAnsi="仿宋" w:eastAsia="仿宋" w:cs="仿宋"/>
        </w:rPr>
        <w:t>10.2服务期：详见招标文件要求。在服务期内，因服务质量所发生的一切费用均由供应商承担；</w:t>
      </w:r>
    </w:p>
    <w:p w14:paraId="479305DB">
      <w:pPr>
        <w:rPr>
          <w:rFonts w:hint="eastAsia" w:ascii="仿宋" w:hAnsi="仿宋" w:eastAsia="仿宋" w:cs="仿宋"/>
          <w:b/>
          <w:bCs/>
        </w:rPr>
      </w:pPr>
      <w:r>
        <w:rPr>
          <w:rFonts w:hint="eastAsia" w:ascii="仿宋" w:hAnsi="仿宋" w:eastAsia="仿宋" w:cs="仿宋"/>
          <w:b/>
          <w:bCs/>
        </w:rPr>
        <w:t>11.履约保证及后续服务</w:t>
      </w:r>
    </w:p>
    <w:p w14:paraId="10D7281D">
      <w:pPr>
        <w:ind w:firstLine="480" w:firstLineChars="200"/>
        <w:rPr>
          <w:rFonts w:hint="eastAsia" w:ascii="仿宋" w:hAnsi="仿宋" w:eastAsia="仿宋" w:cs="仿宋"/>
        </w:rPr>
      </w:pPr>
      <w:r>
        <w:rPr>
          <w:rFonts w:hint="eastAsia" w:ascii="仿宋" w:hAnsi="仿宋" w:eastAsia="仿宋" w:cs="仿宋"/>
        </w:rPr>
        <w:t>11.1按合同总金额的 1%计收，中标供应商应在合同签订后7日内向采购人交纳履约保证金，履约保证金待合同履行完成后5个工作日内视履约情况返还(缴纳形式为银行转账，或银行、保险公司出具的保函)。</w:t>
      </w:r>
    </w:p>
    <w:p w14:paraId="4469027A">
      <w:pPr>
        <w:ind w:firstLine="480" w:firstLineChars="200"/>
        <w:rPr>
          <w:rFonts w:hint="eastAsia" w:ascii="仿宋" w:hAnsi="仿宋" w:eastAsia="仿宋" w:cs="仿宋"/>
        </w:rPr>
      </w:pPr>
      <w:r>
        <w:rPr>
          <w:rFonts w:hint="eastAsia" w:ascii="仿宋" w:hAnsi="仿宋" w:eastAsia="仿宋" w:cs="仿宋"/>
        </w:rPr>
        <w:t>11.2供应商应按招标文件规定的服务标准向采购人提供服务。</w:t>
      </w:r>
    </w:p>
    <w:p w14:paraId="2EE51BEF">
      <w:pPr>
        <w:ind w:firstLine="480" w:firstLineChars="200"/>
        <w:rPr>
          <w:rFonts w:hint="eastAsia" w:ascii="仿宋" w:hAnsi="仿宋" w:eastAsia="仿宋" w:cs="仿宋"/>
        </w:rPr>
      </w:pPr>
      <w:r>
        <w:rPr>
          <w:rFonts w:hint="eastAsia" w:ascii="仿宋" w:hAnsi="仿宋" w:eastAsia="仿宋" w:cs="仿宋"/>
        </w:rPr>
        <w:t>11.3如采购人检查发现供应商提供的服务不符合标准要求，供应商应立即进行整改，直到符合要求为止。采购人可根据考核标准中扣除供应商因检查不合格而应该扣罚的款项（扣罚款项在签订合同时明确）。</w:t>
      </w:r>
    </w:p>
    <w:p w14:paraId="3B487E9E">
      <w:pPr>
        <w:ind w:firstLine="480" w:firstLineChars="200"/>
        <w:rPr>
          <w:rFonts w:hint="eastAsia" w:ascii="仿宋" w:hAnsi="仿宋" w:eastAsia="仿宋" w:cs="仿宋"/>
        </w:rPr>
      </w:pPr>
      <w:r>
        <w:rPr>
          <w:rFonts w:hint="eastAsia" w:ascii="仿宋" w:hAnsi="仿宋" w:eastAsia="仿宋" w:cs="仿宋"/>
        </w:rPr>
        <w:t>11.4供应商提供的服务人员不符合本合同约定的数额，供应商应当自接到采购人通知之日起2日内予以补足，采购人有权按照缺岗天数及缺岗人数扣除相应的履约保证金。</w:t>
      </w:r>
    </w:p>
    <w:p w14:paraId="0002260A">
      <w:pPr>
        <w:ind w:firstLine="480" w:firstLineChars="200"/>
        <w:rPr>
          <w:rFonts w:hint="eastAsia" w:ascii="仿宋" w:hAnsi="仿宋" w:eastAsia="仿宋" w:cs="仿宋"/>
        </w:rPr>
      </w:pPr>
      <w:r>
        <w:rPr>
          <w:rFonts w:hint="eastAsia" w:ascii="仿宋" w:hAnsi="仿宋" w:eastAsia="仿宋" w:cs="仿宋"/>
        </w:rPr>
        <w:t>11.5由于供应商服务人员原因在服务工作中给采购人的设施、材料造成损失，供应商应负责赔偿。</w:t>
      </w:r>
    </w:p>
    <w:p w14:paraId="1D8BAE1A">
      <w:pPr>
        <w:ind w:firstLine="480" w:firstLineChars="200"/>
        <w:rPr>
          <w:rFonts w:hint="eastAsia" w:ascii="仿宋" w:hAnsi="仿宋" w:eastAsia="仿宋" w:cs="仿宋"/>
        </w:rPr>
      </w:pPr>
      <w:r>
        <w:rPr>
          <w:rFonts w:hint="eastAsia" w:ascii="仿宋" w:hAnsi="仿宋" w:eastAsia="仿宋" w:cs="仿宋"/>
        </w:rPr>
        <w:t>11.6在使用过程中发生问题，供应商在接到采购人通知后在</w:t>
      </w:r>
      <w:r>
        <w:rPr>
          <w:rFonts w:hint="eastAsia" w:ascii="仿宋" w:hAnsi="仿宋" w:eastAsia="仿宋" w:cs="仿宋"/>
          <w:u w:val="single"/>
        </w:rPr>
        <w:t xml:space="preserve">   </w:t>
      </w:r>
      <w:r>
        <w:rPr>
          <w:rFonts w:hint="eastAsia" w:ascii="仿宋" w:hAnsi="仿宋" w:eastAsia="仿宋" w:cs="仿宋"/>
        </w:rPr>
        <w:t>小时内到达采购人现场。</w:t>
      </w:r>
    </w:p>
    <w:p w14:paraId="572B2843">
      <w:pPr>
        <w:ind w:firstLine="480" w:firstLineChars="200"/>
        <w:rPr>
          <w:rFonts w:hint="eastAsia" w:ascii="仿宋" w:hAnsi="仿宋" w:eastAsia="仿宋" w:cs="仿宋"/>
        </w:rPr>
      </w:pPr>
      <w:r>
        <w:rPr>
          <w:rFonts w:hint="eastAsia" w:ascii="仿宋" w:hAnsi="仿宋" w:eastAsia="仿宋" w:cs="仿宋"/>
        </w:rPr>
        <w:t>11.7在服务质量保证期内，供应商应对出现的日常维修、维护及保养服务质量及安全问题负责处理解决并承担一切费用。</w:t>
      </w:r>
    </w:p>
    <w:p w14:paraId="6F643066">
      <w:pPr>
        <w:rPr>
          <w:rFonts w:hint="eastAsia" w:ascii="仿宋" w:hAnsi="仿宋" w:eastAsia="仿宋" w:cs="仿宋"/>
          <w:b/>
          <w:bCs/>
        </w:rPr>
      </w:pPr>
      <w:r>
        <w:rPr>
          <w:rFonts w:hint="eastAsia" w:ascii="仿宋" w:hAnsi="仿宋" w:eastAsia="仿宋" w:cs="仿宋"/>
          <w:b/>
          <w:bCs/>
        </w:rPr>
        <w:t>12.违约责任</w:t>
      </w:r>
    </w:p>
    <w:p w14:paraId="2B6BD301">
      <w:pPr>
        <w:ind w:firstLine="480" w:firstLineChars="200"/>
        <w:rPr>
          <w:rFonts w:hint="eastAsia" w:ascii="仿宋" w:hAnsi="仿宋" w:eastAsia="仿宋" w:cs="仿宋"/>
        </w:rPr>
      </w:pPr>
      <w:r>
        <w:rPr>
          <w:rFonts w:hint="eastAsia" w:ascii="仿宋" w:hAnsi="仿宋" w:eastAsia="仿宋" w:cs="仿宋"/>
        </w:rPr>
        <w:t>12.1采购人无正当理由拒收接受服务的，采购人向供应商偿付合同款项百分之五作为违约金。</w:t>
      </w:r>
    </w:p>
    <w:p w14:paraId="24183EB3">
      <w:pPr>
        <w:ind w:firstLine="480" w:firstLineChars="200"/>
        <w:rPr>
          <w:rFonts w:hint="eastAsia" w:ascii="仿宋" w:hAnsi="仿宋" w:eastAsia="仿宋" w:cs="仿宋"/>
        </w:rPr>
      </w:pPr>
      <w:r>
        <w:rPr>
          <w:rFonts w:hint="eastAsia" w:ascii="仿宋" w:hAnsi="仿宋" w:eastAsia="仿宋" w:cs="仿宋"/>
        </w:rPr>
        <w:t>12.2采购人无故逾期验收和办理款项支付手续的,采购人应按逾期付款总额每日万分之五向供应商支付违约金。</w:t>
      </w:r>
    </w:p>
    <w:p w14:paraId="01E47584">
      <w:pPr>
        <w:ind w:firstLine="480" w:firstLineChars="200"/>
        <w:rPr>
          <w:rFonts w:hint="eastAsia" w:ascii="仿宋" w:hAnsi="仿宋" w:eastAsia="仿宋" w:cs="仿宋"/>
        </w:rPr>
      </w:pPr>
      <w:r>
        <w:rPr>
          <w:rFonts w:hint="eastAsia" w:ascii="仿宋" w:hAnsi="仿宋" w:eastAsia="仿宋" w:cs="仿宋"/>
        </w:rPr>
        <w:t>12.3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0DAB7C26">
      <w:pPr>
        <w:ind w:firstLine="480" w:firstLineChars="200"/>
        <w:rPr>
          <w:rFonts w:hint="eastAsia" w:ascii="仿宋" w:hAnsi="仿宋" w:eastAsia="仿宋" w:cs="仿宋"/>
        </w:rPr>
      </w:pPr>
      <w:r>
        <w:rPr>
          <w:rFonts w:hint="eastAsia" w:ascii="仿宋" w:hAnsi="仿宋" w:eastAsia="仿宋" w:cs="仿宋"/>
        </w:rPr>
        <w:t>12.4如供应商提供的服务或与服务相关的物品存在知识产权纠纷而导致本合同无法继续履行，在采购人发函要求解决相关知识产权问题后</w:t>
      </w:r>
      <w:r>
        <w:rPr>
          <w:rFonts w:hint="eastAsia" w:ascii="仿宋" w:hAnsi="仿宋" w:eastAsia="仿宋" w:cs="仿宋"/>
          <w:u w:val="single"/>
        </w:rPr>
        <w:t xml:space="preserve">    </w:t>
      </w:r>
      <w:r>
        <w:rPr>
          <w:rFonts w:hint="eastAsia" w:ascii="仿宋" w:hAnsi="仿宋" w:eastAsia="仿宋" w:cs="仿宋"/>
        </w:rPr>
        <w:t>日内仍未解决的，则采购人有权单方终止本合同的履行，并要求供应商承担相应赔偿责任。</w:t>
      </w:r>
    </w:p>
    <w:p w14:paraId="5AB72171">
      <w:pPr>
        <w:rPr>
          <w:rFonts w:hint="eastAsia" w:ascii="仿宋" w:hAnsi="仿宋" w:eastAsia="仿宋" w:cs="仿宋"/>
          <w:b/>
          <w:bCs/>
        </w:rPr>
      </w:pPr>
      <w:r>
        <w:rPr>
          <w:rFonts w:hint="eastAsia" w:ascii="仿宋" w:hAnsi="仿宋" w:eastAsia="仿宋" w:cs="仿宋"/>
          <w:b/>
          <w:bCs/>
        </w:rPr>
        <w:t>13.不可抗力事件处理</w:t>
      </w:r>
    </w:p>
    <w:p w14:paraId="51079851">
      <w:pPr>
        <w:ind w:firstLine="480" w:firstLineChars="200"/>
        <w:rPr>
          <w:rFonts w:hint="eastAsia" w:ascii="仿宋" w:hAnsi="仿宋" w:eastAsia="仿宋" w:cs="仿宋"/>
        </w:rPr>
      </w:pPr>
      <w:r>
        <w:rPr>
          <w:rFonts w:hint="eastAsia" w:ascii="仿宋" w:hAnsi="仿宋" w:eastAsia="仿宋" w:cs="仿宋"/>
        </w:rPr>
        <w:t>13.1在合同有效期内，任何一方因不可抗力事件导致不能履行合同，则合同履行期可延长，其延长期与不可抗力影响期相同。</w:t>
      </w:r>
    </w:p>
    <w:p w14:paraId="23BFC863">
      <w:pPr>
        <w:ind w:firstLine="480" w:firstLineChars="200"/>
        <w:rPr>
          <w:rFonts w:hint="eastAsia" w:ascii="仿宋" w:hAnsi="仿宋" w:eastAsia="仿宋" w:cs="仿宋"/>
        </w:rPr>
      </w:pPr>
      <w:r>
        <w:rPr>
          <w:rFonts w:hint="eastAsia" w:ascii="仿宋" w:hAnsi="仿宋" w:eastAsia="仿宋" w:cs="仿宋"/>
        </w:rPr>
        <w:t>13.2不可抗力事件发生后，应立即通知对方，并寄送有关权威机构出具的证明。</w:t>
      </w:r>
    </w:p>
    <w:p w14:paraId="28DD64F6">
      <w:pPr>
        <w:ind w:firstLine="480" w:firstLineChars="200"/>
        <w:rPr>
          <w:rFonts w:hint="eastAsia" w:ascii="仿宋" w:hAnsi="仿宋" w:eastAsia="仿宋" w:cs="仿宋"/>
        </w:rPr>
      </w:pPr>
      <w:r>
        <w:rPr>
          <w:rFonts w:hint="eastAsia" w:ascii="仿宋" w:hAnsi="仿宋" w:eastAsia="仿宋" w:cs="仿宋"/>
        </w:rPr>
        <w:t>13.3不可抗力事件延续120天以上，双方应通过友好协商，确定是否继续履行合同。</w:t>
      </w:r>
    </w:p>
    <w:p w14:paraId="1D4F0B54">
      <w:pPr>
        <w:rPr>
          <w:rFonts w:hint="eastAsia" w:ascii="仿宋" w:hAnsi="仿宋" w:eastAsia="仿宋" w:cs="仿宋"/>
          <w:b/>
          <w:bCs/>
        </w:rPr>
      </w:pPr>
      <w:r>
        <w:rPr>
          <w:rFonts w:hint="eastAsia" w:ascii="仿宋" w:hAnsi="仿宋" w:eastAsia="仿宋" w:cs="仿宋"/>
          <w:b/>
          <w:bCs/>
        </w:rPr>
        <w:t>14.争议解决</w:t>
      </w:r>
    </w:p>
    <w:p w14:paraId="07FF70F4">
      <w:pPr>
        <w:ind w:firstLine="480" w:firstLineChars="200"/>
        <w:rPr>
          <w:rFonts w:hint="eastAsia" w:ascii="仿宋" w:hAnsi="仿宋" w:eastAsia="仿宋" w:cs="仿宋"/>
        </w:rPr>
      </w:pPr>
      <w:r>
        <w:rPr>
          <w:rFonts w:hint="eastAsia" w:ascii="仿宋" w:hAnsi="仿宋" w:eastAsia="仿宋" w:cs="仿宋"/>
        </w:rPr>
        <w:t>14.1在执行本合同中所发生的或与本合同有关的一切争端，合同双方应通过友好协商解决，经过协商仍不能解决，双方选择通过下列第</w:t>
      </w:r>
      <w:r>
        <w:rPr>
          <w:rFonts w:hint="eastAsia" w:ascii="仿宋" w:hAnsi="仿宋" w:eastAsia="仿宋" w:cs="仿宋"/>
          <w:u w:val="single"/>
        </w:rPr>
        <w:t xml:space="preserve">   </w:t>
      </w:r>
      <w:r>
        <w:rPr>
          <w:rFonts w:hint="eastAsia" w:ascii="仿宋" w:hAnsi="仿宋" w:eastAsia="仿宋" w:cs="仿宋"/>
        </w:rPr>
        <w:t>种方式解决：</w:t>
      </w:r>
    </w:p>
    <w:p w14:paraId="55F88F34">
      <w:pPr>
        <w:ind w:firstLine="480" w:firstLineChars="200"/>
        <w:rPr>
          <w:rFonts w:hint="eastAsia" w:ascii="仿宋" w:hAnsi="仿宋" w:eastAsia="仿宋" w:cs="仿宋"/>
        </w:rPr>
      </w:pPr>
      <w:r>
        <w:rPr>
          <w:rFonts w:hint="eastAsia" w:ascii="仿宋" w:hAnsi="仿宋" w:eastAsia="仿宋" w:cs="仿宋"/>
        </w:rPr>
        <w:t>（1）将争端提交湖州仲裁委员会仲裁</w:t>
      </w:r>
    </w:p>
    <w:p w14:paraId="341DF026">
      <w:pPr>
        <w:ind w:firstLine="480" w:firstLineChars="200"/>
        <w:rPr>
          <w:rFonts w:hint="eastAsia" w:ascii="仿宋" w:hAnsi="仿宋" w:eastAsia="仿宋" w:cs="仿宋"/>
        </w:rPr>
      </w:pPr>
      <w:r>
        <w:rPr>
          <w:rFonts w:hint="eastAsia" w:ascii="仿宋" w:hAnsi="仿宋" w:eastAsia="仿宋" w:cs="仿宋"/>
        </w:rPr>
        <w:t>（2）直接向采购人所在地有管辖权的人民法院起诉。</w:t>
      </w:r>
    </w:p>
    <w:p w14:paraId="41875E91">
      <w:pPr>
        <w:ind w:firstLine="480" w:firstLineChars="200"/>
        <w:rPr>
          <w:rFonts w:hint="eastAsia" w:ascii="仿宋" w:hAnsi="仿宋" w:eastAsia="仿宋" w:cs="仿宋"/>
        </w:rPr>
      </w:pPr>
      <w:r>
        <w:rPr>
          <w:rFonts w:hint="eastAsia" w:ascii="仿宋" w:hAnsi="仿宋" w:eastAsia="仿宋" w:cs="仿宋"/>
        </w:rPr>
        <w:t>14.2仲裁费用或诉讼费用应由败诉方负担。</w:t>
      </w:r>
    </w:p>
    <w:p w14:paraId="01CDF0DE">
      <w:pPr>
        <w:ind w:firstLine="480" w:firstLineChars="200"/>
        <w:rPr>
          <w:rFonts w:hint="eastAsia" w:ascii="仿宋" w:hAnsi="仿宋" w:eastAsia="仿宋" w:cs="仿宋"/>
        </w:rPr>
      </w:pPr>
      <w:r>
        <w:rPr>
          <w:rFonts w:hint="eastAsia" w:ascii="仿宋" w:hAnsi="仿宋" w:eastAsia="仿宋" w:cs="仿宋"/>
        </w:rPr>
        <w:t>14.3在仲裁或诉讼期间，除进行仲裁或诉讼的部分外，本合同其它部分应继续执行。</w:t>
      </w:r>
    </w:p>
    <w:p w14:paraId="5FA8EC78">
      <w:pPr>
        <w:rPr>
          <w:rFonts w:hint="eastAsia" w:ascii="仿宋" w:hAnsi="仿宋" w:eastAsia="仿宋" w:cs="仿宋"/>
          <w:b/>
          <w:bCs/>
        </w:rPr>
      </w:pPr>
      <w:r>
        <w:rPr>
          <w:rFonts w:hint="eastAsia" w:ascii="仿宋" w:hAnsi="仿宋" w:eastAsia="仿宋" w:cs="仿宋"/>
          <w:b/>
          <w:bCs/>
        </w:rPr>
        <w:t>15.转让或分包</w:t>
      </w:r>
    </w:p>
    <w:p w14:paraId="0A1BB505">
      <w:pPr>
        <w:ind w:firstLine="480" w:firstLineChars="200"/>
        <w:rPr>
          <w:rFonts w:hint="eastAsia" w:ascii="仿宋" w:hAnsi="仿宋" w:eastAsia="仿宋" w:cs="仿宋"/>
        </w:rPr>
      </w:pPr>
      <w:r>
        <w:rPr>
          <w:rFonts w:hint="eastAsia" w:ascii="仿宋" w:hAnsi="仿宋" w:eastAsia="仿宋" w:cs="仿宋"/>
        </w:rPr>
        <w:t>15.1本合同范围的服务，应由供应商提供，不得转让他人供应；</w:t>
      </w:r>
    </w:p>
    <w:p w14:paraId="3666D508">
      <w:pPr>
        <w:ind w:firstLine="480" w:firstLineChars="200"/>
        <w:rPr>
          <w:rFonts w:hint="eastAsia" w:ascii="仿宋" w:hAnsi="仿宋" w:eastAsia="仿宋" w:cs="仿宋"/>
        </w:rPr>
      </w:pPr>
      <w:r>
        <w:rPr>
          <w:rFonts w:hint="eastAsia" w:ascii="仿宋" w:hAnsi="仿宋" w:eastAsia="仿宋" w:cs="仿宋"/>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48BA7892">
      <w:pPr>
        <w:ind w:firstLine="480" w:firstLineChars="200"/>
        <w:rPr>
          <w:rFonts w:hint="eastAsia" w:ascii="仿宋" w:hAnsi="仿宋" w:eastAsia="仿宋" w:cs="仿宋"/>
        </w:rPr>
      </w:pPr>
      <w:r>
        <w:rPr>
          <w:rFonts w:hint="eastAsia" w:ascii="仿宋" w:hAnsi="仿宋" w:eastAsia="仿宋" w:cs="仿宋"/>
        </w:rPr>
        <w:t>15.3本合同全部或部分的分包不能减轻供应商承担的责任，供应商仍须将分包人的任何行动、错误或疏忽当作是自己完成的并负全责；</w:t>
      </w:r>
    </w:p>
    <w:p w14:paraId="26459BFF">
      <w:pPr>
        <w:ind w:firstLine="480" w:firstLineChars="200"/>
        <w:rPr>
          <w:rFonts w:hint="eastAsia" w:ascii="仿宋" w:hAnsi="仿宋" w:eastAsia="仿宋" w:cs="仿宋"/>
        </w:rPr>
      </w:pPr>
      <w:r>
        <w:rPr>
          <w:rFonts w:hint="eastAsia" w:ascii="仿宋" w:hAnsi="仿宋" w:eastAsia="仿宋" w:cs="仿宋"/>
        </w:rPr>
        <w:t>15.4在任何分包合同中，须注明分包人按分包合同的范围履行，在供应商按本合同的履行终止时（不论任何原因），亦同时一并终止；</w:t>
      </w:r>
    </w:p>
    <w:p w14:paraId="0B676181">
      <w:pPr>
        <w:ind w:firstLine="480" w:firstLineChars="200"/>
        <w:rPr>
          <w:rFonts w:hint="eastAsia" w:ascii="仿宋" w:hAnsi="仿宋" w:eastAsia="仿宋" w:cs="仿宋"/>
        </w:rPr>
      </w:pPr>
      <w:r>
        <w:rPr>
          <w:rFonts w:hint="eastAsia" w:ascii="仿宋" w:hAnsi="仿宋" w:eastAsia="仿宋" w:cs="仿宋"/>
        </w:rPr>
        <w:t>15.5如有转让和未经采购人同意的分包行为，采购人有权给予终止合同。</w:t>
      </w:r>
    </w:p>
    <w:p w14:paraId="7DC1B336">
      <w:pPr>
        <w:rPr>
          <w:rFonts w:hint="eastAsia" w:ascii="仿宋" w:hAnsi="仿宋" w:eastAsia="仿宋" w:cs="仿宋"/>
          <w:b/>
          <w:bCs/>
        </w:rPr>
      </w:pPr>
      <w:r>
        <w:rPr>
          <w:rFonts w:hint="eastAsia" w:ascii="仿宋" w:hAnsi="仿宋" w:eastAsia="仿宋" w:cs="仿宋"/>
          <w:b/>
          <w:bCs/>
        </w:rPr>
        <w:t>16.适用法律</w:t>
      </w:r>
    </w:p>
    <w:p w14:paraId="28F8613B">
      <w:pPr>
        <w:ind w:firstLine="480" w:firstLineChars="200"/>
        <w:rPr>
          <w:rFonts w:hint="eastAsia" w:ascii="仿宋" w:hAnsi="仿宋" w:eastAsia="仿宋" w:cs="仿宋"/>
        </w:rPr>
      </w:pPr>
      <w:r>
        <w:rPr>
          <w:rFonts w:hint="eastAsia" w:ascii="仿宋" w:hAnsi="仿宋" w:eastAsia="仿宋" w:cs="仿宋"/>
        </w:rPr>
        <w:t>合同适用法律有《中华人民共和国政府采购法》、《中华人民共和国民法典》、《中华人民共和国产品质量法》和浙江省有关条例等。</w:t>
      </w:r>
    </w:p>
    <w:p w14:paraId="2E8E0115">
      <w:pPr>
        <w:rPr>
          <w:rFonts w:hint="eastAsia" w:ascii="仿宋" w:hAnsi="仿宋" w:eastAsia="仿宋" w:cs="仿宋"/>
          <w:b/>
          <w:bCs/>
        </w:rPr>
      </w:pPr>
      <w:r>
        <w:rPr>
          <w:rFonts w:hint="eastAsia" w:ascii="仿宋" w:hAnsi="仿宋" w:eastAsia="仿宋" w:cs="仿宋"/>
          <w:b/>
          <w:bCs/>
        </w:rPr>
        <w:t>17.合同生效及其他</w:t>
      </w:r>
    </w:p>
    <w:p w14:paraId="619AF2F3">
      <w:pPr>
        <w:ind w:firstLine="480" w:firstLineChars="200"/>
        <w:rPr>
          <w:rFonts w:hint="eastAsia" w:ascii="仿宋" w:hAnsi="仿宋" w:eastAsia="仿宋" w:cs="仿宋"/>
        </w:rPr>
      </w:pPr>
      <w:r>
        <w:rPr>
          <w:rFonts w:hint="eastAsia" w:ascii="仿宋" w:hAnsi="仿宋" w:eastAsia="仿宋" w:cs="仿宋"/>
        </w:rPr>
        <w:t>17.1本合同经双方法人及法定代表人签字盖章生效；</w:t>
      </w:r>
    </w:p>
    <w:p w14:paraId="4CF7BC71">
      <w:pPr>
        <w:ind w:firstLine="480" w:firstLineChars="200"/>
        <w:rPr>
          <w:rFonts w:hint="eastAsia" w:ascii="仿宋" w:hAnsi="仿宋" w:eastAsia="仿宋" w:cs="仿宋"/>
        </w:rPr>
      </w:pPr>
      <w:r>
        <w:rPr>
          <w:rFonts w:hint="eastAsia" w:ascii="仿宋" w:hAnsi="仿宋" w:eastAsia="仿宋" w:cs="仿宋"/>
        </w:rPr>
        <w:t>17.2本合同一式四份，供应商、采购人各执二份。</w:t>
      </w:r>
    </w:p>
    <w:p w14:paraId="10444F37">
      <w:pPr>
        <w:rPr>
          <w:rFonts w:hint="eastAsia" w:ascii="仿宋" w:hAnsi="仿宋" w:eastAsia="仿宋" w:cs="仿宋"/>
        </w:rPr>
      </w:pPr>
    </w:p>
    <w:p w14:paraId="2ED18B30">
      <w:pPr>
        <w:rPr>
          <w:rFonts w:hint="eastAsia" w:ascii="仿宋" w:hAnsi="仿宋" w:eastAsia="仿宋" w:cs="仿宋"/>
        </w:rPr>
      </w:pPr>
    </w:p>
    <w:p w14:paraId="4136CC27">
      <w:pPr>
        <w:rPr>
          <w:rFonts w:hint="eastAsia" w:ascii="仿宋" w:hAnsi="仿宋" w:eastAsia="仿宋" w:cs="仿宋"/>
          <w:bCs/>
        </w:rPr>
      </w:pPr>
      <w:r>
        <w:rPr>
          <w:rFonts w:hint="eastAsia" w:ascii="仿宋" w:hAnsi="仿宋" w:eastAsia="仿宋" w:cs="仿宋"/>
          <w:bCs/>
        </w:rPr>
        <w:t xml:space="preserve">采购人：                                   供应商： </w:t>
      </w:r>
    </w:p>
    <w:p w14:paraId="5AA43CC3">
      <w:pPr>
        <w:rPr>
          <w:rFonts w:hint="eastAsia" w:ascii="仿宋" w:hAnsi="仿宋" w:eastAsia="仿宋" w:cs="仿宋"/>
        </w:rPr>
      </w:pPr>
      <w:r>
        <w:rPr>
          <w:rFonts w:hint="eastAsia" w:ascii="仿宋" w:hAnsi="仿宋" w:eastAsia="仿宋" w:cs="仿宋"/>
        </w:rPr>
        <w:t>法定代表人或                               法定代表人或</w:t>
      </w:r>
    </w:p>
    <w:p w14:paraId="1B286F44">
      <w:pPr>
        <w:rPr>
          <w:rFonts w:hint="eastAsia" w:ascii="仿宋" w:hAnsi="仿宋" w:eastAsia="仿宋" w:cs="仿宋"/>
        </w:rPr>
      </w:pPr>
      <w:r>
        <w:rPr>
          <w:rFonts w:hint="eastAsia" w:ascii="仿宋" w:hAnsi="仿宋" w:eastAsia="仿宋" w:cs="仿宋"/>
        </w:rPr>
        <w:t xml:space="preserve">受委托人（签字）：                          受委托人（签字）： </w:t>
      </w:r>
    </w:p>
    <w:p w14:paraId="783F9EE1">
      <w:pPr>
        <w:rPr>
          <w:rFonts w:hint="eastAsia" w:ascii="仿宋" w:hAnsi="仿宋" w:eastAsia="仿宋" w:cs="仿宋"/>
        </w:rPr>
      </w:pPr>
      <w:r>
        <w:rPr>
          <w:rFonts w:hint="eastAsia" w:ascii="仿宋" w:hAnsi="仿宋" w:eastAsia="仿宋" w:cs="仿宋"/>
        </w:rPr>
        <w:t>地 址：                                    地 址：</w:t>
      </w:r>
    </w:p>
    <w:p w14:paraId="1621AD24">
      <w:pPr>
        <w:rPr>
          <w:rFonts w:hint="eastAsia" w:ascii="仿宋" w:hAnsi="仿宋" w:eastAsia="仿宋" w:cs="仿宋"/>
        </w:rPr>
      </w:pPr>
      <w:r>
        <w:rPr>
          <w:rFonts w:hint="eastAsia" w:ascii="仿宋" w:hAnsi="仿宋" w:eastAsia="仿宋" w:cs="仿宋"/>
        </w:rPr>
        <w:t>邮 编：                                    邮 编：</w:t>
      </w:r>
    </w:p>
    <w:p w14:paraId="780EFE8F">
      <w:pPr>
        <w:rPr>
          <w:rFonts w:hint="eastAsia" w:ascii="仿宋" w:hAnsi="仿宋" w:eastAsia="仿宋" w:cs="仿宋"/>
        </w:rPr>
      </w:pPr>
      <w:r>
        <w:rPr>
          <w:rFonts w:hint="eastAsia" w:ascii="仿宋" w:hAnsi="仿宋" w:eastAsia="仿宋" w:cs="仿宋"/>
        </w:rPr>
        <w:t>电 话：                                    电 话：</w:t>
      </w:r>
    </w:p>
    <w:p w14:paraId="018AA38D">
      <w:pPr>
        <w:rPr>
          <w:rFonts w:hint="eastAsia" w:ascii="仿宋" w:hAnsi="仿宋" w:eastAsia="仿宋" w:cs="仿宋"/>
        </w:rPr>
      </w:pPr>
      <w:r>
        <w:rPr>
          <w:rFonts w:hint="eastAsia" w:ascii="仿宋" w:hAnsi="仿宋" w:eastAsia="仿宋" w:cs="仿宋"/>
        </w:rPr>
        <w:t>传 真：                                    传 真：</w:t>
      </w:r>
    </w:p>
    <w:p w14:paraId="44E11DD6">
      <w:pPr>
        <w:rPr>
          <w:rFonts w:hint="eastAsia" w:ascii="仿宋" w:hAnsi="仿宋" w:eastAsia="仿宋" w:cs="仿宋"/>
        </w:rPr>
      </w:pPr>
      <w:r>
        <w:rPr>
          <w:rFonts w:hint="eastAsia" w:ascii="仿宋" w:hAnsi="仿宋" w:eastAsia="仿宋" w:cs="仿宋"/>
        </w:rPr>
        <w:t>开户银行：                                 开户银行：</w:t>
      </w:r>
    </w:p>
    <w:p w14:paraId="61449AF3">
      <w:pPr>
        <w:rPr>
          <w:rFonts w:hint="eastAsia" w:ascii="仿宋" w:hAnsi="仿宋" w:eastAsia="仿宋" w:cs="仿宋"/>
        </w:rPr>
      </w:pPr>
      <w:r>
        <w:rPr>
          <w:rFonts w:hint="eastAsia" w:ascii="仿宋" w:hAnsi="仿宋" w:eastAsia="仿宋" w:cs="仿宋"/>
        </w:rPr>
        <w:t>账 号：                                    账  号：</w:t>
      </w:r>
    </w:p>
    <w:p w14:paraId="2BAB0509">
      <w:pPr>
        <w:spacing w:line="540" w:lineRule="exact"/>
        <w:ind w:firstLine="480" w:firstLineChars="200"/>
        <w:rPr>
          <w:rFonts w:hint="eastAsia" w:ascii="仿宋" w:hAnsi="仿宋" w:eastAsia="仿宋" w:cs="仿宋"/>
          <w:color w:val="auto"/>
          <w:kern w:val="0"/>
          <w:sz w:val="22"/>
          <w:szCs w:val="22"/>
          <w:highlight w:val="none"/>
        </w:rPr>
      </w:pPr>
      <w:r>
        <w:rPr>
          <w:rFonts w:hint="eastAsia" w:ascii="仿宋" w:hAnsi="仿宋" w:eastAsia="仿宋" w:cs="仿宋"/>
        </w:rPr>
        <w:t>签字日期：      年  月  日                 签字日期：      年  月  日</w:t>
      </w:r>
    </w:p>
    <w:p w14:paraId="5C040466">
      <w:pPr>
        <w:spacing w:line="540" w:lineRule="exact"/>
        <w:ind w:firstLine="523"/>
        <w:jc w:val="center"/>
        <w:rPr>
          <w:rFonts w:hint="eastAsia" w:ascii="仿宋" w:hAnsi="仿宋" w:eastAsia="仿宋" w:cs="仿宋"/>
          <w:b/>
          <w:color w:val="auto"/>
          <w:kern w:val="0"/>
          <w:sz w:val="22"/>
          <w:szCs w:val="22"/>
          <w:highlight w:val="none"/>
        </w:rPr>
      </w:pPr>
    </w:p>
    <w:p w14:paraId="40363050">
      <w:pPr>
        <w:pStyle w:val="6"/>
        <w:rPr>
          <w:rFonts w:hint="eastAsia" w:ascii="仿宋" w:hAnsi="仿宋" w:eastAsia="仿宋" w:cs="仿宋"/>
          <w:color w:val="auto"/>
          <w:sz w:val="22"/>
          <w:szCs w:val="22"/>
          <w:highlight w:val="none"/>
        </w:rPr>
      </w:pPr>
    </w:p>
    <w:p w14:paraId="56858485">
      <w:pPr>
        <w:widowControl/>
        <w:spacing w:line="240" w:lineRule="auto"/>
        <w:jc w:val="left"/>
        <w:rPr>
          <w:rFonts w:hint="eastAsia" w:ascii="仿宋" w:hAnsi="仿宋" w:eastAsia="仿宋" w:cs="仿宋"/>
          <w:color w:val="auto"/>
          <w:sz w:val="22"/>
          <w:szCs w:val="22"/>
          <w:highlight w:val="none"/>
        </w:rPr>
      </w:pPr>
    </w:p>
    <w:p w14:paraId="14B2AA3F">
      <w:pPr>
        <w:rPr>
          <w:rFonts w:hint="eastAsia" w:ascii="仿宋" w:hAnsi="仿宋" w:eastAsia="仿宋" w:cs="仿宋"/>
          <w:color w:val="auto"/>
          <w:sz w:val="28"/>
          <w:szCs w:val="28"/>
          <w:highlight w:val="none"/>
        </w:rPr>
      </w:pPr>
    </w:p>
    <w:p w14:paraId="5DA35F53">
      <w:pPr>
        <w:pStyle w:val="8"/>
        <w:rPr>
          <w:rFonts w:hint="eastAsia" w:ascii="仿宋" w:hAnsi="仿宋" w:eastAsia="仿宋" w:cs="仿宋"/>
          <w:color w:val="auto"/>
          <w:sz w:val="28"/>
          <w:szCs w:val="28"/>
          <w:highlight w:val="none"/>
        </w:rPr>
      </w:pPr>
    </w:p>
    <w:p w14:paraId="576A8886">
      <w:pPr>
        <w:pStyle w:val="22"/>
        <w:rPr>
          <w:rFonts w:hint="eastAsia" w:ascii="仿宋" w:hAnsi="仿宋" w:eastAsia="仿宋" w:cs="仿宋"/>
          <w:color w:val="auto"/>
          <w:sz w:val="28"/>
          <w:szCs w:val="28"/>
          <w:highlight w:val="none"/>
        </w:rPr>
      </w:pPr>
    </w:p>
    <w:p w14:paraId="2C719892">
      <w:pPr>
        <w:rPr>
          <w:rFonts w:hint="eastAsia" w:ascii="仿宋" w:hAnsi="仿宋" w:eastAsia="仿宋" w:cs="仿宋"/>
          <w:color w:val="auto"/>
          <w:sz w:val="28"/>
          <w:szCs w:val="28"/>
          <w:highlight w:val="none"/>
        </w:rPr>
      </w:pPr>
    </w:p>
    <w:p w14:paraId="34EB6E03">
      <w:pPr>
        <w:pStyle w:val="8"/>
        <w:rPr>
          <w:rFonts w:hint="eastAsia" w:ascii="仿宋" w:hAnsi="仿宋" w:eastAsia="仿宋" w:cs="仿宋"/>
          <w:color w:val="auto"/>
          <w:sz w:val="28"/>
          <w:szCs w:val="28"/>
          <w:highlight w:val="none"/>
        </w:rPr>
      </w:pPr>
    </w:p>
    <w:p w14:paraId="28326381">
      <w:pPr>
        <w:pStyle w:val="22"/>
        <w:rPr>
          <w:rFonts w:hint="eastAsia" w:ascii="仿宋" w:hAnsi="仿宋" w:eastAsia="仿宋" w:cs="仿宋"/>
          <w:color w:val="auto"/>
          <w:sz w:val="22"/>
          <w:szCs w:val="21"/>
          <w:highlight w:val="none"/>
        </w:rPr>
      </w:pPr>
    </w:p>
    <w:p w14:paraId="1B460888">
      <w:pPr>
        <w:rPr>
          <w:rFonts w:hint="eastAsia" w:ascii="仿宋" w:hAnsi="仿宋" w:eastAsia="仿宋" w:cs="仿宋"/>
          <w:color w:val="auto"/>
          <w:sz w:val="22"/>
          <w:szCs w:val="21"/>
          <w:highlight w:val="none"/>
        </w:rPr>
      </w:pPr>
    </w:p>
    <w:p w14:paraId="5368198E">
      <w:pPr>
        <w:rPr>
          <w:rFonts w:hint="eastAsia" w:ascii="仿宋" w:hAnsi="仿宋" w:eastAsia="仿宋" w:cs="仿宋"/>
          <w:color w:val="auto"/>
          <w:sz w:val="22"/>
          <w:szCs w:val="21"/>
          <w:highlight w:val="none"/>
        </w:rPr>
      </w:pPr>
    </w:p>
    <w:p w14:paraId="2B5FA3F9">
      <w:pPr>
        <w:rPr>
          <w:rFonts w:hint="eastAsia" w:ascii="仿宋" w:hAnsi="仿宋" w:eastAsia="仿宋" w:cs="仿宋"/>
          <w:color w:val="auto"/>
          <w:sz w:val="22"/>
          <w:szCs w:val="21"/>
          <w:highlight w:val="none"/>
        </w:rPr>
      </w:pPr>
    </w:p>
    <w:p w14:paraId="2A2CDFDE">
      <w:pPr>
        <w:pStyle w:val="2"/>
        <w:rPr>
          <w:rFonts w:hint="eastAsia" w:ascii="仿宋" w:hAnsi="仿宋" w:eastAsia="仿宋" w:cs="仿宋"/>
          <w:color w:val="auto"/>
          <w:sz w:val="28"/>
          <w:szCs w:val="28"/>
          <w:highlight w:val="none"/>
        </w:rPr>
      </w:pPr>
      <w:bookmarkStart w:id="15" w:name="_Toc131706351"/>
      <w:r>
        <w:rPr>
          <w:rFonts w:hint="eastAsia" w:ascii="仿宋" w:hAnsi="仿宋" w:eastAsia="仿宋" w:cs="仿宋"/>
          <w:color w:val="auto"/>
          <w:sz w:val="28"/>
          <w:szCs w:val="28"/>
          <w:highlight w:val="none"/>
        </w:rPr>
        <w:t>第六章 投标文件格式</w:t>
      </w:r>
      <w:bookmarkEnd w:id="15"/>
    </w:p>
    <w:p w14:paraId="077E425B">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1.资格/技术、商务、资信及其他包装封面格式：</w:t>
      </w:r>
    </w:p>
    <w:p w14:paraId="4EAACC17">
      <w:pPr>
        <w:rPr>
          <w:rFonts w:hint="eastAsia" w:ascii="仿宋" w:hAnsi="仿宋" w:eastAsia="仿宋" w:cs="仿宋"/>
          <w:b/>
          <w:color w:val="auto"/>
          <w:sz w:val="28"/>
          <w:szCs w:val="28"/>
          <w:highlight w:val="none"/>
        </w:rPr>
      </w:pPr>
    </w:p>
    <w:p w14:paraId="2B42047E">
      <w:pPr>
        <w:jc w:val="righ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正本/或副本</w:t>
      </w:r>
    </w:p>
    <w:p w14:paraId="630D4CBD">
      <w:pPr>
        <w:rPr>
          <w:rFonts w:hint="eastAsia" w:ascii="仿宋" w:hAnsi="仿宋" w:eastAsia="仿宋" w:cs="仿宋"/>
          <w:b/>
          <w:color w:val="auto"/>
          <w:sz w:val="28"/>
          <w:szCs w:val="28"/>
          <w:highlight w:val="none"/>
        </w:rPr>
      </w:pPr>
    </w:p>
    <w:p w14:paraId="2A7F6031">
      <w:pPr>
        <w:rPr>
          <w:rFonts w:hint="eastAsia" w:ascii="仿宋" w:hAnsi="仿宋" w:eastAsia="仿宋" w:cs="仿宋"/>
          <w:b/>
          <w:color w:val="auto"/>
          <w:sz w:val="28"/>
          <w:szCs w:val="28"/>
          <w:highlight w:val="none"/>
        </w:rPr>
      </w:pPr>
    </w:p>
    <w:p w14:paraId="2495CC83">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资格文件/技术、商务、资信及其他文件</w:t>
      </w:r>
    </w:p>
    <w:p w14:paraId="6901D350">
      <w:pPr>
        <w:rPr>
          <w:rFonts w:hint="eastAsia" w:ascii="仿宋" w:hAnsi="仿宋" w:eastAsia="仿宋" w:cs="仿宋"/>
          <w:b/>
          <w:color w:val="auto"/>
          <w:sz w:val="28"/>
          <w:szCs w:val="28"/>
          <w:highlight w:val="none"/>
        </w:rPr>
      </w:pPr>
    </w:p>
    <w:p w14:paraId="463EC74F">
      <w:pPr>
        <w:rPr>
          <w:rFonts w:hint="eastAsia" w:ascii="仿宋" w:hAnsi="仿宋" w:eastAsia="仿宋" w:cs="仿宋"/>
          <w:b/>
          <w:color w:val="auto"/>
          <w:sz w:val="28"/>
          <w:szCs w:val="28"/>
          <w:highlight w:val="none"/>
        </w:rPr>
      </w:pPr>
    </w:p>
    <w:p w14:paraId="74DCC8AC">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湖州职业技术学院新校园机械零部件测绘实训室建设项目</w:t>
      </w:r>
    </w:p>
    <w:p w14:paraId="3C937CF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70D913A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w:t>
      </w:r>
    </w:p>
    <w:p w14:paraId="314325F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供应商地址：</w:t>
      </w:r>
    </w:p>
    <w:p w14:paraId="7E74882F">
      <w:pPr>
        <w:rPr>
          <w:rFonts w:hint="eastAsia" w:ascii="仿宋" w:hAnsi="仿宋" w:eastAsia="仿宋" w:cs="仿宋"/>
          <w:color w:val="auto"/>
          <w:sz w:val="28"/>
          <w:szCs w:val="28"/>
          <w:highlight w:val="none"/>
        </w:rPr>
      </w:pPr>
    </w:p>
    <w:p w14:paraId="221A0F42">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在 年 月 日 时 分之前不得启封</w:t>
      </w:r>
    </w:p>
    <w:p w14:paraId="7D4DD298">
      <w:pPr>
        <w:rPr>
          <w:rFonts w:hint="eastAsia" w:ascii="仿宋" w:hAnsi="仿宋" w:eastAsia="仿宋" w:cs="仿宋"/>
          <w:b/>
          <w:color w:val="auto"/>
          <w:sz w:val="28"/>
          <w:szCs w:val="28"/>
          <w:highlight w:val="none"/>
        </w:rPr>
      </w:pPr>
    </w:p>
    <w:p w14:paraId="2CF62578">
      <w:pPr>
        <w:rPr>
          <w:rFonts w:hint="eastAsia" w:ascii="仿宋" w:hAnsi="仿宋" w:eastAsia="仿宋" w:cs="仿宋"/>
          <w:b/>
          <w:color w:val="auto"/>
          <w:sz w:val="28"/>
          <w:szCs w:val="28"/>
          <w:highlight w:val="none"/>
        </w:rPr>
      </w:pPr>
    </w:p>
    <w:p w14:paraId="5E07C31D">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10C8274F">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B121CA3">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法定代表人有效身份证明书</w:t>
      </w:r>
    </w:p>
    <w:p w14:paraId="3F83180B">
      <w:pPr>
        <w:rPr>
          <w:rFonts w:hint="eastAsia" w:ascii="仿宋" w:hAnsi="仿宋" w:eastAsia="仿宋" w:cs="仿宋"/>
          <w:b/>
          <w:bCs/>
          <w:color w:val="auto"/>
          <w:sz w:val="28"/>
          <w:szCs w:val="28"/>
          <w:highlight w:val="none"/>
        </w:rPr>
      </w:pPr>
    </w:p>
    <w:p w14:paraId="6ADE026D">
      <w:pPr>
        <w:rPr>
          <w:rFonts w:hint="eastAsia" w:ascii="仿宋" w:hAnsi="仿宋" w:eastAsia="仿宋" w:cs="仿宋"/>
          <w:b/>
          <w:bCs/>
          <w:color w:val="auto"/>
          <w:sz w:val="28"/>
          <w:szCs w:val="28"/>
          <w:highlight w:val="none"/>
        </w:rPr>
      </w:pPr>
    </w:p>
    <w:p w14:paraId="25734290">
      <w:pPr>
        <w:rPr>
          <w:rFonts w:hint="eastAsia" w:ascii="仿宋" w:hAnsi="仿宋" w:eastAsia="仿宋" w:cs="仿宋"/>
          <w:b/>
          <w:bCs/>
          <w:color w:val="auto"/>
          <w:sz w:val="28"/>
          <w:szCs w:val="28"/>
          <w:highlight w:val="none"/>
        </w:rPr>
      </w:pPr>
    </w:p>
    <w:p w14:paraId="5CAFD7A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（姓名）是</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（单位全称）的法定代表人，身份证号码为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707EA78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5D3F9C9A">
      <w:pPr>
        <w:rPr>
          <w:rFonts w:hint="eastAsia" w:ascii="仿宋" w:hAnsi="仿宋" w:eastAsia="仿宋" w:cs="仿宋"/>
          <w:color w:val="auto"/>
          <w:sz w:val="28"/>
          <w:szCs w:val="28"/>
          <w:highlight w:val="none"/>
        </w:rPr>
      </w:pPr>
    </w:p>
    <w:p w14:paraId="37CFE9B3">
      <w:pPr>
        <w:rPr>
          <w:rFonts w:hint="eastAsia" w:ascii="仿宋" w:hAnsi="仿宋" w:eastAsia="仿宋" w:cs="仿宋"/>
          <w:color w:val="auto"/>
          <w:sz w:val="28"/>
          <w:szCs w:val="28"/>
          <w:highlight w:val="none"/>
        </w:rPr>
      </w:pPr>
    </w:p>
    <w:p w14:paraId="5B241CB8">
      <w:pPr>
        <w:rPr>
          <w:rFonts w:hint="eastAsia" w:ascii="仿宋" w:hAnsi="仿宋" w:eastAsia="仿宋" w:cs="仿宋"/>
          <w:color w:val="auto"/>
          <w:sz w:val="28"/>
          <w:szCs w:val="28"/>
          <w:highlight w:val="none"/>
        </w:rPr>
      </w:pPr>
    </w:p>
    <w:p w14:paraId="54AD43CB">
      <w:pPr>
        <w:pStyle w:val="9"/>
        <w:rPr>
          <w:rFonts w:hint="eastAsia" w:ascii="仿宋" w:hAnsi="仿宋" w:eastAsia="仿宋" w:cs="仿宋"/>
          <w:color w:val="auto"/>
          <w:sz w:val="28"/>
          <w:szCs w:val="28"/>
          <w:highlight w:val="none"/>
        </w:rPr>
      </w:pPr>
    </w:p>
    <w:p w14:paraId="167E2681">
      <w:pPr>
        <w:pStyle w:val="8"/>
        <w:rPr>
          <w:rFonts w:hint="eastAsia" w:ascii="仿宋" w:hAnsi="仿宋" w:eastAsia="仿宋" w:cs="仿宋"/>
        </w:rPr>
      </w:pPr>
    </w:p>
    <w:p w14:paraId="7FC8C74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（盖章）</w:t>
      </w:r>
    </w:p>
    <w:p w14:paraId="23546AF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法定代表人（签名或盖章）</w:t>
      </w:r>
    </w:p>
    <w:p w14:paraId="11C60E2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15BA45AC">
      <w:pPr>
        <w:rPr>
          <w:rFonts w:hint="eastAsia" w:ascii="仿宋" w:hAnsi="仿宋" w:eastAsia="仿宋" w:cs="仿宋"/>
          <w:color w:val="auto"/>
          <w:sz w:val="28"/>
          <w:szCs w:val="28"/>
          <w:highlight w:val="none"/>
        </w:rPr>
      </w:pPr>
    </w:p>
    <w:p w14:paraId="16A0572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————————————————————————————————有效身份证明扫描件粘贴处</w:t>
      </w:r>
    </w:p>
    <w:p w14:paraId="2DF30460">
      <w:pPr>
        <w:widowControl/>
        <w:spacing w:line="240" w:lineRule="auto"/>
        <w:jc w:val="left"/>
        <w:rPr>
          <w:rFonts w:hint="eastAsia" w:ascii="仿宋" w:hAnsi="仿宋" w:eastAsia="仿宋" w:cs="仿宋"/>
          <w:color w:val="auto"/>
          <w:sz w:val="28"/>
          <w:szCs w:val="28"/>
          <w:highlight w:val="none"/>
        </w:rPr>
      </w:pPr>
    </w:p>
    <w:p w14:paraId="795D1E2F">
      <w:pPr>
        <w:pStyle w:val="9"/>
        <w:rPr>
          <w:rFonts w:hint="eastAsia" w:ascii="仿宋" w:hAnsi="仿宋" w:eastAsia="仿宋" w:cs="仿宋"/>
          <w:color w:val="auto"/>
          <w:sz w:val="28"/>
          <w:szCs w:val="28"/>
          <w:highlight w:val="none"/>
        </w:rPr>
      </w:pPr>
    </w:p>
    <w:p w14:paraId="313D00BA">
      <w:pPr>
        <w:pStyle w:val="8"/>
        <w:rPr>
          <w:rFonts w:hint="eastAsia" w:ascii="仿宋" w:hAnsi="仿宋" w:eastAsia="仿宋" w:cs="仿宋"/>
        </w:rPr>
      </w:pPr>
    </w:p>
    <w:p w14:paraId="21B31A6B">
      <w:pPr>
        <w:jc w:val="center"/>
        <w:rPr>
          <w:rFonts w:hint="eastAsia" w:ascii="仿宋" w:hAnsi="仿宋" w:eastAsia="仿宋" w:cs="仿宋"/>
          <w:b/>
          <w:bCs/>
          <w:color w:val="auto"/>
          <w:sz w:val="28"/>
          <w:szCs w:val="28"/>
          <w:highlight w:val="none"/>
        </w:rPr>
      </w:pPr>
    </w:p>
    <w:p w14:paraId="3E404CEC">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p w14:paraId="724EEDB8">
      <w:pPr>
        <w:rPr>
          <w:rFonts w:hint="eastAsia" w:ascii="仿宋" w:hAnsi="仿宋" w:eastAsia="仿宋" w:cs="仿宋"/>
          <w:color w:val="auto"/>
          <w:sz w:val="28"/>
          <w:szCs w:val="28"/>
          <w:highlight w:val="none"/>
        </w:rPr>
      </w:pPr>
    </w:p>
    <w:p w14:paraId="5DDE832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本授权委托书声明，我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（供应商名称）的法定代表人，现授权委托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（姓名）为我单位代理人，以本单位的名义参加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（采购代理机构名称）的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项目的投标活动。被授权代理人在投标、开标、评标、合同谈判过程中所签署的一切文件和处理与之有关的一切事务，我均予以承认。</w:t>
      </w:r>
    </w:p>
    <w:p w14:paraId="5225D28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被授权人无转委托权，特此委托。</w:t>
      </w:r>
    </w:p>
    <w:p w14:paraId="2D1A9107">
      <w:pPr>
        <w:rPr>
          <w:rFonts w:hint="eastAsia" w:ascii="仿宋" w:hAnsi="仿宋" w:eastAsia="仿宋" w:cs="仿宋"/>
          <w:b/>
          <w:color w:val="auto"/>
          <w:sz w:val="28"/>
          <w:szCs w:val="28"/>
          <w:highlight w:val="none"/>
        </w:rPr>
      </w:pPr>
    </w:p>
    <w:p w14:paraId="01672D15">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授权代理人：</w:t>
      </w:r>
      <w:r>
        <w:rPr>
          <w:rFonts w:hint="eastAsia" w:ascii="仿宋" w:hAnsi="仿宋" w:eastAsia="仿宋" w:cs="仿宋"/>
          <w:color w:val="auto"/>
          <w:sz w:val="28"/>
          <w:szCs w:val="28"/>
          <w:highlight w:val="none"/>
          <w:u w:val="single"/>
        </w:rPr>
        <w:t xml:space="preserve">   （签字）   </w:t>
      </w:r>
    </w:p>
    <w:p w14:paraId="7244BC83">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4BF536FD">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14:paraId="7EBCB19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（盖章）</w:t>
      </w:r>
    </w:p>
    <w:p w14:paraId="5AE2C00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（签名或盖章）</w:t>
      </w:r>
    </w:p>
    <w:p w14:paraId="1652B73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5C25B6DC">
      <w:pPr>
        <w:rPr>
          <w:rFonts w:hint="eastAsia" w:ascii="仿宋" w:hAnsi="仿宋" w:eastAsia="仿宋" w:cs="仿宋"/>
          <w:color w:val="auto"/>
          <w:sz w:val="28"/>
          <w:szCs w:val="28"/>
          <w:highlight w:val="none"/>
        </w:rPr>
      </w:pPr>
    </w:p>
    <w:p w14:paraId="5FABA47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5ED97DE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授权代理人有效身份证明扫描件粘贴处</w:t>
      </w:r>
    </w:p>
    <w:p w14:paraId="1D71A990">
      <w:pPr>
        <w:rPr>
          <w:rFonts w:hint="eastAsia" w:ascii="仿宋" w:hAnsi="仿宋" w:eastAsia="仿宋" w:cs="仿宋"/>
          <w:color w:val="auto"/>
          <w:sz w:val="28"/>
          <w:szCs w:val="28"/>
          <w:highlight w:val="none"/>
        </w:rPr>
      </w:pPr>
    </w:p>
    <w:p w14:paraId="60637F27">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B9137C9">
      <w:pPr>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信用承诺书</w:t>
      </w:r>
    </w:p>
    <w:p w14:paraId="76696E5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（供应商）现参加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（采购项目）政府采购活动，郑重承诺如下：</w:t>
      </w:r>
    </w:p>
    <w:p w14:paraId="7B9663B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1、对所提供的资料合法性、真实性、准确性和有效性负责；</w:t>
      </w:r>
    </w:p>
    <w:p w14:paraId="607DD9A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2、严格按照国家法律、法规和规章，依法开展相关经济活动，全面履行应尽的责任和义务；</w:t>
      </w:r>
    </w:p>
    <w:p w14:paraId="669DBBE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3、加强自我约束、自我规范、自我管理，不制假售假、不虚假宣传、不违约毁约、不恶意逃债、不偷税漏税，诚信依法经营；</w:t>
      </w:r>
    </w:p>
    <w:p w14:paraId="3BB1860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4、自愿接受行政主管部门的依法检查、违背承诺约定将自愿承担违约责任，并接受法律法规和相关部门规章制度的惩戒和约束；</w:t>
      </w:r>
    </w:p>
    <w:p w14:paraId="0E64A0C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722A6608">
      <w:pPr>
        <w:rPr>
          <w:rFonts w:hint="eastAsia" w:ascii="仿宋" w:hAnsi="仿宋" w:eastAsia="仿宋" w:cs="仿宋"/>
          <w:color w:val="auto"/>
          <w:sz w:val="28"/>
          <w:szCs w:val="28"/>
          <w:highlight w:val="none"/>
          <w:u w:val="single"/>
        </w:rPr>
      </w:pPr>
    </w:p>
    <w:p w14:paraId="1A78ACFF">
      <w:pPr>
        <w:rPr>
          <w:rFonts w:hint="eastAsia" w:ascii="仿宋" w:hAnsi="仿宋" w:eastAsia="仿宋" w:cs="仿宋"/>
          <w:color w:val="auto"/>
          <w:sz w:val="28"/>
          <w:szCs w:val="28"/>
          <w:highlight w:val="none"/>
          <w:u w:val="single"/>
        </w:rPr>
      </w:pPr>
    </w:p>
    <w:p w14:paraId="4ABB612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统一社会信用代码：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2727536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D747DC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承诺单位/个人：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（盖章/签名）</w:t>
      </w:r>
    </w:p>
    <w:p w14:paraId="55001A9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时        间：     年   月   日</w:t>
      </w:r>
    </w:p>
    <w:p w14:paraId="31C653A1">
      <w:pPr>
        <w:widowControl/>
        <w:spacing w:line="240" w:lineRule="auto"/>
        <w:jc w:val="left"/>
        <w:rPr>
          <w:rFonts w:hint="eastAsia" w:ascii="仿宋" w:hAnsi="仿宋" w:eastAsia="仿宋" w:cs="仿宋"/>
          <w:color w:val="auto"/>
          <w:sz w:val="28"/>
          <w:szCs w:val="28"/>
          <w:highlight w:val="none"/>
        </w:rPr>
      </w:pPr>
    </w:p>
    <w:p w14:paraId="1F005F74">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商务条款偏离表</w:t>
      </w:r>
    </w:p>
    <w:tbl>
      <w:tblPr>
        <w:tblStyle w:val="23"/>
        <w:tblpPr w:leftFromText="180" w:rightFromText="180" w:vertAnchor="text" w:horzAnchor="page" w:tblpX="1377" w:tblpY="315"/>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0"/>
        <w:gridCol w:w="2285"/>
        <w:gridCol w:w="1999"/>
        <w:gridCol w:w="2523"/>
      </w:tblGrid>
      <w:tr w14:paraId="37B64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3526AFB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p>
        </w:tc>
        <w:tc>
          <w:tcPr>
            <w:tcW w:w="2285" w:type="dxa"/>
            <w:vAlign w:val="center"/>
          </w:tcPr>
          <w:p w14:paraId="7DB80E2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招标文件要求</w:t>
            </w:r>
          </w:p>
        </w:tc>
        <w:tc>
          <w:tcPr>
            <w:tcW w:w="1999" w:type="dxa"/>
            <w:vAlign w:val="center"/>
          </w:tcPr>
          <w:p w14:paraId="0A42BB4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是否响应</w:t>
            </w:r>
          </w:p>
        </w:tc>
        <w:tc>
          <w:tcPr>
            <w:tcW w:w="2523" w:type="dxa"/>
            <w:vAlign w:val="center"/>
          </w:tcPr>
          <w:p w14:paraId="47FEBA4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供应商的承诺或说明</w:t>
            </w:r>
          </w:p>
        </w:tc>
      </w:tr>
      <w:tr w14:paraId="71A7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17EBDF4A">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供</w:t>
            </w:r>
            <w:r>
              <w:rPr>
                <w:rFonts w:hint="eastAsia" w:ascii="仿宋" w:hAnsi="仿宋" w:eastAsia="仿宋" w:cs="仿宋"/>
                <w:color w:val="auto"/>
                <w:sz w:val="28"/>
                <w:szCs w:val="28"/>
                <w:highlight w:val="none"/>
              </w:rPr>
              <w:t>货期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工期</w:t>
            </w:r>
            <w:r>
              <w:rPr>
                <w:rFonts w:hint="eastAsia" w:ascii="仿宋" w:hAnsi="仿宋" w:eastAsia="仿宋" w:cs="仿宋"/>
                <w:color w:val="auto"/>
                <w:sz w:val="28"/>
                <w:szCs w:val="28"/>
                <w:highlight w:val="none"/>
                <w:lang w:eastAsia="zh-CN"/>
              </w:rPr>
              <w:t>）</w:t>
            </w:r>
          </w:p>
        </w:tc>
        <w:tc>
          <w:tcPr>
            <w:tcW w:w="2285" w:type="dxa"/>
            <w:vAlign w:val="center"/>
          </w:tcPr>
          <w:p w14:paraId="73A53D91">
            <w:pPr>
              <w:jc w:val="center"/>
              <w:rPr>
                <w:rFonts w:hint="eastAsia" w:ascii="仿宋" w:hAnsi="仿宋" w:eastAsia="仿宋" w:cs="仿宋"/>
                <w:color w:val="auto"/>
                <w:sz w:val="28"/>
                <w:szCs w:val="28"/>
                <w:highlight w:val="none"/>
              </w:rPr>
            </w:pPr>
          </w:p>
        </w:tc>
        <w:tc>
          <w:tcPr>
            <w:tcW w:w="1999" w:type="dxa"/>
            <w:vAlign w:val="center"/>
          </w:tcPr>
          <w:p w14:paraId="58267367">
            <w:pPr>
              <w:jc w:val="center"/>
              <w:rPr>
                <w:rFonts w:hint="eastAsia" w:ascii="仿宋" w:hAnsi="仿宋" w:eastAsia="仿宋" w:cs="仿宋"/>
                <w:color w:val="auto"/>
                <w:sz w:val="28"/>
                <w:szCs w:val="28"/>
                <w:highlight w:val="none"/>
              </w:rPr>
            </w:pPr>
          </w:p>
        </w:tc>
        <w:tc>
          <w:tcPr>
            <w:tcW w:w="2523" w:type="dxa"/>
            <w:vAlign w:val="center"/>
          </w:tcPr>
          <w:p w14:paraId="7E5BBE3B">
            <w:pPr>
              <w:jc w:val="center"/>
              <w:rPr>
                <w:rFonts w:hint="eastAsia" w:ascii="仿宋" w:hAnsi="仿宋" w:eastAsia="仿宋" w:cs="仿宋"/>
                <w:color w:val="auto"/>
                <w:sz w:val="28"/>
                <w:szCs w:val="28"/>
                <w:highlight w:val="none"/>
              </w:rPr>
            </w:pPr>
          </w:p>
        </w:tc>
      </w:tr>
      <w:tr w14:paraId="33A55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524AE83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2285" w:type="dxa"/>
            <w:vAlign w:val="center"/>
          </w:tcPr>
          <w:p w14:paraId="6956AF83">
            <w:pPr>
              <w:jc w:val="center"/>
              <w:rPr>
                <w:rFonts w:hint="eastAsia" w:ascii="仿宋" w:hAnsi="仿宋" w:eastAsia="仿宋" w:cs="仿宋"/>
                <w:color w:val="auto"/>
                <w:sz w:val="28"/>
                <w:szCs w:val="28"/>
                <w:highlight w:val="none"/>
              </w:rPr>
            </w:pPr>
          </w:p>
        </w:tc>
        <w:tc>
          <w:tcPr>
            <w:tcW w:w="1999" w:type="dxa"/>
            <w:vAlign w:val="center"/>
          </w:tcPr>
          <w:p w14:paraId="140FCFE7">
            <w:pPr>
              <w:jc w:val="center"/>
              <w:rPr>
                <w:rFonts w:hint="eastAsia" w:ascii="仿宋" w:hAnsi="仿宋" w:eastAsia="仿宋" w:cs="仿宋"/>
                <w:color w:val="auto"/>
                <w:sz w:val="28"/>
                <w:szCs w:val="28"/>
                <w:highlight w:val="none"/>
              </w:rPr>
            </w:pPr>
          </w:p>
        </w:tc>
        <w:tc>
          <w:tcPr>
            <w:tcW w:w="2523" w:type="dxa"/>
            <w:vAlign w:val="center"/>
          </w:tcPr>
          <w:p w14:paraId="7E58BD8D">
            <w:pPr>
              <w:jc w:val="center"/>
              <w:rPr>
                <w:rFonts w:hint="eastAsia" w:ascii="仿宋" w:hAnsi="仿宋" w:eastAsia="仿宋" w:cs="仿宋"/>
                <w:color w:val="auto"/>
                <w:sz w:val="28"/>
                <w:szCs w:val="28"/>
                <w:highlight w:val="none"/>
              </w:rPr>
            </w:pPr>
          </w:p>
        </w:tc>
      </w:tr>
      <w:tr w14:paraId="7BBD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6227EE5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w:t>
            </w:r>
          </w:p>
        </w:tc>
        <w:tc>
          <w:tcPr>
            <w:tcW w:w="2285" w:type="dxa"/>
            <w:vAlign w:val="center"/>
          </w:tcPr>
          <w:p w14:paraId="40CE399D">
            <w:pPr>
              <w:jc w:val="center"/>
              <w:rPr>
                <w:rFonts w:hint="eastAsia" w:ascii="仿宋" w:hAnsi="仿宋" w:eastAsia="仿宋" w:cs="仿宋"/>
                <w:color w:val="auto"/>
                <w:sz w:val="28"/>
                <w:szCs w:val="28"/>
                <w:highlight w:val="none"/>
              </w:rPr>
            </w:pPr>
          </w:p>
        </w:tc>
        <w:tc>
          <w:tcPr>
            <w:tcW w:w="1999" w:type="dxa"/>
            <w:vAlign w:val="center"/>
          </w:tcPr>
          <w:p w14:paraId="5A50625B">
            <w:pPr>
              <w:jc w:val="center"/>
              <w:rPr>
                <w:rFonts w:hint="eastAsia" w:ascii="仿宋" w:hAnsi="仿宋" w:eastAsia="仿宋" w:cs="仿宋"/>
                <w:color w:val="auto"/>
                <w:sz w:val="28"/>
                <w:szCs w:val="28"/>
                <w:highlight w:val="none"/>
              </w:rPr>
            </w:pPr>
          </w:p>
        </w:tc>
        <w:tc>
          <w:tcPr>
            <w:tcW w:w="2523" w:type="dxa"/>
            <w:vAlign w:val="center"/>
          </w:tcPr>
          <w:p w14:paraId="075EE02D">
            <w:pPr>
              <w:jc w:val="center"/>
              <w:rPr>
                <w:rFonts w:hint="eastAsia" w:ascii="仿宋" w:hAnsi="仿宋" w:eastAsia="仿宋" w:cs="仿宋"/>
                <w:color w:val="auto"/>
                <w:sz w:val="28"/>
                <w:szCs w:val="28"/>
                <w:highlight w:val="none"/>
              </w:rPr>
            </w:pPr>
          </w:p>
        </w:tc>
      </w:tr>
      <w:tr w14:paraId="731E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20260DE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2285" w:type="dxa"/>
            <w:vAlign w:val="center"/>
          </w:tcPr>
          <w:p w14:paraId="372D9A3D">
            <w:pPr>
              <w:jc w:val="center"/>
              <w:rPr>
                <w:rFonts w:hint="eastAsia" w:ascii="仿宋" w:hAnsi="仿宋" w:eastAsia="仿宋" w:cs="仿宋"/>
                <w:color w:val="auto"/>
                <w:sz w:val="28"/>
                <w:szCs w:val="28"/>
                <w:highlight w:val="none"/>
              </w:rPr>
            </w:pPr>
          </w:p>
        </w:tc>
        <w:tc>
          <w:tcPr>
            <w:tcW w:w="1999" w:type="dxa"/>
            <w:vAlign w:val="center"/>
          </w:tcPr>
          <w:p w14:paraId="22D6EAEE">
            <w:pPr>
              <w:jc w:val="center"/>
              <w:rPr>
                <w:rFonts w:hint="eastAsia" w:ascii="仿宋" w:hAnsi="仿宋" w:eastAsia="仿宋" w:cs="仿宋"/>
                <w:color w:val="auto"/>
                <w:sz w:val="28"/>
                <w:szCs w:val="28"/>
                <w:highlight w:val="none"/>
              </w:rPr>
            </w:pPr>
          </w:p>
        </w:tc>
        <w:tc>
          <w:tcPr>
            <w:tcW w:w="2523" w:type="dxa"/>
            <w:vAlign w:val="center"/>
          </w:tcPr>
          <w:p w14:paraId="28438DE6">
            <w:pPr>
              <w:jc w:val="center"/>
              <w:rPr>
                <w:rFonts w:hint="eastAsia" w:ascii="仿宋" w:hAnsi="仿宋" w:eastAsia="仿宋" w:cs="仿宋"/>
                <w:color w:val="auto"/>
                <w:sz w:val="28"/>
                <w:szCs w:val="28"/>
                <w:highlight w:val="none"/>
              </w:rPr>
            </w:pPr>
          </w:p>
        </w:tc>
      </w:tr>
      <w:tr w14:paraId="20FB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4843800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其他要求</w:t>
            </w:r>
          </w:p>
        </w:tc>
        <w:tc>
          <w:tcPr>
            <w:tcW w:w="2285" w:type="dxa"/>
            <w:vAlign w:val="center"/>
          </w:tcPr>
          <w:p w14:paraId="2F107F7B">
            <w:pPr>
              <w:jc w:val="center"/>
              <w:rPr>
                <w:rFonts w:hint="eastAsia" w:ascii="仿宋" w:hAnsi="仿宋" w:eastAsia="仿宋" w:cs="仿宋"/>
                <w:color w:val="auto"/>
                <w:sz w:val="28"/>
                <w:szCs w:val="28"/>
                <w:highlight w:val="none"/>
              </w:rPr>
            </w:pPr>
          </w:p>
        </w:tc>
        <w:tc>
          <w:tcPr>
            <w:tcW w:w="1999" w:type="dxa"/>
            <w:vAlign w:val="center"/>
          </w:tcPr>
          <w:p w14:paraId="7A826353">
            <w:pPr>
              <w:jc w:val="center"/>
              <w:rPr>
                <w:rFonts w:hint="eastAsia" w:ascii="仿宋" w:hAnsi="仿宋" w:eastAsia="仿宋" w:cs="仿宋"/>
                <w:color w:val="auto"/>
                <w:sz w:val="28"/>
                <w:szCs w:val="28"/>
                <w:highlight w:val="none"/>
              </w:rPr>
            </w:pPr>
          </w:p>
        </w:tc>
        <w:tc>
          <w:tcPr>
            <w:tcW w:w="2523" w:type="dxa"/>
            <w:vAlign w:val="center"/>
          </w:tcPr>
          <w:p w14:paraId="19BE3482">
            <w:pPr>
              <w:jc w:val="center"/>
              <w:rPr>
                <w:rFonts w:hint="eastAsia" w:ascii="仿宋" w:hAnsi="仿宋" w:eastAsia="仿宋" w:cs="仿宋"/>
                <w:color w:val="auto"/>
                <w:sz w:val="28"/>
                <w:szCs w:val="28"/>
                <w:highlight w:val="none"/>
              </w:rPr>
            </w:pPr>
          </w:p>
        </w:tc>
      </w:tr>
      <w:tr w14:paraId="4FC9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7B50ED14">
            <w:pPr>
              <w:jc w:val="center"/>
              <w:rPr>
                <w:rFonts w:hint="eastAsia" w:ascii="仿宋" w:hAnsi="仿宋" w:eastAsia="仿宋" w:cs="仿宋"/>
                <w:color w:val="auto"/>
                <w:sz w:val="28"/>
                <w:szCs w:val="28"/>
                <w:highlight w:val="none"/>
              </w:rPr>
            </w:pPr>
          </w:p>
        </w:tc>
        <w:tc>
          <w:tcPr>
            <w:tcW w:w="2285" w:type="dxa"/>
            <w:vAlign w:val="center"/>
          </w:tcPr>
          <w:p w14:paraId="75C4AFB0">
            <w:pPr>
              <w:jc w:val="center"/>
              <w:rPr>
                <w:rFonts w:hint="eastAsia" w:ascii="仿宋" w:hAnsi="仿宋" w:eastAsia="仿宋" w:cs="仿宋"/>
                <w:color w:val="auto"/>
                <w:sz w:val="28"/>
                <w:szCs w:val="28"/>
                <w:highlight w:val="none"/>
              </w:rPr>
            </w:pPr>
          </w:p>
        </w:tc>
        <w:tc>
          <w:tcPr>
            <w:tcW w:w="1999" w:type="dxa"/>
            <w:vAlign w:val="center"/>
          </w:tcPr>
          <w:p w14:paraId="3D3A99C1">
            <w:pPr>
              <w:jc w:val="center"/>
              <w:rPr>
                <w:rFonts w:hint="eastAsia" w:ascii="仿宋" w:hAnsi="仿宋" w:eastAsia="仿宋" w:cs="仿宋"/>
                <w:color w:val="auto"/>
                <w:sz w:val="28"/>
                <w:szCs w:val="28"/>
                <w:highlight w:val="none"/>
              </w:rPr>
            </w:pPr>
          </w:p>
        </w:tc>
        <w:tc>
          <w:tcPr>
            <w:tcW w:w="2523" w:type="dxa"/>
            <w:vAlign w:val="center"/>
          </w:tcPr>
          <w:p w14:paraId="3CCA14F9">
            <w:pPr>
              <w:jc w:val="center"/>
              <w:rPr>
                <w:rFonts w:hint="eastAsia" w:ascii="仿宋" w:hAnsi="仿宋" w:eastAsia="仿宋" w:cs="仿宋"/>
                <w:color w:val="auto"/>
                <w:sz w:val="28"/>
                <w:szCs w:val="28"/>
                <w:highlight w:val="none"/>
              </w:rPr>
            </w:pPr>
          </w:p>
        </w:tc>
      </w:tr>
    </w:tbl>
    <w:p w14:paraId="11F80C5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（盖章）</w:t>
      </w:r>
    </w:p>
    <w:p w14:paraId="1261755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法定代表人或其授权代理人签名或盖章：</w:t>
      </w:r>
    </w:p>
    <w:p w14:paraId="65A59618">
      <w:pPr>
        <w:rPr>
          <w:rFonts w:hint="eastAsia" w:ascii="仿宋" w:hAnsi="仿宋" w:eastAsia="仿宋" w:cs="仿宋"/>
          <w:color w:val="auto"/>
          <w:sz w:val="28"/>
          <w:szCs w:val="28"/>
          <w:highlight w:val="none"/>
          <w:lang w:val="zh-CN"/>
        </w:rPr>
      </w:pPr>
    </w:p>
    <w:p w14:paraId="329CDC2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   年   月  日</w:t>
      </w:r>
    </w:p>
    <w:p w14:paraId="05B78ECD">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BB47B9C">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投标声明书</w:t>
      </w:r>
    </w:p>
    <w:p w14:paraId="4658D941">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采购人名称）：</w:t>
      </w:r>
    </w:p>
    <w:p w14:paraId="48563B52">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（供应商名称）系中华人民共和国合法企业，经营地址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A82BC0E">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我</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（姓名）系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（供应商名称）的法定代表人，我方愿意参加贵方组织的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项目的招标，为便于贵方公正、择优地确定中标供应商及其投标设备和服务，我方就本次招标有关事项郑重声明如下： </w:t>
      </w:r>
    </w:p>
    <w:p w14:paraId="59D33BCD">
      <w:pPr>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1.我方向贵方提交的所有投标文件、资料都是准确的和真实的。</w:t>
      </w:r>
      <w:r>
        <w:rPr>
          <w:rFonts w:hint="eastAsia" w:ascii="仿宋" w:hAnsi="仿宋" w:eastAsia="仿宋" w:cs="仿宋"/>
          <w:color w:val="auto"/>
          <w:sz w:val="24"/>
          <w:szCs w:val="24"/>
          <w:highlight w:val="none"/>
        </w:rPr>
        <w:t xml:space="preserve"> </w:t>
      </w:r>
    </w:p>
    <w:p w14:paraId="270CC3AA">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2.我方不是采购人的附属机构；在获知本项目采购信息后，与采购人聘请的为此项目提供咨询服务的公司及其附属机构没有任何联系。 </w:t>
      </w:r>
    </w:p>
    <w:p w14:paraId="71D032EF">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3.我方在投标之前已经与贵方进行了充分的沟通，完全理解并接受招标文件的各项规定和要求，对招标文件的合理性、合法性不再有异议。 </w:t>
      </w:r>
    </w:p>
    <w:p w14:paraId="78F02D56">
      <w:pPr>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4.我方及由本人担任法定代表人的其他机构最近三年内被通报或者被处罚的违法行为有： </w:t>
      </w:r>
    </w:p>
    <w:p w14:paraId="4302502C">
      <w:pPr>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0423177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5.以上事项如有虚假或隐瞒，我方愿意承担一切后果，并不再寻求任何旨在减轻或免除法律责任的辩解。 </w:t>
      </w:r>
    </w:p>
    <w:p w14:paraId="06508A6A">
      <w:pPr>
        <w:rPr>
          <w:rFonts w:hint="eastAsia" w:ascii="仿宋" w:hAnsi="仿宋" w:eastAsia="仿宋" w:cs="仿宋"/>
          <w:color w:val="auto"/>
          <w:sz w:val="24"/>
          <w:szCs w:val="24"/>
          <w:highlight w:val="none"/>
        </w:rPr>
      </w:pPr>
    </w:p>
    <w:p w14:paraId="7CD7BB2C">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供应商全称（盖章）： </w:t>
      </w:r>
    </w:p>
    <w:p w14:paraId="5DE2969A">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法定代表人或授权代表（签字或盖章）： </w:t>
      </w:r>
    </w:p>
    <w:p w14:paraId="265AAE9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日 期： </w:t>
      </w:r>
    </w:p>
    <w:p w14:paraId="36FD7F5E">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EEA5DFB">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技术响应表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848"/>
        <w:gridCol w:w="2122"/>
        <w:gridCol w:w="2121"/>
        <w:gridCol w:w="1979"/>
        <w:gridCol w:w="1272"/>
      </w:tblGrid>
      <w:tr w14:paraId="794B7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3926" w:type="dxa"/>
            <w:gridSpan w:val="3"/>
            <w:tcBorders>
              <w:top w:val="single" w:color="auto" w:sz="4" w:space="0"/>
              <w:left w:val="single" w:color="auto" w:sz="4" w:space="0"/>
              <w:bottom w:val="single" w:color="auto" w:sz="4" w:space="0"/>
              <w:right w:val="single" w:color="auto" w:sz="4" w:space="0"/>
            </w:tcBorders>
            <w:vAlign w:val="center"/>
          </w:tcPr>
          <w:p w14:paraId="23ECE1D3">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招标文件要求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14:paraId="53B43DB7">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投标文件响应</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7D5BD888">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偏离情况</w:t>
            </w:r>
          </w:p>
        </w:tc>
      </w:tr>
      <w:tr w14:paraId="68332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0E62A6A7">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设备名称</w:t>
            </w:r>
          </w:p>
        </w:tc>
        <w:tc>
          <w:tcPr>
            <w:tcW w:w="2122" w:type="dxa"/>
            <w:tcBorders>
              <w:top w:val="single" w:color="auto" w:sz="4" w:space="0"/>
              <w:left w:val="single" w:color="auto" w:sz="4" w:space="0"/>
              <w:bottom w:val="single" w:color="auto" w:sz="4" w:space="0"/>
              <w:right w:val="single" w:color="auto" w:sz="4" w:space="0"/>
            </w:tcBorders>
            <w:vAlign w:val="center"/>
          </w:tcPr>
          <w:p w14:paraId="22E0C9C4">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要求</w:t>
            </w:r>
          </w:p>
        </w:tc>
        <w:tc>
          <w:tcPr>
            <w:tcW w:w="2121" w:type="dxa"/>
            <w:tcBorders>
              <w:top w:val="single" w:color="auto" w:sz="4" w:space="0"/>
              <w:left w:val="single" w:color="auto" w:sz="4" w:space="0"/>
              <w:bottom w:val="single" w:color="auto" w:sz="4" w:space="0"/>
              <w:right w:val="single" w:color="auto" w:sz="4" w:space="0"/>
            </w:tcBorders>
            <w:vAlign w:val="center"/>
          </w:tcPr>
          <w:p w14:paraId="24B3A0AF">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设备名称</w:t>
            </w:r>
          </w:p>
        </w:tc>
        <w:tc>
          <w:tcPr>
            <w:tcW w:w="1979" w:type="dxa"/>
            <w:tcBorders>
              <w:top w:val="single" w:color="auto" w:sz="4" w:space="0"/>
              <w:left w:val="single" w:color="auto" w:sz="4" w:space="0"/>
              <w:bottom w:val="single" w:color="auto" w:sz="4" w:space="0"/>
              <w:right w:val="single" w:color="auto" w:sz="4" w:space="0"/>
            </w:tcBorders>
            <w:vAlign w:val="center"/>
          </w:tcPr>
          <w:p w14:paraId="5960A950">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性能及指标</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E097A0">
            <w:pPr>
              <w:jc w:val="center"/>
              <w:rPr>
                <w:rFonts w:hint="eastAsia" w:ascii="仿宋" w:hAnsi="仿宋" w:eastAsia="仿宋" w:cs="仿宋"/>
                <w:bCs/>
                <w:color w:val="auto"/>
                <w:sz w:val="28"/>
                <w:szCs w:val="28"/>
                <w:highlight w:val="none"/>
              </w:rPr>
            </w:pPr>
          </w:p>
        </w:tc>
      </w:tr>
      <w:tr w14:paraId="2BCB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14:paraId="346DFFC9">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技术参数</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09EE68C2">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2"/>
                <w:szCs w:val="20"/>
                <w:highlight w:val="none"/>
              </w:rPr>
              <w:t>重要技术参数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316A574C">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2F3D0BD6">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63103FB">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B620DAC">
            <w:pPr>
              <w:jc w:val="center"/>
              <w:rPr>
                <w:rFonts w:hint="eastAsia" w:ascii="仿宋" w:hAnsi="仿宋" w:eastAsia="仿宋" w:cs="仿宋"/>
                <w:bCs/>
                <w:color w:val="auto"/>
                <w:sz w:val="28"/>
                <w:szCs w:val="28"/>
                <w:highlight w:val="none"/>
              </w:rPr>
            </w:pPr>
          </w:p>
        </w:tc>
      </w:tr>
      <w:tr w14:paraId="6567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7A67E7F9">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F4F2124">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35356440">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p>
        </w:tc>
        <w:tc>
          <w:tcPr>
            <w:tcW w:w="2121" w:type="dxa"/>
            <w:tcBorders>
              <w:top w:val="single" w:color="auto" w:sz="4" w:space="0"/>
              <w:left w:val="single" w:color="auto" w:sz="4" w:space="0"/>
              <w:bottom w:val="single" w:color="auto" w:sz="4" w:space="0"/>
              <w:right w:val="single" w:color="auto" w:sz="4" w:space="0"/>
            </w:tcBorders>
            <w:vAlign w:val="center"/>
          </w:tcPr>
          <w:p w14:paraId="5EA1E837">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CFED3E7">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F70550F">
            <w:pPr>
              <w:jc w:val="center"/>
              <w:rPr>
                <w:rFonts w:hint="eastAsia" w:ascii="仿宋" w:hAnsi="仿宋" w:eastAsia="仿宋" w:cs="仿宋"/>
                <w:bCs/>
                <w:color w:val="auto"/>
                <w:sz w:val="28"/>
                <w:szCs w:val="28"/>
                <w:highlight w:val="none"/>
              </w:rPr>
            </w:pPr>
          </w:p>
        </w:tc>
      </w:tr>
      <w:tr w14:paraId="24E8B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F4821AD">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02184C81">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07800C11">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p>
        </w:tc>
        <w:tc>
          <w:tcPr>
            <w:tcW w:w="2121" w:type="dxa"/>
            <w:tcBorders>
              <w:top w:val="single" w:color="auto" w:sz="4" w:space="0"/>
              <w:left w:val="single" w:color="auto" w:sz="4" w:space="0"/>
              <w:bottom w:val="single" w:color="auto" w:sz="4" w:space="0"/>
              <w:right w:val="single" w:color="auto" w:sz="4" w:space="0"/>
            </w:tcBorders>
            <w:vAlign w:val="center"/>
          </w:tcPr>
          <w:p w14:paraId="58F39AA5">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6264D3A">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3B5E9F0">
            <w:pPr>
              <w:jc w:val="center"/>
              <w:rPr>
                <w:rFonts w:hint="eastAsia" w:ascii="仿宋" w:hAnsi="仿宋" w:eastAsia="仿宋" w:cs="仿宋"/>
                <w:bCs/>
                <w:color w:val="auto"/>
                <w:sz w:val="28"/>
                <w:szCs w:val="28"/>
                <w:highlight w:val="none"/>
              </w:rPr>
            </w:pPr>
          </w:p>
        </w:tc>
      </w:tr>
      <w:tr w14:paraId="6EF1B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79B825F">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1F2BD0BA">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4D973E8">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7F93E5BA">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78BCB1D">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A1AB1E6">
            <w:pPr>
              <w:jc w:val="center"/>
              <w:rPr>
                <w:rFonts w:hint="eastAsia" w:ascii="仿宋" w:hAnsi="仿宋" w:eastAsia="仿宋" w:cs="仿宋"/>
                <w:bCs/>
                <w:color w:val="auto"/>
                <w:sz w:val="28"/>
                <w:szCs w:val="28"/>
                <w:highlight w:val="none"/>
              </w:rPr>
            </w:pPr>
          </w:p>
        </w:tc>
      </w:tr>
      <w:tr w14:paraId="40AB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BB371FF">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28B4E210">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1CFF4513">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N</w:t>
            </w:r>
          </w:p>
        </w:tc>
        <w:tc>
          <w:tcPr>
            <w:tcW w:w="2121" w:type="dxa"/>
            <w:tcBorders>
              <w:top w:val="single" w:color="auto" w:sz="4" w:space="0"/>
              <w:left w:val="single" w:color="auto" w:sz="4" w:space="0"/>
              <w:bottom w:val="single" w:color="auto" w:sz="4" w:space="0"/>
              <w:right w:val="single" w:color="auto" w:sz="4" w:space="0"/>
            </w:tcBorders>
            <w:vAlign w:val="center"/>
          </w:tcPr>
          <w:p w14:paraId="1FBA6914">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1FC7510">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3910639">
            <w:pPr>
              <w:jc w:val="center"/>
              <w:rPr>
                <w:rFonts w:hint="eastAsia" w:ascii="仿宋" w:hAnsi="仿宋" w:eastAsia="仿宋" w:cs="仿宋"/>
                <w:bCs/>
                <w:color w:val="auto"/>
                <w:sz w:val="28"/>
                <w:szCs w:val="28"/>
                <w:highlight w:val="none"/>
              </w:rPr>
            </w:pPr>
          </w:p>
        </w:tc>
      </w:tr>
      <w:tr w14:paraId="042B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3433DAD">
            <w:pPr>
              <w:jc w:val="center"/>
              <w:rPr>
                <w:rFonts w:hint="eastAsia" w:ascii="仿宋" w:hAnsi="仿宋" w:eastAsia="仿宋" w:cs="仿宋"/>
                <w:bCs/>
                <w:color w:val="auto"/>
                <w:sz w:val="28"/>
                <w:szCs w:val="28"/>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6A534395">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2"/>
                <w:szCs w:val="20"/>
                <w:highlight w:val="none"/>
                <w:lang w:val="en-US" w:eastAsia="zh-CN"/>
              </w:rPr>
              <w:t>一般</w:t>
            </w:r>
            <w:r>
              <w:rPr>
                <w:rFonts w:hint="eastAsia" w:ascii="仿宋" w:hAnsi="仿宋" w:eastAsia="仿宋" w:cs="仿宋"/>
                <w:bCs/>
                <w:color w:val="auto"/>
                <w:sz w:val="22"/>
                <w:szCs w:val="20"/>
                <w:highlight w:val="none"/>
              </w:rPr>
              <w:t>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756827F5">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08E84521">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16F1E9E">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E163001">
            <w:pPr>
              <w:jc w:val="center"/>
              <w:rPr>
                <w:rFonts w:hint="eastAsia" w:ascii="仿宋" w:hAnsi="仿宋" w:eastAsia="仿宋" w:cs="仿宋"/>
                <w:bCs/>
                <w:color w:val="auto"/>
                <w:sz w:val="28"/>
                <w:szCs w:val="28"/>
                <w:highlight w:val="none"/>
              </w:rPr>
            </w:pPr>
          </w:p>
        </w:tc>
      </w:tr>
      <w:tr w14:paraId="1C9B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9CBBC9D">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4ABAF981">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4E14BF3">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6F40EA6C">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3862207">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52F409">
            <w:pPr>
              <w:jc w:val="center"/>
              <w:rPr>
                <w:rFonts w:hint="eastAsia" w:ascii="仿宋" w:hAnsi="仿宋" w:eastAsia="仿宋" w:cs="仿宋"/>
                <w:bCs/>
                <w:color w:val="auto"/>
                <w:sz w:val="28"/>
                <w:szCs w:val="28"/>
                <w:highlight w:val="none"/>
              </w:rPr>
            </w:pPr>
          </w:p>
        </w:tc>
      </w:tr>
      <w:tr w14:paraId="0A926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07D9A517">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B161EAC">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588D98C">
            <w:pPr>
              <w:jc w:val="center"/>
              <w:rPr>
                <w:rFonts w:hint="eastAsia" w:ascii="仿宋" w:hAnsi="仿宋" w:eastAsia="仿宋" w:cs="仿宋"/>
                <w:bCs/>
                <w:color w:val="auto"/>
                <w:sz w:val="28"/>
                <w:szCs w:val="28"/>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6163E6B3">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1CB5E9C">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C158662">
            <w:pPr>
              <w:jc w:val="center"/>
              <w:rPr>
                <w:rFonts w:hint="eastAsia" w:ascii="仿宋" w:hAnsi="仿宋" w:eastAsia="仿宋" w:cs="仿宋"/>
                <w:bCs/>
                <w:color w:val="auto"/>
                <w:sz w:val="28"/>
                <w:szCs w:val="28"/>
                <w:highlight w:val="none"/>
              </w:rPr>
            </w:pPr>
          </w:p>
        </w:tc>
      </w:tr>
      <w:tr w14:paraId="40685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39CD5D8E">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p>
        </w:tc>
        <w:tc>
          <w:tcPr>
            <w:tcW w:w="2122" w:type="dxa"/>
            <w:tcBorders>
              <w:top w:val="single" w:color="auto" w:sz="4" w:space="0"/>
              <w:left w:val="single" w:color="auto" w:sz="4" w:space="0"/>
              <w:bottom w:val="single" w:color="auto" w:sz="4" w:space="0"/>
              <w:right w:val="single" w:color="auto" w:sz="4" w:space="0"/>
            </w:tcBorders>
            <w:vAlign w:val="center"/>
          </w:tcPr>
          <w:p w14:paraId="45CA201D">
            <w:pPr>
              <w:jc w:val="center"/>
              <w:rPr>
                <w:rFonts w:hint="eastAsia" w:ascii="仿宋" w:hAnsi="仿宋" w:eastAsia="仿宋" w:cs="仿宋"/>
                <w:bCs/>
                <w:color w:val="auto"/>
                <w:sz w:val="28"/>
                <w:szCs w:val="28"/>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3CBEEAF1">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DC30EAF">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45FD2311">
            <w:pPr>
              <w:jc w:val="center"/>
              <w:rPr>
                <w:rFonts w:hint="eastAsia" w:ascii="仿宋" w:hAnsi="仿宋" w:eastAsia="仿宋" w:cs="仿宋"/>
                <w:bCs/>
                <w:color w:val="auto"/>
                <w:sz w:val="28"/>
                <w:szCs w:val="28"/>
                <w:highlight w:val="none"/>
              </w:rPr>
            </w:pPr>
          </w:p>
        </w:tc>
      </w:tr>
    </w:tbl>
    <w:p w14:paraId="4C4F4CC5">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注：1、若本表不适用，供应商可自拟表格；</w:t>
      </w:r>
    </w:p>
    <w:p w14:paraId="1871F3CA">
      <w:pP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    2、供应商须根据评分标准要求提供相关证书。</w:t>
      </w:r>
    </w:p>
    <w:p w14:paraId="3469989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（盖章）</w:t>
      </w:r>
    </w:p>
    <w:p w14:paraId="7CBEA63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法定代表人或其授权代理人签名或盖章：                                                      </w:t>
      </w:r>
    </w:p>
    <w:p w14:paraId="3DDF3BF5">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日期：    年   月   日</w:t>
      </w:r>
    </w:p>
    <w:p w14:paraId="49E3E750">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EA2BAAF">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企业业绩</w:t>
      </w:r>
    </w:p>
    <w:p w14:paraId="2D825A4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供应商全称（加盖公章）：</w:t>
      </w:r>
    </w:p>
    <w:p w14:paraId="20ED117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bl>
      <w:tblPr>
        <w:tblStyle w:val="2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638"/>
        <w:gridCol w:w="1622"/>
        <w:gridCol w:w="1468"/>
        <w:gridCol w:w="1425"/>
        <w:gridCol w:w="1386"/>
      </w:tblGrid>
      <w:tr w14:paraId="3D35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0E7A7888">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序号</w:t>
            </w:r>
          </w:p>
        </w:tc>
        <w:tc>
          <w:tcPr>
            <w:tcW w:w="1417" w:type="dxa"/>
            <w:vAlign w:val="center"/>
          </w:tcPr>
          <w:p w14:paraId="388383D3">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tc>
        <w:tc>
          <w:tcPr>
            <w:tcW w:w="1638" w:type="dxa"/>
            <w:vAlign w:val="center"/>
          </w:tcPr>
          <w:p w14:paraId="1E5C6F65">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w:t>
            </w:r>
          </w:p>
        </w:tc>
        <w:tc>
          <w:tcPr>
            <w:tcW w:w="1622" w:type="dxa"/>
            <w:vAlign w:val="center"/>
          </w:tcPr>
          <w:p w14:paraId="49388463">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合同金额</w:t>
            </w:r>
          </w:p>
          <w:p w14:paraId="5AF44FC2">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(人民币)</w:t>
            </w:r>
          </w:p>
        </w:tc>
        <w:tc>
          <w:tcPr>
            <w:tcW w:w="1468" w:type="dxa"/>
            <w:vAlign w:val="center"/>
          </w:tcPr>
          <w:p w14:paraId="0F9BCA6F">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签订时间</w:t>
            </w:r>
          </w:p>
        </w:tc>
        <w:tc>
          <w:tcPr>
            <w:tcW w:w="1425" w:type="dxa"/>
            <w:vAlign w:val="center"/>
          </w:tcPr>
          <w:p w14:paraId="1B45E127">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采购单位</w:t>
            </w:r>
          </w:p>
          <w:p w14:paraId="088D6668">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联系人</w:t>
            </w:r>
          </w:p>
        </w:tc>
        <w:tc>
          <w:tcPr>
            <w:tcW w:w="1386" w:type="dxa"/>
            <w:vAlign w:val="center"/>
          </w:tcPr>
          <w:p w14:paraId="1CF1AF4B">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p>
        </w:tc>
      </w:tr>
      <w:tr w14:paraId="6199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BF81256">
            <w:pPr>
              <w:rPr>
                <w:rFonts w:hint="eastAsia" w:ascii="仿宋" w:hAnsi="仿宋" w:eastAsia="仿宋" w:cs="仿宋"/>
                <w:bCs/>
                <w:color w:val="auto"/>
                <w:sz w:val="28"/>
                <w:szCs w:val="28"/>
                <w:highlight w:val="none"/>
              </w:rPr>
            </w:pPr>
          </w:p>
        </w:tc>
        <w:tc>
          <w:tcPr>
            <w:tcW w:w="1417" w:type="dxa"/>
            <w:vAlign w:val="center"/>
          </w:tcPr>
          <w:p w14:paraId="33E23455">
            <w:pPr>
              <w:rPr>
                <w:rFonts w:hint="eastAsia" w:ascii="仿宋" w:hAnsi="仿宋" w:eastAsia="仿宋" w:cs="仿宋"/>
                <w:bCs/>
                <w:color w:val="auto"/>
                <w:sz w:val="28"/>
                <w:szCs w:val="28"/>
                <w:highlight w:val="none"/>
              </w:rPr>
            </w:pPr>
          </w:p>
        </w:tc>
        <w:tc>
          <w:tcPr>
            <w:tcW w:w="1638" w:type="dxa"/>
            <w:vAlign w:val="center"/>
          </w:tcPr>
          <w:p w14:paraId="0D5F4F51">
            <w:pPr>
              <w:rPr>
                <w:rFonts w:hint="eastAsia" w:ascii="仿宋" w:hAnsi="仿宋" w:eastAsia="仿宋" w:cs="仿宋"/>
                <w:bCs/>
                <w:color w:val="auto"/>
                <w:sz w:val="28"/>
                <w:szCs w:val="28"/>
                <w:highlight w:val="none"/>
              </w:rPr>
            </w:pPr>
          </w:p>
        </w:tc>
        <w:tc>
          <w:tcPr>
            <w:tcW w:w="1622" w:type="dxa"/>
            <w:vAlign w:val="center"/>
          </w:tcPr>
          <w:p w14:paraId="44AC2933">
            <w:pPr>
              <w:rPr>
                <w:rFonts w:hint="eastAsia" w:ascii="仿宋" w:hAnsi="仿宋" w:eastAsia="仿宋" w:cs="仿宋"/>
                <w:bCs/>
                <w:color w:val="auto"/>
                <w:sz w:val="28"/>
                <w:szCs w:val="28"/>
                <w:highlight w:val="none"/>
              </w:rPr>
            </w:pPr>
          </w:p>
        </w:tc>
        <w:tc>
          <w:tcPr>
            <w:tcW w:w="1468" w:type="dxa"/>
            <w:vAlign w:val="center"/>
          </w:tcPr>
          <w:p w14:paraId="523B0CC0">
            <w:pPr>
              <w:rPr>
                <w:rFonts w:hint="eastAsia" w:ascii="仿宋" w:hAnsi="仿宋" w:eastAsia="仿宋" w:cs="仿宋"/>
                <w:bCs/>
                <w:color w:val="auto"/>
                <w:sz w:val="28"/>
                <w:szCs w:val="28"/>
                <w:highlight w:val="none"/>
              </w:rPr>
            </w:pPr>
          </w:p>
        </w:tc>
        <w:tc>
          <w:tcPr>
            <w:tcW w:w="1425" w:type="dxa"/>
            <w:vAlign w:val="center"/>
          </w:tcPr>
          <w:p w14:paraId="1756801A">
            <w:pPr>
              <w:rPr>
                <w:rFonts w:hint="eastAsia" w:ascii="仿宋" w:hAnsi="仿宋" w:eastAsia="仿宋" w:cs="仿宋"/>
                <w:bCs/>
                <w:color w:val="auto"/>
                <w:sz w:val="28"/>
                <w:szCs w:val="28"/>
                <w:highlight w:val="none"/>
              </w:rPr>
            </w:pPr>
          </w:p>
        </w:tc>
        <w:tc>
          <w:tcPr>
            <w:tcW w:w="1386" w:type="dxa"/>
            <w:vAlign w:val="center"/>
          </w:tcPr>
          <w:p w14:paraId="5BF9DF74">
            <w:pPr>
              <w:rPr>
                <w:rFonts w:hint="eastAsia" w:ascii="仿宋" w:hAnsi="仿宋" w:eastAsia="仿宋" w:cs="仿宋"/>
                <w:bCs/>
                <w:color w:val="auto"/>
                <w:sz w:val="28"/>
                <w:szCs w:val="28"/>
                <w:highlight w:val="none"/>
              </w:rPr>
            </w:pPr>
          </w:p>
        </w:tc>
      </w:tr>
      <w:tr w14:paraId="53BD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39BABF9">
            <w:pPr>
              <w:rPr>
                <w:rFonts w:hint="eastAsia" w:ascii="仿宋" w:hAnsi="仿宋" w:eastAsia="仿宋" w:cs="仿宋"/>
                <w:bCs/>
                <w:color w:val="auto"/>
                <w:sz w:val="28"/>
                <w:szCs w:val="28"/>
                <w:highlight w:val="none"/>
              </w:rPr>
            </w:pPr>
          </w:p>
        </w:tc>
        <w:tc>
          <w:tcPr>
            <w:tcW w:w="1417" w:type="dxa"/>
            <w:vAlign w:val="center"/>
          </w:tcPr>
          <w:p w14:paraId="483EEA45">
            <w:pPr>
              <w:rPr>
                <w:rFonts w:hint="eastAsia" w:ascii="仿宋" w:hAnsi="仿宋" w:eastAsia="仿宋" w:cs="仿宋"/>
                <w:bCs/>
                <w:color w:val="auto"/>
                <w:sz w:val="28"/>
                <w:szCs w:val="28"/>
                <w:highlight w:val="none"/>
              </w:rPr>
            </w:pPr>
          </w:p>
        </w:tc>
        <w:tc>
          <w:tcPr>
            <w:tcW w:w="1638" w:type="dxa"/>
            <w:vAlign w:val="center"/>
          </w:tcPr>
          <w:p w14:paraId="1C23F38C">
            <w:pPr>
              <w:rPr>
                <w:rFonts w:hint="eastAsia" w:ascii="仿宋" w:hAnsi="仿宋" w:eastAsia="仿宋" w:cs="仿宋"/>
                <w:bCs/>
                <w:color w:val="auto"/>
                <w:sz w:val="28"/>
                <w:szCs w:val="28"/>
                <w:highlight w:val="none"/>
              </w:rPr>
            </w:pPr>
          </w:p>
        </w:tc>
        <w:tc>
          <w:tcPr>
            <w:tcW w:w="1622" w:type="dxa"/>
            <w:vAlign w:val="center"/>
          </w:tcPr>
          <w:p w14:paraId="515B08EF">
            <w:pPr>
              <w:rPr>
                <w:rFonts w:hint="eastAsia" w:ascii="仿宋" w:hAnsi="仿宋" w:eastAsia="仿宋" w:cs="仿宋"/>
                <w:bCs/>
                <w:color w:val="auto"/>
                <w:sz w:val="28"/>
                <w:szCs w:val="28"/>
                <w:highlight w:val="none"/>
              </w:rPr>
            </w:pPr>
          </w:p>
        </w:tc>
        <w:tc>
          <w:tcPr>
            <w:tcW w:w="1468" w:type="dxa"/>
            <w:vAlign w:val="center"/>
          </w:tcPr>
          <w:p w14:paraId="65D9F8D4">
            <w:pPr>
              <w:rPr>
                <w:rFonts w:hint="eastAsia" w:ascii="仿宋" w:hAnsi="仿宋" w:eastAsia="仿宋" w:cs="仿宋"/>
                <w:bCs/>
                <w:color w:val="auto"/>
                <w:sz w:val="28"/>
                <w:szCs w:val="28"/>
                <w:highlight w:val="none"/>
              </w:rPr>
            </w:pPr>
          </w:p>
        </w:tc>
        <w:tc>
          <w:tcPr>
            <w:tcW w:w="1425" w:type="dxa"/>
            <w:vAlign w:val="center"/>
          </w:tcPr>
          <w:p w14:paraId="3CBF6C12">
            <w:pPr>
              <w:rPr>
                <w:rFonts w:hint="eastAsia" w:ascii="仿宋" w:hAnsi="仿宋" w:eastAsia="仿宋" w:cs="仿宋"/>
                <w:bCs/>
                <w:color w:val="auto"/>
                <w:sz w:val="28"/>
                <w:szCs w:val="28"/>
                <w:highlight w:val="none"/>
              </w:rPr>
            </w:pPr>
          </w:p>
        </w:tc>
        <w:tc>
          <w:tcPr>
            <w:tcW w:w="1386" w:type="dxa"/>
            <w:vAlign w:val="center"/>
          </w:tcPr>
          <w:p w14:paraId="71E74A77">
            <w:pPr>
              <w:rPr>
                <w:rFonts w:hint="eastAsia" w:ascii="仿宋" w:hAnsi="仿宋" w:eastAsia="仿宋" w:cs="仿宋"/>
                <w:bCs/>
                <w:color w:val="auto"/>
                <w:sz w:val="28"/>
                <w:szCs w:val="28"/>
                <w:highlight w:val="none"/>
              </w:rPr>
            </w:pPr>
          </w:p>
        </w:tc>
      </w:tr>
      <w:tr w14:paraId="0A62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CB38E8E">
            <w:pPr>
              <w:rPr>
                <w:rFonts w:hint="eastAsia" w:ascii="仿宋" w:hAnsi="仿宋" w:eastAsia="仿宋" w:cs="仿宋"/>
                <w:bCs/>
                <w:color w:val="auto"/>
                <w:sz w:val="28"/>
                <w:szCs w:val="28"/>
                <w:highlight w:val="none"/>
              </w:rPr>
            </w:pPr>
          </w:p>
        </w:tc>
        <w:tc>
          <w:tcPr>
            <w:tcW w:w="1417" w:type="dxa"/>
            <w:vAlign w:val="center"/>
          </w:tcPr>
          <w:p w14:paraId="52AF0126">
            <w:pPr>
              <w:rPr>
                <w:rFonts w:hint="eastAsia" w:ascii="仿宋" w:hAnsi="仿宋" w:eastAsia="仿宋" w:cs="仿宋"/>
                <w:bCs/>
                <w:color w:val="auto"/>
                <w:sz w:val="28"/>
                <w:szCs w:val="28"/>
                <w:highlight w:val="none"/>
              </w:rPr>
            </w:pPr>
          </w:p>
        </w:tc>
        <w:tc>
          <w:tcPr>
            <w:tcW w:w="1638" w:type="dxa"/>
            <w:vAlign w:val="center"/>
          </w:tcPr>
          <w:p w14:paraId="5491870A">
            <w:pPr>
              <w:rPr>
                <w:rFonts w:hint="eastAsia" w:ascii="仿宋" w:hAnsi="仿宋" w:eastAsia="仿宋" w:cs="仿宋"/>
                <w:bCs/>
                <w:color w:val="auto"/>
                <w:sz w:val="28"/>
                <w:szCs w:val="28"/>
                <w:highlight w:val="none"/>
              </w:rPr>
            </w:pPr>
          </w:p>
        </w:tc>
        <w:tc>
          <w:tcPr>
            <w:tcW w:w="1622" w:type="dxa"/>
            <w:vAlign w:val="center"/>
          </w:tcPr>
          <w:p w14:paraId="71CB0BD9">
            <w:pPr>
              <w:rPr>
                <w:rFonts w:hint="eastAsia" w:ascii="仿宋" w:hAnsi="仿宋" w:eastAsia="仿宋" w:cs="仿宋"/>
                <w:bCs/>
                <w:color w:val="auto"/>
                <w:sz w:val="28"/>
                <w:szCs w:val="28"/>
                <w:highlight w:val="none"/>
              </w:rPr>
            </w:pPr>
          </w:p>
        </w:tc>
        <w:tc>
          <w:tcPr>
            <w:tcW w:w="1468" w:type="dxa"/>
            <w:vAlign w:val="center"/>
          </w:tcPr>
          <w:p w14:paraId="6ECE5BE1">
            <w:pPr>
              <w:rPr>
                <w:rFonts w:hint="eastAsia" w:ascii="仿宋" w:hAnsi="仿宋" w:eastAsia="仿宋" w:cs="仿宋"/>
                <w:bCs/>
                <w:color w:val="auto"/>
                <w:sz w:val="28"/>
                <w:szCs w:val="28"/>
                <w:highlight w:val="none"/>
              </w:rPr>
            </w:pPr>
          </w:p>
        </w:tc>
        <w:tc>
          <w:tcPr>
            <w:tcW w:w="1425" w:type="dxa"/>
            <w:vAlign w:val="center"/>
          </w:tcPr>
          <w:p w14:paraId="0C610530">
            <w:pPr>
              <w:rPr>
                <w:rFonts w:hint="eastAsia" w:ascii="仿宋" w:hAnsi="仿宋" w:eastAsia="仿宋" w:cs="仿宋"/>
                <w:bCs/>
                <w:color w:val="auto"/>
                <w:sz w:val="28"/>
                <w:szCs w:val="28"/>
                <w:highlight w:val="none"/>
              </w:rPr>
            </w:pPr>
          </w:p>
        </w:tc>
        <w:tc>
          <w:tcPr>
            <w:tcW w:w="1386" w:type="dxa"/>
            <w:vAlign w:val="center"/>
          </w:tcPr>
          <w:p w14:paraId="519347EB">
            <w:pPr>
              <w:rPr>
                <w:rFonts w:hint="eastAsia" w:ascii="仿宋" w:hAnsi="仿宋" w:eastAsia="仿宋" w:cs="仿宋"/>
                <w:bCs/>
                <w:color w:val="auto"/>
                <w:sz w:val="28"/>
                <w:szCs w:val="28"/>
                <w:highlight w:val="none"/>
              </w:rPr>
            </w:pPr>
          </w:p>
        </w:tc>
      </w:tr>
      <w:tr w14:paraId="74B7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BD8727A">
            <w:pPr>
              <w:rPr>
                <w:rFonts w:hint="eastAsia" w:ascii="仿宋" w:hAnsi="仿宋" w:eastAsia="仿宋" w:cs="仿宋"/>
                <w:bCs/>
                <w:color w:val="auto"/>
                <w:sz w:val="28"/>
                <w:szCs w:val="28"/>
                <w:highlight w:val="none"/>
              </w:rPr>
            </w:pPr>
          </w:p>
        </w:tc>
        <w:tc>
          <w:tcPr>
            <w:tcW w:w="1417" w:type="dxa"/>
            <w:vAlign w:val="center"/>
          </w:tcPr>
          <w:p w14:paraId="7E83D6F6">
            <w:pPr>
              <w:rPr>
                <w:rFonts w:hint="eastAsia" w:ascii="仿宋" w:hAnsi="仿宋" w:eastAsia="仿宋" w:cs="仿宋"/>
                <w:bCs/>
                <w:color w:val="auto"/>
                <w:sz w:val="28"/>
                <w:szCs w:val="28"/>
                <w:highlight w:val="none"/>
              </w:rPr>
            </w:pPr>
          </w:p>
        </w:tc>
        <w:tc>
          <w:tcPr>
            <w:tcW w:w="1638" w:type="dxa"/>
            <w:vAlign w:val="center"/>
          </w:tcPr>
          <w:p w14:paraId="64E214C2">
            <w:pPr>
              <w:rPr>
                <w:rFonts w:hint="eastAsia" w:ascii="仿宋" w:hAnsi="仿宋" w:eastAsia="仿宋" w:cs="仿宋"/>
                <w:bCs/>
                <w:color w:val="auto"/>
                <w:sz w:val="28"/>
                <w:szCs w:val="28"/>
                <w:highlight w:val="none"/>
              </w:rPr>
            </w:pPr>
          </w:p>
        </w:tc>
        <w:tc>
          <w:tcPr>
            <w:tcW w:w="1622" w:type="dxa"/>
            <w:vAlign w:val="center"/>
          </w:tcPr>
          <w:p w14:paraId="3CEFF6EA">
            <w:pPr>
              <w:rPr>
                <w:rFonts w:hint="eastAsia" w:ascii="仿宋" w:hAnsi="仿宋" w:eastAsia="仿宋" w:cs="仿宋"/>
                <w:bCs/>
                <w:color w:val="auto"/>
                <w:sz w:val="28"/>
                <w:szCs w:val="28"/>
                <w:highlight w:val="none"/>
              </w:rPr>
            </w:pPr>
          </w:p>
        </w:tc>
        <w:tc>
          <w:tcPr>
            <w:tcW w:w="1468" w:type="dxa"/>
            <w:vAlign w:val="center"/>
          </w:tcPr>
          <w:p w14:paraId="62704D97">
            <w:pPr>
              <w:rPr>
                <w:rFonts w:hint="eastAsia" w:ascii="仿宋" w:hAnsi="仿宋" w:eastAsia="仿宋" w:cs="仿宋"/>
                <w:bCs/>
                <w:color w:val="auto"/>
                <w:sz w:val="28"/>
                <w:szCs w:val="28"/>
                <w:highlight w:val="none"/>
              </w:rPr>
            </w:pPr>
          </w:p>
        </w:tc>
        <w:tc>
          <w:tcPr>
            <w:tcW w:w="1425" w:type="dxa"/>
            <w:vAlign w:val="center"/>
          </w:tcPr>
          <w:p w14:paraId="25B28F92">
            <w:pPr>
              <w:rPr>
                <w:rFonts w:hint="eastAsia" w:ascii="仿宋" w:hAnsi="仿宋" w:eastAsia="仿宋" w:cs="仿宋"/>
                <w:bCs/>
                <w:color w:val="auto"/>
                <w:sz w:val="28"/>
                <w:szCs w:val="28"/>
                <w:highlight w:val="none"/>
              </w:rPr>
            </w:pPr>
          </w:p>
        </w:tc>
        <w:tc>
          <w:tcPr>
            <w:tcW w:w="1386" w:type="dxa"/>
            <w:vAlign w:val="center"/>
          </w:tcPr>
          <w:p w14:paraId="745FF03C">
            <w:pPr>
              <w:rPr>
                <w:rFonts w:hint="eastAsia" w:ascii="仿宋" w:hAnsi="仿宋" w:eastAsia="仿宋" w:cs="仿宋"/>
                <w:bCs/>
                <w:color w:val="auto"/>
                <w:sz w:val="28"/>
                <w:szCs w:val="28"/>
                <w:highlight w:val="none"/>
              </w:rPr>
            </w:pPr>
          </w:p>
        </w:tc>
      </w:tr>
      <w:tr w14:paraId="08B9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6AA9CBA">
            <w:pPr>
              <w:rPr>
                <w:rFonts w:hint="eastAsia" w:ascii="仿宋" w:hAnsi="仿宋" w:eastAsia="仿宋" w:cs="仿宋"/>
                <w:bCs/>
                <w:color w:val="auto"/>
                <w:sz w:val="28"/>
                <w:szCs w:val="28"/>
                <w:highlight w:val="none"/>
              </w:rPr>
            </w:pPr>
          </w:p>
        </w:tc>
        <w:tc>
          <w:tcPr>
            <w:tcW w:w="1417" w:type="dxa"/>
            <w:vAlign w:val="center"/>
          </w:tcPr>
          <w:p w14:paraId="496C6955">
            <w:pPr>
              <w:rPr>
                <w:rFonts w:hint="eastAsia" w:ascii="仿宋" w:hAnsi="仿宋" w:eastAsia="仿宋" w:cs="仿宋"/>
                <w:bCs/>
                <w:color w:val="auto"/>
                <w:sz w:val="28"/>
                <w:szCs w:val="28"/>
                <w:highlight w:val="none"/>
              </w:rPr>
            </w:pPr>
          </w:p>
        </w:tc>
        <w:tc>
          <w:tcPr>
            <w:tcW w:w="1638" w:type="dxa"/>
            <w:vAlign w:val="center"/>
          </w:tcPr>
          <w:p w14:paraId="1D505697">
            <w:pPr>
              <w:rPr>
                <w:rFonts w:hint="eastAsia" w:ascii="仿宋" w:hAnsi="仿宋" w:eastAsia="仿宋" w:cs="仿宋"/>
                <w:bCs/>
                <w:color w:val="auto"/>
                <w:sz w:val="28"/>
                <w:szCs w:val="28"/>
                <w:highlight w:val="none"/>
              </w:rPr>
            </w:pPr>
          </w:p>
        </w:tc>
        <w:tc>
          <w:tcPr>
            <w:tcW w:w="1622" w:type="dxa"/>
            <w:vAlign w:val="center"/>
          </w:tcPr>
          <w:p w14:paraId="25A2D413">
            <w:pPr>
              <w:rPr>
                <w:rFonts w:hint="eastAsia" w:ascii="仿宋" w:hAnsi="仿宋" w:eastAsia="仿宋" w:cs="仿宋"/>
                <w:bCs/>
                <w:color w:val="auto"/>
                <w:sz w:val="28"/>
                <w:szCs w:val="28"/>
                <w:highlight w:val="none"/>
              </w:rPr>
            </w:pPr>
          </w:p>
        </w:tc>
        <w:tc>
          <w:tcPr>
            <w:tcW w:w="1468" w:type="dxa"/>
            <w:vAlign w:val="center"/>
          </w:tcPr>
          <w:p w14:paraId="66292430">
            <w:pPr>
              <w:rPr>
                <w:rFonts w:hint="eastAsia" w:ascii="仿宋" w:hAnsi="仿宋" w:eastAsia="仿宋" w:cs="仿宋"/>
                <w:bCs/>
                <w:color w:val="auto"/>
                <w:sz w:val="28"/>
                <w:szCs w:val="28"/>
                <w:highlight w:val="none"/>
              </w:rPr>
            </w:pPr>
          </w:p>
        </w:tc>
        <w:tc>
          <w:tcPr>
            <w:tcW w:w="1425" w:type="dxa"/>
            <w:vAlign w:val="center"/>
          </w:tcPr>
          <w:p w14:paraId="342D7C9C">
            <w:pPr>
              <w:rPr>
                <w:rFonts w:hint="eastAsia" w:ascii="仿宋" w:hAnsi="仿宋" w:eastAsia="仿宋" w:cs="仿宋"/>
                <w:bCs/>
                <w:color w:val="auto"/>
                <w:sz w:val="28"/>
                <w:szCs w:val="28"/>
                <w:highlight w:val="none"/>
              </w:rPr>
            </w:pPr>
          </w:p>
        </w:tc>
        <w:tc>
          <w:tcPr>
            <w:tcW w:w="1386" w:type="dxa"/>
            <w:vAlign w:val="center"/>
          </w:tcPr>
          <w:p w14:paraId="66536CA7">
            <w:pPr>
              <w:rPr>
                <w:rFonts w:hint="eastAsia" w:ascii="仿宋" w:hAnsi="仿宋" w:eastAsia="仿宋" w:cs="仿宋"/>
                <w:bCs/>
                <w:color w:val="auto"/>
                <w:sz w:val="28"/>
                <w:szCs w:val="28"/>
                <w:highlight w:val="none"/>
              </w:rPr>
            </w:pPr>
          </w:p>
        </w:tc>
      </w:tr>
      <w:tr w14:paraId="6B3B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15B0434">
            <w:pPr>
              <w:rPr>
                <w:rFonts w:hint="eastAsia" w:ascii="仿宋" w:hAnsi="仿宋" w:eastAsia="仿宋" w:cs="仿宋"/>
                <w:bCs/>
                <w:color w:val="auto"/>
                <w:sz w:val="28"/>
                <w:szCs w:val="28"/>
                <w:highlight w:val="none"/>
              </w:rPr>
            </w:pPr>
          </w:p>
        </w:tc>
        <w:tc>
          <w:tcPr>
            <w:tcW w:w="1417" w:type="dxa"/>
            <w:vAlign w:val="center"/>
          </w:tcPr>
          <w:p w14:paraId="78F9609F">
            <w:pPr>
              <w:rPr>
                <w:rFonts w:hint="eastAsia" w:ascii="仿宋" w:hAnsi="仿宋" w:eastAsia="仿宋" w:cs="仿宋"/>
                <w:bCs/>
                <w:color w:val="auto"/>
                <w:sz w:val="28"/>
                <w:szCs w:val="28"/>
                <w:highlight w:val="none"/>
              </w:rPr>
            </w:pPr>
          </w:p>
        </w:tc>
        <w:tc>
          <w:tcPr>
            <w:tcW w:w="1638" w:type="dxa"/>
            <w:vAlign w:val="center"/>
          </w:tcPr>
          <w:p w14:paraId="44C83633">
            <w:pPr>
              <w:rPr>
                <w:rFonts w:hint="eastAsia" w:ascii="仿宋" w:hAnsi="仿宋" w:eastAsia="仿宋" w:cs="仿宋"/>
                <w:bCs/>
                <w:color w:val="auto"/>
                <w:sz w:val="28"/>
                <w:szCs w:val="28"/>
                <w:highlight w:val="none"/>
              </w:rPr>
            </w:pPr>
          </w:p>
        </w:tc>
        <w:tc>
          <w:tcPr>
            <w:tcW w:w="1622" w:type="dxa"/>
            <w:vAlign w:val="center"/>
          </w:tcPr>
          <w:p w14:paraId="0C9C6015">
            <w:pPr>
              <w:rPr>
                <w:rFonts w:hint="eastAsia" w:ascii="仿宋" w:hAnsi="仿宋" w:eastAsia="仿宋" w:cs="仿宋"/>
                <w:bCs/>
                <w:color w:val="auto"/>
                <w:sz w:val="28"/>
                <w:szCs w:val="28"/>
                <w:highlight w:val="none"/>
              </w:rPr>
            </w:pPr>
          </w:p>
        </w:tc>
        <w:tc>
          <w:tcPr>
            <w:tcW w:w="1468" w:type="dxa"/>
            <w:vAlign w:val="center"/>
          </w:tcPr>
          <w:p w14:paraId="0F3B02F1">
            <w:pPr>
              <w:rPr>
                <w:rFonts w:hint="eastAsia" w:ascii="仿宋" w:hAnsi="仿宋" w:eastAsia="仿宋" w:cs="仿宋"/>
                <w:bCs/>
                <w:color w:val="auto"/>
                <w:sz w:val="28"/>
                <w:szCs w:val="28"/>
                <w:highlight w:val="none"/>
              </w:rPr>
            </w:pPr>
          </w:p>
        </w:tc>
        <w:tc>
          <w:tcPr>
            <w:tcW w:w="1425" w:type="dxa"/>
            <w:vAlign w:val="center"/>
          </w:tcPr>
          <w:p w14:paraId="20611519">
            <w:pPr>
              <w:rPr>
                <w:rFonts w:hint="eastAsia" w:ascii="仿宋" w:hAnsi="仿宋" w:eastAsia="仿宋" w:cs="仿宋"/>
                <w:bCs/>
                <w:color w:val="auto"/>
                <w:sz w:val="28"/>
                <w:szCs w:val="28"/>
                <w:highlight w:val="none"/>
              </w:rPr>
            </w:pPr>
          </w:p>
        </w:tc>
        <w:tc>
          <w:tcPr>
            <w:tcW w:w="1386" w:type="dxa"/>
            <w:vAlign w:val="center"/>
          </w:tcPr>
          <w:p w14:paraId="50F3E586">
            <w:pPr>
              <w:rPr>
                <w:rFonts w:hint="eastAsia" w:ascii="仿宋" w:hAnsi="仿宋" w:eastAsia="仿宋" w:cs="仿宋"/>
                <w:bCs/>
                <w:color w:val="auto"/>
                <w:sz w:val="28"/>
                <w:szCs w:val="28"/>
                <w:highlight w:val="none"/>
              </w:rPr>
            </w:pPr>
          </w:p>
        </w:tc>
      </w:tr>
      <w:tr w14:paraId="729C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46A5D81">
            <w:pPr>
              <w:rPr>
                <w:rFonts w:hint="eastAsia" w:ascii="仿宋" w:hAnsi="仿宋" w:eastAsia="仿宋" w:cs="仿宋"/>
                <w:bCs/>
                <w:color w:val="auto"/>
                <w:sz w:val="28"/>
                <w:szCs w:val="28"/>
                <w:highlight w:val="none"/>
              </w:rPr>
            </w:pPr>
          </w:p>
        </w:tc>
        <w:tc>
          <w:tcPr>
            <w:tcW w:w="1417" w:type="dxa"/>
            <w:vAlign w:val="center"/>
          </w:tcPr>
          <w:p w14:paraId="181F43AC">
            <w:pPr>
              <w:rPr>
                <w:rFonts w:hint="eastAsia" w:ascii="仿宋" w:hAnsi="仿宋" w:eastAsia="仿宋" w:cs="仿宋"/>
                <w:bCs/>
                <w:color w:val="auto"/>
                <w:sz w:val="28"/>
                <w:szCs w:val="28"/>
                <w:highlight w:val="none"/>
              </w:rPr>
            </w:pPr>
          </w:p>
        </w:tc>
        <w:tc>
          <w:tcPr>
            <w:tcW w:w="1638" w:type="dxa"/>
            <w:vAlign w:val="center"/>
          </w:tcPr>
          <w:p w14:paraId="4B3CD07C">
            <w:pPr>
              <w:rPr>
                <w:rFonts w:hint="eastAsia" w:ascii="仿宋" w:hAnsi="仿宋" w:eastAsia="仿宋" w:cs="仿宋"/>
                <w:bCs/>
                <w:color w:val="auto"/>
                <w:sz w:val="28"/>
                <w:szCs w:val="28"/>
                <w:highlight w:val="none"/>
              </w:rPr>
            </w:pPr>
          </w:p>
        </w:tc>
        <w:tc>
          <w:tcPr>
            <w:tcW w:w="1622" w:type="dxa"/>
            <w:vAlign w:val="center"/>
          </w:tcPr>
          <w:p w14:paraId="3EA4AA63">
            <w:pPr>
              <w:rPr>
                <w:rFonts w:hint="eastAsia" w:ascii="仿宋" w:hAnsi="仿宋" w:eastAsia="仿宋" w:cs="仿宋"/>
                <w:bCs/>
                <w:color w:val="auto"/>
                <w:sz w:val="28"/>
                <w:szCs w:val="28"/>
                <w:highlight w:val="none"/>
              </w:rPr>
            </w:pPr>
          </w:p>
        </w:tc>
        <w:tc>
          <w:tcPr>
            <w:tcW w:w="1468" w:type="dxa"/>
            <w:vAlign w:val="center"/>
          </w:tcPr>
          <w:p w14:paraId="72072B34">
            <w:pPr>
              <w:rPr>
                <w:rFonts w:hint="eastAsia" w:ascii="仿宋" w:hAnsi="仿宋" w:eastAsia="仿宋" w:cs="仿宋"/>
                <w:bCs/>
                <w:color w:val="auto"/>
                <w:sz w:val="28"/>
                <w:szCs w:val="28"/>
                <w:highlight w:val="none"/>
              </w:rPr>
            </w:pPr>
          </w:p>
        </w:tc>
        <w:tc>
          <w:tcPr>
            <w:tcW w:w="1425" w:type="dxa"/>
            <w:vAlign w:val="center"/>
          </w:tcPr>
          <w:p w14:paraId="44DC2165">
            <w:pPr>
              <w:rPr>
                <w:rFonts w:hint="eastAsia" w:ascii="仿宋" w:hAnsi="仿宋" w:eastAsia="仿宋" w:cs="仿宋"/>
                <w:bCs/>
                <w:color w:val="auto"/>
                <w:sz w:val="28"/>
                <w:szCs w:val="28"/>
                <w:highlight w:val="none"/>
              </w:rPr>
            </w:pPr>
          </w:p>
        </w:tc>
        <w:tc>
          <w:tcPr>
            <w:tcW w:w="1386" w:type="dxa"/>
            <w:vAlign w:val="center"/>
          </w:tcPr>
          <w:p w14:paraId="7E0F2619">
            <w:pPr>
              <w:rPr>
                <w:rFonts w:hint="eastAsia" w:ascii="仿宋" w:hAnsi="仿宋" w:eastAsia="仿宋" w:cs="仿宋"/>
                <w:bCs/>
                <w:color w:val="auto"/>
                <w:sz w:val="28"/>
                <w:szCs w:val="28"/>
                <w:highlight w:val="none"/>
              </w:rPr>
            </w:pPr>
          </w:p>
        </w:tc>
      </w:tr>
      <w:tr w14:paraId="2F08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C28F818">
            <w:pPr>
              <w:rPr>
                <w:rFonts w:hint="eastAsia" w:ascii="仿宋" w:hAnsi="仿宋" w:eastAsia="仿宋" w:cs="仿宋"/>
                <w:bCs/>
                <w:color w:val="auto"/>
                <w:sz w:val="28"/>
                <w:szCs w:val="28"/>
                <w:highlight w:val="none"/>
              </w:rPr>
            </w:pPr>
          </w:p>
        </w:tc>
        <w:tc>
          <w:tcPr>
            <w:tcW w:w="1417" w:type="dxa"/>
            <w:vAlign w:val="center"/>
          </w:tcPr>
          <w:p w14:paraId="429C434D">
            <w:pPr>
              <w:rPr>
                <w:rFonts w:hint="eastAsia" w:ascii="仿宋" w:hAnsi="仿宋" w:eastAsia="仿宋" w:cs="仿宋"/>
                <w:bCs/>
                <w:color w:val="auto"/>
                <w:sz w:val="28"/>
                <w:szCs w:val="28"/>
                <w:highlight w:val="none"/>
              </w:rPr>
            </w:pPr>
          </w:p>
        </w:tc>
        <w:tc>
          <w:tcPr>
            <w:tcW w:w="1638" w:type="dxa"/>
            <w:vAlign w:val="center"/>
          </w:tcPr>
          <w:p w14:paraId="2D26A6B1">
            <w:pPr>
              <w:rPr>
                <w:rFonts w:hint="eastAsia" w:ascii="仿宋" w:hAnsi="仿宋" w:eastAsia="仿宋" w:cs="仿宋"/>
                <w:bCs/>
                <w:color w:val="auto"/>
                <w:sz w:val="28"/>
                <w:szCs w:val="28"/>
                <w:highlight w:val="none"/>
              </w:rPr>
            </w:pPr>
          </w:p>
        </w:tc>
        <w:tc>
          <w:tcPr>
            <w:tcW w:w="1622" w:type="dxa"/>
            <w:vAlign w:val="center"/>
          </w:tcPr>
          <w:p w14:paraId="24DEE6CD">
            <w:pPr>
              <w:rPr>
                <w:rFonts w:hint="eastAsia" w:ascii="仿宋" w:hAnsi="仿宋" w:eastAsia="仿宋" w:cs="仿宋"/>
                <w:bCs/>
                <w:color w:val="auto"/>
                <w:sz w:val="28"/>
                <w:szCs w:val="28"/>
                <w:highlight w:val="none"/>
              </w:rPr>
            </w:pPr>
          </w:p>
        </w:tc>
        <w:tc>
          <w:tcPr>
            <w:tcW w:w="1468" w:type="dxa"/>
            <w:vAlign w:val="center"/>
          </w:tcPr>
          <w:p w14:paraId="7596C73B">
            <w:pPr>
              <w:rPr>
                <w:rFonts w:hint="eastAsia" w:ascii="仿宋" w:hAnsi="仿宋" w:eastAsia="仿宋" w:cs="仿宋"/>
                <w:bCs/>
                <w:color w:val="auto"/>
                <w:sz w:val="28"/>
                <w:szCs w:val="28"/>
                <w:highlight w:val="none"/>
              </w:rPr>
            </w:pPr>
          </w:p>
        </w:tc>
        <w:tc>
          <w:tcPr>
            <w:tcW w:w="1425" w:type="dxa"/>
            <w:vAlign w:val="center"/>
          </w:tcPr>
          <w:p w14:paraId="7B1046C7">
            <w:pPr>
              <w:rPr>
                <w:rFonts w:hint="eastAsia" w:ascii="仿宋" w:hAnsi="仿宋" w:eastAsia="仿宋" w:cs="仿宋"/>
                <w:bCs/>
                <w:color w:val="auto"/>
                <w:sz w:val="28"/>
                <w:szCs w:val="28"/>
                <w:highlight w:val="none"/>
              </w:rPr>
            </w:pPr>
          </w:p>
        </w:tc>
        <w:tc>
          <w:tcPr>
            <w:tcW w:w="1386" w:type="dxa"/>
            <w:vAlign w:val="center"/>
          </w:tcPr>
          <w:p w14:paraId="6CFADDA1">
            <w:pPr>
              <w:rPr>
                <w:rFonts w:hint="eastAsia" w:ascii="仿宋" w:hAnsi="仿宋" w:eastAsia="仿宋" w:cs="仿宋"/>
                <w:bCs/>
                <w:color w:val="auto"/>
                <w:sz w:val="28"/>
                <w:szCs w:val="28"/>
                <w:highlight w:val="none"/>
              </w:rPr>
            </w:pPr>
          </w:p>
        </w:tc>
      </w:tr>
      <w:tr w14:paraId="568A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AB72536">
            <w:pPr>
              <w:rPr>
                <w:rFonts w:hint="eastAsia" w:ascii="仿宋" w:hAnsi="仿宋" w:eastAsia="仿宋" w:cs="仿宋"/>
                <w:bCs/>
                <w:color w:val="auto"/>
                <w:sz w:val="28"/>
                <w:szCs w:val="28"/>
                <w:highlight w:val="none"/>
              </w:rPr>
            </w:pPr>
          </w:p>
        </w:tc>
        <w:tc>
          <w:tcPr>
            <w:tcW w:w="1417" w:type="dxa"/>
            <w:vAlign w:val="center"/>
          </w:tcPr>
          <w:p w14:paraId="2D0D7561">
            <w:pPr>
              <w:rPr>
                <w:rFonts w:hint="eastAsia" w:ascii="仿宋" w:hAnsi="仿宋" w:eastAsia="仿宋" w:cs="仿宋"/>
                <w:bCs/>
                <w:color w:val="auto"/>
                <w:sz w:val="28"/>
                <w:szCs w:val="28"/>
                <w:highlight w:val="none"/>
              </w:rPr>
            </w:pPr>
          </w:p>
        </w:tc>
        <w:tc>
          <w:tcPr>
            <w:tcW w:w="1638" w:type="dxa"/>
            <w:vAlign w:val="center"/>
          </w:tcPr>
          <w:p w14:paraId="0B68117C">
            <w:pPr>
              <w:rPr>
                <w:rFonts w:hint="eastAsia" w:ascii="仿宋" w:hAnsi="仿宋" w:eastAsia="仿宋" w:cs="仿宋"/>
                <w:bCs/>
                <w:color w:val="auto"/>
                <w:sz w:val="28"/>
                <w:szCs w:val="28"/>
                <w:highlight w:val="none"/>
              </w:rPr>
            </w:pPr>
          </w:p>
        </w:tc>
        <w:tc>
          <w:tcPr>
            <w:tcW w:w="1622" w:type="dxa"/>
            <w:vAlign w:val="center"/>
          </w:tcPr>
          <w:p w14:paraId="3533DF22">
            <w:pPr>
              <w:rPr>
                <w:rFonts w:hint="eastAsia" w:ascii="仿宋" w:hAnsi="仿宋" w:eastAsia="仿宋" w:cs="仿宋"/>
                <w:bCs/>
                <w:color w:val="auto"/>
                <w:sz w:val="28"/>
                <w:szCs w:val="28"/>
                <w:highlight w:val="none"/>
              </w:rPr>
            </w:pPr>
          </w:p>
        </w:tc>
        <w:tc>
          <w:tcPr>
            <w:tcW w:w="1468" w:type="dxa"/>
            <w:vAlign w:val="center"/>
          </w:tcPr>
          <w:p w14:paraId="692E0F91">
            <w:pPr>
              <w:rPr>
                <w:rFonts w:hint="eastAsia" w:ascii="仿宋" w:hAnsi="仿宋" w:eastAsia="仿宋" w:cs="仿宋"/>
                <w:bCs/>
                <w:color w:val="auto"/>
                <w:sz w:val="28"/>
                <w:szCs w:val="28"/>
                <w:highlight w:val="none"/>
              </w:rPr>
            </w:pPr>
          </w:p>
        </w:tc>
        <w:tc>
          <w:tcPr>
            <w:tcW w:w="1425" w:type="dxa"/>
            <w:vAlign w:val="center"/>
          </w:tcPr>
          <w:p w14:paraId="49802D8A">
            <w:pPr>
              <w:rPr>
                <w:rFonts w:hint="eastAsia" w:ascii="仿宋" w:hAnsi="仿宋" w:eastAsia="仿宋" w:cs="仿宋"/>
                <w:bCs/>
                <w:color w:val="auto"/>
                <w:sz w:val="28"/>
                <w:szCs w:val="28"/>
                <w:highlight w:val="none"/>
              </w:rPr>
            </w:pPr>
          </w:p>
        </w:tc>
        <w:tc>
          <w:tcPr>
            <w:tcW w:w="1386" w:type="dxa"/>
            <w:vAlign w:val="center"/>
          </w:tcPr>
          <w:p w14:paraId="39E32F5E">
            <w:pPr>
              <w:rPr>
                <w:rFonts w:hint="eastAsia" w:ascii="仿宋" w:hAnsi="仿宋" w:eastAsia="仿宋" w:cs="仿宋"/>
                <w:bCs/>
                <w:color w:val="auto"/>
                <w:sz w:val="28"/>
                <w:szCs w:val="28"/>
                <w:highlight w:val="none"/>
              </w:rPr>
            </w:pPr>
          </w:p>
        </w:tc>
      </w:tr>
    </w:tbl>
    <w:p w14:paraId="296FB46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法定代表人或其授权代理人签名或盖章：</w:t>
      </w:r>
    </w:p>
    <w:p w14:paraId="75E245F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    年   月  日</w:t>
      </w:r>
    </w:p>
    <w:p w14:paraId="48DDEB03">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注：此表仅提供了表格形式，供应商应根据需要准备足够数量的表格来填</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page"/>
      </w:r>
    </w:p>
    <w:p w14:paraId="52D335FC">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2.报价包装封面格式：</w:t>
      </w:r>
    </w:p>
    <w:p w14:paraId="5FC41AB7">
      <w:pPr>
        <w:rPr>
          <w:rFonts w:hint="eastAsia" w:ascii="仿宋" w:hAnsi="仿宋" w:eastAsia="仿宋" w:cs="仿宋"/>
          <w:b/>
          <w:color w:val="auto"/>
          <w:sz w:val="28"/>
          <w:szCs w:val="28"/>
          <w:highlight w:val="none"/>
        </w:rPr>
      </w:pPr>
    </w:p>
    <w:p w14:paraId="3BD75B0D">
      <w:pPr>
        <w:rPr>
          <w:rFonts w:hint="eastAsia" w:ascii="仿宋" w:hAnsi="仿宋" w:eastAsia="仿宋" w:cs="仿宋"/>
          <w:b/>
          <w:color w:val="auto"/>
          <w:sz w:val="28"/>
          <w:szCs w:val="28"/>
          <w:highlight w:val="none"/>
        </w:rPr>
      </w:pPr>
    </w:p>
    <w:p w14:paraId="4E0B2C9A">
      <w:pPr>
        <w:jc w:val="righ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正本/或副本</w:t>
      </w:r>
    </w:p>
    <w:p w14:paraId="6636AF2A">
      <w:pPr>
        <w:rPr>
          <w:rFonts w:hint="eastAsia" w:ascii="仿宋" w:hAnsi="仿宋" w:eastAsia="仿宋" w:cs="仿宋"/>
          <w:b/>
          <w:color w:val="auto"/>
          <w:sz w:val="28"/>
          <w:szCs w:val="28"/>
          <w:highlight w:val="none"/>
        </w:rPr>
      </w:pPr>
    </w:p>
    <w:p w14:paraId="3F51DA05">
      <w:pPr>
        <w:rPr>
          <w:rFonts w:hint="eastAsia" w:ascii="仿宋" w:hAnsi="仿宋" w:eastAsia="仿宋" w:cs="仿宋"/>
          <w:b/>
          <w:color w:val="auto"/>
          <w:sz w:val="28"/>
          <w:szCs w:val="28"/>
          <w:highlight w:val="none"/>
        </w:rPr>
      </w:pPr>
    </w:p>
    <w:p w14:paraId="11C223E9">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报价文件</w:t>
      </w:r>
    </w:p>
    <w:p w14:paraId="459352E9">
      <w:pPr>
        <w:rPr>
          <w:rFonts w:hint="eastAsia" w:ascii="仿宋" w:hAnsi="仿宋" w:eastAsia="仿宋" w:cs="仿宋"/>
          <w:b/>
          <w:color w:val="auto"/>
          <w:sz w:val="28"/>
          <w:szCs w:val="28"/>
          <w:highlight w:val="none"/>
        </w:rPr>
      </w:pPr>
    </w:p>
    <w:p w14:paraId="140BFD65">
      <w:pPr>
        <w:rPr>
          <w:rFonts w:hint="eastAsia" w:ascii="仿宋" w:hAnsi="仿宋" w:eastAsia="仿宋" w:cs="仿宋"/>
          <w:b/>
          <w:color w:val="auto"/>
          <w:sz w:val="28"/>
          <w:szCs w:val="28"/>
          <w:highlight w:val="none"/>
        </w:rPr>
      </w:pPr>
    </w:p>
    <w:p w14:paraId="42BD39E2">
      <w:pPr>
        <w:rPr>
          <w:rFonts w:hint="eastAsia" w:ascii="仿宋" w:hAnsi="仿宋" w:eastAsia="仿宋" w:cs="仿宋"/>
          <w:b/>
          <w:color w:val="auto"/>
          <w:sz w:val="28"/>
          <w:szCs w:val="28"/>
          <w:highlight w:val="none"/>
        </w:rPr>
      </w:pPr>
    </w:p>
    <w:p w14:paraId="4C8FFDC2">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湖州职业技术学院</w:t>
      </w:r>
      <w:r>
        <w:rPr>
          <w:rFonts w:hint="eastAsia" w:ascii="仿宋" w:hAnsi="仿宋" w:eastAsia="仿宋" w:cs="仿宋"/>
          <w:color w:val="auto"/>
          <w:sz w:val="28"/>
          <w:szCs w:val="28"/>
          <w:highlight w:val="none"/>
          <w:lang w:val="en-US" w:eastAsia="zh-CN"/>
        </w:rPr>
        <w:t>新校园</w:t>
      </w:r>
      <w:r>
        <w:rPr>
          <w:rFonts w:hint="eastAsia" w:ascii="仿宋" w:hAnsi="仿宋" w:eastAsia="仿宋" w:cs="仿宋"/>
          <w:color w:val="auto"/>
          <w:sz w:val="28"/>
          <w:szCs w:val="28"/>
          <w:highlight w:val="none"/>
          <w:lang w:eastAsia="zh-CN"/>
        </w:rPr>
        <w:t>机械零部件测绘实训室建设项目</w:t>
      </w:r>
    </w:p>
    <w:p w14:paraId="515A852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7FA63E6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w:t>
      </w:r>
    </w:p>
    <w:p w14:paraId="5203435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供应商地址：</w:t>
      </w:r>
    </w:p>
    <w:p w14:paraId="6EED4CE9">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在 年 月 日 时 分之前不得启封</w:t>
      </w:r>
    </w:p>
    <w:p w14:paraId="0F307496">
      <w:pPr>
        <w:rPr>
          <w:rFonts w:hint="eastAsia" w:ascii="仿宋" w:hAnsi="仿宋" w:eastAsia="仿宋" w:cs="仿宋"/>
          <w:b/>
          <w:color w:val="auto"/>
          <w:sz w:val="28"/>
          <w:szCs w:val="28"/>
          <w:highlight w:val="none"/>
        </w:rPr>
      </w:pPr>
    </w:p>
    <w:p w14:paraId="39B70F5F">
      <w:pPr>
        <w:rPr>
          <w:rFonts w:hint="eastAsia" w:ascii="仿宋" w:hAnsi="仿宋" w:eastAsia="仿宋" w:cs="仿宋"/>
          <w:b/>
          <w:color w:val="auto"/>
          <w:sz w:val="28"/>
          <w:szCs w:val="28"/>
          <w:highlight w:val="none"/>
        </w:rPr>
      </w:pPr>
    </w:p>
    <w:p w14:paraId="598310BA">
      <w:pPr>
        <w:rPr>
          <w:rFonts w:hint="eastAsia" w:ascii="仿宋" w:hAnsi="仿宋" w:eastAsia="仿宋" w:cs="仿宋"/>
          <w:b/>
          <w:color w:val="auto"/>
          <w:sz w:val="28"/>
          <w:szCs w:val="28"/>
          <w:highlight w:val="none"/>
        </w:rPr>
      </w:pPr>
    </w:p>
    <w:p w14:paraId="5BDC0BC4">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4FB1A55D">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AB9D3F1">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投标函</w:t>
      </w:r>
    </w:p>
    <w:p w14:paraId="473D0756">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w:t>
      </w:r>
    </w:p>
    <w:p w14:paraId="0A26C9F2">
      <w:pPr>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（供应商全称）授权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（授权代表名称）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（职务、职称）为授权代表，参加贵方组织的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（采购项目名称）采购的有关活动，为此：</w:t>
      </w:r>
    </w:p>
    <w:p w14:paraId="4A801D5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1、供应商须提供须知规定的全部投标文件（电子投标文件包括《资格文件》、《技 术、商务、资信及其他文件》、《报价文件》），电子投标文件确认已上传。</w:t>
      </w:r>
    </w:p>
    <w:p w14:paraId="571C379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2、保证遵守招标文件中的有关规定和收费标准。</w:t>
      </w:r>
    </w:p>
    <w:p w14:paraId="7D306C2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3、保证诚信地执行采购人、供应商双方所签的合同，并承担合同规定的责任义务。</w:t>
      </w:r>
    </w:p>
    <w:p w14:paraId="002F743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4、供应商已详细审查全部招标文件，包括招标文件补充文件（如果有的话）。我方完全理解并同意放弃对这方面有不明及误解的权力。如果招标文件有相互矛盾之处，我方同意按采购人的理解处理。</w:t>
      </w:r>
    </w:p>
    <w:p w14:paraId="0467CF0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5、利益冲突：近三年内直至目前，我公司与本项目的采购人、采购机构没有任何的隶属关系。</w:t>
      </w:r>
    </w:p>
    <w:p w14:paraId="58D91CD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6、我公司没有被本项目所在地的政府采购管理部门限制参加报价。</w:t>
      </w:r>
    </w:p>
    <w:p w14:paraId="056AEA4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7、愿意向贵方提供任何与该项报价有关的数据、情况和技术资料，完全理解贵方不一定接受最低价的报价或收到的任何报价。</w:t>
      </w:r>
    </w:p>
    <w:p w14:paraId="04661E3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8、本报价文件自报价之日起</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0天内有效。</w:t>
      </w:r>
    </w:p>
    <w:p w14:paraId="4E31168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9、兹证明上述声明是真实的、正确的，并提供了全部能提供的资料和数据，我们同意遵照贵方要求出示有关证明文件。</w:t>
      </w:r>
    </w:p>
    <w:p w14:paraId="32DDBC5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以上事项如有虚假或隐瞒，我方愿意承担一切后果，并不再寻求任何旨在减轻或免除法律责任的辩解。</w:t>
      </w:r>
    </w:p>
    <w:p w14:paraId="067C33A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供应商全称（盖章）：</w:t>
      </w:r>
    </w:p>
    <w:p w14:paraId="6174701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法定代表人（签字或盖章）：         </w:t>
      </w:r>
    </w:p>
    <w:p w14:paraId="70DAB79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259B50EC">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C8C6F32">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开标一览表（报价表）</w:t>
      </w:r>
    </w:p>
    <w:p w14:paraId="3F3CD5E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供应商全称（加盖公章）：      </w:t>
      </w:r>
    </w:p>
    <w:p w14:paraId="430B068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项目编号：                </w:t>
      </w:r>
    </w:p>
    <w:tbl>
      <w:tblPr>
        <w:tblStyle w:val="23"/>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115"/>
      </w:tblGrid>
      <w:tr w14:paraId="1493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3024" w:type="dxa"/>
            <w:gridSpan w:val="2"/>
            <w:vAlign w:val="center"/>
          </w:tcPr>
          <w:p w14:paraId="0216B50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投标项目名称</w:t>
            </w:r>
          </w:p>
        </w:tc>
        <w:tc>
          <w:tcPr>
            <w:tcW w:w="6115" w:type="dxa"/>
            <w:vAlign w:val="center"/>
          </w:tcPr>
          <w:p w14:paraId="6B875BAC">
            <w:pPr>
              <w:jc w:val="center"/>
              <w:rPr>
                <w:rFonts w:hint="eastAsia" w:ascii="仿宋" w:hAnsi="仿宋" w:eastAsia="仿宋" w:cs="仿宋"/>
                <w:color w:val="auto"/>
                <w:sz w:val="28"/>
                <w:szCs w:val="28"/>
                <w:highlight w:val="none"/>
              </w:rPr>
            </w:pPr>
          </w:p>
        </w:tc>
      </w:tr>
      <w:tr w14:paraId="0C5A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1C3D553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投标有效期</w:t>
            </w:r>
          </w:p>
        </w:tc>
        <w:tc>
          <w:tcPr>
            <w:tcW w:w="6115" w:type="dxa"/>
            <w:vAlign w:val="center"/>
          </w:tcPr>
          <w:p w14:paraId="6B7B7B3B">
            <w:pPr>
              <w:jc w:val="center"/>
              <w:rPr>
                <w:rFonts w:hint="eastAsia" w:ascii="仿宋" w:hAnsi="仿宋" w:eastAsia="仿宋" w:cs="仿宋"/>
                <w:color w:val="auto"/>
                <w:sz w:val="28"/>
                <w:szCs w:val="28"/>
                <w:highlight w:val="none"/>
              </w:rPr>
            </w:pPr>
          </w:p>
        </w:tc>
      </w:tr>
      <w:tr w14:paraId="116A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2DB2D41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w:t>
            </w:r>
            <w:r>
              <w:rPr>
                <w:rFonts w:hint="eastAsia" w:ascii="仿宋" w:hAnsi="仿宋" w:eastAsia="仿宋" w:cs="仿宋"/>
                <w:color w:val="auto"/>
                <w:sz w:val="28"/>
                <w:szCs w:val="28"/>
                <w:highlight w:val="none"/>
              </w:rPr>
              <w:t>货期</w:t>
            </w:r>
          </w:p>
        </w:tc>
        <w:tc>
          <w:tcPr>
            <w:tcW w:w="6115" w:type="dxa"/>
            <w:vAlign w:val="center"/>
          </w:tcPr>
          <w:p w14:paraId="287619CC">
            <w:pPr>
              <w:jc w:val="center"/>
              <w:rPr>
                <w:rFonts w:hint="eastAsia" w:ascii="仿宋" w:hAnsi="仿宋" w:eastAsia="仿宋" w:cs="仿宋"/>
                <w:color w:val="auto"/>
                <w:sz w:val="28"/>
                <w:szCs w:val="28"/>
                <w:highlight w:val="none"/>
              </w:rPr>
            </w:pPr>
          </w:p>
        </w:tc>
      </w:tr>
      <w:tr w14:paraId="1403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vAlign w:val="center"/>
          </w:tcPr>
          <w:p w14:paraId="32A7A10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p w14:paraId="05803F4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w:t>
            </w:r>
          </w:p>
        </w:tc>
        <w:tc>
          <w:tcPr>
            <w:tcW w:w="1044" w:type="dxa"/>
            <w:tcBorders>
              <w:top w:val="single" w:color="auto" w:sz="4" w:space="0"/>
              <w:bottom w:val="single" w:color="auto" w:sz="4" w:space="0"/>
            </w:tcBorders>
            <w:vAlign w:val="center"/>
          </w:tcPr>
          <w:p w14:paraId="7554975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6115" w:type="dxa"/>
            <w:vAlign w:val="center"/>
          </w:tcPr>
          <w:p w14:paraId="563BCE46">
            <w:pPr>
              <w:jc w:val="center"/>
              <w:rPr>
                <w:rFonts w:hint="eastAsia" w:ascii="仿宋" w:hAnsi="仿宋" w:eastAsia="仿宋" w:cs="仿宋"/>
                <w:color w:val="auto"/>
                <w:sz w:val="28"/>
                <w:szCs w:val="28"/>
                <w:highlight w:val="none"/>
              </w:rPr>
            </w:pPr>
          </w:p>
        </w:tc>
      </w:tr>
      <w:tr w14:paraId="7B08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vAlign w:val="center"/>
          </w:tcPr>
          <w:p w14:paraId="2D0FE468">
            <w:pPr>
              <w:jc w:val="center"/>
              <w:rPr>
                <w:rFonts w:hint="eastAsia" w:ascii="仿宋" w:hAnsi="仿宋" w:eastAsia="仿宋" w:cs="仿宋"/>
                <w:color w:val="auto"/>
                <w:sz w:val="28"/>
                <w:szCs w:val="28"/>
                <w:highlight w:val="none"/>
              </w:rPr>
            </w:pPr>
          </w:p>
        </w:tc>
        <w:tc>
          <w:tcPr>
            <w:tcW w:w="1044" w:type="dxa"/>
            <w:tcBorders>
              <w:top w:val="single" w:color="auto" w:sz="4" w:space="0"/>
              <w:bottom w:val="single" w:color="auto" w:sz="4" w:space="0"/>
            </w:tcBorders>
            <w:vAlign w:val="center"/>
          </w:tcPr>
          <w:p w14:paraId="27BB2DE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tc>
        <w:tc>
          <w:tcPr>
            <w:tcW w:w="6115" w:type="dxa"/>
            <w:vAlign w:val="center"/>
          </w:tcPr>
          <w:p w14:paraId="7E59D0C8">
            <w:pPr>
              <w:jc w:val="center"/>
              <w:rPr>
                <w:rFonts w:hint="eastAsia" w:ascii="仿宋" w:hAnsi="仿宋" w:eastAsia="仿宋" w:cs="仿宋"/>
                <w:color w:val="auto"/>
                <w:sz w:val="28"/>
                <w:szCs w:val="28"/>
                <w:highlight w:val="none"/>
              </w:rPr>
            </w:pPr>
          </w:p>
        </w:tc>
      </w:tr>
    </w:tbl>
    <w:p w14:paraId="2ACD75EE">
      <w:pPr>
        <w:rPr>
          <w:rFonts w:hint="eastAsia" w:ascii="仿宋" w:hAnsi="仿宋" w:eastAsia="仿宋" w:cs="仿宋"/>
          <w:color w:val="auto"/>
          <w:sz w:val="28"/>
          <w:szCs w:val="28"/>
          <w:highlight w:val="none"/>
        </w:rPr>
      </w:pPr>
    </w:p>
    <w:p w14:paraId="5214490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法定代表人或法定代表人授权代理人签字或盖章：</w:t>
      </w:r>
    </w:p>
    <w:p w14:paraId="3F5B1BC1">
      <w:pPr>
        <w:rPr>
          <w:rFonts w:hint="eastAsia" w:ascii="仿宋" w:hAnsi="仿宋" w:eastAsia="仿宋" w:cs="仿宋"/>
          <w:color w:val="auto"/>
          <w:sz w:val="28"/>
          <w:szCs w:val="28"/>
          <w:highlight w:val="none"/>
        </w:rPr>
        <w:sectPr>
          <w:footerReference r:id="rId7" w:type="default"/>
          <w:pgSz w:w="11906" w:h="16838"/>
          <w:pgMar w:top="1418" w:right="1418" w:bottom="1418" w:left="1418" w:header="1020" w:footer="907" w:gutter="0"/>
          <w:pgNumType w:fmt="decimal"/>
          <w:cols w:space="425" w:num="1"/>
          <w:docGrid w:type="lines" w:linePitch="326" w:charSpace="0"/>
        </w:sectPr>
      </w:pPr>
      <w:r>
        <w:rPr>
          <w:rFonts w:hint="eastAsia" w:ascii="仿宋" w:hAnsi="仿宋" w:eastAsia="仿宋" w:cs="仿宋"/>
          <w:color w:val="auto"/>
          <w:sz w:val="28"/>
          <w:szCs w:val="28"/>
          <w:highlight w:val="none"/>
        </w:rPr>
        <w:t>日期：    年  月  日</w:t>
      </w:r>
    </w:p>
    <w:p w14:paraId="654A78E6">
      <w:pPr>
        <w:jc w:val="center"/>
        <w:rPr>
          <w:rFonts w:hint="eastAsia" w:ascii="仿宋" w:hAnsi="仿宋" w:eastAsia="仿宋" w:cs="仿宋"/>
          <w:color w:val="auto"/>
          <w:sz w:val="22"/>
          <w:szCs w:val="21"/>
          <w:highlight w:val="none"/>
        </w:rPr>
      </w:pPr>
      <w:r>
        <w:rPr>
          <w:rFonts w:hint="eastAsia" w:ascii="仿宋" w:hAnsi="仿宋" w:eastAsia="仿宋" w:cs="仿宋"/>
          <w:b/>
          <w:color w:val="auto"/>
          <w:sz w:val="28"/>
          <w:szCs w:val="28"/>
          <w:highlight w:val="none"/>
        </w:rPr>
        <w:t>报价明细清单</w:t>
      </w:r>
    </w:p>
    <w:tbl>
      <w:tblPr>
        <w:tblStyle w:val="23"/>
        <w:tblW w:w="9645" w:type="dxa"/>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447"/>
        <w:gridCol w:w="2498"/>
        <w:gridCol w:w="765"/>
        <w:gridCol w:w="780"/>
        <w:gridCol w:w="1035"/>
        <w:gridCol w:w="1109"/>
        <w:gridCol w:w="1231"/>
      </w:tblGrid>
      <w:tr w14:paraId="5844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78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23D699ED">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44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7A24B3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设备名称</w:t>
            </w:r>
          </w:p>
        </w:tc>
        <w:tc>
          <w:tcPr>
            <w:tcW w:w="249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99EA306">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设备组成</w:t>
            </w:r>
          </w:p>
        </w:tc>
        <w:tc>
          <w:tcPr>
            <w:tcW w:w="76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608B0194">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计量</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78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1C7FDADE">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数量</w:t>
            </w:r>
          </w:p>
        </w:tc>
        <w:tc>
          <w:tcPr>
            <w:tcW w:w="103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3E902B7B">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单价（元）</w:t>
            </w:r>
          </w:p>
        </w:tc>
        <w:tc>
          <w:tcPr>
            <w:tcW w:w="1109"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66F48C87">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eastAsia="黑体" w:cs="黑体"/>
                <w:i w:val="0"/>
                <w:iCs w:val="0"/>
                <w:color w:val="000000"/>
                <w:kern w:val="0"/>
                <w:sz w:val="24"/>
                <w:szCs w:val="24"/>
                <w:u w:val="none"/>
                <w:lang w:val="en-US" w:eastAsia="zh-CN" w:bidi="ar"/>
              </w:rPr>
              <w:t>小计（元）</w:t>
            </w:r>
          </w:p>
        </w:tc>
        <w:tc>
          <w:tcPr>
            <w:tcW w:w="1231"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456784C4">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4544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A7B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CD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机械零件测绘实训装置</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67B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1.绘图工作台</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2.机械制图测绘套装</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3.零部件测绘评价系统</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4.控制系统：工控机</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5.齿轮泵测绘训练套装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C5D9">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077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C5E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2D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524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24D1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A7A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7C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53"/>
                <w:rFonts w:hint="eastAsia" w:ascii="仿宋" w:hAnsi="仿宋" w:eastAsia="仿宋" w:cs="仿宋"/>
                <w:lang w:val="en-US" w:eastAsia="zh-CN" w:bidi="ar"/>
              </w:rPr>
              <w:t>《机械制图》</w:t>
            </w:r>
            <w:r>
              <w:rPr>
                <w:rStyle w:val="54"/>
                <w:rFonts w:hint="eastAsia" w:ascii="仿宋" w:hAnsi="仿宋" w:eastAsia="仿宋" w:cs="仿宋"/>
                <w:lang w:val="en-US" w:eastAsia="zh-CN" w:bidi="ar"/>
              </w:rPr>
              <w:t>成套模型</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D1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53"/>
                <w:rFonts w:hint="eastAsia" w:ascii="仿宋" w:hAnsi="仿宋" w:eastAsia="仿宋" w:cs="仿宋"/>
                <w:lang w:val="en-US" w:eastAsia="zh-CN" w:bidi="ar"/>
              </w:rPr>
              <w:t>《机械测绘图》</w:t>
            </w:r>
            <w:r>
              <w:rPr>
                <w:rStyle w:val="54"/>
                <w:rFonts w:hint="eastAsia" w:ascii="仿宋" w:hAnsi="仿宋" w:eastAsia="仿宋" w:cs="仿宋"/>
                <w:lang w:val="en-US" w:eastAsia="zh-CN" w:bidi="ar"/>
              </w:rPr>
              <w:t>模型</w:t>
            </w:r>
            <w:r>
              <w:rPr>
                <w:rStyle w:val="53"/>
                <w:rFonts w:hint="eastAsia" w:ascii="仿宋" w:hAnsi="仿宋" w:eastAsia="仿宋" w:cs="仿宋"/>
                <w:lang w:val="en-US" w:eastAsia="zh-CN" w:bidi="ar"/>
              </w:rPr>
              <w:t>1套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86C0">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745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C9A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337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81A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657F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2A5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B18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机械测绘成套模型</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947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1.机械测绘成套模型1套</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2.常用机构模型1套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A6FF">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129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F9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7B1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8CD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35E0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DA2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4FF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机械测绘专业知识评价系统</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1AF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机械测绘专业知识评价系统V1.0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C5A2">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F69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5EC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B5C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A03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3CC7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3AA4">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3DDA">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机械绘图工具包</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DF4D">
            <w:pPr>
              <w:keepNext w:val="0"/>
              <w:keepLines w:val="0"/>
              <w:widowControl/>
              <w:suppressLineNumbers w:val="0"/>
              <w:jc w:val="left"/>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1.零部件拆装工具1套</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2.绘图套装1套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AE5C">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6A0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AA6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3AB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eastAsia="仿宋_GB2312" w:cs="仿宋_GB2312"/>
                <w:i w:val="0"/>
                <w:iCs w:val="0"/>
                <w:color w:val="000000"/>
                <w:kern w:val="0"/>
                <w:sz w:val="21"/>
                <w:szCs w:val="21"/>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CB3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赠送，本项作为附带产品，请供应商综合考虑在投标报价中</w:t>
            </w:r>
          </w:p>
        </w:tc>
      </w:tr>
      <w:tr w14:paraId="46FA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A7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eastAsia="仿宋_GB2312" w:cs="仿宋_GB2312"/>
                <w:i w:val="0"/>
                <w:iCs w:val="0"/>
                <w:color w:val="000000"/>
                <w:kern w:val="0"/>
                <w:sz w:val="21"/>
                <w:szCs w:val="21"/>
                <w:u w:val="none"/>
                <w:lang w:val="en-US" w:eastAsia="zh-CN" w:bidi="ar"/>
              </w:rPr>
              <w:t>6</w:t>
            </w:r>
          </w:p>
        </w:tc>
        <w:tc>
          <w:tcPr>
            <w:tcW w:w="88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7B1C4F">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eastAsia="仿宋_GB2312" w:cs="仿宋_GB2312"/>
                <w:b/>
                <w:bCs/>
                <w:i w:val="0"/>
                <w:iCs w:val="0"/>
                <w:color w:val="000000"/>
                <w:kern w:val="0"/>
                <w:sz w:val="24"/>
                <w:szCs w:val="24"/>
                <w:u w:val="none"/>
                <w:lang w:val="en-US" w:eastAsia="zh-CN" w:bidi="ar"/>
              </w:rPr>
              <w:t>合计（含税）</w:t>
            </w:r>
          </w:p>
        </w:tc>
      </w:tr>
      <w:tr w14:paraId="35DF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6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C400FC">
            <w:pPr>
              <w:keepNext w:val="0"/>
              <w:keepLines w:val="0"/>
              <w:widowControl/>
              <w:suppressLineNumbers w:val="0"/>
              <w:jc w:val="left"/>
              <w:textAlignment w:val="center"/>
              <w:rPr>
                <w:rFonts w:hint="eastAsia" w:ascii="仿宋_GB2312" w:eastAsia="仿宋_GB2312" w:cs="仿宋_GB2312"/>
                <w:b/>
                <w:bCs/>
                <w:i w:val="0"/>
                <w:iCs w:val="0"/>
                <w:color w:val="000000"/>
                <w:kern w:val="0"/>
                <w:sz w:val="24"/>
                <w:szCs w:val="24"/>
                <w:u w:val="none"/>
                <w:lang w:val="en-US" w:eastAsia="zh-CN" w:bidi="ar"/>
              </w:rPr>
            </w:pPr>
            <w:r>
              <w:rPr>
                <w:rFonts w:hint="eastAsia" w:ascii="仿宋_GB2312" w:eastAsia="仿宋_GB2312" w:cs="仿宋_GB2312"/>
                <w:b/>
                <w:bCs/>
                <w:i w:val="0"/>
                <w:iCs w:val="0"/>
                <w:color w:val="000000"/>
                <w:kern w:val="0"/>
                <w:sz w:val="24"/>
                <w:szCs w:val="24"/>
                <w:u w:val="none"/>
                <w:lang w:val="en-US" w:eastAsia="zh-CN" w:bidi="ar"/>
              </w:rPr>
              <w:t>注：具体仪器软件技术参数详见招标需求。</w:t>
            </w:r>
          </w:p>
        </w:tc>
      </w:tr>
    </w:tbl>
    <w:p w14:paraId="2C343D21">
      <w:pPr>
        <w:ind w:firstLine="4760" w:firstLineChars="17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p>
    <w:p w14:paraId="41C3CFA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供应商公章：</w:t>
      </w:r>
    </w:p>
    <w:p w14:paraId="60E706C8">
      <w:pPr>
        <w:jc w:val="cente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2D23B4A8">
      <w:pPr>
        <w:widowControl/>
        <w:spacing w:line="240" w:lineRule="auto"/>
        <w:jc w:val="left"/>
        <w:rPr>
          <w:rFonts w:hint="eastAsia" w:ascii="仿宋" w:hAnsi="仿宋" w:eastAsia="仿宋" w:cs="仿宋"/>
          <w:b/>
          <w:color w:val="auto"/>
          <w:sz w:val="28"/>
          <w:szCs w:val="28"/>
          <w:highlight w:val="none"/>
        </w:rPr>
        <w:sectPr>
          <w:pgSz w:w="11906" w:h="16838"/>
          <w:pgMar w:top="1418" w:right="1418" w:bottom="1418" w:left="1418" w:header="1020" w:footer="907" w:gutter="0"/>
          <w:pgNumType w:fmt="decimal"/>
          <w:cols w:space="425" w:num="1"/>
          <w:docGrid w:type="lines" w:linePitch="326" w:charSpace="0"/>
        </w:sectPr>
      </w:pPr>
    </w:p>
    <w:p w14:paraId="0B02E348">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招标代理服务费承诺函</w:t>
      </w:r>
    </w:p>
    <w:p w14:paraId="4B1A917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浙江金业管理咨询有限公司：</w:t>
      </w:r>
    </w:p>
    <w:p w14:paraId="1CA2D73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文件的规定，一旦我公司中标，我公司同意按</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文件要求向贵公司交纳中标项目的招标代理服务费，在确定中标供应商后，领取中标通知书前的当天一次性结清。</w:t>
      </w:r>
    </w:p>
    <w:p w14:paraId="1FFEA38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本承诺函自开标之日起至本次采购期满有效。</w:t>
      </w:r>
    </w:p>
    <w:p w14:paraId="29AC2B40">
      <w:pPr>
        <w:rPr>
          <w:rFonts w:hint="eastAsia" w:ascii="仿宋" w:hAnsi="仿宋" w:eastAsia="仿宋" w:cs="仿宋"/>
          <w:color w:val="auto"/>
          <w:sz w:val="28"/>
          <w:szCs w:val="28"/>
          <w:highlight w:val="none"/>
        </w:rPr>
      </w:pPr>
    </w:p>
    <w:p w14:paraId="39E274D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p>
    <w:p w14:paraId="2475F73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p>
    <w:p w14:paraId="158978D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5653D84A">
      <w:pPr>
        <w:rPr>
          <w:rFonts w:hint="eastAsia" w:ascii="仿宋" w:hAnsi="仿宋" w:eastAsia="仿宋" w:cs="仿宋"/>
          <w:color w:val="auto"/>
          <w:sz w:val="28"/>
          <w:szCs w:val="28"/>
          <w:highlight w:val="none"/>
        </w:rPr>
      </w:pPr>
    </w:p>
    <w:p w14:paraId="1C00D7BC">
      <w:pPr>
        <w:rPr>
          <w:rFonts w:hint="eastAsia" w:ascii="仿宋" w:hAnsi="仿宋" w:eastAsia="仿宋" w:cs="仿宋"/>
          <w:color w:val="auto"/>
          <w:sz w:val="28"/>
          <w:szCs w:val="28"/>
          <w:highlight w:val="none"/>
        </w:rPr>
      </w:pPr>
    </w:p>
    <w:p w14:paraId="2EBA9273">
      <w:pPr>
        <w:rPr>
          <w:rFonts w:hint="eastAsia" w:ascii="仿宋" w:hAnsi="仿宋" w:eastAsia="仿宋" w:cs="仿宋"/>
          <w:color w:val="auto"/>
          <w:sz w:val="28"/>
          <w:szCs w:val="28"/>
          <w:highlight w:val="none"/>
        </w:rPr>
      </w:pPr>
    </w:p>
    <w:p w14:paraId="2D05D9C0">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代理费汇款账号：</w:t>
      </w:r>
    </w:p>
    <w:p w14:paraId="6A9D83A9">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账户名称：浙江金业管理咨询有限公司   </w:t>
      </w:r>
    </w:p>
    <w:p w14:paraId="6AD9C14F">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账    号：   33001649135056237237    </w:t>
      </w:r>
    </w:p>
    <w:p w14:paraId="1CA0B89E">
      <w:pP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开户银行：   建行南太湖新区支行</w:t>
      </w:r>
    </w:p>
    <w:p w14:paraId="51B69472">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B11584B">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w:t>
      </w:r>
    </w:p>
    <w:p w14:paraId="43E8026A">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1、供应商自评分索引表</w:t>
      </w:r>
    </w:p>
    <w:p w14:paraId="0EADEF88">
      <w:pPr>
        <w:rPr>
          <w:rFonts w:hint="eastAsia" w:ascii="仿宋" w:hAnsi="仿宋" w:eastAsia="仿宋" w:cs="仿宋"/>
          <w:b/>
          <w:color w:val="auto"/>
          <w:sz w:val="28"/>
          <w:szCs w:val="28"/>
          <w:highlight w:val="none"/>
        </w:rPr>
      </w:pPr>
    </w:p>
    <w:p w14:paraId="0C3A36E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供应商全称（公章）：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2"/>
        <w:gridCol w:w="2552"/>
        <w:gridCol w:w="1134"/>
        <w:gridCol w:w="1983"/>
      </w:tblGrid>
      <w:tr w14:paraId="2BA30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D34AF4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7543049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49D2407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040F69F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投标文件页码</w:t>
            </w:r>
          </w:p>
        </w:tc>
      </w:tr>
      <w:tr w14:paraId="20C6A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49C76E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253B2387">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FDF97F">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8651072">
            <w:pPr>
              <w:jc w:val="center"/>
              <w:rPr>
                <w:rFonts w:hint="eastAsia" w:ascii="仿宋" w:hAnsi="仿宋" w:eastAsia="仿宋" w:cs="仿宋"/>
                <w:color w:val="auto"/>
                <w:sz w:val="28"/>
                <w:szCs w:val="28"/>
                <w:highlight w:val="none"/>
              </w:rPr>
            </w:pPr>
          </w:p>
        </w:tc>
      </w:tr>
      <w:tr w14:paraId="59E4C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837117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53B48D01">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57DA556">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DF54B2A">
            <w:pPr>
              <w:jc w:val="center"/>
              <w:rPr>
                <w:rFonts w:hint="eastAsia" w:ascii="仿宋" w:hAnsi="仿宋" w:eastAsia="仿宋" w:cs="仿宋"/>
                <w:color w:val="auto"/>
                <w:sz w:val="28"/>
                <w:szCs w:val="28"/>
                <w:highlight w:val="none"/>
              </w:rPr>
            </w:pPr>
          </w:p>
        </w:tc>
      </w:tr>
      <w:tr w14:paraId="16FA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2869BF7">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3AA478C">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FD801EA">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4C81116">
            <w:pPr>
              <w:jc w:val="center"/>
              <w:rPr>
                <w:rFonts w:hint="eastAsia" w:ascii="仿宋" w:hAnsi="仿宋" w:eastAsia="仿宋" w:cs="仿宋"/>
                <w:color w:val="auto"/>
                <w:sz w:val="28"/>
                <w:szCs w:val="28"/>
                <w:highlight w:val="none"/>
              </w:rPr>
            </w:pPr>
          </w:p>
        </w:tc>
      </w:tr>
      <w:tr w14:paraId="4210E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8CAA8D8">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A50AC8">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72AE39">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E2BCA96">
            <w:pPr>
              <w:jc w:val="center"/>
              <w:rPr>
                <w:rFonts w:hint="eastAsia" w:ascii="仿宋" w:hAnsi="仿宋" w:eastAsia="仿宋" w:cs="仿宋"/>
                <w:color w:val="auto"/>
                <w:sz w:val="28"/>
                <w:szCs w:val="28"/>
                <w:highlight w:val="none"/>
              </w:rPr>
            </w:pPr>
          </w:p>
        </w:tc>
      </w:tr>
      <w:tr w14:paraId="61400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244D7828">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367D06">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E631C8">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7F00CA7">
            <w:pPr>
              <w:jc w:val="center"/>
              <w:rPr>
                <w:rFonts w:hint="eastAsia" w:ascii="仿宋" w:hAnsi="仿宋" w:eastAsia="仿宋" w:cs="仿宋"/>
                <w:color w:val="auto"/>
                <w:sz w:val="28"/>
                <w:szCs w:val="28"/>
                <w:highlight w:val="none"/>
              </w:rPr>
            </w:pPr>
          </w:p>
        </w:tc>
      </w:tr>
      <w:tr w14:paraId="7874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F2D8049">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42E0036">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DC3978">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F1C2E9">
            <w:pPr>
              <w:jc w:val="center"/>
              <w:rPr>
                <w:rFonts w:hint="eastAsia" w:ascii="仿宋" w:hAnsi="仿宋" w:eastAsia="仿宋" w:cs="仿宋"/>
                <w:color w:val="auto"/>
                <w:sz w:val="28"/>
                <w:szCs w:val="28"/>
                <w:highlight w:val="none"/>
              </w:rPr>
            </w:pPr>
          </w:p>
        </w:tc>
      </w:tr>
      <w:tr w14:paraId="26ED5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0506410">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ECAF4C">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421FCC">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A597A37">
            <w:pPr>
              <w:jc w:val="center"/>
              <w:rPr>
                <w:rFonts w:hint="eastAsia" w:ascii="仿宋" w:hAnsi="仿宋" w:eastAsia="仿宋" w:cs="仿宋"/>
                <w:color w:val="auto"/>
                <w:sz w:val="28"/>
                <w:szCs w:val="28"/>
                <w:highlight w:val="none"/>
              </w:rPr>
            </w:pPr>
          </w:p>
        </w:tc>
      </w:tr>
      <w:tr w14:paraId="0870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A0507FC">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690578">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77405C">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77DE0F">
            <w:pPr>
              <w:jc w:val="center"/>
              <w:rPr>
                <w:rFonts w:hint="eastAsia" w:ascii="仿宋" w:hAnsi="仿宋" w:eastAsia="仿宋" w:cs="仿宋"/>
                <w:color w:val="auto"/>
                <w:sz w:val="28"/>
                <w:szCs w:val="28"/>
                <w:highlight w:val="none"/>
              </w:rPr>
            </w:pPr>
          </w:p>
        </w:tc>
      </w:tr>
      <w:tr w14:paraId="0D3C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5136DE3A">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253FF6">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785765">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078D205">
            <w:pPr>
              <w:jc w:val="center"/>
              <w:rPr>
                <w:rFonts w:hint="eastAsia" w:ascii="仿宋" w:hAnsi="仿宋" w:eastAsia="仿宋" w:cs="仿宋"/>
                <w:color w:val="auto"/>
                <w:sz w:val="28"/>
                <w:szCs w:val="28"/>
                <w:highlight w:val="none"/>
              </w:rPr>
            </w:pPr>
          </w:p>
        </w:tc>
      </w:tr>
    </w:tbl>
    <w:p w14:paraId="15AAB3E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法定代表人或其授权代理人签字或盖章：</w:t>
      </w:r>
    </w:p>
    <w:p w14:paraId="6AFAF08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7938D841">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2688D2B">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中小企业声明函（货物）</w:t>
      </w:r>
    </w:p>
    <w:p w14:paraId="3109592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14:paraId="0E8B737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（采购文件中明确的所属行业）行业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 xml:space="preserve">； </w:t>
      </w:r>
    </w:p>
    <w:p w14:paraId="4E99BB0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 xml:space="preserve"> ，属于</w:t>
      </w:r>
      <w:r>
        <w:rPr>
          <w:rFonts w:hint="eastAsia" w:ascii="仿宋" w:hAnsi="仿宋" w:eastAsia="仿宋" w:cs="仿宋"/>
          <w:color w:val="auto"/>
          <w:sz w:val="28"/>
          <w:szCs w:val="28"/>
          <w:highlight w:val="none"/>
          <w:u w:val="single"/>
        </w:rPr>
        <w:t>（采购文件中明确的所属行业）行业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万元，资产总额为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 企业、微型企业）</w:t>
      </w:r>
      <w:r>
        <w:rPr>
          <w:rFonts w:hint="eastAsia" w:ascii="仿宋" w:hAnsi="仿宋" w:eastAsia="仿宋" w:cs="仿宋"/>
          <w:color w:val="auto"/>
          <w:sz w:val="28"/>
          <w:szCs w:val="28"/>
          <w:highlight w:val="none"/>
        </w:rPr>
        <w:t xml:space="preserve">； </w:t>
      </w:r>
    </w:p>
    <w:p w14:paraId="451D072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14C1345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48C055A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本企业对上述声明内容的真实性负责。如有虚假，将依法承担相应责任。 </w:t>
      </w:r>
    </w:p>
    <w:p w14:paraId="42D3CB48">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企业名称（盖章）： </w:t>
      </w:r>
    </w:p>
    <w:p w14:paraId="586F9D91">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w:t>
      </w:r>
    </w:p>
    <w:p w14:paraId="462072D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注：从业人员、营业收入、资产总额填报上一年度数据，无上一年度数据的新成立企业可不填报。</w:t>
      </w:r>
    </w:p>
    <w:p w14:paraId="6B0F0C76">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监狱企业声明函</w:t>
      </w:r>
    </w:p>
    <w:p w14:paraId="184E606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【非监狱企业的不用提供】</w:t>
      </w:r>
    </w:p>
    <w:p w14:paraId="793148B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本企业郑重声明，根据《关于政府采购支持监狱企业发展有关问题的通知》(财库[2014]68号）的规定，本企业为监狱企业。</w:t>
      </w:r>
    </w:p>
    <w:p w14:paraId="2351B25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根据上述标准，我企业属于监狱企业的理由为:</w:t>
      </w:r>
      <w:r>
        <w:rPr>
          <w:rFonts w:hint="eastAsia" w:ascii="仿宋" w:hAnsi="仿宋" w:eastAsia="仿宋" w:cs="仿宋"/>
          <w:color w:val="auto"/>
          <w:sz w:val="28"/>
          <w:szCs w:val="28"/>
          <w:highlight w:val="none"/>
          <w:u w:val="single"/>
        </w:rPr>
        <w:t xml:space="preserve">                 </w:t>
      </w:r>
    </w:p>
    <w:p w14:paraId="2F54126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本企业为参加(项目名称: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)采购活动提供本企业的设备。</w:t>
      </w:r>
    </w:p>
    <w:p w14:paraId="2D3A024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本企业对上述声明的真实性负责。如有虚假，将依法承担相应责任。</w:t>
      </w:r>
    </w:p>
    <w:p w14:paraId="0C5B8F47">
      <w:pPr>
        <w:rPr>
          <w:rFonts w:hint="eastAsia" w:ascii="仿宋" w:hAnsi="仿宋" w:eastAsia="仿宋" w:cs="仿宋"/>
          <w:color w:val="auto"/>
          <w:sz w:val="28"/>
          <w:szCs w:val="28"/>
          <w:highlight w:val="none"/>
        </w:rPr>
      </w:pPr>
    </w:p>
    <w:p w14:paraId="5E923602">
      <w:pPr>
        <w:rPr>
          <w:rFonts w:hint="eastAsia" w:ascii="仿宋" w:hAnsi="仿宋" w:eastAsia="仿宋" w:cs="仿宋"/>
          <w:color w:val="auto"/>
          <w:sz w:val="28"/>
          <w:szCs w:val="28"/>
          <w:highlight w:val="none"/>
        </w:rPr>
      </w:pPr>
    </w:p>
    <w:p w14:paraId="1A6E80F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 :</w:t>
      </w:r>
    </w:p>
    <w:p w14:paraId="502418A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5695BFD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监狱企业参加政府采购活动时，应当提供由省级以上监狱管理局、戒毒管理局(含新疆生产建设兵团)出具的属于监狱企业的证明文件；</w:t>
      </w:r>
    </w:p>
    <w:p w14:paraId="67514D3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0F70FB">
      <w:pPr>
        <w:widowControl/>
        <w:spacing w:line="240" w:lineRule="auto"/>
        <w:jc w:val="left"/>
        <w:rPr>
          <w:rFonts w:hint="eastAsia" w:ascii="仿宋" w:hAnsi="仿宋" w:eastAsia="仿宋" w:cs="仿宋"/>
          <w:color w:val="auto"/>
          <w:sz w:val="28"/>
          <w:szCs w:val="28"/>
          <w:highlight w:val="none"/>
        </w:rPr>
      </w:pPr>
    </w:p>
    <w:p w14:paraId="19506E5E">
      <w:pPr>
        <w:pStyle w:val="9"/>
        <w:rPr>
          <w:rFonts w:hint="eastAsia" w:ascii="仿宋" w:hAnsi="仿宋" w:eastAsia="仿宋" w:cs="仿宋"/>
        </w:rPr>
      </w:pPr>
    </w:p>
    <w:p w14:paraId="1DD4343D">
      <w:pPr>
        <w:jc w:val="center"/>
        <w:rPr>
          <w:rFonts w:hint="eastAsia" w:ascii="仿宋" w:hAnsi="仿宋" w:eastAsia="仿宋" w:cs="仿宋"/>
          <w:b/>
          <w:bCs/>
          <w:color w:val="auto"/>
          <w:sz w:val="28"/>
          <w:szCs w:val="28"/>
          <w:highlight w:val="none"/>
        </w:rPr>
      </w:pPr>
    </w:p>
    <w:p w14:paraId="247362A2">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14:paraId="3B05595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【非残疾人福利性单位不用提供】</w:t>
      </w:r>
    </w:p>
    <w:p w14:paraId="6F89911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（采购人名称）单位的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（项目名称）项目采购活动提供本单位制造的货物（由本单位承担工程/提供服务），或者提供其他残疾人福利性单位制造的货物（不包括使用非残疾人福利性单位注册商标的货物）。</w:t>
      </w:r>
    </w:p>
    <w:p w14:paraId="1DFD641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本单位对上述声明的真实性负责，如有虚假，将依法承但相应责任。</w:t>
      </w:r>
    </w:p>
    <w:p w14:paraId="31C76966">
      <w:pPr>
        <w:rPr>
          <w:rFonts w:hint="eastAsia" w:ascii="仿宋" w:hAnsi="仿宋" w:eastAsia="仿宋" w:cs="仿宋"/>
          <w:color w:val="auto"/>
          <w:sz w:val="28"/>
          <w:szCs w:val="28"/>
          <w:highlight w:val="none"/>
        </w:rPr>
      </w:pPr>
    </w:p>
    <w:p w14:paraId="495C1EEF">
      <w:pPr>
        <w:rPr>
          <w:rFonts w:hint="eastAsia" w:ascii="仿宋" w:hAnsi="仿宋" w:eastAsia="仿宋" w:cs="仿宋"/>
          <w:color w:val="auto"/>
          <w:sz w:val="28"/>
          <w:szCs w:val="28"/>
          <w:highlight w:val="none"/>
        </w:rPr>
      </w:pPr>
    </w:p>
    <w:p w14:paraId="78F9EEB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5C8D416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681D4F98">
      <w:pPr>
        <w:rPr>
          <w:rFonts w:hint="eastAsia" w:ascii="仿宋" w:hAnsi="仿宋" w:eastAsia="仿宋" w:cs="仿宋"/>
          <w:color w:val="auto"/>
          <w:sz w:val="28"/>
          <w:szCs w:val="28"/>
          <w:highlight w:val="none"/>
        </w:rPr>
      </w:pPr>
    </w:p>
    <w:p w14:paraId="28C8572C">
      <w:pPr>
        <w:rPr>
          <w:rFonts w:hint="eastAsia" w:ascii="仿宋" w:hAnsi="仿宋" w:eastAsia="仿宋" w:cs="仿宋"/>
          <w:color w:val="auto"/>
          <w:sz w:val="28"/>
          <w:szCs w:val="28"/>
          <w:highlight w:val="none"/>
        </w:rPr>
      </w:pPr>
    </w:p>
    <w:p w14:paraId="1F24606B">
      <w:pPr>
        <w:rPr>
          <w:rFonts w:hint="eastAsia" w:ascii="仿宋" w:hAnsi="仿宋" w:eastAsia="仿宋" w:cs="仿宋"/>
          <w:color w:val="auto"/>
          <w:sz w:val="22"/>
          <w:szCs w:val="21"/>
          <w:highlight w:val="none"/>
        </w:rPr>
      </w:pPr>
    </w:p>
    <w:p w14:paraId="2D09769B">
      <w:pPr>
        <w:bidi w:val="0"/>
        <w:rPr>
          <w:rFonts w:hint="eastAsia" w:ascii="仿宋" w:hAnsi="仿宋" w:eastAsia="仿宋" w:cs="仿宋"/>
          <w:kern w:val="2"/>
          <w:sz w:val="24"/>
          <w:szCs w:val="22"/>
          <w:lang w:val="en-US" w:eastAsia="zh-CN" w:bidi="ar-SA"/>
        </w:rPr>
      </w:pPr>
    </w:p>
    <w:p w14:paraId="07535E9A">
      <w:pPr>
        <w:bidi w:val="0"/>
        <w:rPr>
          <w:rFonts w:hint="eastAsia" w:ascii="仿宋" w:hAnsi="仿宋" w:eastAsia="仿宋" w:cs="仿宋"/>
          <w:lang w:val="en-US" w:eastAsia="zh-CN"/>
        </w:rPr>
      </w:pPr>
    </w:p>
    <w:p w14:paraId="36D80EB7">
      <w:pPr>
        <w:bidi w:val="0"/>
        <w:rPr>
          <w:rFonts w:hint="eastAsia" w:ascii="仿宋" w:hAnsi="仿宋" w:eastAsia="仿宋" w:cs="仿宋"/>
          <w:lang w:val="en-US" w:eastAsia="zh-CN"/>
        </w:rPr>
      </w:pPr>
    </w:p>
    <w:p w14:paraId="37CD0AE7">
      <w:pPr>
        <w:bidi w:val="0"/>
        <w:rPr>
          <w:rFonts w:hint="eastAsia" w:ascii="仿宋" w:hAnsi="仿宋" w:eastAsia="仿宋" w:cs="仿宋"/>
          <w:lang w:val="en-US" w:eastAsia="zh-CN"/>
        </w:rPr>
      </w:pPr>
    </w:p>
    <w:p w14:paraId="11827A3D">
      <w:pPr>
        <w:bidi w:val="0"/>
        <w:rPr>
          <w:rFonts w:hint="eastAsia" w:ascii="仿宋" w:hAnsi="仿宋" w:eastAsia="仿宋" w:cs="仿宋"/>
          <w:lang w:val="en-US" w:eastAsia="zh-CN"/>
        </w:rPr>
      </w:pPr>
    </w:p>
    <w:p w14:paraId="5A11CCCC">
      <w:pPr>
        <w:tabs>
          <w:tab w:val="left" w:pos="1183"/>
        </w:tabs>
        <w:bidi w:val="0"/>
        <w:jc w:val="left"/>
        <w:rPr>
          <w:rFonts w:hint="eastAsia" w:ascii="仿宋" w:hAnsi="仿宋" w:eastAsia="仿宋" w:cs="仿宋"/>
          <w:lang w:val="en-US" w:eastAsia="zh-CN"/>
        </w:rPr>
      </w:pPr>
      <w:r>
        <w:rPr>
          <w:rFonts w:hint="eastAsia" w:ascii="仿宋" w:hAnsi="仿宋" w:eastAsia="仿宋" w:cs="仿宋"/>
          <w:lang w:val="en-US" w:eastAsia="zh-CN"/>
        </w:rPr>
        <w:tab/>
      </w:r>
    </w:p>
    <w:p w14:paraId="1AC40261">
      <w:pPr>
        <w:pStyle w:val="9"/>
        <w:rPr>
          <w:rFonts w:hint="eastAsia" w:ascii="仿宋" w:hAnsi="仿宋" w:eastAsia="仿宋" w:cs="仿宋"/>
          <w:lang w:val="en-US" w:eastAsia="zh-CN"/>
        </w:rPr>
      </w:pPr>
    </w:p>
    <w:sectPr>
      <w:pgSz w:w="11906" w:h="16838"/>
      <w:pgMar w:top="1418" w:right="1418" w:bottom="1418" w:left="1418" w:header="1020" w:footer="907"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E2C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C9C2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EC9C2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05E7">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4F3A7">
                          <w:pPr>
                            <w:pStyle w:val="1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C4F3A7">
                    <w:pPr>
                      <w:pStyle w:val="1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207E">
    <w:pPr>
      <w:pStyle w:val="15"/>
      <w:spacing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湖州职业技术学院</w:t>
    </w:r>
    <w:r>
      <w:rPr>
        <w:rFonts w:hint="eastAsia" w:ascii="仿宋" w:hAnsi="仿宋" w:eastAsia="仿宋" w:cs="仿宋"/>
        <w:sz w:val="24"/>
        <w:szCs w:val="24"/>
        <w:lang w:val="en-US" w:eastAsia="zh-CN"/>
      </w:rPr>
      <w:t>新校园</w:t>
    </w:r>
    <w:r>
      <w:rPr>
        <w:rFonts w:hint="eastAsia" w:ascii="仿宋" w:hAnsi="仿宋" w:eastAsia="仿宋" w:cs="仿宋"/>
        <w:sz w:val="24"/>
        <w:szCs w:val="24"/>
        <w:lang w:eastAsia="zh-CN"/>
      </w:rPr>
      <w:t>机械零部件测绘实训室建设项目</w:t>
    </w:r>
    <w:r>
      <w:rPr>
        <w:rFonts w:hint="eastAsia" w:ascii="仿宋" w:hAnsi="仿宋" w:eastAsia="仿宋" w:cs="仿宋"/>
        <w:sz w:val="24"/>
        <w:szCs w:val="24"/>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FFCF8"/>
    <w:multiLevelType w:val="singleLevel"/>
    <w:tmpl w:val="02BFFC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ZWIzYmQ2MzkzZmNkMzI1ZTJjNjJiMGRjY2U1Y2EifQ=="/>
  </w:docVars>
  <w:rsids>
    <w:rsidRoot w:val="00A37724"/>
    <w:rsid w:val="000033D1"/>
    <w:rsid w:val="0001391B"/>
    <w:rsid w:val="00016D3C"/>
    <w:rsid w:val="000251C8"/>
    <w:rsid w:val="00053A5B"/>
    <w:rsid w:val="000705B2"/>
    <w:rsid w:val="00082AFF"/>
    <w:rsid w:val="00094446"/>
    <w:rsid w:val="000A1F3A"/>
    <w:rsid w:val="000B56CD"/>
    <w:rsid w:val="00115BD2"/>
    <w:rsid w:val="00157596"/>
    <w:rsid w:val="001577C0"/>
    <w:rsid w:val="00166F0A"/>
    <w:rsid w:val="00176722"/>
    <w:rsid w:val="00180790"/>
    <w:rsid w:val="001949EB"/>
    <w:rsid w:val="001A1A30"/>
    <w:rsid w:val="001D1134"/>
    <w:rsid w:val="001D5454"/>
    <w:rsid w:val="00202F48"/>
    <w:rsid w:val="0021107E"/>
    <w:rsid w:val="00214BB3"/>
    <w:rsid w:val="0022546C"/>
    <w:rsid w:val="0023430A"/>
    <w:rsid w:val="002448D0"/>
    <w:rsid w:val="00263F61"/>
    <w:rsid w:val="002B5609"/>
    <w:rsid w:val="002F04A8"/>
    <w:rsid w:val="002F6D5D"/>
    <w:rsid w:val="00312CB5"/>
    <w:rsid w:val="00363864"/>
    <w:rsid w:val="00372591"/>
    <w:rsid w:val="00392A77"/>
    <w:rsid w:val="003A285A"/>
    <w:rsid w:val="003B7FD3"/>
    <w:rsid w:val="003F0DF6"/>
    <w:rsid w:val="0041556E"/>
    <w:rsid w:val="00430433"/>
    <w:rsid w:val="004359E9"/>
    <w:rsid w:val="00452A18"/>
    <w:rsid w:val="004606D5"/>
    <w:rsid w:val="00476389"/>
    <w:rsid w:val="004D18B9"/>
    <w:rsid w:val="004E47AE"/>
    <w:rsid w:val="004F7042"/>
    <w:rsid w:val="00523383"/>
    <w:rsid w:val="00550D44"/>
    <w:rsid w:val="0055661E"/>
    <w:rsid w:val="00556A77"/>
    <w:rsid w:val="00581C9C"/>
    <w:rsid w:val="00584935"/>
    <w:rsid w:val="005A2C57"/>
    <w:rsid w:val="005D6775"/>
    <w:rsid w:val="005F5F7F"/>
    <w:rsid w:val="00633998"/>
    <w:rsid w:val="00667702"/>
    <w:rsid w:val="00684E3A"/>
    <w:rsid w:val="006C0B44"/>
    <w:rsid w:val="006D44F3"/>
    <w:rsid w:val="006F44DC"/>
    <w:rsid w:val="007263C5"/>
    <w:rsid w:val="007642C3"/>
    <w:rsid w:val="00764C4B"/>
    <w:rsid w:val="00786F3C"/>
    <w:rsid w:val="007B76F5"/>
    <w:rsid w:val="007C3404"/>
    <w:rsid w:val="007C7EF8"/>
    <w:rsid w:val="007F0C79"/>
    <w:rsid w:val="0084721B"/>
    <w:rsid w:val="00873842"/>
    <w:rsid w:val="0088489B"/>
    <w:rsid w:val="00887D72"/>
    <w:rsid w:val="008B2D68"/>
    <w:rsid w:val="008B4FB2"/>
    <w:rsid w:val="008B618E"/>
    <w:rsid w:val="008F05E3"/>
    <w:rsid w:val="00903A86"/>
    <w:rsid w:val="00945F6C"/>
    <w:rsid w:val="0094610C"/>
    <w:rsid w:val="00947F2C"/>
    <w:rsid w:val="009842E8"/>
    <w:rsid w:val="00986A3F"/>
    <w:rsid w:val="009950AF"/>
    <w:rsid w:val="00995937"/>
    <w:rsid w:val="009B16EB"/>
    <w:rsid w:val="009C2CF4"/>
    <w:rsid w:val="009E6A54"/>
    <w:rsid w:val="009E6CAE"/>
    <w:rsid w:val="009F0C9B"/>
    <w:rsid w:val="00A14B4E"/>
    <w:rsid w:val="00A17A8F"/>
    <w:rsid w:val="00A233F2"/>
    <w:rsid w:val="00A35BCF"/>
    <w:rsid w:val="00A37724"/>
    <w:rsid w:val="00A621E2"/>
    <w:rsid w:val="00A702B4"/>
    <w:rsid w:val="00A8623C"/>
    <w:rsid w:val="00A92C7C"/>
    <w:rsid w:val="00AC6019"/>
    <w:rsid w:val="00AD683C"/>
    <w:rsid w:val="00AD7011"/>
    <w:rsid w:val="00AF2BF7"/>
    <w:rsid w:val="00B40AA5"/>
    <w:rsid w:val="00B62140"/>
    <w:rsid w:val="00B94465"/>
    <w:rsid w:val="00B953B1"/>
    <w:rsid w:val="00B96858"/>
    <w:rsid w:val="00BA73CC"/>
    <w:rsid w:val="00BC093F"/>
    <w:rsid w:val="00BC6EC6"/>
    <w:rsid w:val="00BF499F"/>
    <w:rsid w:val="00C00E73"/>
    <w:rsid w:val="00C3111A"/>
    <w:rsid w:val="00C60418"/>
    <w:rsid w:val="00C67A8F"/>
    <w:rsid w:val="00C74974"/>
    <w:rsid w:val="00C86757"/>
    <w:rsid w:val="00C94165"/>
    <w:rsid w:val="00C96218"/>
    <w:rsid w:val="00CA4BC3"/>
    <w:rsid w:val="00CC3219"/>
    <w:rsid w:val="00CD6591"/>
    <w:rsid w:val="00D2764D"/>
    <w:rsid w:val="00D5501D"/>
    <w:rsid w:val="00D57473"/>
    <w:rsid w:val="00D62FD5"/>
    <w:rsid w:val="00D6695B"/>
    <w:rsid w:val="00D70716"/>
    <w:rsid w:val="00D92320"/>
    <w:rsid w:val="00DD0170"/>
    <w:rsid w:val="00DD205E"/>
    <w:rsid w:val="00DD7094"/>
    <w:rsid w:val="00E4716E"/>
    <w:rsid w:val="00E54079"/>
    <w:rsid w:val="00E868E8"/>
    <w:rsid w:val="00EB7A31"/>
    <w:rsid w:val="00ED4C27"/>
    <w:rsid w:val="00EE29E7"/>
    <w:rsid w:val="00EF22A1"/>
    <w:rsid w:val="00EF6DFB"/>
    <w:rsid w:val="00F30CD3"/>
    <w:rsid w:val="00F33A16"/>
    <w:rsid w:val="00F33AFE"/>
    <w:rsid w:val="00F44854"/>
    <w:rsid w:val="00F565E5"/>
    <w:rsid w:val="00F728FB"/>
    <w:rsid w:val="00F77BFD"/>
    <w:rsid w:val="00FC2BCF"/>
    <w:rsid w:val="00FD13A4"/>
    <w:rsid w:val="00FE5E10"/>
    <w:rsid w:val="01042CD0"/>
    <w:rsid w:val="01080A12"/>
    <w:rsid w:val="01AA1AC9"/>
    <w:rsid w:val="01D408F4"/>
    <w:rsid w:val="0243795E"/>
    <w:rsid w:val="03E17C1E"/>
    <w:rsid w:val="04340C59"/>
    <w:rsid w:val="043E7488"/>
    <w:rsid w:val="051A51B8"/>
    <w:rsid w:val="05555355"/>
    <w:rsid w:val="073C0A49"/>
    <w:rsid w:val="075818F1"/>
    <w:rsid w:val="07766587"/>
    <w:rsid w:val="07767709"/>
    <w:rsid w:val="07DF7022"/>
    <w:rsid w:val="08AB7C87"/>
    <w:rsid w:val="092B118A"/>
    <w:rsid w:val="096A1040"/>
    <w:rsid w:val="0A670558"/>
    <w:rsid w:val="0DE2208D"/>
    <w:rsid w:val="0E010CC3"/>
    <w:rsid w:val="0E097F6B"/>
    <w:rsid w:val="0EAC7421"/>
    <w:rsid w:val="10725651"/>
    <w:rsid w:val="107D1AA2"/>
    <w:rsid w:val="10FD2ED4"/>
    <w:rsid w:val="11BC5F39"/>
    <w:rsid w:val="133E69FF"/>
    <w:rsid w:val="14710D4F"/>
    <w:rsid w:val="148213D1"/>
    <w:rsid w:val="14D06574"/>
    <w:rsid w:val="150D43F1"/>
    <w:rsid w:val="15192D96"/>
    <w:rsid w:val="15855BA8"/>
    <w:rsid w:val="15A20FDE"/>
    <w:rsid w:val="167A5AB7"/>
    <w:rsid w:val="16B03286"/>
    <w:rsid w:val="16DF591A"/>
    <w:rsid w:val="16E3540A"/>
    <w:rsid w:val="17891CD5"/>
    <w:rsid w:val="17B05BC9"/>
    <w:rsid w:val="17B86896"/>
    <w:rsid w:val="17C62EA6"/>
    <w:rsid w:val="18815146"/>
    <w:rsid w:val="18CB084B"/>
    <w:rsid w:val="19F51197"/>
    <w:rsid w:val="1BAD793D"/>
    <w:rsid w:val="1D1A3B4F"/>
    <w:rsid w:val="20060C24"/>
    <w:rsid w:val="20477B74"/>
    <w:rsid w:val="21415D13"/>
    <w:rsid w:val="21A06504"/>
    <w:rsid w:val="21B52099"/>
    <w:rsid w:val="23D544F9"/>
    <w:rsid w:val="2403533D"/>
    <w:rsid w:val="24AB7AB7"/>
    <w:rsid w:val="2599781E"/>
    <w:rsid w:val="2694227D"/>
    <w:rsid w:val="27457C3A"/>
    <w:rsid w:val="27DA4859"/>
    <w:rsid w:val="27E40190"/>
    <w:rsid w:val="2A0934C9"/>
    <w:rsid w:val="2A1E2D2D"/>
    <w:rsid w:val="2A5C7555"/>
    <w:rsid w:val="2B177920"/>
    <w:rsid w:val="2BAE2033"/>
    <w:rsid w:val="2C0F377C"/>
    <w:rsid w:val="2C927D8E"/>
    <w:rsid w:val="2CD535EF"/>
    <w:rsid w:val="2DC5342D"/>
    <w:rsid w:val="2DD40813"/>
    <w:rsid w:val="2E6A3EB0"/>
    <w:rsid w:val="2EE82182"/>
    <w:rsid w:val="2F0D0E1E"/>
    <w:rsid w:val="30743FE4"/>
    <w:rsid w:val="30B9520A"/>
    <w:rsid w:val="30E2217A"/>
    <w:rsid w:val="3105047F"/>
    <w:rsid w:val="310D3357"/>
    <w:rsid w:val="31620B05"/>
    <w:rsid w:val="31C4612E"/>
    <w:rsid w:val="31F462C5"/>
    <w:rsid w:val="33092244"/>
    <w:rsid w:val="33705E1F"/>
    <w:rsid w:val="3584623B"/>
    <w:rsid w:val="3710726F"/>
    <w:rsid w:val="37E8067A"/>
    <w:rsid w:val="38403C9A"/>
    <w:rsid w:val="38541722"/>
    <w:rsid w:val="38C06F01"/>
    <w:rsid w:val="38DB4C48"/>
    <w:rsid w:val="397F500E"/>
    <w:rsid w:val="39E70469"/>
    <w:rsid w:val="39EA2B09"/>
    <w:rsid w:val="3ABC41E2"/>
    <w:rsid w:val="3B7764D8"/>
    <w:rsid w:val="3BB85ED6"/>
    <w:rsid w:val="3D66528F"/>
    <w:rsid w:val="3E6E37A4"/>
    <w:rsid w:val="3E8E7FF9"/>
    <w:rsid w:val="3F0044FB"/>
    <w:rsid w:val="3FCB2D5B"/>
    <w:rsid w:val="402E6E46"/>
    <w:rsid w:val="409556CE"/>
    <w:rsid w:val="41717932"/>
    <w:rsid w:val="41C932CA"/>
    <w:rsid w:val="42240501"/>
    <w:rsid w:val="432C1A71"/>
    <w:rsid w:val="434A6224"/>
    <w:rsid w:val="456321EB"/>
    <w:rsid w:val="46340F2E"/>
    <w:rsid w:val="46685B84"/>
    <w:rsid w:val="46972EA6"/>
    <w:rsid w:val="46E93AC7"/>
    <w:rsid w:val="47CF0F0F"/>
    <w:rsid w:val="48DA4109"/>
    <w:rsid w:val="49786845"/>
    <w:rsid w:val="4A4B2406"/>
    <w:rsid w:val="4A7364C9"/>
    <w:rsid w:val="4B2440C9"/>
    <w:rsid w:val="4B55722D"/>
    <w:rsid w:val="4B630D6C"/>
    <w:rsid w:val="4B7F642E"/>
    <w:rsid w:val="4CE2021B"/>
    <w:rsid w:val="4E293448"/>
    <w:rsid w:val="4E8662E1"/>
    <w:rsid w:val="4F191A9A"/>
    <w:rsid w:val="4F38383D"/>
    <w:rsid w:val="4F501833"/>
    <w:rsid w:val="4F6E55D2"/>
    <w:rsid w:val="4F824AB9"/>
    <w:rsid w:val="507E54A2"/>
    <w:rsid w:val="517234D1"/>
    <w:rsid w:val="517448D5"/>
    <w:rsid w:val="51E9487D"/>
    <w:rsid w:val="525576C3"/>
    <w:rsid w:val="526019F9"/>
    <w:rsid w:val="540D317F"/>
    <w:rsid w:val="543852A7"/>
    <w:rsid w:val="55535E25"/>
    <w:rsid w:val="55F20020"/>
    <w:rsid w:val="55F81A5B"/>
    <w:rsid w:val="56243CA7"/>
    <w:rsid w:val="56A17F1A"/>
    <w:rsid w:val="56E25EED"/>
    <w:rsid w:val="571B6C84"/>
    <w:rsid w:val="57F57174"/>
    <w:rsid w:val="597E09E7"/>
    <w:rsid w:val="59865383"/>
    <w:rsid w:val="5A5124D2"/>
    <w:rsid w:val="5B2B4E64"/>
    <w:rsid w:val="5C45759A"/>
    <w:rsid w:val="5C7B2FBB"/>
    <w:rsid w:val="5CE57B03"/>
    <w:rsid w:val="5FEE3C2B"/>
    <w:rsid w:val="60521801"/>
    <w:rsid w:val="61D46441"/>
    <w:rsid w:val="61F93300"/>
    <w:rsid w:val="624D0F56"/>
    <w:rsid w:val="62520F47"/>
    <w:rsid w:val="62684DCB"/>
    <w:rsid w:val="629917AC"/>
    <w:rsid w:val="62A37377"/>
    <w:rsid w:val="63AF619A"/>
    <w:rsid w:val="63ED104C"/>
    <w:rsid w:val="642A77A1"/>
    <w:rsid w:val="64963436"/>
    <w:rsid w:val="65D45A64"/>
    <w:rsid w:val="66664CDC"/>
    <w:rsid w:val="66B60275"/>
    <w:rsid w:val="68585D6C"/>
    <w:rsid w:val="69427065"/>
    <w:rsid w:val="6BB41C86"/>
    <w:rsid w:val="6BCF0C2E"/>
    <w:rsid w:val="6C6A357A"/>
    <w:rsid w:val="6C8D2847"/>
    <w:rsid w:val="6CB76A2B"/>
    <w:rsid w:val="6D2356D5"/>
    <w:rsid w:val="6D4660BF"/>
    <w:rsid w:val="6D51469B"/>
    <w:rsid w:val="6DC72505"/>
    <w:rsid w:val="6EBC242C"/>
    <w:rsid w:val="6F265009"/>
    <w:rsid w:val="6F8A4192"/>
    <w:rsid w:val="70076BE8"/>
    <w:rsid w:val="70765B1C"/>
    <w:rsid w:val="71016A1D"/>
    <w:rsid w:val="716E7972"/>
    <w:rsid w:val="71D5120B"/>
    <w:rsid w:val="72157B96"/>
    <w:rsid w:val="72996FB8"/>
    <w:rsid w:val="72C40DC1"/>
    <w:rsid w:val="72DE02F4"/>
    <w:rsid w:val="74180550"/>
    <w:rsid w:val="74CF1C9F"/>
    <w:rsid w:val="754F5D83"/>
    <w:rsid w:val="7685030D"/>
    <w:rsid w:val="7703523D"/>
    <w:rsid w:val="776808B4"/>
    <w:rsid w:val="778E4093"/>
    <w:rsid w:val="7794747D"/>
    <w:rsid w:val="7808174F"/>
    <w:rsid w:val="78C25DA2"/>
    <w:rsid w:val="791A7216"/>
    <w:rsid w:val="79852F2F"/>
    <w:rsid w:val="79DA536E"/>
    <w:rsid w:val="7BC61F26"/>
    <w:rsid w:val="7C083B09"/>
    <w:rsid w:val="7C40145F"/>
    <w:rsid w:val="7CB460F3"/>
    <w:rsid w:val="7CD42AB6"/>
    <w:rsid w:val="7D54367E"/>
    <w:rsid w:val="7E215319"/>
    <w:rsid w:val="7EC5039A"/>
    <w:rsid w:val="7EC77FB3"/>
    <w:rsid w:val="7F052E8D"/>
    <w:rsid w:val="7FCF349C"/>
    <w:rsid w:val="F5FE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99" w:semiHidden="0" w:name="toc 6"/>
    <w:lsdException w:uiPriority="39" w:name="toc 7"/>
    <w:lsdException w:qFormat="1" w:uiPriority="39" w:semiHidden="0"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2">
    <w:name w:val="heading 1"/>
    <w:basedOn w:val="1"/>
    <w:next w:val="1"/>
    <w:link w:val="30"/>
    <w:qFormat/>
    <w:uiPriority w:val="9"/>
    <w:pPr>
      <w:keepNext/>
      <w:keepLines/>
      <w:spacing w:before="120" w:after="120"/>
      <w:jc w:val="center"/>
      <w:outlineLvl w:val="0"/>
    </w:pPr>
    <w:rPr>
      <w:b/>
      <w:bCs/>
      <w:kern w:val="44"/>
      <w:sz w:val="36"/>
      <w:szCs w:val="44"/>
    </w:rPr>
  </w:style>
  <w:style w:type="paragraph" w:styleId="3">
    <w:name w:val="heading 2"/>
    <w:basedOn w:val="1"/>
    <w:next w:val="1"/>
    <w:link w:val="31"/>
    <w:unhideWhenUsed/>
    <w:qFormat/>
    <w:uiPriority w:val="9"/>
    <w:pPr>
      <w:keepNext/>
      <w:keepLines/>
      <w:outlineLvl w:val="1"/>
    </w:pPr>
    <w:rPr>
      <w:rFonts w:cstheme="majorBidi"/>
      <w:b/>
      <w:bCs/>
      <w:szCs w:val="32"/>
    </w:rPr>
  </w:style>
  <w:style w:type="paragraph" w:styleId="4">
    <w:name w:val="heading 4"/>
    <w:basedOn w:val="1"/>
    <w:next w:val="5"/>
    <w:qFormat/>
    <w:uiPriority w:val="0"/>
    <w:pPr>
      <w:pBdr>
        <w:bottom w:val="single" w:color="B8CCE4" w:sz="4" w:space="2"/>
      </w:pBdr>
      <w:spacing w:before="200" w:after="80"/>
      <w:outlineLvl w:val="3"/>
    </w:pPr>
    <w:rPr>
      <w:rFonts w:ascii="Cambria" w:hAnsi="Cambria" w:cs="宋体"/>
      <w:i/>
      <w:iCs/>
      <w:color w:val="4F81BD"/>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5">
    <w:name w:val="正文首缩两字"/>
    <w:basedOn w:val="1"/>
    <w:qFormat/>
    <w:uiPriority w:val="0"/>
    <w:pPr>
      <w:spacing w:afterLines="30"/>
      <w:ind w:left="210" w:right="210" w:firstLine="480" w:firstLineChars="200"/>
      <w:jc w:val="left"/>
    </w:pPr>
    <w:rPr>
      <w:rFonts w:eastAsia="仿宋_GB2312"/>
      <w:kern w:val="0"/>
      <w:szCs w:val="24"/>
    </w:rPr>
  </w:style>
  <w:style w:type="paragraph" w:styleId="6">
    <w:name w:val="Normal Indent"/>
    <w:basedOn w:val="1"/>
    <w:qFormat/>
    <w:uiPriority w:val="0"/>
    <w:pPr>
      <w:spacing w:line="240" w:lineRule="auto"/>
      <w:ind w:firstLine="420"/>
    </w:pPr>
    <w:rPr>
      <w:rFonts w:ascii="Times New Roman" w:hAnsi="Times New Roman" w:cs="Times New Roman"/>
      <w:sz w:val="21"/>
      <w:szCs w:val="20"/>
    </w:rPr>
  </w:style>
  <w:style w:type="paragraph" w:styleId="7">
    <w:name w:val="annotation text"/>
    <w:basedOn w:val="1"/>
    <w:link w:val="44"/>
    <w:unhideWhenUsed/>
    <w:qFormat/>
    <w:uiPriority w:val="99"/>
    <w:pPr>
      <w:jc w:val="left"/>
    </w:pPr>
  </w:style>
  <w:style w:type="paragraph" w:styleId="8">
    <w:name w:val="Body Text"/>
    <w:basedOn w:val="1"/>
    <w:next w:val="1"/>
    <w:link w:val="33"/>
    <w:qFormat/>
    <w:uiPriority w:val="0"/>
    <w:pPr>
      <w:spacing w:after="120" w:line="240" w:lineRule="auto"/>
    </w:pPr>
    <w:rPr>
      <w:rFonts w:cs="Times New Roman"/>
      <w:sz w:val="28"/>
      <w:szCs w:val="24"/>
    </w:rPr>
  </w:style>
  <w:style w:type="paragraph" w:styleId="9">
    <w:name w:val="Plain Text"/>
    <w:basedOn w:val="1"/>
    <w:next w:val="8"/>
    <w:link w:val="34"/>
    <w:qFormat/>
    <w:uiPriority w:val="0"/>
    <w:pPr>
      <w:adjustRightInd w:val="0"/>
      <w:snapToGrid w:val="0"/>
      <w:spacing w:line="240" w:lineRule="auto"/>
    </w:pPr>
    <w:rPr>
      <w:rFonts w:hAnsi="Courier New" w:cs="Courier New"/>
      <w:sz w:val="21"/>
      <w:szCs w:val="21"/>
    </w:rPr>
  </w:style>
  <w:style w:type="paragraph" w:styleId="10">
    <w:name w:val="toc 8"/>
    <w:basedOn w:val="1"/>
    <w:next w:val="1"/>
    <w:unhideWhenUsed/>
    <w:qFormat/>
    <w:uiPriority w:val="39"/>
    <w:pPr>
      <w:widowControl/>
      <w:ind w:left="1960" w:firstLine="200" w:firstLineChars="200"/>
      <w:jc w:val="left"/>
    </w:pPr>
    <w:rPr>
      <w:rFonts w:ascii="Calibri" w:hAnsi="Calibri" w:cs="Calibri"/>
      <w:kern w:val="0"/>
      <w:sz w:val="18"/>
      <w:szCs w:val="18"/>
    </w:rPr>
  </w:style>
  <w:style w:type="paragraph" w:styleId="11">
    <w:name w:val="Date"/>
    <w:basedOn w:val="1"/>
    <w:next w:val="1"/>
    <w:link w:val="35"/>
    <w:semiHidden/>
    <w:unhideWhenUsed/>
    <w:qFormat/>
    <w:uiPriority w:val="99"/>
    <w:pPr>
      <w:ind w:left="100" w:leftChars="2500"/>
    </w:pPr>
  </w:style>
  <w:style w:type="paragraph" w:styleId="12">
    <w:name w:val="Body Text Indent 2"/>
    <w:basedOn w:val="1"/>
    <w:qFormat/>
    <w:uiPriority w:val="0"/>
    <w:pPr>
      <w:snapToGrid w:val="0"/>
      <w:ind w:firstLine="542" w:firstLineChars="225"/>
    </w:pPr>
    <w:rPr>
      <w:rFonts w:ascii="仿宋_GB2312" w:cs="Arial"/>
      <w:b/>
      <w:bCs/>
      <w:color w:val="000000"/>
    </w:rPr>
  </w:style>
  <w:style w:type="paragraph" w:styleId="13">
    <w:name w:val="Balloon Text"/>
    <w:basedOn w:val="1"/>
    <w:link w:val="36"/>
    <w:semiHidden/>
    <w:unhideWhenUsed/>
    <w:qFormat/>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6"/>
    <w:basedOn w:val="1"/>
    <w:next w:val="1"/>
    <w:qFormat/>
    <w:uiPriority w:val="99"/>
    <w:pPr>
      <w:ind w:left="2100" w:leftChars="1000"/>
    </w:pPr>
  </w:style>
  <w:style w:type="paragraph" w:styleId="18">
    <w:name w:val="toc 2"/>
    <w:basedOn w:val="1"/>
    <w:next w:val="1"/>
    <w:unhideWhenUsed/>
    <w:qFormat/>
    <w:uiPriority w:val="39"/>
    <w:pPr>
      <w:ind w:left="420" w:leftChars="200"/>
    </w:pPr>
  </w:style>
  <w:style w:type="paragraph" w:styleId="19">
    <w:name w:val="Body Text 2"/>
    <w:basedOn w:val="1"/>
    <w:qFormat/>
    <w:uiPriority w:val="0"/>
    <w:pPr>
      <w:spacing w:after="120" w:line="480" w:lineRule="auto"/>
    </w:pPr>
    <w:rPr>
      <w:rFonts w:ascii="Times New Roman" w:hAnsi="Times New Roman"/>
      <w:szCs w:val="20"/>
    </w:rPr>
  </w:style>
  <w:style w:type="paragraph" w:styleId="20">
    <w:name w:val="Normal (Web)"/>
    <w:basedOn w:val="1"/>
    <w:unhideWhenUsed/>
    <w:qFormat/>
    <w:uiPriority w:val="99"/>
    <w:pPr>
      <w:widowControl/>
      <w:spacing w:before="100" w:beforeAutospacing="1" w:after="100" w:afterAutospacing="1" w:line="240" w:lineRule="auto"/>
      <w:jc w:val="left"/>
    </w:pPr>
    <w:rPr>
      <w:rFonts w:cs="宋体"/>
      <w:kern w:val="0"/>
      <w:szCs w:val="24"/>
    </w:rPr>
  </w:style>
  <w:style w:type="paragraph" w:styleId="21">
    <w:name w:val="annotation subject"/>
    <w:basedOn w:val="7"/>
    <w:next w:val="7"/>
    <w:link w:val="45"/>
    <w:semiHidden/>
    <w:unhideWhenUsed/>
    <w:qFormat/>
    <w:uiPriority w:val="99"/>
    <w:rPr>
      <w:b/>
      <w:bCs/>
    </w:rPr>
  </w:style>
  <w:style w:type="paragraph" w:styleId="22">
    <w:name w:val="Body Text First Indent"/>
    <w:basedOn w:val="8"/>
    <w:next w:val="1"/>
    <w:link w:val="32"/>
    <w:semiHidden/>
    <w:unhideWhenUsed/>
    <w:qFormat/>
    <w:uiPriority w:val="99"/>
    <w:pPr>
      <w:spacing w:line="360" w:lineRule="auto"/>
      <w:ind w:firstLine="420" w:firstLineChars="100"/>
    </w:pPr>
    <w:rPr>
      <w:rFonts w:cstheme="minorBidi"/>
      <w:sz w:val="24"/>
      <w:szCs w:val="2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00FF"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character" w:customStyle="1" w:styleId="28">
    <w:name w:val="页眉 字符"/>
    <w:basedOn w:val="25"/>
    <w:link w:val="15"/>
    <w:qFormat/>
    <w:uiPriority w:val="99"/>
    <w:rPr>
      <w:rFonts w:ascii="宋体" w:hAnsi="宋体" w:eastAsia="宋体"/>
      <w:sz w:val="18"/>
      <w:szCs w:val="18"/>
    </w:rPr>
  </w:style>
  <w:style w:type="character" w:customStyle="1" w:styleId="29">
    <w:name w:val="页脚 字符"/>
    <w:basedOn w:val="25"/>
    <w:link w:val="14"/>
    <w:qFormat/>
    <w:uiPriority w:val="99"/>
    <w:rPr>
      <w:rFonts w:ascii="宋体" w:hAnsi="宋体" w:eastAsia="宋体"/>
      <w:sz w:val="18"/>
      <w:szCs w:val="18"/>
    </w:rPr>
  </w:style>
  <w:style w:type="character" w:customStyle="1" w:styleId="30">
    <w:name w:val="标题 1 字符"/>
    <w:basedOn w:val="25"/>
    <w:link w:val="2"/>
    <w:qFormat/>
    <w:uiPriority w:val="9"/>
    <w:rPr>
      <w:rFonts w:ascii="宋体" w:hAnsi="宋体" w:eastAsia="宋体"/>
      <w:b/>
      <w:bCs/>
      <w:kern w:val="44"/>
      <w:sz w:val="36"/>
      <w:szCs w:val="44"/>
    </w:rPr>
  </w:style>
  <w:style w:type="character" w:customStyle="1" w:styleId="31">
    <w:name w:val="标题 2 字符"/>
    <w:basedOn w:val="25"/>
    <w:link w:val="3"/>
    <w:qFormat/>
    <w:uiPriority w:val="9"/>
    <w:rPr>
      <w:rFonts w:ascii="宋体" w:hAnsi="宋体" w:eastAsia="宋体" w:cstheme="majorBidi"/>
      <w:b/>
      <w:bCs/>
      <w:sz w:val="24"/>
      <w:szCs w:val="32"/>
    </w:rPr>
  </w:style>
  <w:style w:type="character" w:customStyle="1" w:styleId="32">
    <w:name w:val="正文文本首行缩进 字符"/>
    <w:basedOn w:val="33"/>
    <w:link w:val="22"/>
    <w:semiHidden/>
    <w:qFormat/>
    <w:uiPriority w:val="99"/>
    <w:rPr>
      <w:rFonts w:ascii="宋体" w:hAnsi="宋体" w:eastAsia="宋体" w:cs="Times New Roman"/>
      <w:sz w:val="24"/>
      <w:szCs w:val="24"/>
    </w:rPr>
  </w:style>
  <w:style w:type="character" w:customStyle="1" w:styleId="33">
    <w:name w:val="正文文本 字符"/>
    <w:basedOn w:val="25"/>
    <w:link w:val="8"/>
    <w:qFormat/>
    <w:uiPriority w:val="0"/>
    <w:rPr>
      <w:rFonts w:ascii="宋体" w:hAnsi="宋体" w:eastAsia="宋体" w:cs="Times New Roman"/>
      <w:sz w:val="28"/>
      <w:szCs w:val="24"/>
    </w:rPr>
  </w:style>
  <w:style w:type="character" w:customStyle="1" w:styleId="34">
    <w:name w:val="纯文本 字符"/>
    <w:basedOn w:val="25"/>
    <w:link w:val="9"/>
    <w:qFormat/>
    <w:uiPriority w:val="0"/>
    <w:rPr>
      <w:rFonts w:ascii="宋体" w:hAnsi="Courier New" w:eastAsia="宋体" w:cs="Courier New"/>
      <w:szCs w:val="21"/>
    </w:rPr>
  </w:style>
  <w:style w:type="character" w:customStyle="1" w:styleId="35">
    <w:name w:val="日期 字符"/>
    <w:basedOn w:val="25"/>
    <w:link w:val="11"/>
    <w:semiHidden/>
    <w:qFormat/>
    <w:uiPriority w:val="99"/>
    <w:rPr>
      <w:rFonts w:ascii="宋体" w:hAnsi="宋体" w:eastAsia="宋体"/>
      <w:sz w:val="24"/>
    </w:rPr>
  </w:style>
  <w:style w:type="character" w:customStyle="1" w:styleId="36">
    <w:name w:val="批注框文本 字符"/>
    <w:basedOn w:val="25"/>
    <w:link w:val="13"/>
    <w:semiHidden/>
    <w:qFormat/>
    <w:uiPriority w:val="99"/>
    <w:rPr>
      <w:rFonts w:ascii="宋体" w:hAnsi="宋体" w:eastAsia="宋体"/>
      <w:sz w:val="18"/>
      <w:szCs w:val="18"/>
    </w:rPr>
  </w:style>
  <w:style w:type="paragraph" w:customStyle="1" w:styleId="37">
    <w:name w:val="Table Paragraph"/>
    <w:basedOn w:val="1"/>
    <w:qFormat/>
    <w:uiPriority w:val="1"/>
    <w:pPr>
      <w:spacing w:line="240" w:lineRule="auto"/>
    </w:pPr>
    <w:rPr>
      <w:rFonts w:cs="宋体"/>
      <w:sz w:val="28"/>
      <w:szCs w:val="24"/>
      <w:lang w:val="zh-CN" w:bidi="zh-CN"/>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39">
    <w:name w:val="List Paragraph"/>
    <w:basedOn w:val="1"/>
    <w:link w:val="46"/>
    <w:qFormat/>
    <w:uiPriority w:val="34"/>
    <w:pPr>
      <w:ind w:firstLine="420" w:firstLineChars="200"/>
    </w:pPr>
  </w:style>
  <w:style w:type="paragraph" w:customStyle="1" w:styleId="40">
    <w:name w:val="正文(首行缩进)"/>
    <w:basedOn w:val="1"/>
    <w:qFormat/>
    <w:uiPriority w:val="0"/>
    <w:pPr>
      <w:ind w:firstLine="510"/>
    </w:pPr>
    <w:rPr>
      <w:kern w:val="0"/>
    </w:rPr>
  </w:style>
  <w:style w:type="paragraph" w:customStyle="1" w:styleId="41">
    <w:name w:val="0-2级标题"/>
    <w:basedOn w:val="3"/>
    <w:qFormat/>
    <w:uiPriority w:val="0"/>
    <w:pPr>
      <w:widowControl/>
      <w:tabs>
        <w:tab w:val="left" w:pos="567"/>
      </w:tabs>
      <w:jc w:val="left"/>
    </w:pPr>
    <w:rPr>
      <w:kern w:val="0"/>
      <w:szCs w:val="28"/>
      <w:lang w:val="zh-CN"/>
    </w:rPr>
  </w:style>
  <w:style w:type="paragraph" w:styleId="42">
    <w:name w:val="No Spacing"/>
    <w:qFormat/>
    <w:uiPriority w:val="0"/>
    <w:pPr>
      <w:widowControl w:val="0"/>
      <w:spacing w:line="360" w:lineRule="auto"/>
      <w:jc w:val="both"/>
    </w:pPr>
    <w:rPr>
      <w:rFonts w:ascii="Calibri" w:hAnsi="Calibri" w:eastAsia="宋体" w:cs="Times New Roman"/>
      <w:szCs w:val="21"/>
      <w:lang w:val="en-US" w:eastAsia="en-US" w:bidi="ar-SA"/>
    </w:rPr>
  </w:style>
  <w:style w:type="paragraph" w:customStyle="1" w:styleId="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4">
    <w:name w:val="批注文字 字符"/>
    <w:basedOn w:val="25"/>
    <w:link w:val="7"/>
    <w:qFormat/>
    <w:uiPriority w:val="99"/>
    <w:rPr>
      <w:rFonts w:ascii="宋体" w:hAnsi="宋体" w:cstheme="minorBidi"/>
      <w:kern w:val="2"/>
      <w:sz w:val="24"/>
      <w:szCs w:val="22"/>
    </w:rPr>
  </w:style>
  <w:style w:type="character" w:customStyle="1" w:styleId="45">
    <w:name w:val="批注主题 字符"/>
    <w:basedOn w:val="44"/>
    <w:link w:val="21"/>
    <w:semiHidden/>
    <w:qFormat/>
    <w:uiPriority w:val="99"/>
    <w:rPr>
      <w:rFonts w:ascii="宋体" w:hAnsi="宋体" w:cstheme="minorBidi"/>
      <w:b/>
      <w:bCs/>
      <w:kern w:val="2"/>
      <w:sz w:val="24"/>
      <w:szCs w:val="22"/>
    </w:rPr>
  </w:style>
  <w:style w:type="character" w:customStyle="1" w:styleId="46">
    <w:name w:val="列表段落 字符"/>
    <w:link w:val="39"/>
    <w:autoRedefine/>
    <w:qFormat/>
    <w:uiPriority w:val="34"/>
    <w:rPr>
      <w:rFonts w:ascii="宋体" w:hAnsi="宋体" w:cstheme="minorBidi"/>
      <w:kern w:val="2"/>
      <w:sz w:val="24"/>
      <w:szCs w:val="22"/>
    </w:rPr>
  </w:style>
  <w:style w:type="paragraph" w:customStyle="1" w:styleId="47">
    <w:name w:val="Revision"/>
    <w:hidden/>
    <w:unhideWhenUsed/>
    <w:qFormat/>
    <w:uiPriority w:val="99"/>
    <w:rPr>
      <w:rFonts w:ascii="宋体" w:hAnsi="宋体" w:eastAsia="宋体" w:cstheme="minorBidi"/>
      <w:kern w:val="2"/>
      <w:sz w:val="24"/>
      <w:szCs w:val="22"/>
      <w:lang w:val="en-US" w:eastAsia="zh-CN" w:bidi="ar-SA"/>
    </w:rPr>
  </w:style>
  <w:style w:type="paragraph" w:customStyle="1" w:styleId="48">
    <w:name w:val="Body Text First Indent1"/>
    <w:basedOn w:val="8"/>
    <w:qFormat/>
    <w:uiPriority w:val="0"/>
    <w:pPr>
      <w:tabs>
        <w:tab w:val="left" w:pos="1275"/>
      </w:tabs>
      <w:ind w:firstLine="420" w:firstLineChars="100"/>
    </w:pPr>
  </w:style>
  <w:style w:type="paragraph" w:customStyle="1" w:styleId="49">
    <w:name w:val="p0"/>
    <w:basedOn w:val="1"/>
    <w:qFormat/>
    <w:uiPriority w:val="0"/>
    <w:pPr>
      <w:widowControl/>
      <w:jc w:val="left"/>
    </w:pPr>
    <w:rPr>
      <w:szCs w:val="21"/>
    </w:rPr>
  </w:style>
  <w:style w:type="paragraph" w:customStyle="1" w:styleId="50">
    <w:name w:val="表格"/>
    <w:next w:val="8"/>
    <w:qFormat/>
    <w:uiPriority w:val="0"/>
    <w:pPr>
      <w:spacing w:line="360" w:lineRule="auto"/>
    </w:pPr>
    <w:rPr>
      <w:rFonts w:ascii="Times New Roman" w:hAnsi="Times New Roman" w:eastAsia="宋体" w:cs="Times New Roman"/>
      <w:sz w:val="24"/>
      <w:lang w:val="en-US" w:eastAsia="zh-CN" w:bidi="ar-SA"/>
    </w:rPr>
  </w:style>
  <w:style w:type="paragraph" w:customStyle="1" w:styleId="51">
    <w:name w:val="表格字体"/>
    <w:basedOn w:val="1"/>
    <w:qFormat/>
    <w:uiPriority w:val="0"/>
    <w:pPr>
      <w:ind w:firstLine="0" w:firstLineChars="0"/>
      <w:jc w:val="center"/>
    </w:pPr>
    <w:rPr>
      <w:rFonts w:ascii="宋体" w:hAnsi="Calibri"/>
      <w:kern w:val="2"/>
      <w:sz w:val="21"/>
      <w:szCs w:val="22"/>
    </w:rPr>
  </w:style>
  <w:style w:type="paragraph" w:customStyle="1" w:styleId="52">
    <w:name w:val="正文2"/>
    <w:basedOn w:val="19"/>
    <w:qFormat/>
    <w:uiPriority w:val="0"/>
    <w:pPr>
      <w:adjustRightInd w:val="0"/>
      <w:spacing w:before="156" w:line="360" w:lineRule="auto"/>
      <w:ind w:firstLine="510" w:firstLineChars="200"/>
    </w:pPr>
    <w:rPr>
      <w:sz w:val="24"/>
      <w:szCs w:val="20"/>
    </w:rPr>
  </w:style>
  <w:style w:type="character" w:customStyle="1" w:styleId="53">
    <w:name w:val="font21"/>
    <w:basedOn w:val="25"/>
    <w:qFormat/>
    <w:uiPriority w:val="0"/>
    <w:rPr>
      <w:rFonts w:hint="default" w:ascii="仿宋_GB2312" w:eastAsia="仿宋_GB2312" w:cs="仿宋_GB2312"/>
      <w:color w:val="000000"/>
      <w:sz w:val="21"/>
      <w:szCs w:val="21"/>
      <w:u w:val="none"/>
    </w:rPr>
  </w:style>
  <w:style w:type="character" w:customStyle="1" w:styleId="54">
    <w:name w:val="font112"/>
    <w:basedOn w:val="25"/>
    <w:qFormat/>
    <w:uiPriority w:val="0"/>
    <w:rPr>
      <w:rFonts w:ascii="Microsoft YaHei UI" w:hAnsi="Microsoft YaHei UI" w:eastAsia="Microsoft YaHei UI" w:cs="Microsoft YaHei U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7576</Words>
  <Characters>8343</Characters>
  <Lines>311</Lines>
  <Paragraphs>87</Paragraphs>
  <TotalTime>5</TotalTime>
  <ScaleCrop>false</ScaleCrop>
  <LinksUpToDate>false</LinksUpToDate>
  <CharactersWithSpaces>8440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2024-02-06T17:10:00Z</dcterms:created>
  <dc:creator>PC</dc:creator>
  <cp:lastModifiedBy>Administrator</cp:lastModifiedBy>
  <cp:lastPrinted>2023-05-30T16:16:00Z</cp:lastPrinted>
  <dcterms:modified xsi:type="dcterms:W3CDTF">2025-04-18T07:04:12Z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A5D652D73C6E4E41A1654DDB1C581C63_13</vt:lpwstr>
  </property>
  <property fmtid="{D5CDD505-2E9C-101B-9397-08002B2CF9AE}" pid="4" name="KSOTemplateDocerSaveRecord">
    <vt:lpwstr>eyJoZGlkIjoiYjg2N2RkZTU1YzE4MjE4ZTUxYzdhNTljZDRhZmNlYmYiLCJ1c2VySWQiOiI0NDkwNzQ5MzAifQ==</vt:lpwstr>
  </property>
</Properties>
</file>