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800" w:lineRule="exact"/>
        <w:jc w:val="center"/>
        <w:rPr>
          <w:rStyle w:val="9"/>
          <w:b/>
          <w:bCs/>
          <w:color w:val="auto"/>
          <w:highlight w:val="none"/>
        </w:rPr>
      </w:pPr>
      <w:r>
        <w:rPr>
          <w:rStyle w:val="9"/>
          <w:rFonts w:hint="eastAsia"/>
          <w:b/>
          <w:bCs/>
          <w:color w:val="auto"/>
          <w:highlight w:val="none"/>
        </w:rPr>
        <w:t>采购需求</w:t>
      </w:r>
    </w:p>
    <w:p>
      <w:pPr>
        <w:rPr>
          <w:color w:val="auto"/>
          <w:highlight w:val="none"/>
        </w:rPr>
      </w:pPr>
    </w:p>
    <w:p>
      <w:pPr>
        <w:pStyle w:val="5"/>
        <w:numPr>
          <w:ilvl w:val="0"/>
          <w:numId w:val="1"/>
        </w:numPr>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项目名称：浙江省湖州市中级人民法院信息化运维服务采购项目</w:t>
      </w:r>
    </w:p>
    <w:p>
      <w:pPr>
        <w:pStyle w:val="5"/>
        <w:numPr>
          <w:ilvl w:val="0"/>
          <w:numId w:val="1"/>
        </w:numPr>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p>
      <w:pPr>
        <w:pStyle w:val="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主要内容包括浙江省湖州市中级人民法院二级运维分中心运维服务、庭审直播、信息化常规维保、外部系统24小时监测、“云防护”及应急保护、庭审语音识别软件服务。</w:t>
      </w:r>
    </w:p>
    <w:p>
      <w:pPr>
        <w:pStyle w:val="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三、本项目服务期：一年</w:t>
      </w:r>
    </w:p>
    <w:p>
      <w:pPr>
        <w:pStyle w:val="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四、采购内容及要求：</w:t>
      </w:r>
    </w:p>
    <w:tbl>
      <w:tblPr>
        <w:tblStyle w:val="6"/>
        <w:tblW w:w="467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2170"/>
        <w:gridCol w:w="2361"/>
        <w:gridCol w:w="27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375" w:type="pct"/>
            <w:tcBorders>
              <w:tl2br w:val="nil"/>
              <w:tr2bl w:val="nil"/>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857" w:type="pct"/>
            <w:gridSpan w:val="2"/>
            <w:tcBorders>
              <w:tl2br w:val="nil"/>
              <w:tr2bl w:val="nil"/>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信息化项目</w:t>
            </w:r>
          </w:p>
        </w:tc>
        <w:tc>
          <w:tcPr>
            <w:tcW w:w="1768" w:type="pct"/>
            <w:tcBorders>
              <w:tl2br w:val="nil"/>
              <w:tr2bl w:val="nil"/>
            </w:tcBorders>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服务周期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restar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412" w:type="pct"/>
            <w:vMerge w:val="restart"/>
            <w:tcBorders>
              <w:tl2br w:val="nil"/>
              <w:tr2bl w:val="nil"/>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二级运维分中心</w:t>
            </w: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网络安全运维</w:t>
            </w:r>
          </w:p>
        </w:tc>
        <w:tc>
          <w:tcPr>
            <w:tcW w:w="1768" w:type="pct"/>
            <w:tcBorders>
              <w:tl2br w:val="nil"/>
              <w:tr2bl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2023.05-2024.04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continue"/>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1412" w:type="pct"/>
            <w:vMerge w:val="continue"/>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审判系统</w:t>
            </w:r>
            <w:r>
              <w:rPr>
                <w:rFonts w:ascii="宋体" w:hAnsi="宋体" w:cs="宋体"/>
                <w:color w:val="auto"/>
                <w:kern w:val="0"/>
                <w:sz w:val="22"/>
                <w:szCs w:val="22"/>
                <w:highlight w:val="none"/>
                <w:lang w:bidi="ar"/>
              </w:rPr>
              <w:t>运维</w:t>
            </w:r>
          </w:p>
        </w:tc>
        <w:tc>
          <w:tcPr>
            <w:tcW w:w="1768" w:type="pct"/>
            <w:tcBorders>
              <w:tl2br w:val="nil"/>
              <w:tr2bl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2023.05-2024.04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continue"/>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1412" w:type="pct"/>
            <w:vMerge w:val="continue"/>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执行系统</w:t>
            </w:r>
            <w:r>
              <w:rPr>
                <w:rFonts w:ascii="宋体" w:hAnsi="宋体" w:cs="宋体"/>
                <w:color w:val="auto"/>
                <w:kern w:val="0"/>
                <w:sz w:val="22"/>
                <w:szCs w:val="22"/>
                <w:highlight w:val="none"/>
                <w:lang w:bidi="ar"/>
              </w:rPr>
              <w:t>运维</w:t>
            </w:r>
          </w:p>
        </w:tc>
        <w:tc>
          <w:tcPr>
            <w:tcW w:w="1768" w:type="pct"/>
            <w:tcBorders>
              <w:tl2br w:val="nil"/>
              <w:tr2bl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2023.10.25-2024.10.24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continue"/>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1412" w:type="pct"/>
            <w:vMerge w:val="continue"/>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数字法庭等运维</w:t>
            </w:r>
          </w:p>
        </w:tc>
        <w:tc>
          <w:tcPr>
            <w:tcW w:w="1768" w:type="pct"/>
            <w:tcBorders>
              <w:tl2br w:val="nil"/>
              <w:tr2bl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2023.10.10-2024.10.09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continue"/>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1412" w:type="pct"/>
            <w:vMerge w:val="continue"/>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基础运维</w:t>
            </w:r>
          </w:p>
        </w:tc>
        <w:tc>
          <w:tcPr>
            <w:tcW w:w="1768" w:type="pct"/>
            <w:tcBorders>
              <w:tl2br w:val="nil"/>
              <w:tr2bl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2023.05-2024.04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8" w:hRule="exact"/>
          <w:jc w:val="center"/>
        </w:trPr>
        <w:tc>
          <w:tcPr>
            <w:tcW w:w="37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857" w:type="pct"/>
            <w:gridSpan w:val="2"/>
            <w:tcBorders>
              <w:tl2br w:val="nil"/>
              <w:tr2bl w:val="nil"/>
            </w:tcBorders>
            <w:shd w:val="clear" w:color="auto" w:fill="auto"/>
            <w:noWrap/>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庭审直播服务</w:t>
            </w:r>
          </w:p>
        </w:tc>
        <w:tc>
          <w:tcPr>
            <w:tcW w:w="1768" w:type="pct"/>
            <w:tcBorders>
              <w:tl2br w:val="nil"/>
              <w:tr2bl w:val="nil"/>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5间法庭：2023.08.27-2024.08.26；1间法庭：2023.11.01-2024.10.31；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857" w:type="pct"/>
            <w:gridSpan w:val="2"/>
            <w:tcBorders>
              <w:tl2br w:val="nil"/>
              <w:tr2bl w:val="nil"/>
            </w:tcBorders>
            <w:shd w:val="clear" w:color="auto" w:fill="auto"/>
            <w:noWrap/>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庭审语音识别服务</w:t>
            </w:r>
          </w:p>
        </w:tc>
        <w:tc>
          <w:tcPr>
            <w:tcW w:w="1768" w:type="pct"/>
            <w:tcBorders>
              <w:tl2br w:val="nil"/>
              <w:tr2bl w:val="nil"/>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2023.10.09-2024.10.08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restar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412" w:type="pct"/>
            <w:vMerge w:val="restart"/>
            <w:tcBorders>
              <w:tl2br w:val="nil"/>
              <w:tr2bl w:val="nil"/>
            </w:tcBorders>
            <w:shd w:val="clear" w:color="auto" w:fill="auto"/>
            <w:vAlign w:val="center"/>
          </w:tcPr>
          <w:p>
            <w:pPr>
              <w:widowControl/>
              <w:jc w:val="center"/>
              <w:textAlignment w:val="center"/>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外部系统24小时监测、</w:t>
            </w:r>
          </w:p>
          <w:p>
            <w:pPr>
              <w:widowControl/>
              <w:jc w:val="center"/>
              <w:textAlignment w:val="center"/>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“云防护”</w:t>
            </w:r>
          </w:p>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及应急保护 </w:t>
            </w: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省政务云防护</w:t>
            </w:r>
          </w:p>
        </w:tc>
        <w:tc>
          <w:tcPr>
            <w:tcW w:w="1768" w:type="pct"/>
            <w:tcBorders>
              <w:tl2br w:val="nil"/>
              <w:tr2bl w:val="nil"/>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2023.11.13-2024.11.12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continue"/>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1412" w:type="pct"/>
            <w:vMerge w:val="continue"/>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市政务云防护</w:t>
            </w:r>
          </w:p>
        </w:tc>
        <w:tc>
          <w:tcPr>
            <w:tcW w:w="1768" w:type="pct"/>
            <w:tcBorders>
              <w:tl2br w:val="nil"/>
              <w:tr2bl w:val="nil"/>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2023.11-2024.11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5" w:type="pct"/>
            <w:vMerge w:val="restar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412" w:type="pct"/>
            <w:vMerge w:val="restart"/>
            <w:tcBorders>
              <w:tl2br w:val="nil"/>
              <w:tr2bl w:val="nil"/>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信息化常规维保</w:t>
            </w: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UPS维保及旧电池更换</w:t>
            </w:r>
          </w:p>
        </w:tc>
        <w:tc>
          <w:tcPr>
            <w:tcW w:w="1768" w:type="pct"/>
            <w:tcBorders>
              <w:tl2br w:val="nil"/>
              <w:tr2bl w:val="nil"/>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2023.12.02-2024.12.01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375" w:type="pct"/>
            <w:vMerge w:val="continue"/>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p>
        </w:tc>
        <w:tc>
          <w:tcPr>
            <w:tcW w:w="1412" w:type="pct"/>
            <w:vMerge w:val="continue"/>
            <w:tcBorders>
              <w:tl2br w:val="nil"/>
              <w:tr2bl w:val="nil"/>
            </w:tcBorders>
            <w:shd w:val="clear" w:color="auto" w:fill="auto"/>
            <w:vAlign w:val="center"/>
          </w:tcPr>
          <w:p>
            <w:pPr>
              <w:widowControl/>
              <w:jc w:val="center"/>
              <w:textAlignment w:val="center"/>
              <w:rPr>
                <w:rFonts w:ascii="宋体" w:hAnsi="宋体" w:cs="宋体"/>
                <w:b/>
                <w:bCs/>
                <w:color w:val="auto"/>
                <w:kern w:val="0"/>
                <w:sz w:val="22"/>
                <w:szCs w:val="22"/>
                <w:highlight w:val="none"/>
                <w:lang w:bidi="ar"/>
              </w:rPr>
            </w:pPr>
          </w:p>
        </w:tc>
        <w:tc>
          <w:tcPr>
            <w:tcW w:w="1445" w:type="pct"/>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其他硬件设备维保</w:t>
            </w:r>
          </w:p>
        </w:tc>
        <w:tc>
          <w:tcPr>
            <w:tcW w:w="1768" w:type="pct"/>
            <w:tcBorders>
              <w:tl2br w:val="nil"/>
              <w:tr2bl w:val="nil"/>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2023.12.17-2024.12.16</w:t>
            </w:r>
          </w:p>
        </w:tc>
      </w:tr>
    </w:tbl>
    <w:p>
      <w:pPr>
        <w:pStyle w:val="5"/>
        <w:spacing w:line="360" w:lineRule="auto"/>
        <w:ind w:firstLine="482"/>
        <w:rPr>
          <w:rFonts w:ascii="仿宋" w:hAnsi="仿宋" w:eastAsia="仿宋" w:cs="仿宋"/>
          <w:color w:val="auto"/>
          <w:sz w:val="24"/>
          <w:szCs w:val="24"/>
          <w:highlight w:val="none"/>
        </w:rPr>
      </w:pPr>
    </w:p>
    <w:p>
      <w:pPr>
        <w:pStyle w:val="10"/>
        <w:ind w:firstLine="0" w:firstLineChars="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网络安全运维服务</w:t>
      </w:r>
    </w:p>
    <w:p>
      <w:pPr>
        <w:pStyle w:val="10"/>
        <w:ind w:firstLine="0" w:firstLineChars="0"/>
        <w:rPr>
          <w:rFonts w:ascii="仿宋" w:hAnsi="仿宋" w:eastAsia="仿宋" w:cs="仿宋"/>
          <w:b/>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采购内容及具体要求</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负责全市法院网络、服务器安全，防范和处理信息安全、计算机病毒方面的故障，定期进行信息安全审计、做好每年等级保护测评后的整改工作。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（二）技术服务要求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1.基本要求：</w:t>
      </w:r>
      <w:r>
        <w:rPr>
          <w:rFonts w:hint="eastAsia" w:ascii="仿宋" w:hAnsi="仿宋" w:eastAsia="仿宋" w:cs="仿宋"/>
          <w:color w:val="auto"/>
          <w:sz w:val="24"/>
          <w:highlight w:val="none"/>
        </w:rPr>
        <w:t>成交供应商须根据要求，提出详细的系统维保服务方案，并完全符合本次维保服务项目的有关要求。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2.驻场人员服务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成交供应商需派驻1名技术支持工程师常驻现场，提供工作日5*8小时现场服务，接受采购人的统一管理和工作派遣，所需派遣费用（含工资、福利及五险一金等）在本项目总费用中统一支出。</w:t>
      </w:r>
      <w:r>
        <w:rPr>
          <w:rFonts w:hint="eastAsia" w:ascii="仿宋" w:hAnsi="仿宋" w:eastAsia="仿宋" w:cs="仿宋"/>
          <w:color w:val="auto"/>
          <w:sz w:val="24"/>
          <w:highlight w:val="none"/>
        </w:rPr>
        <w:t>成交供应商技术人员必须持有合格的技术服务资格证书。</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3.应急服务能力</w:t>
      </w:r>
    </w:p>
    <w:p>
      <w:pPr>
        <w:pStyle w:val="10"/>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针对中心设备具体应用环境及业务要求，制定出设备在遇到重大故障时的应急处理预案，提出切实可行的备份切换方案及措施，确保设备能在最短时间内恢复正常。</w:t>
      </w:r>
    </w:p>
    <w:p>
      <w:pPr>
        <w:pStyle w:val="10"/>
        <w:ind w:left="360" w:firstLine="0" w:firstLineChars="0"/>
        <w:rPr>
          <w:rFonts w:ascii="仿宋" w:hAnsi="仿宋" w:eastAsia="仿宋" w:cs="仿宋"/>
          <w:bCs/>
          <w:color w:val="auto"/>
          <w:sz w:val="24"/>
          <w:highlight w:val="none"/>
        </w:rPr>
      </w:pPr>
    </w:p>
    <w:p>
      <w:pPr>
        <w:pStyle w:val="10"/>
        <w:ind w:left="360" w:firstLine="0" w:firstLineChars="0"/>
        <w:rPr>
          <w:rFonts w:ascii="仿宋" w:hAnsi="仿宋" w:eastAsia="仿宋" w:cs="仿宋"/>
          <w:color w:val="auto"/>
          <w:sz w:val="24"/>
          <w:highlight w:val="none"/>
        </w:rPr>
      </w:pPr>
    </w:p>
    <w:p>
      <w:pPr>
        <w:pStyle w:val="10"/>
        <w:ind w:firstLine="0" w:firstLineChars="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审判系统运维服务</w:t>
      </w:r>
    </w:p>
    <w:p>
      <w:pPr>
        <w:snapToGrid w:val="0"/>
        <w:spacing w:line="360" w:lineRule="auto"/>
        <w:ind w:firstLine="482" w:firstLineChars="200"/>
        <w:rPr>
          <w:rFonts w:ascii="仿宋" w:hAnsi="仿宋" w:eastAsia="仿宋" w:cs="仿宋"/>
          <w:b/>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采购内容及具体要求</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1.根据省高院建立运维分中心的要求，审判系统和数据均由中院统一维护，运维人员需完成全市的审判系统运维，对于无法处理的系统问题，可以上报高院运维中心进行处理。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2.保障办公办案及相关应用系统的正常运行，遇到故障需要及时有效的处理。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3.保障审判系统及相关应用系统的正常运行，遇到故障需要及时有效的处理。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4.保障减刑假释系统及相关应用系统的正常运行，遇到故障需要及时有效的处理。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5.保障四类案件系统及相关应用系统的正常运行，遇到故障需要及时有效的处理。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6.保障鉴定评估系统及相关应用系统的正常运行，遇到故障需要及时有效的处理。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7.完成各类业务系统的操作指导，数据维护工作。</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8.完成内外网数据同步功能的问题收集反馈协助处理。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9.保障集中编目功能的维护和操作指导、全市统一性规则的收集与优化。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10.完成数据考核指标的部分统计、查询、分析等工作。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（二）技术服务要求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1.基本要求：</w:t>
      </w:r>
      <w:r>
        <w:rPr>
          <w:rFonts w:hint="eastAsia" w:ascii="仿宋" w:hAnsi="仿宋" w:eastAsia="仿宋" w:cs="仿宋"/>
          <w:color w:val="auto"/>
          <w:sz w:val="24"/>
          <w:highlight w:val="none"/>
        </w:rPr>
        <w:t>成交供应商须根据要求，提出详细的服务方案，并完全符合本次维保服务项目的有关要求。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2.驻场人员服务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1）成交供应商需派驻1名技术支持工程师常驻现场，提供工作日5*9小时现场服务，接受采购人的统一管理和工作派遣，所需派遣费用（含工资、福利及五险一金等）在本项目总费用中统一支出。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2）派驻我院的系统软件维护驻场工程师，要求35周岁以下，大学专科及以上学历，身体健康，无不良记录，能力确实强者年龄、学历可适当放宽。</w:t>
      </w:r>
    </w:p>
    <w:p>
      <w:pPr>
        <w:pStyle w:val="10"/>
        <w:ind w:left="360" w:firstLine="0" w:firstLineChars="0"/>
        <w:rPr>
          <w:rFonts w:ascii="仿宋" w:hAnsi="仿宋" w:eastAsia="仿宋" w:cs="仿宋"/>
          <w:color w:val="auto"/>
          <w:sz w:val="24"/>
          <w:highlight w:val="none"/>
        </w:rPr>
      </w:pPr>
    </w:p>
    <w:p>
      <w:pPr>
        <w:pStyle w:val="10"/>
        <w:ind w:firstLine="0" w:firstLineChars="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执行系统</w:t>
      </w:r>
      <w:r>
        <w:rPr>
          <w:rFonts w:ascii="仿宋" w:hAnsi="仿宋" w:eastAsia="仿宋" w:cs="仿宋"/>
          <w:b/>
          <w:color w:val="auto"/>
          <w:sz w:val="30"/>
          <w:szCs w:val="30"/>
          <w:highlight w:val="none"/>
        </w:rPr>
        <w:t>运维服务</w:t>
      </w:r>
    </w:p>
    <w:p>
      <w:pPr>
        <w:snapToGrid w:val="0"/>
        <w:spacing w:line="360" w:lineRule="auto"/>
        <w:ind w:firstLine="482" w:firstLineChars="200"/>
        <w:rPr>
          <w:rFonts w:ascii="仿宋" w:hAnsi="仿宋" w:eastAsia="仿宋" w:cs="仿宋"/>
          <w:b/>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采购内容及具体要求</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1.根据省高院建立运维分中心的要求，执行系统和数据均由中院统一维护，运维人员需完成全市的执行系统运维，对于无法处理的系统问题，可以上报高院运维中心进行处理。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2.保障办公办案及相关应用系统的正常运行，遇到故障需要及时有效的处理。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3.保障案款系统及相关应用系统的正常运行，遇到故障需要及时有效的处理。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4.保障电子卷宗系统及相关应用系统的正常运行，遇到故障需要及时有效的处理。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5.保障智能送达系统及相关应用系统的正常运行，遇到故障需要及时有效的处理。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6.完成档案借阅等操作指导，数据维护工作。</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7.完成浙江移动微法院、浙江法院网等系统问题收集反馈协助处理。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8.保障手写屏日常硬件维护和操作指导。</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9.完成oa收发文流程制作及表单制作。</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10.成交供应商派驻人员需根据采购人工作要求，完成其他采购人安排和指定的相关工作。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（二）技术服务要求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1.基本要求：</w:t>
      </w:r>
      <w:r>
        <w:rPr>
          <w:rFonts w:hint="eastAsia" w:ascii="仿宋" w:hAnsi="仿宋" w:eastAsia="仿宋" w:cs="仿宋"/>
          <w:color w:val="auto"/>
          <w:sz w:val="24"/>
          <w:highlight w:val="none"/>
        </w:rPr>
        <w:t>成交供应商须根据要求，提出详细的服务方案，并完全符合本次维保服务项目的有关要求。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2.驻场人员服务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1）成交供应商需派驻1名技术支持工程师常驻现场，提供工作日5*9小时现场服务，接受采购人的统一管理和工作派遣，所需派遣费用（含工资、福利及五险一金等）在本项目总费用中统一支出。</w:t>
      </w:r>
    </w:p>
    <w:p>
      <w:pPr>
        <w:pStyle w:val="10"/>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2）派驻我院的系统软件维护驻场工程师，要求35周岁以下，大学专科及以上学历，身体健康，无不良记录，能力确实强者年龄、学历可适当放宽。</w:t>
      </w:r>
    </w:p>
    <w:p>
      <w:pPr>
        <w:pStyle w:val="10"/>
        <w:ind w:left="360" w:firstLine="0" w:firstLineChars="0"/>
        <w:rPr>
          <w:rFonts w:ascii="仿宋" w:hAnsi="仿宋" w:eastAsia="仿宋" w:cs="仿宋"/>
          <w:bCs/>
          <w:color w:val="auto"/>
          <w:sz w:val="24"/>
          <w:highlight w:val="none"/>
        </w:rPr>
      </w:pPr>
    </w:p>
    <w:p>
      <w:pPr>
        <w:pStyle w:val="10"/>
        <w:ind w:left="360" w:firstLine="0" w:firstLineChars="0"/>
        <w:rPr>
          <w:rFonts w:ascii="仿宋" w:hAnsi="仿宋" w:eastAsia="仿宋" w:cs="仿宋"/>
          <w:bCs/>
          <w:color w:val="auto"/>
          <w:sz w:val="24"/>
          <w:highlight w:val="none"/>
        </w:rPr>
      </w:pPr>
    </w:p>
    <w:p>
      <w:pPr>
        <w:pStyle w:val="10"/>
        <w:ind w:firstLine="0" w:firstLineChars="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数字法庭等</w:t>
      </w:r>
      <w:r>
        <w:rPr>
          <w:rFonts w:ascii="仿宋" w:hAnsi="仿宋" w:eastAsia="仿宋" w:cs="仿宋"/>
          <w:b/>
          <w:bCs/>
          <w:color w:val="auto"/>
          <w:sz w:val="30"/>
          <w:szCs w:val="30"/>
          <w:highlight w:val="none"/>
        </w:rPr>
        <w:t>运维服务</w:t>
      </w:r>
    </w:p>
    <w:p>
      <w:pPr>
        <w:pStyle w:val="10"/>
        <w:ind w:left="360" w:firstLine="0" w:firstLineChars="0"/>
        <w:rPr>
          <w:rFonts w:ascii="仿宋" w:hAnsi="仿宋" w:eastAsia="仿宋" w:cs="仿宋"/>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采购内容及具体要求</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负责本院数字法庭、庭审直播、语音识别以及近几年来本院自行开发的业务系统的维护工作。</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1.维护数字法庭、中间柜等各类软硬件，保障相关设备及应用系统的正常运行，遇到故障需要及时有效的处理。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2.当硬件出现故障无法修复时，征得采购人的同意提供相同规格的部件给采购人，采购人只需支付相应的购买成本费用，无须支付其他安装调试等费用。</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3.成交供应商严格按照采购人系统使用规定的要求提供相应的服务外，开展每周、每月、每季度的检查工作。确保设备的正常运行。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进行常规巡检：每天网上巡检，包括全院开庭率、录像率、对录像音视频质量进行评估，及时发现并解决问题；并对可修复范围内的设备进行免费维修，如对摄像头的优化调整及音频线路的维修等，如遇主设备损害，查明原因，收取相应的维修成本。</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 24小时便民访客设施的运行维护，对24小时便民访客中心的设备做好及时有效地管理和维护。</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6.兼任大数据局数据专员工作，完成市大数据局相关业务的对接工作。</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7.成交供应商派驻人员需根据采购人工作要求，完成其他采购人安排和指定的相关工作。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（二）技术服务要求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1.基本要求：</w:t>
      </w:r>
      <w:r>
        <w:rPr>
          <w:rFonts w:hint="eastAsia" w:ascii="仿宋" w:hAnsi="仿宋" w:eastAsia="仿宋" w:cs="仿宋"/>
          <w:color w:val="auto"/>
          <w:sz w:val="24"/>
          <w:highlight w:val="none"/>
        </w:rPr>
        <w:t>成交供应商须根据要求，提出详细的服务方案，并完全符合本次维保服务项目的有关要求。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2.驻场人员服务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1）成交供应商需派驻1名工程师，提供工作日5*8小时现场服务，接受采购人的统一管理和工作派遣，所需派遣费用（含工资、福利及五险一金等）在本项目总费用中统一支出。</w:t>
      </w:r>
    </w:p>
    <w:p>
      <w:pPr>
        <w:pStyle w:val="10"/>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2）派驻系统软件维护驻场工程师，要求35周岁以下，大学专科及以上学历，身体健康，无不良记录，能力确实强者年龄、学历可适当放宽。</w:t>
      </w:r>
    </w:p>
    <w:p>
      <w:pPr>
        <w:pStyle w:val="10"/>
        <w:ind w:left="360" w:firstLine="0" w:firstLineChars="0"/>
        <w:rPr>
          <w:rFonts w:ascii="仿宋" w:hAnsi="仿宋" w:eastAsia="仿宋" w:cs="仿宋"/>
          <w:bCs/>
          <w:color w:val="auto"/>
          <w:sz w:val="24"/>
          <w:highlight w:val="none"/>
        </w:rPr>
      </w:pPr>
    </w:p>
    <w:p>
      <w:pPr>
        <w:pStyle w:val="10"/>
        <w:ind w:left="360" w:firstLine="0" w:firstLineChars="0"/>
        <w:rPr>
          <w:rFonts w:ascii="仿宋" w:hAnsi="仿宋" w:eastAsia="仿宋" w:cs="仿宋"/>
          <w:bCs/>
          <w:color w:val="auto"/>
          <w:sz w:val="24"/>
          <w:highlight w:val="none"/>
        </w:rPr>
      </w:pPr>
    </w:p>
    <w:p>
      <w:pPr>
        <w:pStyle w:val="10"/>
        <w:ind w:firstLine="0" w:firstLineChars="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硬件基础运维服务</w:t>
      </w:r>
    </w:p>
    <w:p>
      <w:pPr>
        <w:pStyle w:val="10"/>
        <w:ind w:left="360" w:firstLine="0" w:firstLineChars="0"/>
        <w:rPr>
          <w:rFonts w:ascii="仿宋" w:hAnsi="仿宋" w:eastAsia="仿宋" w:cs="仿宋"/>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采购内容及具体要求</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负责本院弱电线路、院内监控、办公设备、执行指挥中心、院史馆、视频会议、各会议室等的硬件设备基础维护及各类会议、活动的技术保障及远程提审看守所端保障工作。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（二）技术服务要求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1.基本要求：</w:t>
      </w:r>
      <w:r>
        <w:rPr>
          <w:rFonts w:hint="eastAsia" w:ascii="仿宋" w:hAnsi="仿宋" w:eastAsia="仿宋" w:cs="仿宋"/>
          <w:color w:val="auto"/>
          <w:sz w:val="24"/>
          <w:highlight w:val="none"/>
        </w:rPr>
        <w:t>成交供应商须根据要求，提出详细的设备（系统）维保服务方案，并完全符合本次维保服务项目的有关要求。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2.驻场人员服务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成交供应商需派驻3名技术支持工程师常驻现场，提供工作日5*8小时现场服务，接受采购人的统一管理和工作派遣，所需派遣费用（含工资、福利及五险一金等）在本项目总费用中统一支出。</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3.应急服务能力</w:t>
      </w:r>
      <w:r>
        <w:rPr>
          <w:rFonts w:hint="eastAsia" w:ascii="仿宋" w:hAnsi="仿宋" w:eastAsia="仿宋" w:cs="仿宋"/>
          <w:color w:val="auto"/>
          <w:sz w:val="24"/>
          <w:highlight w:val="none"/>
        </w:rPr>
        <w:t xml:space="preserve"> </w:t>
      </w:r>
    </w:p>
    <w:p>
      <w:pPr>
        <w:pStyle w:val="1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针对中心设备具体应用环境及业务要求，制定出设备在遇到重大故障时的应急处理预案，提出切实可行的备份切换方案及措施，确保设备能在最短时间内恢复正常。</w:t>
      </w:r>
    </w:p>
    <w:p>
      <w:pPr>
        <w:pStyle w:val="10"/>
        <w:ind w:left="360" w:firstLine="0" w:firstLineChars="0"/>
        <w:rPr>
          <w:rFonts w:ascii="仿宋" w:hAnsi="仿宋" w:eastAsia="仿宋" w:cs="仿宋"/>
          <w:b/>
          <w:color w:val="auto"/>
          <w:sz w:val="24"/>
          <w:highlight w:val="none"/>
        </w:rPr>
      </w:pPr>
    </w:p>
    <w:p>
      <w:pPr>
        <w:pStyle w:val="10"/>
        <w:ind w:left="360" w:firstLine="0" w:firstLineChars="0"/>
        <w:rPr>
          <w:rFonts w:ascii="仿宋" w:hAnsi="仿宋" w:eastAsia="仿宋" w:cs="仿宋"/>
          <w:b/>
          <w:color w:val="auto"/>
          <w:sz w:val="24"/>
          <w:highlight w:val="none"/>
        </w:rPr>
      </w:pPr>
    </w:p>
    <w:p>
      <w:pPr>
        <w:pStyle w:val="10"/>
        <w:ind w:firstLine="0" w:firstLineChars="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庭审直播服务</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pStyle w:val="10"/>
        <w:ind w:left="36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采购6个法庭的庭审直播服务，按要求完成法庭庭审直播功能应用。</w:t>
      </w:r>
    </w:p>
    <w:p>
      <w:pPr>
        <w:pStyle w:val="10"/>
        <w:ind w:left="360" w:firstLine="0" w:firstLineChars="0"/>
        <w:rPr>
          <w:rFonts w:ascii="仿宋" w:hAnsi="仿宋" w:eastAsia="仿宋" w:cs="仿宋"/>
          <w:b/>
          <w:color w:val="auto"/>
          <w:sz w:val="30"/>
          <w:szCs w:val="30"/>
          <w:highlight w:val="none"/>
        </w:rPr>
      </w:pPr>
    </w:p>
    <w:p>
      <w:pPr>
        <w:pStyle w:val="10"/>
        <w:ind w:firstLine="0" w:firstLineChars="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庭审语音识别服务</w:t>
      </w:r>
    </w:p>
    <w:p>
      <w:pPr>
        <w:pStyle w:val="10"/>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（一）服务内容</w:t>
      </w:r>
    </w:p>
    <w:p>
      <w:pPr>
        <w:pStyle w:val="1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采购10个法庭语音识别系统的识别软件服务，依据《关于加强语音识别推广应用有关事项的通知》的要求完成法庭配备语音识别功能应用。</w:t>
      </w:r>
    </w:p>
    <w:p>
      <w:pPr>
        <w:pStyle w:val="10"/>
        <w:ind w:firstLine="0" w:firstLineChars="0"/>
        <w:rPr>
          <w:rFonts w:ascii="仿宋" w:hAnsi="仿宋" w:eastAsia="仿宋" w:cs="仿宋"/>
          <w:color w:val="auto"/>
          <w:sz w:val="30"/>
          <w:szCs w:val="30"/>
          <w:highlight w:val="none"/>
        </w:rPr>
      </w:pPr>
      <w:r>
        <w:rPr>
          <w:rFonts w:hint="eastAsia" w:ascii="宋体" w:hAnsi="宋体" w:cs="宋体"/>
          <w:color w:val="auto"/>
          <w:kern w:val="0"/>
          <w:sz w:val="30"/>
          <w:szCs w:val="30"/>
          <w:highlight w:val="none"/>
          <w:lang w:bidi="ar"/>
        </w:rPr>
        <w:t>省政务云防护</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采购内容及具体要求</w:t>
      </w:r>
    </w:p>
    <w:p>
      <w:pPr>
        <w:snapToGrid w:val="0"/>
        <w:spacing w:line="360" w:lineRule="auto"/>
        <w:ind w:firstLine="482" w:firstLineChars="200"/>
        <w:rPr>
          <w:color w:val="auto"/>
          <w:highlight w:val="none"/>
        </w:rPr>
      </w:pPr>
      <w:r>
        <w:rPr>
          <w:rFonts w:hint="eastAsia" w:ascii="仿宋" w:hAnsi="仿宋" w:eastAsia="仿宋" w:cs="仿宋"/>
          <w:b/>
          <w:bCs/>
          <w:color w:val="auto"/>
          <w:sz w:val="24"/>
          <w:highlight w:val="none"/>
        </w:rPr>
        <w:t>（一）服务内容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法明传[2016]91号）、（浙法明传[2017]2号）(浙法明传[2018]150号)文件精神中对全省法院互联网门户网站安全保障工作的部署安排，结合我院互联网门户网站部署现状，为做到实时发现并掌握我院互联网门户网站存在的安全风险和安全隐患，防范境内外不法分子恶意攻击篡改、非法利用漏洞等破坏网站安全的违法犯罪活动。现将其分为三个纬度，一、采取网站安全监测技术，可以及时发现我院门户网站存在的安全威胁；二、借助网络安全云防御服务，可帮助我院网站进行全面的安全防护；三、通过应急处置保障服务，可对我院网站遭遇安全威胁时，提供及时的应急响应。</w:t>
      </w:r>
    </w:p>
    <w:tbl>
      <w:tblPr>
        <w:tblStyle w:val="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4938"/>
        <w:gridCol w:w="1208"/>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2" w:type="pct"/>
            <w:tcBorders>
              <w:tl2br w:val="nil"/>
              <w:tr2bl w:val="nil"/>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897" w:type="pct"/>
            <w:tcBorders>
              <w:tl2br w:val="nil"/>
              <w:tr2bl w:val="nil"/>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招标内容</w:t>
            </w:r>
          </w:p>
        </w:tc>
        <w:tc>
          <w:tcPr>
            <w:tcW w:w="709" w:type="pct"/>
            <w:tcBorders>
              <w:tl2br w:val="nil"/>
              <w:tr2bl w:val="nil"/>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710" w:type="pct"/>
            <w:tcBorders>
              <w:tl2br w:val="nil"/>
              <w:tr2bl w:val="nil"/>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2" w:type="pct"/>
            <w:tcBorders>
              <w:tl2br w:val="nil"/>
              <w:tr2bl w:val="nil"/>
            </w:tcBorders>
            <w:vAlign w:val="center"/>
          </w:tcPr>
          <w:p>
            <w:pPr>
              <w:numPr>
                <w:ilvl w:val="0"/>
                <w:numId w:val="2"/>
              </w:numPr>
              <w:spacing w:line="360" w:lineRule="auto"/>
              <w:ind w:left="391" w:hanging="312"/>
              <w:jc w:val="center"/>
              <w:rPr>
                <w:rFonts w:ascii="仿宋" w:hAnsi="仿宋" w:eastAsia="仿宋" w:cs="仿宋"/>
                <w:color w:val="auto"/>
                <w:sz w:val="24"/>
                <w:highlight w:val="none"/>
              </w:rPr>
            </w:pPr>
          </w:p>
        </w:tc>
        <w:tc>
          <w:tcPr>
            <w:tcW w:w="2897"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网站安全监测服务</w:t>
            </w:r>
          </w:p>
        </w:tc>
        <w:tc>
          <w:tcPr>
            <w:tcW w:w="709"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10"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2" w:type="pct"/>
            <w:tcBorders>
              <w:tl2br w:val="nil"/>
              <w:tr2bl w:val="nil"/>
            </w:tcBorders>
            <w:vAlign w:val="center"/>
          </w:tcPr>
          <w:p>
            <w:pPr>
              <w:numPr>
                <w:ilvl w:val="0"/>
                <w:numId w:val="2"/>
              </w:numPr>
              <w:spacing w:line="360" w:lineRule="auto"/>
              <w:ind w:left="391" w:hanging="312"/>
              <w:jc w:val="center"/>
              <w:rPr>
                <w:rFonts w:ascii="仿宋" w:hAnsi="仿宋" w:eastAsia="仿宋" w:cs="仿宋"/>
                <w:color w:val="auto"/>
                <w:sz w:val="24"/>
                <w:highlight w:val="none"/>
              </w:rPr>
            </w:pPr>
          </w:p>
        </w:tc>
        <w:tc>
          <w:tcPr>
            <w:tcW w:w="2897"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网络安全云防御服务</w:t>
            </w:r>
          </w:p>
        </w:tc>
        <w:tc>
          <w:tcPr>
            <w:tcW w:w="709"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10"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2" w:type="pct"/>
            <w:tcBorders>
              <w:tl2br w:val="nil"/>
              <w:tr2bl w:val="nil"/>
            </w:tcBorders>
            <w:vAlign w:val="center"/>
          </w:tcPr>
          <w:p>
            <w:pPr>
              <w:numPr>
                <w:ilvl w:val="0"/>
                <w:numId w:val="2"/>
              </w:numPr>
              <w:spacing w:line="360" w:lineRule="auto"/>
              <w:ind w:left="391" w:hanging="312"/>
              <w:jc w:val="center"/>
              <w:rPr>
                <w:rFonts w:ascii="仿宋" w:hAnsi="仿宋" w:eastAsia="仿宋" w:cs="仿宋"/>
                <w:color w:val="auto"/>
                <w:sz w:val="24"/>
                <w:highlight w:val="none"/>
              </w:rPr>
            </w:pPr>
          </w:p>
        </w:tc>
        <w:tc>
          <w:tcPr>
            <w:tcW w:w="2897"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网络安全应急处置保障服务</w:t>
            </w:r>
          </w:p>
        </w:tc>
        <w:tc>
          <w:tcPr>
            <w:tcW w:w="709"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10" w:type="pct"/>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r>
    </w:tbl>
    <w:p>
      <w:pPr>
        <w:spacing w:line="360" w:lineRule="auto"/>
        <w:ind w:firstLine="482" w:firstLineChars="200"/>
        <w:rPr>
          <w:rFonts w:ascii="仿宋" w:hAnsi="仿宋" w:eastAsia="仿宋" w:cs="仿宋"/>
          <w:b/>
          <w:color w:val="auto"/>
          <w:sz w:val="24"/>
          <w:highlight w:val="none"/>
        </w:rPr>
      </w:pP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bCs/>
          <w:color w:val="auto"/>
          <w:sz w:val="24"/>
          <w:highlight w:val="none"/>
        </w:rPr>
        <w:t>招标参数及技术要求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1.网站安全监测服务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专业工具，安排专业人员向招标方提供门户网站7x24实时监测服务，监测网站的漏洞、篡改、敏感字、挂马暗链、可用性、性能、健康度等情况，监测中发现的问题应实时反馈至招标人。每月应生成网站监测服务报告，并进行分析，在服务期结束后，应生成年度服务报告，提供网站安全整改建议与方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服务工具具体要求如下：</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shd w:val="pct40" w:color="auto" w:fill="auto"/>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服务项</w:t>
            </w:r>
          </w:p>
        </w:tc>
        <w:tc>
          <w:tcPr>
            <w:tcW w:w="4134" w:type="pct"/>
            <w:shd w:val="pct40" w:color="auto" w:fill="auto"/>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服务平台要求</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全国范围内具备至少20个云监测节点（提供合同证明和服务平台截图）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★要求监测、防御平台为一体化平台，应同时具备监测列表与配置、漏洞、弱口令、安全事件、内容监测查询等，在重保期间可将重点业务系统接入云防护系统进行应急防护。所要求的功能需要提供截图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服务方式</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系统基于云架构，无需本地部署任何软设备，通过云端可以直接进行监控、管理。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首页统计能力</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监测服务首页包含威胁总数、WEB漏洞、主机漏洞、安全事件、弱口令等维度，并可独立展示安全趋势和WEB漏洞类型分布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支持展示安全问题站点TOP10，包含问题总数、漏洞数（紧急、高危、中危、低危）、安全事件数（暗链、敏感信息、挂马、其他）等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监测服务</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★安全事件监测：支持黑链、黑页、webshell、网页挂马、JS挖矿脚本、图片篡改等安全事件的监测和查询，并进行专家审核；支持对黑链、webshell等保留取证截图，方面用户确认及处置。（提供功能截图证明）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可用性监测：监测网站服务是否中断或报错、是否存在线路异常；支持IPv6站点；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网站内容监测：支持网站内容监测，支持对政治、反动、不文明用语、暴恐类、低质灌水等敏感内容进行检测，支持敏感内容自定义；支持错别字监测，支持错别字自定义设置。支持深度页面监测，检测层数至少20层（以上均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★漏洞检测维度：漏洞检测查询包含检测站点、URL、漏洞、漏洞等级、专家审核时间、最新更新时间、POC、修复状态、操作等详细信息（提供功能截图证明）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服务能力</w:t>
            </w:r>
          </w:p>
        </w:tc>
        <w:tc>
          <w:tcPr>
            <w:tcW w:w="4134" w:type="pct"/>
            <w:vAlign w:val="center"/>
          </w:tcPr>
          <w:p>
            <w:pPr>
              <w:widowControl/>
              <w:spacing w:line="360" w:lineRule="auto"/>
              <w:jc w:val="left"/>
              <w:rPr>
                <w:rFonts w:ascii="仿宋" w:hAnsi="仿宋" w:eastAsia="仿宋" w:cs="仿宋"/>
                <w:color w:val="auto"/>
                <w:kern w:val="0"/>
                <w:sz w:val="24"/>
                <w:highlight w:val="none"/>
              </w:rPr>
            </w:pPr>
            <w:bookmarkStart w:id="0" w:name="_Hlk7895456"/>
            <w:r>
              <w:rPr>
                <w:rFonts w:hint="eastAsia" w:ascii="仿宋" w:hAnsi="仿宋" w:eastAsia="仿宋" w:cs="仿宋"/>
                <w:color w:val="auto"/>
                <w:kern w:val="0"/>
                <w:sz w:val="24"/>
                <w:highlight w:val="none"/>
              </w:rPr>
              <w:t>提供7x24小时的安全专家值守服务，实时发现各类安全威胁，并对安全问题进行审核、验证和告警，第一时间安全告警通知</w:t>
            </w:r>
            <w:bookmarkEnd w:id="0"/>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★0day漏洞发现能力</w:t>
            </w:r>
            <w:bookmarkStart w:id="1" w:name="_Hlk7894907"/>
            <w:r>
              <w:rPr>
                <w:rFonts w:hint="eastAsia" w:ascii="仿宋" w:hAnsi="仿宋" w:eastAsia="仿宋" w:cs="仿宋"/>
                <w:color w:val="auto"/>
                <w:kern w:val="0"/>
                <w:sz w:val="24"/>
                <w:highlight w:val="none"/>
              </w:rPr>
              <w:t>：具备重要的且广泛使用的开发框架或者中间件的0day漏洞发现能力，原厂人员提交过0day漏洞，包含struts 2、主流php环境、常见CMS等国际广泛使用的开发框架</w:t>
            </w:r>
            <w:bookmarkEnd w:id="1"/>
            <w:r>
              <w:rPr>
                <w:rFonts w:hint="eastAsia" w:ascii="仿宋" w:hAnsi="仿宋" w:eastAsia="仿宋" w:cs="仿宋"/>
                <w:color w:val="auto"/>
                <w:kern w:val="0"/>
                <w:sz w:val="24"/>
                <w:highlight w:val="none"/>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监测可视化大屏服务</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支持整体监测可视化大屏，大屏信息清楚直观，包含已安全告警次数、已人工核验安全事件、已人工核验漏洞、漏洞类型、断网次数（IPv4、IPv6）、断网时长、扫描被拦截站点数等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★支持以全国地图方式展示各省份访问网站的时延，包含多个时延维度的展示、无法访问省份、无访问数据的省份，支持站点故障趋势展示（提供功能截图证明）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安全监测微信公众号</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服务提供微信公众号，用户可在微信公众号查看网站监测数据概况、漏洞情况、风险等级等；（提供微信公众号截图）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服务厂商资质</w:t>
            </w:r>
          </w:p>
        </w:tc>
        <w:tc>
          <w:tcPr>
            <w:tcW w:w="4134"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服务原厂商通过CMMI5级认证</w:t>
            </w:r>
          </w:p>
        </w:tc>
      </w:tr>
    </w:tbl>
    <w:p>
      <w:pPr>
        <w:pStyle w:val="4"/>
        <w:rPr>
          <w:rFonts w:ascii="仿宋" w:hAnsi="仿宋" w:eastAsia="仿宋" w:cs="仿宋"/>
          <w:color w:val="auto"/>
          <w:szCs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2.网络安全云防御服务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云安全防御通过专业服务工具，让指定外网网站处于安全云的防护之下，同时隐藏真实的网站IP地址，弥补传统WAF及抗拒绝服务系统的不足，完美解决OWASP TOP10等各类Web攻击行为及大规模拒绝服务攻击的云安全监测防护。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服务工具具体要求如下：</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shd w:val="clear" w:color="auto" w:fill="auto"/>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服务项</w:t>
            </w:r>
          </w:p>
        </w:tc>
        <w:tc>
          <w:tcPr>
            <w:tcW w:w="4230" w:type="pct"/>
            <w:shd w:val="clear" w:color="auto" w:fill="auto"/>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平台服务要求</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无需在网站前端安装任何安全设备、软件，通过DNS别名指向到云端进行安全防护。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全国范围内具备至少50个云防护节点，提供证明材料。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分权分域，分级管理，能为每个网站用户单独创建用户账号，用于查看网站和系统的安全状况，监管用户可关注、查看所有下属机构的网站和系统整体情况。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★为方便未来产品易管理，平台用户界面具备监测与防护一体化功能。（提供界面截图证明材料）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防护能力</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★支持区域访问控制，限制国外用户或者国内以市为最低行政单位的区域进行访问控制，提供界面截图。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具备流量监测的功能，基于用户的访问记录，实时检查被访问页面的安全状况，能够发现暗链、Webshell等问题，或作为网站防护的补充功能，更精准地挖掘出网站存在的问题与风险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安全审计服务</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提供访问日志记录与查询功能，可根据域名、URL、客户端IP、返回码、访问区域、访问时间段进行查询，查询后的日志数据可导出Excel文件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报表要求</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支持单个网站生成报表，也支持网站群生成一个汇总报表，支持日报、月报 ，并支持html、word格式导出。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移动端便捷管理服务</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★通过微信公众号查看网站整体防护态势，包含受攻击域名排行、攻击类型排行、攻击IP排行、攻击区域分布等状态信息，提供截图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服务能力证明</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具有G20峰会、世界互联网大会、上合组织峰会、一带一路等国际峰会官网云防护安保案例，提供官方感谢信或证明文件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服务平台资质</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获得中国软件行业协会颁发的“2017创新云服务平台”资质。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获得公安部计算机信息系统安全专用产品网站云安全防御产品销售许可证。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获得计算机软件著作权登记证书。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restar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服务厂商资质</w:t>
            </w:r>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服务厂商具备中国网络安全审查技术与认证中心颁发的“信息安全应急处理服务资质”证书（一级服务资质）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Merge w:val="continue"/>
          </w:tcPr>
          <w:p>
            <w:pPr>
              <w:widowControl/>
              <w:spacing w:line="360" w:lineRule="auto"/>
              <w:jc w:val="left"/>
              <w:rPr>
                <w:rFonts w:ascii="仿宋" w:hAnsi="仿宋" w:eastAsia="仿宋" w:cs="仿宋"/>
                <w:color w:val="auto"/>
                <w:kern w:val="0"/>
                <w:sz w:val="24"/>
                <w:highlight w:val="none"/>
              </w:rPr>
            </w:pPr>
            <w:bookmarkStart w:id="2" w:name="_Toc423456315"/>
            <w:bookmarkStart w:id="3" w:name="_Toc428292337"/>
            <w:bookmarkStart w:id="4" w:name="_Toc424809117"/>
            <w:bookmarkStart w:id="5" w:name="_Toc459713745"/>
            <w:bookmarkStart w:id="6" w:name="_Toc427582454"/>
          </w:p>
        </w:tc>
        <w:tc>
          <w:tcPr>
            <w:tcW w:w="4230"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服务厂商对等级保护标准有较深入研究，能够根据等保要求对网络进行安全加固并且是公安部认可的信息安全等级保护检查工具箱研发单位具有相关证明材料</w:t>
            </w:r>
          </w:p>
        </w:tc>
      </w:tr>
      <w:bookmarkEnd w:id="2"/>
      <w:bookmarkEnd w:id="3"/>
      <w:bookmarkEnd w:id="4"/>
      <w:bookmarkEnd w:id="5"/>
      <w:bookmarkEnd w:id="6"/>
    </w:tbl>
    <w:p>
      <w:pPr>
        <w:spacing w:line="360" w:lineRule="auto"/>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3.网络安全应急处置保障服务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1）应急预案：根据现有的应用系统运行情况，分析存在的风险隐患，提出相应的风险处置建议，对于应急响应的内容以及设计到的人员需要进行相关培训和技术支撑。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服务具体要求如下：</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shd w:val="clear" w:color="auto" w:fill="D9D9D9"/>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技术指标</w:t>
            </w:r>
          </w:p>
        </w:tc>
        <w:tc>
          <w:tcPr>
            <w:tcW w:w="4221" w:type="pct"/>
            <w:shd w:val="clear" w:color="auto" w:fill="D9D9D9"/>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78"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服务要求</w:t>
            </w:r>
          </w:p>
        </w:tc>
        <w:tc>
          <w:tcPr>
            <w:tcW w:w="4221" w:type="pct"/>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为保障应急响应的服务质量，定期修订、完善应急预案，通过专业化的网络安全应急咨询服务，帮助建立健全应急响应组织以及预防、预警机制，针对信息系统特点和可能的突发性安全事件拟制规范的应急处理流程，落实物质条件、人力和技术支撑等保障措施，制定出规范、全面、体系化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78"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221" w:type="pct"/>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研究制定应急预案体系，内容将包含制定相应应急响应组织、预防、预警机制、事件定义分类、应急响应程序、事件上报处理机制、后期处理机制等内容，具体将分为综合预案、专题预案以及特定预案。制定综合预案注重网络安全应急体系整体流程、框架，专题预案以及特定预案注重专项应急预案，针对不同的业务系统、资产对象、安全事件，制定不同应急处置过程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项目交付</w:t>
            </w:r>
          </w:p>
        </w:tc>
        <w:tc>
          <w:tcPr>
            <w:tcW w:w="4221" w:type="pct"/>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《网络安全应急预案》</w:t>
            </w:r>
          </w:p>
        </w:tc>
      </w:tr>
    </w:tbl>
    <w:p>
      <w:pPr>
        <w:spacing w:line="360" w:lineRule="auto"/>
        <w:rPr>
          <w:rFonts w:ascii="仿宋" w:hAnsi="仿宋" w:eastAsia="仿宋" w:cs="仿宋"/>
          <w:color w:val="auto"/>
          <w:sz w:val="24"/>
          <w:highlight w:val="none"/>
        </w:rPr>
      </w:pP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2）应急响应：针对信息系统突发的重大安全事件，提供7*24小时响应，0.5小时内响应服务，1小时内进行故障排查定位和应急处理，重大情况下4小时内赶到现场。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服务具体要求如下：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043"/>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10" w:type="pct"/>
            <w:shd w:val="clear" w:color="auto" w:fill="D8D8D8"/>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技术指标</w:t>
            </w:r>
          </w:p>
        </w:tc>
        <w:tc>
          <w:tcPr>
            <w:tcW w:w="4089" w:type="pct"/>
            <w:gridSpan w:val="2"/>
            <w:shd w:val="clear" w:color="auto" w:fill="D8D8D8"/>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服务内容</w:t>
            </w:r>
          </w:p>
        </w:tc>
        <w:tc>
          <w:tcPr>
            <w:tcW w:w="4089" w:type="pct"/>
            <w:gridSpan w:val="2"/>
            <w:vAlign w:val="center"/>
          </w:tcPr>
          <w:p>
            <w:pPr>
              <w:widowControl/>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服务期内，通过远程和现场支持的形式协助客户对遇到的突发性安全事件进行紧急分析和处理。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0"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服务要求</w:t>
            </w:r>
          </w:p>
        </w:tc>
        <w:tc>
          <w:tcPr>
            <w:tcW w:w="4089" w:type="pct"/>
            <w:gridSpan w:val="2"/>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当出现安全事件时，技术人员必须在2小时内到达现场；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089" w:type="pct"/>
            <w:gridSpan w:val="2"/>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当出现安全事件时，对入侵事件进行分析，查找原因；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089" w:type="pct"/>
            <w:gridSpan w:val="2"/>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当出现安全事件时，抑制入侵事件的进一步发展，将事故的损害降低到最小化；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089" w:type="pct"/>
            <w:gridSpan w:val="2"/>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当出现安全事件时，排除安全隐患，消除安全威胁，协助恢复系统正常运作；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4089" w:type="pct"/>
            <w:gridSpan w:val="2"/>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当出现安全事件时，提交应急响应报告及系统安全改进方案。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pc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输出物</w:t>
            </w:r>
          </w:p>
        </w:tc>
        <w:tc>
          <w:tcPr>
            <w:tcW w:w="4089" w:type="pct"/>
            <w:gridSpan w:val="2"/>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《安全事件应急响应报告》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10"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工具要求</w:t>
            </w:r>
          </w:p>
        </w:tc>
        <w:tc>
          <w:tcPr>
            <w:tcW w:w="612"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任务管理</w:t>
            </w:r>
          </w:p>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（1）支持从应急处置管理平台下发处置任务，也可以新建应急处置任务；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（2）处置任务的内容应包括事件描述、事件类型、事件级别、事发时间、事发单位、单位联系人、单位联系人电话、系统名称、保护等级、处置人员、资产信息等。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攻击发现</w:t>
            </w: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★（1）支持将漏洞验证工具检测结果与资产进行关联，并在工具箱上查看相应的扫描结果，提供界面截图；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（2）支持数据库漏洞检测、系统漏洞检测、网站漏洞检测、病毒检测、木马检测；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★（3）支持自动导入功能，将验证工具集检测结果自动导入到工具箱，提供界面截图。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处置对象</w:t>
            </w: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（1）取证设备对象支持存储设备、边界设备、主机/服务器；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（2）支持的日志文件类型包括IIS、Apache、Tomcat、Jboss、WebSphere、Weblogic；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（3）支持添加对象事件线索，可以以手动填写、导入两种方式添加。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人工分析</w:t>
            </w: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★（1）支持以节点树的方式，对关键线索进行管理，并支持关键线索所有相关联IP及路径，提供界面截图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★（2）支持多条件对日志进行查询并显示，显示IP、IP地理信息、访问方法、访问时间、访问报文等，并支持从数据源、时间范围、后缀、IP等进行设置实现日志过滤，提供界面截图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（3）支持对日志进行不同颜色的标记，以标记关键日志；同时支持将日志添加入关键日志列表；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（4）支持添加自定义线索。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restart"/>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处置报告</w:t>
            </w:r>
          </w:p>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（1）资产安全漏洞应包含网站安全漏洞、网站恶意代码、操作系统及应用软件漏洞、数据库安全漏洞等安全风险；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（2）应急处置情况应包含事件发生的过程、发生的原因及分析、事件如何处置及处置结果；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10"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612" w:type="pct"/>
            <w:vMerge w:val="continue"/>
            <w:vAlign w:val="center"/>
          </w:tcPr>
          <w:p>
            <w:pPr>
              <w:widowControl/>
              <w:spacing w:line="360" w:lineRule="auto"/>
              <w:jc w:val="center"/>
              <w:rPr>
                <w:rFonts w:ascii="仿宋" w:hAnsi="仿宋" w:eastAsia="仿宋" w:cs="仿宋"/>
                <w:color w:val="auto"/>
                <w:kern w:val="0"/>
                <w:sz w:val="24"/>
                <w:highlight w:val="none"/>
              </w:rPr>
            </w:pPr>
          </w:p>
        </w:tc>
        <w:tc>
          <w:tcPr>
            <w:tcW w:w="3477" w:type="pct"/>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★（3）报告应包含可疑IP及其物理地址；涉及可疑日志量及涉及关键日志量，提供界面截图</w:t>
            </w:r>
          </w:p>
        </w:tc>
      </w:tr>
    </w:tbl>
    <w:p>
      <w:pPr>
        <w:pStyle w:val="4"/>
        <w:rPr>
          <w:rFonts w:ascii="仿宋" w:hAnsi="仿宋" w:eastAsia="仿宋" w:cs="仿宋"/>
          <w:color w:val="auto"/>
          <w:szCs w:val="24"/>
          <w:highlight w:val="none"/>
        </w:rPr>
      </w:pPr>
    </w:p>
    <w:p>
      <w:pPr>
        <w:pStyle w:val="10"/>
        <w:ind w:left="360" w:firstLine="0" w:firstLineChars="0"/>
        <w:rPr>
          <w:rFonts w:ascii="仿宋" w:hAnsi="仿宋" w:eastAsia="仿宋" w:cs="仿宋"/>
          <w:color w:val="auto"/>
          <w:sz w:val="24"/>
          <w:highlight w:val="none"/>
        </w:rPr>
      </w:pPr>
    </w:p>
    <w:p>
      <w:pPr>
        <w:pStyle w:val="10"/>
        <w:spacing w:before="240" w:after="240" w:line="360" w:lineRule="auto"/>
        <w:ind w:firstLine="0" w:firstLineChars="0"/>
        <w:rPr>
          <w:rFonts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市政务云防护</w:t>
      </w:r>
    </w:p>
    <w:p>
      <w:pPr>
        <w:pStyle w:val="10"/>
        <w:spacing w:before="240" w:after="240" w:line="360" w:lineRule="auto"/>
        <w:ind w:firstLine="480"/>
        <w:rPr>
          <w:rFonts w:ascii="仿宋" w:hAnsi="仿宋" w:eastAsia="仿宋" w:cs="仿宋"/>
          <w:b/>
          <w:color w:val="auto"/>
          <w:sz w:val="24"/>
          <w:highlight w:val="none"/>
        </w:rPr>
      </w:pPr>
      <w:r>
        <w:rPr>
          <w:rFonts w:hint="eastAsia" w:ascii="仿宋_GB2312" w:hAnsi="仿宋_GB2312" w:eastAsia="仿宋_GB2312" w:cs="仿宋_GB2312"/>
          <w:color w:val="auto"/>
          <w:sz w:val="24"/>
          <w:highlight w:val="none"/>
        </w:rPr>
        <w:t>根据《湖州市政务云管理办法》的要求及安全支撑模块功能，需采购相关安全防护服务初级套餐。</w:t>
      </w:r>
    </w:p>
    <w:p>
      <w:pPr>
        <w:pStyle w:val="10"/>
        <w:ind w:firstLine="0" w:firstLineChars="0"/>
        <w:rPr>
          <w:rFonts w:ascii="仿宋" w:hAnsi="仿宋" w:eastAsia="仿宋" w:cs="仿宋"/>
          <w:color w:val="auto"/>
          <w:sz w:val="24"/>
          <w:highlight w:val="none"/>
        </w:rPr>
      </w:pPr>
      <w:r>
        <w:rPr>
          <w:rFonts w:hint="eastAsia" w:ascii="仿宋" w:hAnsi="仿宋" w:eastAsia="仿宋" w:cs="仿宋"/>
          <w:b/>
          <w:color w:val="auto"/>
          <w:sz w:val="30"/>
          <w:szCs w:val="30"/>
          <w:highlight w:val="none"/>
        </w:rPr>
        <w:t>UPS维保及旧电池更换</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（一）采购内容</w:t>
      </w:r>
    </w:p>
    <w:tbl>
      <w:tblPr>
        <w:tblStyle w:val="6"/>
        <w:tblW w:w="5000" w:type="pct"/>
        <w:jc w:val="center"/>
        <w:tblBorders>
          <w:top w:val="single" w:color="E9AD1D" w:sz="4" w:space="0"/>
          <w:left w:val="single" w:color="E9AD1D" w:sz="4" w:space="0"/>
          <w:bottom w:val="single" w:color="E9AD1D" w:sz="4" w:space="0"/>
          <w:right w:val="single" w:color="E9AD1D" w:sz="4" w:space="0"/>
          <w:insideH w:val="single" w:color="E9AD1D" w:sz="4" w:space="0"/>
          <w:insideV w:val="single" w:color="E9AD1D" w:sz="4" w:space="0"/>
        </w:tblBorders>
        <w:tblLayout w:type="autofit"/>
        <w:tblCellMar>
          <w:top w:w="0" w:type="dxa"/>
          <w:left w:w="108" w:type="dxa"/>
          <w:bottom w:w="0" w:type="dxa"/>
          <w:right w:w="108" w:type="dxa"/>
        </w:tblCellMar>
      </w:tblPr>
      <w:tblGrid>
        <w:gridCol w:w="772"/>
        <w:gridCol w:w="1711"/>
        <w:gridCol w:w="5290"/>
        <w:gridCol w:w="749"/>
      </w:tblGrid>
      <w:tr>
        <w:tblPrEx>
          <w:tblBorders>
            <w:top w:val="single" w:color="E9AD1D" w:sz="4" w:space="0"/>
            <w:left w:val="single" w:color="E9AD1D" w:sz="4" w:space="0"/>
            <w:bottom w:val="single" w:color="E9AD1D" w:sz="4" w:space="0"/>
            <w:right w:val="single" w:color="E9AD1D" w:sz="4" w:space="0"/>
            <w:insideH w:val="single" w:color="E9AD1D" w:sz="4" w:space="0"/>
            <w:insideV w:val="single" w:color="E9AD1D" w:sz="4" w:space="0"/>
          </w:tblBorders>
          <w:tblCellMar>
            <w:top w:w="0" w:type="dxa"/>
            <w:left w:w="108" w:type="dxa"/>
            <w:bottom w:w="0" w:type="dxa"/>
            <w:right w:w="108" w:type="dxa"/>
          </w:tblCellMar>
        </w:tblPrEx>
        <w:trPr>
          <w:trHeight w:val="386" w:hRule="atLeast"/>
          <w:jc w:val="center"/>
        </w:trPr>
        <w:tc>
          <w:tcPr>
            <w:tcW w:w="453" w:type="pct"/>
            <w:tcBorders>
              <w:tl2br w:val="nil"/>
              <w:tr2bl w:val="nil"/>
            </w:tcBorders>
            <w:shd w:val="clear" w:color="auto" w:fill="FFFFFF"/>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04" w:type="pct"/>
            <w:tcBorders>
              <w:tl2br w:val="nil"/>
              <w:tr2bl w:val="nil"/>
            </w:tcBorders>
            <w:shd w:val="clear" w:color="auto" w:fill="FFFFFF"/>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3104" w:type="pct"/>
            <w:tcBorders>
              <w:tl2br w:val="nil"/>
              <w:tr2bl w:val="nil"/>
            </w:tcBorders>
            <w:shd w:val="clear" w:color="auto" w:fill="FFFFFF"/>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参数及要求</w:t>
            </w:r>
          </w:p>
        </w:tc>
        <w:tc>
          <w:tcPr>
            <w:tcW w:w="439" w:type="pct"/>
            <w:tcBorders>
              <w:tl2br w:val="nil"/>
              <w:tr2bl w:val="nil"/>
            </w:tcBorders>
            <w:shd w:val="clear" w:color="auto" w:fill="FFFFFF"/>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r>
      <w:tr>
        <w:tblPrEx>
          <w:tblBorders>
            <w:top w:val="single" w:color="E9AD1D" w:sz="4" w:space="0"/>
            <w:left w:val="single" w:color="E9AD1D" w:sz="4" w:space="0"/>
            <w:bottom w:val="single" w:color="E9AD1D" w:sz="4" w:space="0"/>
            <w:right w:val="single" w:color="E9AD1D" w:sz="4" w:space="0"/>
            <w:insideH w:val="single" w:color="E9AD1D" w:sz="4" w:space="0"/>
            <w:insideV w:val="single" w:color="E9AD1D" w:sz="4" w:space="0"/>
          </w:tblBorders>
          <w:tblCellMar>
            <w:top w:w="0" w:type="dxa"/>
            <w:left w:w="108" w:type="dxa"/>
            <w:bottom w:w="0" w:type="dxa"/>
            <w:right w:w="108" w:type="dxa"/>
          </w:tblCellMar>
        </w:tblPrEx>
        <w:trPr>
          <w:trHeight w:val="386" w:hRule="atLeast"/>
          <w:jc w:val="center"/>
        </w:trPr>
        <w:tc>
          <w:tcPr>
            <w:tcW w:w="453" w:type="pct"/>
            <w:tcBorders>
              <w:tl2br w:val="nil"/>
              <w:tr2bl w:val="nil"/>
            </w:tcBorders>
            <w:shd w:val="clear" w:color="auto" w:fill="FBF1D7"/>
            <w:vAlign w:val="center"/>
          </w:tcPr>
          <w:p>
            <w:pPr>
              <w:numPr>
                <w:ilvl w:val="0"/>
                <w:numId w:val="3"/>
              </w:numPr>
              <w:spacing w:line="360" w:lineRule="auto"/>
              <w:ind w:left="391" w:hanging="312"/>
              <w:jc w:val="center"/>
              <w:rPr>
                <w:rFonts w:ascii="仿宋" w:hAnsi="仿宋" w:eastAsia="仿宋" w:cs="仿宋"/>
                <w:color w:val="auto"/>
                <w:sz w:val="24"/>
                <w:highlight w:val="none"/>
              </w:rPr>
            </w:pPr>
          </w:p>
        </w:tc>
        <w:tc>
          <w:tcPr>
            <w:tcW w:w="1004" w:type="pct"/>
            <w:tcBorders>
              <w:tl2br w:val="nil"/>
              <w:tr2bl w:val="nil"/>
            </w:tcBorders>
            <w:shd w:val="clear" w:color="auto" w:fill="FBF1D7"/>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维保服务</w:t>
            </w:r>
          </w:p>
        </w:tc>
        <w:tc>
          <w:tcPr>
            <w:tcW w:w="3104" w:type="pct"/>
            <w:tcBorders>
              <w:tl2br w:val="nil"/>
              <w:tr2bl w:val="nil"/>
            </w:tcBorders>
            <w:shd w:val="clear" w:color="auto" w:fill="FBF1D7"/>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1、为原有的雷乐士牌UPS主机、灯塔牌胶体蓄电池及本次新增UPS蓄电池提供为期1年的维保服务。</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为保证法院系统安全，中标单位维保人员必须持证上岗，在签订合同前</w:t>
            </w:r>
            <w:r>
              <w:rPr>
                <w:rFonts w:hint="eastAsia" w:ascii="仿宋" w:hAnsi="仿宋" w:eastAsia="仿宋" w:cs="仿宋"/>
                <w:bCs/>
                <w:color w:val="auto"/>
                <w:sz w:val="24"/>
                <w:highlight w:val="none"/>
              </w:rPr>
              <w:t>提供</w:t>
            </w:r>
            <w:r>
              <w:rPr>
                <w:rFonts w:hint="eastAsia" w:ascii="仿宋" w:hAnsi="仿宋" w:eastAsia="仿宋" w:cs="仿宋"/>
                <w:color w:val="auto"/>
                <w:sz w:val="24"/>
                <w:highlight w:val="none"/>
              </w:rPr>
              <w:t>雷乐士UPS主机</w:t>
            </w:r>
            <w:r>
              <w:rPr>
                <w:rFonts w:hint="eastAsia" w:ascii="仿宋" w:hAnsi="仿宋" w:eastAsia="仿宋" w:cs="仿宋"/>
                <w:bCs/>
                <w:color w:val="auto"/>
                <w:sz w:val="24"/>
                <w:highlight w:val="none"/>
              </w:rPr>
              <w:t>认证工程师</w:t>
            </w:r>
            <w:r>
              <w:rPr>
                <w:rFonts w:hint="eastAsia" w:ascii="仿宋" w:hAnsi="仿宋" w:eastAsia="仿宋" w:cs="仿宋"/>
                <w:color w:val="auto"/>
                <w:sz w:val="24"/>
                <w:highlight w:val="none"/>
              </w:rPr>
              <w:t>（原厂资格认证证书），否则采购人将取消其成交资格并将合同授予排序在成交供应商之后的第一位成交候选供应商。</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为保证法院系统安全，中标单位维保人员必须持证上岗，在签订合同前</w:t>
            </w:r>
            <w:r>
              <w:rPr>
                <w:rFonts w:hint="eastAsia" w:ascii="仿宋" w:hAnsi="仿宋" w:eastAsia="仿宋" w:cs="仿宋"/>
                <w:bCs/>
                <w:color w:val="auto"/>
                <w:sz w:val="24"/>
                <w:highlight w:val="none"/>
              </w:rPr>
              <w:t>提供位卧龙</w:t>
            </w:r>
            <w:r>
              <w:rPr>
                <w:rFonts w:hint="eastAsia" w:ascii="仿宋" w:hAnsi="仿宋" w:eastAsia="仿宋" w:cs="仿宋"/>
                <w:color w:val="auto"/>
                <w:sz w:val="24"/>
                <w:highlight w:val="none"/>
              </w:rPr>
              <w:t>灯塔蓄电池</w:t>
            </w:r>
            <w:r>
              <w:rPr>
                <w:rFonts w:hint="eastAsia" w:ascii="仿宋" w:hAnsi="仿宋" w:eastAsia="仿宋" w:cs="仿宋"/>
                <w:bCs/>
                <w:color w:val="auto"/>
                <w:sz w:val="24"/>
                <w:highlight w:val="none"/>
              </w:rPr>
              <w:t>认证工程师</w:t>
            </w:r>
            <w:r>
              <w:rPr>
                <w:rFonts w:hint="eastAsia" w:ascii="仿宋" w:hAnsi="仿宋" w:eastAsia="仿宋" w:cs="仿宋"/>
                <w:color w:val="auto"/>
                <w:sz w:val="24"/>
                <w:highlight w:val="none"/>
              </w:rPr>
              <w:t>（原厂资格认证证书），否则采购人将取消其成交资格并将合同授予排序在成交供应商之后的第一位成交候选供应商。</w:t>
            </w:r>
            <w:r>
              <w:rPr>
                <w:rFonts w:hint="eastAsia" w:ascii="仿宋" w:hAnsi="仿宋" w:eastAsia="仿宋" w:cs="仿宋"/>
                <w:bCs/>
                <w:color w:val="auto"/>
                <w:sz w:val="24"/>
                <w:highlight w:val="none"/>
              </w:rPr>
              <w:t>。</w:t>
            </w:r>
          </w:p>
        </w:tc>
        <w:tc>
          <w:tcPr>
            <w:tcW w:w="439" w:type="pct"/>
            <w:tcBorders>
              <w:tl2br w:val="nil"/>
              <w:tr2bl w:val="nil"/>
            </w:tcBorders>
            <w:shd w:val="clear" w:color="auto" w:fill="FBF1D7"/>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3套</w:t>
            </w:r>
          </w:p>
        </w:tc>
      </w:tr>
    </w:tbl>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bCs/>
          <w:color w:val="auto"/>
          <w:sz w:val="24"/>
          <w:highlight w:val="none"/>
        </w:rPr>
        <w:t>服务要求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1、各个UPS主机及蓄电池配套设备运行情况纳入中标服务方维护，中标服务方对采购人各个UPS主机及蓄电池配套设备故障进行及时反馈，确保设备正常运行。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2、中标人每年对采购人各个UPS主机及蓄电池配套设备进行不少于4次的维护巡检，</w:t>
      </w:r>
      <w:r>
        <w:rPr>
          <w:rFonts w:hint="eastAsia" w:ascii="仿宋" w:hAnsi="仿宋" w:eastAsia="仿宋" w:cs="仿宋"/>
          <w:color w:val="auto"/>
          <w:sz w:val="24"/>
          <w:highlight w:val="none"/>
        </w:rPr>
        <w:t>按要求免费更换配件及容量不足50%或有漏液风险的电池。</w:t>
      </w:r>
      <w:r>
        <w:rPr>
          <w:rFonts w:hint="eastAsia" w:ascii="仿宋" w:hAnsi="仿宋" w:eastAsia="仿宋" w:cs="仿宋"/>
          <w:color w:val="auto"/>
          <w:sz w:val="24"/>
          <w:highlight w:val="none"/>
        </w:rPr>
        <w:t>每次维护巡检内容包括机房环境进行例行性检查（含机房、空调、照明设施检查，发现问题及时反馈业主）和UPS电源系统设备的状态及性能进行检查，对发现的问题及隐患及时进行处理，确保设备运行稳定、安全，并达到设备延寿的效果，同时定期出具维护检测报告；日常维护的主要内容如下表：</w:t>
      </w:r>
    </w:p>
    <w:p>
      <w:pPr>
        <w:spacing w:line="360" w:lineRule="auto"/>
        <w:jc w:val="left"/>
        <w:rPr>
          <w:rFonts w:ascii="仿宋" w:hAnsi="仿宋" w:eastAsia="仿宋" w:cs="仿宋"/>
          <w:b/>
          <w:bCs/>
          <w:color w:val="auto"/>
          <w:sz w:val="24"/>
          <w:highlight w:val="none"/>
        </w:rPr>
      </w:pPr>
    </w:p>
    <w:tbl>
      <w:tblPr>
        <w:tblStyle w:val="6"/>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6"/>
        <w:gridCol w:w="71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825"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维护对象</w:t>
            </w:r>
          </w:p>
        </w:tc>
        <w:tc>
          <w:tcPr>
            <w:tcW w:w="4174"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作业项目要求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蓄电池</w:t>
            </w: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1、电池壳体无变形、破裂、漏酸等异常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2、极柱、连接条无氧化腐蚀，紧固无松动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3、内阻/电导/单体电压测试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4、理论计算后备时间是否满足要求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5、远端检查电池各电芯电压、容量、电池及环境温度。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6、核对性放电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7、容量测试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UPS</w:t>
            </w: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1、散热风口及滤网清洁，风扇无异常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2、系统负载率正常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3、各种自动、告警和保护功能均正常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4、输出电压显示值与实际值误差不超过5%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5" w:type="pct"/>
            <w:vMerge w:val="continue"/>
            <w:vAlign w:val="center"/>
          </w:tcPr>
          <w:p>
            <w:pPr>
              <w:spacing w:line="360" w:lineRule="auto"/>
              <w:rPr>
                <w:rFonts w:ascii="仿宋" w:hAnsi="仿宋" w:eastAsia="仿宋" w:cs="仿宋"/>
                <w:color w:val="auto"/>
                <w:sz w:val="24"/>
                <w:highlight w:val="none"/>
              </w:rPr>
            </w:pPr>
          </w:p>
        </w:tc>
        <w:tc>
          <w:tcPr>
            <w:tcW w:w="4174"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2、检查照明设施是否正常工作</w:t>
            </w:r>
          </w:p>
        </w:tc>
      </w:tr>
    </w:tbl>
    <w:p>
      <w:pPr>
        <w:rPr>
          <w:rFonts w:ascii="仿宋" w:hAnsi="仿宋" w:eastAsia="仿宋" w:cs="仿宋"/>
          <w:color w:val="auto"/>
          <w:sz w:val="24"/>
          <w:highlight w:val="none"/>
        </w:rPr>
      </w:pPr>
    </w:p>
    <w:p>
      <w:pPr>
        <w:spacing w:line="360" w:lineRule="auto"/>
        <w:rPr>
          <w:rFonts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其他硬件设备维保</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采购内容及要求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（一）维保设备清单</w:t>
      </w:r>
    </w:p>
    <w:p>
      <w:pPr>
        <w:widowControl/>
        <w:ind w:firstLine="482" w:firstLineChars="200"/>
        <w:rPr>
          <w:rFonts w:ascii="仿宋" w:hAnsi="仿宋" w:eastAsia="仿宋" w:cs="仿宋"/>
          <w:b/>
          <w:bCs/>
          <w:color w:val="auto"/>
          <w:kern w:val="0"/>
          <w:sz w:val="24"/>
          <w:highlight w:val="none"/>
          <w:lang w:bidi="ar"/>
        </w:rPr>
      </w:pPr>
      <w:r>
        <w:rPr>
          <w:rFonts w:hint="eastAsia" w:ascii="仿宋" w:hAnsi="仿宋" w:eastAsia="仿宋" w:cs="仿宋"/>
          <w:b/>
          <w:bCs/>
          <w:color w:val="auto"/>
          <w:sz w:val="24"/>
          <w:highlight w:val="none"/>
        </w:rPr>
        <w:t>1.中心机房核心设备维保</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3408"/>
        <w:gridCol w:w="1030"/>
        <w:gridCol w:w="1507"/>
        <w:gridCol w:w="78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68" w:type="pct"/>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序号</w:t>
            </w:r>
          </w:p>
        </w:tc>
        <w:tc>
          <w:tcPr>
            <w:tcW w:w="2007" w:type="pct"/>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服务设备名称</w:t>
            </w:r>
          </w:p>
        </w:tc>
        <w:tc>
          <w:tcPr>
            <w:tcW w:w="612" w:type="pct"/>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数量</w:t>
            </w:r>
          </w:p>
        </w:tc>
        <w:tc>
          <w:tcPr>
            <w:tcW w:w="892" w:type="pct"/>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用途</w:t>
            </w:r>
          </w:p>
        </w:tc>
        <w:tc>
          <w:tcPr>
            <w:tcW w:w="466" w:type="pct"/>
            <w:tcBorders>
              <w:top w:val="single" w:color="auto" w:sz="4" w:space="0"/>
              <w:left w:val="nil"/>
              <w:bottom w:val="single" w:color="auto" w:sz="4" w:space="0"/>
              <w:right w:val="single" w:color="auto" w:sz="4" w:space="0"/>
            </w:tcBorders>
            <w:shd w:val="clear" w:color="auto" w:fill="A5A5A5"/>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采购</w:t>
            </w:r>
          </w:p>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时间</w:t>
            </w:r>
          </w:p>
        </w:tc>
        <w:tc>
          <w:tcPr>
            <w:tcW w:w="653" w:type="pct"/>
            <w:tcBorders>
              <w:top w:val="single" w:color="auto" w:sz="4" w:space="0"/>
              <w:left w:val="nil"/>
              <w:bottom w:val="single" w:color="auto" w:sz="4" w:space="0"/>
              <w:right w:val="single" w:color="auto" w:sz="4" w:space="0"/>
            </w:tcBorders>
            <w:shd w:val="clear" w:color="auto" w:fill="A5A5A5"/>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存储网关RORKE 栢科 vdr7300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存储异构容灾</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核心数据库阵列存储Dell copellent sc8000双机头、SC220扩展柜*3</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核心数据存储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bidi="ar"/>
              </w:rPr>
              <w:t>原厂维保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存储光交机Brocade 300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核心存储光交</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虚拟化服务器Dell powerEdge R720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内网虚拟化</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虚拟化服务器Dell powerEdge R720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内网虚拟化</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容灾存储 栢科 RD650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存储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7</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容灾存储IBM V7000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存储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2013</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8</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HP 刀片服务器 BL460CG7</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7台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内网应用服务器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9</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HP 刀片服务器 BL460CGen8</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内网应用服务器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2012</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10</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HP 刀片服务器 BL680CG7</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内网应用服务器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11</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天地伟业1u服务器</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数字法庭服务器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12</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海康立方KVM</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网络KVM</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13</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机架服务器IBM system x3550 m4</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数字法庭服务器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14</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数字法庭存储 浙江瑞网广通</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数字法庭存储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bidi="ar"/>
              </w:rPr>
              <w:t>原厂维保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15</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视频会议 交换机H3C S5500-28C-EI</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视频会议</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16</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视频会议科达MCU</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视频会议</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17</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监控交换机 H3C S5800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监控交换机</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18</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监控服务器system x3550 m4</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19</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监控服务器Dell powerEdge R710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监控服务器Dell powerEdge R720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监控服务器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2013</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21</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机架服务器DELL R720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2013</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22</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机架服务器Thinkserver rd630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点对点数据库</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23</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机架服务器Thinkserver rd630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点对点应用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24</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机架服务器Thinkserver rd630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UIO外网</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25</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机架服务器 H3C UIS R390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门禁消费机</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26</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外网接入交换机 S5130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外网接入交换机</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外网核心交换机 S5130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外网核心交换机</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2021</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外网路由器MSR 36-40</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外网路由器</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联想网御</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外网防入侵</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天融信防火墙</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电子政务内网防火墙</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31</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市电配电柜</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 xml:space="preserve">1套 </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32</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UPS输出配电柜</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33</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列间精密空调CR035</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机房精密空调</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原厂维保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模块化UPS主机APM90-54KVA</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机房ups</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35</w:t>
            </w:r>
          </w:p>
        </w:tc>
        <w:tc>
          <w:tcPr>
            <w:tcW w:w="20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动力环境监控系统</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8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机房动力监控</w:t>
            </w:r>
          </w:p>
        </w:tc>
        <w:tc>
          <w:tcPr>
            <w:tcW w:w="4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4"/>
                <w:highlight w:val="none"/>
              </w:rPr>
            </w:pPr>
          </w:p>
        </w:tc>
      </w:tr>
    </w:tbl>
    <w:p>
      <w:pPr>
        <w:pStyle w:val="10"/>
        <w:spacing w:line="360" w:lineRule="auto"/>
        <w:ind w:left="360" w:firstLine="0" w:firstLineChars="0"/>
        <w:jc w:val="left"/>
        <w:rPr>
          <w:rFonts w:ascii="仿宋" w:hAnsi="仿宋" w:eastAsia="仿宋" w:cs="仿宋"/>
          <w:b/>
          <w:bCs/>
          <w:color w:val="auto"/>
          <w:sz w:val="24"/>
          <w:highlight w:val="none"/>
        </w:rPr>
      </w:pPr>
    </w:p>
    <w:p>
      <w:pPr>
        <w:widowControl/>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2.中心机房内专网安全维保设备</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618"/>
        <w:gridCol w:w="626"/>
        <w:gridCol w:w="2908"/>
        <w:gridCol w:w="69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 w:hRule="atLeast"/>
        </w:trPr>
        <w:tc>
          <w:tcPr>
            <w:tcW w:w="361" w:type="pct"/>
            <w:shd w:val="clear" w:color="auto" w:fill="auto"/>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序号</w:t>
            </w:r>
          </w:p>
        </w:tc>
        <w:tc>
          <w:tcPr>
            <w:tcW w:w="1611" w:type="pct"/>
            <w:shd w:val="clear" w:color="auto" w:fill="auto"/>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服务设备名称</w:t>
            </w:r>
          </w:p>
        </w:tc>
        <w:tc>
          <w:tcPr>
            <w:tcW w:w="442" w:type="pct"/>
            <w:shd w:val="clear" w:color="auto" w:fill="auto"/>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数量</w:t>
            </w:r>
          </w:p>
        </w:tc>
        <w:tc>
          <w:tcPr>
            <w:tcW w:w="1780" w:type="pct"/>
            <w:shd w:val="clear" w:color="auto" w:fill="auto"/>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用途</w:t>
            </w:r>
          </w:p>
        </w:tc>
        <w:tc>
          <w:tcPr>
            <w:tcW w:w="421" w:type="pct"/>
            <w:shd w:val="clear" w:color="auto" w:fill="auto"/>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采购</w:t>
            </w:r>
          </w:p>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时间</w:t>
            </w:r>
          </w:p>
        </w:tc>
        <w:tc>
          <w:tcPr>
            <w:tcW w:w="382" w:type="pct"/>
            <w:shd w:val="clear" w:color="auto" w:fill="auto"/>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1</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Style w:val="11"/>
                <w:rFonts w:hint="default" w:ascii="仿宋" w:hAnsi="仿宋" w:eastAsia="仿宋" w:cs="仿宋"/>
                <w:color w:val="auto"/>
                <w:highlight w:val="none"/>
                <w:lang w:bidi="ar"/>
              </w:rPr>
              <w:t>山石防火墙</w:t>
            </w:r>
            <w:r>
              <w:rPr>
                <w:rStyle w:val="12"/>
                <w:rFonts w:hint="eastAsia" w:ascii="仿宋" w:hAnsi="仿宋" w:eastAsia="仿宋" w:cs="仿宋"/>
                <w:color w:val="auto"/>
                <w:sz w:val="24"/>
                <w:szCs w:val="24"/>
                <w:highlight w:val="none"/>
                <w:lang w:bidi="ar"/>
              </w:rPr>
              <w:t>-</w:t>
            </w:r>
            <w:r>
              <w:rPr>
                <w:rStyle w:val="11"/>
                <w:rFonts w:hint="default" w:ascii="仿宋" w:hAnsi="仿宋" w:eastAsia="仿宋" w:cs="仿宋"/>
                <w:color w:val="auto"/>
                <w:highlight w:val="none"/>
                <w:lang w:bidi="ar"/>
              </w:rPr>
              <w:t>边界至</w:t>
            </w:r>
            <w:r>
              <w:rPr>
                <w:rStyle w:val="12"/>
                <w:rFonts w:hint="eastAsia" w:ascii="仿宋" w:hAnsi="仿宋" w:eastAsia="仿宋" w:cs="仿宋"/>
                <w:color w:val="auto"/>
                <w:sz w:val="24"/>
                <w:szCs w:val="24"/>
                <w:highlight w:val="none"/>
                <w:lang w:bidi="ar"/>
              </w:rPr>
              <w:t>C</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边界防护-数据链路</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2</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山石防火墙-边界至D</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边界防护-视频链路</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3</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山石防火墙-服务器前端</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服务器区域防护-双链路冗余</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4</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瑞星杀毒控制中心管理平台</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1套</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Window系统杀毒管理中心</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5</w:t>
            </w:r>
          </w:p>
        </w:tc>
        <w:tc>
          <w:tcPr>
            <w:tcW w:w="1611" w:type="pct"/>
            <w:shd w:val="clear" w:color="auto" w:fill="auto"/>
            <w:vAlign w:val="center"/>
          </w:tcPr>
          <w:p>
            <w:pPr>
              <w:widowControl/>
              <w:textAlignment w:val="bottom"/>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奇安信态势感知</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网络流量数据分析呈现</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6</w:t>
            </w:r>
          </w:p>
        </w:tc>
        <w:tc>
          <w:tcPr>
            <w:tcW w:w="1611" w:type="pct"/>
            <w:shd w:val="clear" w:color="auto" w:fill="auto"/>
            <w:vAlign w:val="center"/>
          </w:tcPr>
          <w:p>
            <w:pPr>
              <w:widowControl/>
              <w:textAlignment w:val="bottom"/>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奇安信态势感知-探针</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网络流量数据采集监控</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7</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瑞星防毒墙</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服务器区域防病毒，病毒溯源</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8</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日志审计</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重要设备日志记录</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9</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数据库审计</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重要设备数据库保护</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10</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云备姆异地备份</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异地备份重要服务器</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382" w:type="pct"/>
            <w:shd w:val="clear" w:color="auto" w:fill="auto"/>
            <w:noWrap/>
            <w:vAlign w:val="center"/>
          </w:tcPr>
          <w:p>
            <w:pPr>
              <w:widowControl/>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原厂</w:t>
            </w:r>
            <w:r>
              <w:rPr>
                <w:rFonts w:ascii="仿宋" w:hAnsi="仿宋" w:eastAsia="仿宋" w:cs="仿宋"/>
                <w:b/>
                <w:color w:val="auto"/>
                <w:kern w:val="0"/>
                <w:sz w:val="24"/>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11</w:t>
            </w:r>
          </w:p>
        </w:tc>
        <w:tc>
          <w:tcPr>
            <w:tcW w:w="1611" w:type="pct"/>
            <w:shd w:val="clear" w:color="auto" w:fill="auto"/>
            <w:vAlign w:val="center"/>
          </w:tcPr>
          <w:p>
            <w:pPr>
              <w:widowControl/>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绿盟漏洞扫描</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漏洞扫描</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2020</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12</w:t>
            </w:r>
          </w:p>
        </w:tc>
        <w:tc>
          <w:tcPr>
            <w:tcW w:w="1611" w:type="pct"/>
            <w:shd w:val="clear" w:color="auto" w:fill="auto"/>
            <w:vAlign w:val="center"/>
          </w:tcPr>
          <w:p>
            <w:pPr>
              <w:widowControl/>
              <w:textAlignment w:val="top"/>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360网神防火墙（防病毒模块）</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网络安全防护</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1" w:type="pct"/>
            <w:shd w:val="clear" w:color="auto" w:fill="auto"/>
            <w:vAlign w:val="center"/>
          </w:tcPr>
          <w:p>
            <w:pPr>
              <w:widowControl/>
              <w:jc w:val="center"/>
              <w:textAlignment w:val="top"/>
              <w:rPr>
                <w:rStyle w:val="11"/>
                <w:rFonts w:hint="default" w:ascii="仿宋" w:hAnsi="仿宋" w:eastAsia="仿宋" w:cs="仿宋"/>
                <w:color w:val="auto"/>
                <w:highlight w:val="none"/>
                <w:lang w:bidi="ar"/>
              </w:rPr>
            </w:pPr>
            <w:r>
              <w:rPr>
                <w:rStyle w:val="11"/>
                <w:rFonts w:hint="default" w:ascii="仿宋" w:hAnsi="仿宋" w:eastAsia="仿宋" w:cs="仿宋"/>
                <w:color w:val="auto"/>
                <w:highlight w:val="none"/>
                <w:lang w:bidi="ar"/>
              </w:rPr>
              <w:t>13</w:t>
            </w:r>
          </w:p>
        </w:tc>
        <w:tc>
          <w:tcPr>
            <w:tcW w:w="1611" w:type="pct"/>
            <w:shd w:val="clear" w:color="auto" w:fill="auto"/>
            <w:vAlign w:val="center"/>
          </w:tcPr>
          <w:p>
            <w:pPr>
              <w:widowControl/>
              <w:textAlignment w:val="top"/>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堡垒机</w:t>
            </w:r>
          </w:p>
        </w:tc>
        <w:tc>
          <w:tcPr>
            <w:tcW w:w="442" w:type="pct"/>
            <w:shd w:val="clear" w:color="auto" w:fill="auto"/>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1台</w:t>
            </w:r>
          </w:p>
        </w:tc>
        <w:tc>
          <w:tcPr>
            <w:tcW w:w="1780" w:type="pct"/>
            <w:shd w:val="clear" w:color="auto" w:fill="auto"/>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运维操作审批，追溯</w:t>
            </w:r>
          </w:p>
        </w:tc>
        <w:tc>
          <w:tcPr>
            <w:tcW w:w="421" w:type="pct"/>
            <w:shd w:val="clear" w:color="auto" w:fill="auto"/>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2018</w:t>
            </w:r>
          </w:p>
        </w:tc>
        <w:tc>
          <w:tcPr>
            <w:tcW w:w="382" w:type="pct"/>
            <w:shd w:val="clear" w:color="auto" w:fill="auto"/>
            <w:noWrap/>
            <w:vAlign w:val="center"/>
          </w:tcPr>
          <w:p>
            <w:pPr>
              <w:widowControl/>
              <w:jc w:val="center"/>
              <w:rPr>
                <w:rFonts w:ascii="仿宋" w:hAnsi="仿宋" w:eastAsia="仿宋" w:cs="仿宋"/>
                <w:color w:val="auto"/>
                <w:kern w:val="0"/>
                <w:sz w:val="24"/>
                <w:highlight w:val="none"/>
              </w:rPr>
            </w:pPr>
          </w:p>
        </w:tc>
      </w:tr>
    </w:tbl>
    <w:p>
      <w:pPr>
        <w:pStyle w:val="10"/>
        <w:spacing w:line="360" w:lineRule="auto"/>
        <w:ind w:left="360" w:firstLine="0" w:firstLineChars="0"/>
        <w:jc w:val="left"/>
        <w:rPr>
          <w:rFonts w:ascii="仿宋" w:hAnsi="仿宋" w:eastAsia="仿宋" w:cs="仿宋"/>
          <w:b/>
          <w:bCs/>
          <w:color w:val="auto"/>
          <w:sz w:val="24"/>
          <w:highlight w:val="none"/>
        </w:rPr>
      </w:pPr>
    </w:p>
    <w:p>
      <w:pPr>
        <w:pStyle w:val="10"/>
        <w:spacing w:line="360" w:lineRule="auto"/>
        <w:ind w:left="360" w:firstLine="0" w:firstLineChars="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rPr>
        <w:t>本院1-12楼弱电井道内维保设备</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779"/>
        <w:gridCol w:w="820"/>
        <w:gridCol w:w="2396"/>
        <w:gridCol w:w="101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序号</w:t>
            </w:r>
          </w:p>
        </w:tc>
        <w:tc>
          <w:tcPr>
            <w:tcW w:w="1630" w:type="pct"/>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交换机名称</w:t>
            </w:r>
          </w:p>
        </w:tc>
        <w:tc>
          <w:tcPr>
            <w:tcW w:w="481" w:type="pct"/>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数量</w:t>
            </w:r>
          </w:p>
        </w:tc>
        <w:tc>
          <w:tcPr>
            <w:tcW w:w="1405" w:type="pct"/>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用途</w:t>
            </w:r>
          </w:p>
        </w:tc>
        <w:tc>
          <w:tcPr>
            <w:tcW w:w="595" w:type="pct"/>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采购</w:t>
            </w:r>
          </w:p>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时间</w:t>
            </w:r>
          </w:p>
        </w:tc>
        <w:tc>
          <w:tcPr>
            <w:tcW w:w="456" w:type="pct"/>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1楼海康监控交换机</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监控楼层交换机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2022</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1楼s5024</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2016</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1楼s5120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2016</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2楼法庭业务交换机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2楼锐捷交换机</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2楼法庭业务交换机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2010</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2楼s1016</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2楼法庭业务交换机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2010</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2楼法庭业务交换机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2楼法庭业务交换机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2楼s5024</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2楼法庭业务交换机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2016</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3楼s5024</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监控楼层交换机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3楼海康监控交换机</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监控楼层交换机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2022</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10楼s5130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2019</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12楼s5024</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2016</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12楼s5120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2016</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12楼s5110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2015</w:t>
            </w:r>
          </w:p>
        </w:tc>
        <w:tc>
          <w:tcPr>
            <w:tcW w:w="456" w:type="pct"/>
          </w:tcPr>
          <w:p>
            <w:pP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w:t>
            </w:r>
          </w:p>
        </w:tc>
        <w:tc>
          <w:tcPr>
            <w:tcW w:w="1630" w:type="pct"/>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12楼s3100</w:t>
            </w:r>
          </w:p>
        </w:tc>
        <w:tc>
          <w:tcPr>
            <w:tcW w:w="481"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405" w:type="pct"/>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外网楼层交换机</w:t>
            </w:r>
          </w:p>
        </w:tc>
        <w:tc>
          <w:tcPr>
            <w:tcW w:w="595" w:type="pct"/>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2013</w:t>
            </w:r>
          </w:p>
        </w:tc>
        <w:tc>
          <w:tcPr>
            <w:tcW w:w="456" w:type="pct"/>
          </w:tcPr>
          <w:p>
            <w:pPr>
              <w:rPr>
                <w:rFonts w:ascii="仿宋" w:hAnsi="仿宋" w:eastAsia="仿宋" w:cs="仿宋"/>
                <w:color w:val="auto"/>
                <w:kern w:val="0"/>
                <w:sz w:val="24"/>
                <w:highlight w:val="none"/>
              </w:rPr>
            </w:pPr>
          </w:p>
        </w:tc>
      </w:tr>
    </w:tbl>
    <w:p>
      <w:pPr>
        <w:pStyle w:val="10"/>
        <w:spacing w:line="360" w:lineRule="auto"/>
        <w:ind w:left="360" w:firstLine="0" w:firstLineChars="0"/>
        <w:jc w:val="left"/>
        <w:rPr>
          <w:rFonts w:ascii="仿宋" w:hAnsi="仿宋" w:eastAsia="仿宋" w:cs="仿宋"/>
          <w:b/>
          <w:bCs/>
          <w:color w:val="auto"/>
          <w:sz w:val="24"/>
          <w:highlight w:val="none"/>
        </w:rPr>
      </w:pPr>
    </w:p>
    <w:p>
      <w:pPr>
        <w:pStyle w:val="10"/>
        <w:spacing w:line="360" w:lineRule="auto"/>
        <w:ind w:left="360" w:firstLine="0" w:firstLineChars="0"/>
        <w:jc w:val="left"/>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4.安防设备</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252"/>
        <w:gridCol w:w="856"/>
        <w:gridCol w:w="1625"/>
        <w:gridCol w:w="138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3" w:type="pct"/>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序号</w:t>
            </w:r>
          </w:p>
        </w:tc>
        <w:tc>
          <w:tcPr>
            <w:tcW w:w="1907" w:type="pct"/>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服务设备名称</w:t>
            </w:r>
          </w:p>
        </w:tc>
        <w:tc>
          <w:tcPr>
            <w:tcW w:w="502" w:type="pct"/>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数量</w:t>
            </w:r>
          </w:p>
        </w:tc>
        <w:tc>
          <w:tcPr>
            <w:tcW w:w="953" w:type="pct"/>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用途</w:t>
            </w:r>
          </w:p>
        </w:tc>
        <w:tc>
          <w:tcPr>
            <w:tcW w:w="814" w:type="pct"/>
            <w:tcBorders>
              <w:top w:val="single" w:color="auto" w:sz="4" w:space="0"/>
              <w:left w:val="nil"/>
              <w:bottom w:val="single" w:color="auto" w:sz="4" w:space="0"/>
              <w:right w:val="single" w:color="auto" w:sz="4" w:space="0"/>
            </w:tcBorders>
            <w:shd w:val="clear" w:color="auto" w:fill="A5A5A5"/>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采购</w:t>
            </w:r>
          </w:p>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时间</w:t>
            </w:r>
          </w:p>
        </w:tc>
        <w:tc>
          <w:tcPr>
            <w:tcW w:w="427" w:type="pct"/>
            <w:tcBorders>
              <w:top w:val="single" w:color="auto" w:sz="4" w:space="0"/>
              <w:left w:val="nil"/>
              <w:bottom w:val="single" w:color="auto" w:sz="4" w:space="0"/>
              <w:right w:val="single" w:color="auto" w:sz="4" w:space="0"/>
            </w:tcBorders>
            <w:shd w:val="clear" w:color="auto" w:fill="A5A5A5"/>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云台球机</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10台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大楼室外</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2014-2015</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高清网络枪机、高清网络半球</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262台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大楼室内外</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2014-2016</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海康威视拼接屏</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29块</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大楼19块辅楼10块</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2014-2016</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视频综合平台海康威视DS-B11-S05-A含高清解码板DS-6532D-B11EH*2</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大楼监控中心用</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海康磁盘阵列DS-A8106S</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7套</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大楼监控存储</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w:t>
            </w:r>
          </w:p>
        </w:tc>
        <w:tc>
          <w:tcPr>
            <w:tcW w:w="1907" w:type="pct"/>
            <w:tcBorders>
              <w:top w:val="single" w:color="auto" w:sz="4" w:space="0"/>
              <w:left w:val="nil"/>
              <w:bottom w:val="single" w:color="auto" w:sz="4" w:space="0"/>
              <w:right w:val="single" w:color="auto" w:sz="4" w:space="0"/>
            </w:tcBorders>
            <w:vAlign w:val="center"/>
          </w:tcPr>
          <w:p>
            <w:pPr>
              <w:snapToGrid w:val="0"/>
              <w:spacing w:line="324"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海康威视磁盘阵列DS-A71024R</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1套</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诉讼服务中心</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7</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DS-6412HD-T</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机房大屏拼控</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8</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海康DS-C10S</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辅楼大厅拼控设备</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9</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磁盘阵列DS8616N</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辅楼视频监控</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2015</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10</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海康硬盘录像机DS-8032</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二楼拘押室</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11</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海康威视硬盘录像机DS-9616N-ST</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1楼监控室</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2014</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12</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海康B20平台</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1台</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执行指挥中心</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2016</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13</w:t>
            </w:r>
          </w:p>
        </w:tc>
        <w:tc>
          <w:tcPr>
            <w:tcW w:w="1907"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消控室监控大屏</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1套</w:t>
            </w:r>
          </w:p>
        </w:tc>
        <w:tc>
          <w:tcPr>
            <w:tcW w:w="95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监控值守</w:t>
            </w:r>
          </w:p>
        </w:tc>
        <w:tc>
          <w:tcPr>
            <w:tcW w:w="8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2013</w:t>
            </w:r>
          </w:p>
        </w:tc>
        <w:tc>
          <w:tcPr>
            <w:tcW w:w="4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p>
        </w:tc>
      </w:tr>
    </w:tbl>
    <w:p>
      <w:pPr>
        <w:spacing w:line="360" w:lineRule="auto"/>
        <w:jc w:val="left"/>
        <w:rPr>
          <w:rFonts w:ascii="仿宋" w:hAnsi="仿宋" w:eastAsia="仿宋" w:cs="仿宋"/>
          <w:b/>
          <w:bCs/>
          <w:color w:val="auto"/>
          <w:sz w:val="24"/>
          <w:highlight w:val="none"/>
        </w:rPr>
      </w:pPr>
    </w:p>
    <w:p>
      <w:pPr>
        <w:pStyle w:val="10"/>
        <w:spacing w:line="360" w:lineRule="auto"/>
        <w:ind w:left="360" w:firstLine="0" w:firstLineChars="0"/>
        <w:jc w:val="left"/>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bidi="ar"/>
        </w:rPr>
        <w:t>音频设备</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14"/>
        <w:gridCol w:w="1848"/>
        <w:gridCol w:w="2314"/>
        <w:gridCol w:w="6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序号</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名称</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品牌</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型号</w:t>
            </w:r>
          </w:p>
        </w:tc>
        <w:tc>
          <w:tcPr>
            <w:tcW w:w="618"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数量</w:t>
            </w:r>
          </w:p>
        </w:tc>
        <w:tc>
          <w:tcPr>
            <w:tcW w:w="416"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noWrap/>
            <w:vAlign w:val="center"/>
          </w:tcPr>
          <w:p>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大法庭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调音台</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SOUNDCRAFT</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SIGNAFURE22</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话筒管理器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SHURE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SCM820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话筒处理器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LAX</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DK4.1P</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音频处理器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SABINE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DIR-480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线性阵列主扬声器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JBL</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VRX928LA</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线性阵列主超低音</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JBL</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VRX915S</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舞台返听音箱</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JBL</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SRX712</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台唇音箱</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JBL</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SRX712</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线性阵列主功放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CROWN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XLI4002</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线性阵列主低音功放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CROWN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XLI3500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返听音箱功放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CROWN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XLI3500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12</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台唇音箱功放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CROWN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XLI3500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13</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鹅颈会议话筒</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797</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CR9619</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无线话筒</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SHURE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BLX4/PGX58</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15</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无线话筒</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SHURE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BLX4/PGX2</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16</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时序电源</w:t>
            </w:r>
          </w:p>
        </w:tc>
        <w:tc>
          <w:tcPr>
            <w:tcW w:w="953" w:type="pct"/>
            <w:noWrap/>
            <w:vAlign w:val="center"/>
          </w:tcPr>
          <w:p>
            <w:pPr>
              <w:widowControl/>
              <w:jc w:val="left"/>
              <w:rPr>
                <w:rFonts w:ascii="仿宋" w:hAnsi="仿宋" w:eastAsia="仿宋" w:cs="仿宋"/>
                <w:color w:val="auto"/>
                <w:kern w:val="0"/>
                <w:sz w:val="24"/>
                <w:highlight w:val="none"/>
                <w:lang w:bidi="ar"/>
              </w:rPr>
            </w:pPr>
          </w:p>
        </w:tc>
        <w:tc>
          <w:tcPr>
            <w:tcW w:w="1092" w:type="pct"/>
            <w:noWrap/>
            <w:vAlign w:val="center"/>
          </w:tcPr>
          <w:p>
            <w:pPr>
              <w:widowControl/>
              <w:jc w:val="left"/>
              <w:rPr>
                <w:rFonts w:ascii="仿宋" w:hAnsi="仿宋" w:eastAsia="仿宋" w:cs="仿宋"/>
                <w:color w:val="auto"/>
                <w:kern w:val="0"/>
                <w:sz w:val="24"/>
                <w:highlight w:val="none"/>
                <w:lang w:bidi="ar"/>
              </w:rPr>
            </w:pP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noWrap/>
            <w:vAlign w:val="center"/>
          </w:tcPr>
          <w:p>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10楼会议室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调音台</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SOUNDCRAFT</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MPM</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GEXN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RA2400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GEXN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LA4450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吸顶音箱</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BOSE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DS100F</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数字音频处理器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MARS1608AEC</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鹅颈会议话筒</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AUDIO-TECHNICA</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PRO91Q</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16</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时序电源</w:t>
            </w:r>
          </w:p>
        </w:tc>
        <w:tc>
          <w:tcPr>
            <w:tcW w:w="953" w:type="pct"/>
            <w:noWrap/>
            <w:vAlign w:val="center"/>
          </w:tcPr>
          <w:p>
            <w:pPr>
              <w:widowControl/>
              <w:jc w:val="left"/>
              <w:rPr>
                <w:rFonts w:ascii="仿宋" w:hAnsi="仿宋" w:eastAsia="仿宋" w:cs="仿宋"/>
                <w:color w:val="auto"/>
                <w:kern w:val="0"/>
                <w:sz w:val="24"/>
                <w:highlight w:val="none"/>
                <w:lang w:bidi="ar"/>
              </w:rPr>
            </w:pPr>
          </w:p>
        </w:tc>
        <w:tc>
          <w:tcPr>
            <w:tcW w:w="1092" w:type="pct"/>
            <w:noWrap/>
            <w:vAlign w:val="center"/>
          </w:tcPr>
          <w:p>
            <w:pPr>
              <w:widowControl/>
              <w:jc w:val="left"/>
              <w:rPr>
                <w:rFonts w:ascii="仿宋" w:hAnsi="仿宋" w:eastAsia="仿宋" w:cs="仿宋"/>
                <w:color w:val="auto"/>
                <w:kern w:val="0"/>
                <w:sz w:val="24"/>
                <w:highlight w:val="none"/>
                <w:lang w:bidi="ar"/>
              </w:rPr>
            </w:pP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noWrap/>
            <w:vAlign w:val="center"/>
          </w:tcPr>
          <w:p>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11楼会议室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调音台</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SOUNDCRAFT</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LEXICON</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GEXN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FP4450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音箱</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BOSE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Panaray 302 A</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数字音频处理器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MARS1608AEC</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鹅颈会议话筒</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AUDIO-TECHNICA</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PRO91Q</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时序电源</w:t>
            </w:r>
          </w:p>
        </w:tc>
        <w:tc>
          <w:tcPr>
            <w:tcW w:w="953" w:type="pct"/>
            <w:noWrap/>
            <w:vAlign w:val="center"/>
          </w:tcPr>
          <w:p>
            <w:pPr>
              <w:widowControl/>
              <w:jc w:val="left"/>
              <w:rPr>
                <w:rFonts w:ascii="仿宋" w:hAnsi="仿宋" w:eastAsia="仿宋" w:cs="仿宋"/>
                <w:color w:val="auto"/>
                <w:kern w:val="0"/>
                <w:sz w:val="24"/>
                <w:highlight w:val="none"/>
                <w:lang w:bidi="ar"/>
              </w:rPr>
            </w:pPr>
          </w:p>
        </w:tc>
        <w:tc>
          <w:tcPr>
            <w:tcW w:w="1092" w:type="pct"/>
            <w:noWrap/>
            <w:vAlign w:val="center"/>
          </w:tcPr>
          <w:p>
            <w:pPr>
              <w:widowControl/>
              <w:jc w:val="left"/>
              <w:rPr>
                <w:rFonts w:ascii="仿宋" w:hAnsi="仿宋" w:eastAsia="仿宋" w:cs="仿宋"/>
                <w:color w:val="auto"/>
                <w:kern w:val="0"/>
                <w:sz w:val="24"/>
                <w:highlight w:val="none"/>
                <w:lang w:bidi="ar"/>
              </w:rPr>
            </w:pP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noWrap/>
            <w:vAlign w:val="center"/>
          </w:tcPr>
          <w:p>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调音台</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SOUNDCRAFT</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MPM</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功放</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GEXN</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FP400</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音箱</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BOSE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Panaray 502 A</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音频信号处理器</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BOSE</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ControlSpace SP-24</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会议主机</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BOSCH</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DCN-CCUB</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会议单元</w:t>
            </w:r>
          </w:p>
        </w:tc>
        <w:tc>
          <w:tcPr>
            <w:tcW w:w="953"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BOSCH</w:t>
            </w:r>
          </w:p>
        </w:tc>
        <w:tc>
          <w:tcPr>
            <w:tcW w:w="1092"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DCN-MICS / L</w:t>
            </w:r>
          </w:p>
        </w:tc>
        <w:tc>
          <w:tcPr>
            <w:tcW w:w="618"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noWrap/>
            <w:vAlign w:val="center"/>
          </w:tcPr>
          <w:p>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4楼新建会议室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514" w:type="pct"/>
            <w:noWrap/>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调音台</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YAMAHA</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MGP16X</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主扩声（16*3.5）线源阵列音柱</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Shrike-16</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单18寸超低音音箱</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SW-118II</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主席台返送扬声器</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VS-8</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台唇扬声器</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VS-8</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四通道数字功放</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DA 1000.4</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八通道数字功放</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CA-8150II</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观众区域补声吸顶扬声器</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CS-6C</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会议鹅颈话筒</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Proalias</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ML48L</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会议鹅颈话筒底座</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Proalias</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B855</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真分集U段双手持无线话筒</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Proalias</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HM820L</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12</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无线话筒天线放大系统</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Proalias</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SKM21</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13</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数字网络音频处理器</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Mars 1616AEC</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数字网络音频处理器</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ENEWAVE</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Venus 808</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15</w:t>
            </w:r>
          </w:p>
        </w:tc>
        <w:tc>
          <w:tcPr>
            <w:tcW w:w="1514"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电源时序管理器</w:t>
            </w:r>
          </w:p>
        </w:tc>
        <w:tc>
          <w:tcPr>
            <w:tcW w:w="953"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Ctvcter</w:t>
            </w:r>
          </w:p>
        </w:tc>
        <w:tc>
          <w:tcPr>
            <w:tcW w:w="1092" w:type="pct"/>
            <w:vAlign w:val="center"/>
          </w:tcPr>
          <w:p>
            <w:pPr>
              <w:widowControl/>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RX160S</w:t>
            </w:r>
          </w:p>
        </w:tc>
        <w:tc>
          <w:tcPr>
            <w:tcW w:w="618" w:type="pct"/>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416" w:type="pct"/>
            <w:noWrap/>
            <w:vAlign w:val="center"/>
          </w:tcPr>
          <w:p>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r>
    </w:tbl>
    <w:p>
      <w:pPr>
        <w:pStyle w:val="10"/>
        <w:spacing w:line="360" w:lineRule="auto"/>
        <w:ind w:left="360" w:firstLine="0" w:firstLineChars="0"/>
        <w:jc w:val="left"/>
        <w:rPr>
          <w:rFonts w:ascii="仿宋" w:hAnsi="仿宋" w:eastAsia="仿宋" w:cs="仿宋"/>
          <w:b/>
          <w:bCs/>
          <w:color w:val="auto"/>
          <w:sz w:val="24"/>
          <w:highlight w:val="none"/>
        </w:rPr>
      </w:pPr>
    </w:p>
    <w:p>
      <w:pPr>
        <w:pStyle w:val="10"/>
        <w:spacing w:line="360" w:lineRule="auto"/>
        <w:ind w:left="360" w:firstLine="0" w:firstLineChars="0"/>
        <w:jc w:val="left"/>
        <w:rPr>
          <w:rFonts w:ascii="仿宋" w:hAnsi="仿宋" w:eastAsia="仿宋" w:cs="仿宋"/>
          <w:b/>
          <w:bCs/>
          <w:color w:val="auto"/>
          <w:sz w:val="24"/>
          <w:highlight w:val="none"/>
          <w:lang w:eastAsia="zh-Hans" w:bidi="ar"/>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eastAsia="zh-Hans" w:bidi="ar"/>
        </w:rPr>
        <w:t>数字法庭设备</w:t>
      </w:r>
    </w:p>
    <w:tbl>
      <w:tblPr>
        <w:tblStyle w:val="6"/>
        <w:tblW w:w="4998" w:type="pct"/>
        <w:tblInd w:w="0" w:type="dxa"/>
        <w:tblLayout w:type="autofit"/>
        <w:tblCellMar>
          <w:top w:w="0" w:type="dxa"/>
          <w:left w:w="0" w:type="dxa"/>
          <w:bottom w:w="0" w:type="dxa"/>
          <w:right w:w="0" w:type="dxa"/>
        </w:tblCellMar>
      </w:tblPr>
      <w:tblGrid>
        <w:gridCol w:w="797"/>
        <w:gridCol w:w="3656"/>
        <w:gridCol w:w="2170"/>
        <w:gridCol w:w="1029"/>
        <w:gridCol w:w="661"/>
      </w:tblGrid>
      <w:tr>
        <w:tblPrEx>
          <w:tblCellMar>
            <w:top w:w="0" w:type="dxa"/>
            <w:left w:w="0" w:type="dxa"/>
            <w:bottom w:w="0" w:type="dxa"/>
            <w:right w:w="0" w:type="dxa"/>
          </w:tblCellMar>
        </w:tblPrEx>
        <w:trPr>
          <w:trHeight w:val="499" w:hRule="atLeast"/>
        </w:trPr>
        <w:tc>
          <w:tcPr>
            <w:tcW w:w="50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Style w:val="13"/>
                <w:rFonts w:ascii="仿宋" w:hAnsi="仿宋" w:eastAsia="仿宋" w:cs="仿宋"/>
                <w:b/>
                <w:bCs/>
                <w:color w:val="auto"/>
                <w:kern w:val="0"/>
                <w:sz w:val="24"/>
                <w:highlight w:val="none"/>
              </w:rPr>
            </w:pPr>
            <w:r>
              <w:rPr>
                <w:rStyle w:val="13"/>
                <w:rFonts w:hint="eastAsia" w:ascii="仿宋" w:hAnsi="仿宋" w:eastAsia="仿宋" w:cs="仿宋"/>
                <w:b/>
                <w:bCs/>
                <w:color w:val="auto"/>
                <w:kern w:val="0"/>
                <w:sz w:val="24"/>
                <w:highlight w:val="none"/>
              </w:rPr>
              <w:t>序号</w:t>
            </w:r>
          </w:p>
        </w:tc>
        <w:tc>
          <w:tcPr>
            <w:tcW w:w="221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Style w:val="13"/>
                <w:rFonts w:ascii="仿宋" w:hAnsi="仿宋" w:eastAsia="仿宋" w:cs="仿宋"/>
                <w:b/>
                <w:bCs/>
                <w:color w:val="auto"/>
                <w:kern w:val="0"/>
                <w:sz w:val="24"/>
                <w:highlight w:val="none"/>
              </w:rPr>
            </w:pPr>
            <w:r>
              <w:rPr>
                <w:rStyle w:val="13"/>
                <w:rFonts w:hint="eastAsia" w:ascii="仿宋" w:hAnsi="仿宋" w:eastAsia="仿宋" w:cs="仿宋"/>
                <w:b/>
                <w:bCs/>
                <w:color w:val="auto"/>
                <w:kern w:val="0"/>
                <w:sz w:val="24"/>
                <w:highlight w:val="none"/>
              </w:rPr>
              <w:t>产品名称</w:t>
            </w:r>
          </w:p>
        </w:tc>
        <w:tc>
          <w:tcPr>
            <w:tcW w:w="121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Style w:val="13"/>
                <w:rFonts w:ascii="仿宋" w:hAnsi="仿宋" w:eastAsia="仿宋" w:cs="仿宋"/>
                <w:b/>
                <w:bCs/>
                <w:color w:val="auto"/>
                <w:kern w:val="0"/>
                <w:sz w:val="24"/>
                <w:highlight w:val="none"/>
              </w:rPr>
            </w:pPr>
            <w:r>
              <w:rPr>
                <w:rStyle w:val="13"/>
                <w:rFonts w:hint="eastAsia" w:ascii="仿宋" w:hAnsi="仿宋" w:eastAsia="仿宋" w:cs="仿宋"/>
                <w:b/>
                <w:bCs/>
                <w:color w:val="auto"/>
                <w:kern w:val="0"/>
                <w:sz w:val="24"/>
                <w:highlight w:val="none"/>
              </w:rPr>
              <w:t>品牌</w:t>
            </w:r>
          </w:p>
        </w:tc>
        <w:tc>
          <w:tcPr>
            <w:tcW w:w="6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Style w:val="13"/>
                <w:rFonts w:ascii="仿宋" w:hAnsi="仿宋" w:eastAsia="仿宋" w:cs="仿宋"/>
                <w:b/>
                <w:bCs/>
                <w:color w:val="auto"/>
                <w:kern w:val="0"/>
                <w:sz w:val="24"/>
                <w:highlight w:val="none"/>
              </w:rPr>
            </w:pPr>
            <w:r>
              <w:rPr>
                <w:rStyle w:val="13"/>
                <w:rFonts w:hint="eastAsia" w:ascii="仿宋" w:hAnsi="仿宋" w:eastAsia="仿宋" w:cs="仿宋"/>
                <w:b/>
                <w:bCs/>
                <w:color w:val="auto"/>
                <w:kern w:val="0"/>
                <w:sz w:val="24"/>
                <w:highlight w:val="none"/>
              </w:rPr>
              <w:t>数量</w:t>
            </w:r>
          </w:p>
        </w:tc>
        <w:tc>
          <w:tcPr>
            <w:tcW w:w="41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Style w:val="13"/>
                <w:rFonts w:ascii="仿宋" w:hAnsi="仿宋" w:eastAsia="仿宋" w:cs="仿宋"/>
                <w:b/>
                <w:bCs/>
                <w:color w:val="auto"/>
                <w:kern w:val="0"/>
                <w:sz w:val="24"/>
                <w:highlight w:val="none"/>
              </w:rPr>
            </w:pPr>
            <w:r>
              <w:rPr>
                <w:rStyle w:val="13"/>
                <w:rFonts w:hint="eastAsia" w:ascii="仿宋" w:hAnsi="仿宋" w:eastAsia="仿宋" w:cs="仿宋"/>
                <w:b/>
                <w:bCs/>
                <w:color w:val="auto"/>
                <w:kern w:val="0"/>
                <w:sz w:val="24"/>
                <w:highlight w:val="none"/>
              </w:rPr>
              <w:t>单位</w:t>
            </w:r>
          </w:p>
        </w:tc>
      </w:tr>
      <w:tr>
        <w:tblPrEx>
          <w:tblCellMar>
            <w:top w:w="0" w:type="dxa"/>
            <w:left w:w="0" w:type="dxa"/>
            <w:bottom w:w="0" w:type="dxa"/>
            <w:right w:w="0" w:type="dxa"/>
          </w:tblCellMar>
        </w:tblPrEx>
        <w:trPr>
          <w:trHeight w:val="499" w:hRule="atLeast"/>
        </w:trPr>
        <w:tc>
          <w:tcPr>
            <w:tcW w:w="501" w:type="pct"/>
            <w:tcBorders>
              <w:top w:val="single" w:color="auto" w:sz="4" w:space="0"/>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w:t>
            </w:r>
          </w:p>
        </w:tc>
        <w:tc>
          <w:tcPr>
            <w:tcW w:w="2219" w:type="pct"/>
            <w:tcBorders>
              <w:top w:val="single" w:color="auto" w:sz="4" w:space="0"/>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高清标准庭审主机</w:t>
            </w:r>
          </w:p>
        </w:tc>
        <w:tc>
          <w:tcPr>
            <w:tcW w:w="1218" w:type="pct"/>
            <w:tcBorders>
              <w:top w:val="single" w:color="auto" w:sz="4" w:space="0"/>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w:t>
            </w:r>
          </w:p>
        </w:tc>
        <w:tc>
          <w:tcPr>
            <w:tcW w:w="640" w:type="pct"/>
            <w:tcBorders>
              <w:top w:val="single" w:color="auto" w:sz="4" w:space="0"/>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10</w:t>
            </w:r>
          </w:p>
        </w:tc>
        <w:tc>
          <w:tcPr>
            <w:tcW w:w="419" w:type="pct"/>
            <w:tcBorders>
              <w:top w:val="single" w:color="auto" w:sz="4" w:space="0"/>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2</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数字法庭庭审软件</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12</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套</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3</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高清简约庭审主机</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4</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高清旋转摄像机</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天地伟业和其他品牌</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52</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5</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高保真麦克风</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宇若与LiQi</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123</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只</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6</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功率放大器</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雅马哈和迪士普</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7</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壁挂式音箱</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雅马哈和迪士普</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32</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8</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调音台</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雅马哈和其他品牌</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9</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智能音频处理器</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哲闻</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10</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混音器</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哲闻</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4</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11</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大法庭大屏及相关设备</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洲明</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套</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12</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电源时序开关</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凯图和其他品牌</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13</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8路录音主机</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天地伟业和南北联合</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14</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桌面型定向拾音器</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天地伟业和南北联合</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45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个</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15</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全向拾音器</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天地伟业和南北联合</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个</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16</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远程庭审终端</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科达</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r>
        <w:tblPrEx>
          <w:tblCellMar>
            <w:top w:w="0" w:type="dxa"/>
            <w:left w:w="0" w:type="dxa"/>
            <w:bottom w:w="0" w:type="dxa"/>
            <w:right w:w="0" w:type="dxa"/>
          </w:tblCellMar>
        </w:tblPrEx>
        <w:trPr>
          <w:trHeight w:val="499" w:hRule="atLeast"/>
        </w:trPr>
        <w:tc>
          <w:tcPr>
            <w:tcW w:w="501" w:type="pct"/>
            <w:tcBorders>
              <w:top w:val="nil"/>
              <w:left w:val="single" w:color="000000" w:sz="4" w:space="0"/>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17</w:t>
            </w:r>
          </w:p>
        </w:tc>
        <w:tc>
          <w:tcPr>
            <w:tcW w:w="2219" w:type="pct"/>
            <w:tcBorders>
              <w:top w:val="nil"/>
              <w:left w:val="nil"/>
              <w:bottom w:val="single" w:color="000000" w:sz="4" w:space="0"/>
              <w:right w:val="single" w:color="000000" w:sz="4" w:space="0"/>
            </w:tcBorders>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千兆交换机</w:t>
            </w:r>
          </w:p>
        </w:tc>
        <w:tc>
          <w:tcPr>
            <w:tcW w:w="1218" w:type="pct"/>
            <w:tcBorders>
              <w:top w:val="nil"/>
              <w:left w:val="nil"/>
              <w:bottom w:val="single" w:color="000000" w:sz="4" w:space="0"/>
              <w:right w:val="single" w:color="000000" w:sz="4" w:space="0"/>
            </w:tcBorders>
            <w:noWrap/>
            <w:vAlign w:val="center"/>
          </w:tcPr>
          <w:p>
            <w:pPr>
              <w:widowControl/>
              <w:snapToGrid w:val="0"/>
              <w:jc w:val="left"/>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华为</w:t>
            </w:r>
          </w:p>
        </w:tc>
        <w:tc>
          <w:tcPr>
            <w:tcW w:w="640"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15</w:t>
            </w:r>
          </w:p>
        </w:tc>
        <w:tc>
          <w:tcPr>
            <w:tcW w:w="419" w:type="pct"/>
            <w:tcBorders>
              <w:top w:val="nil"/>
              <w:left w:val="nil"/>
              <w:bottom w:val="single" w:color="000000" w:sz="4" w:space="0"/>
              <w:right w:val="single" w:color="000000" w:sz="4" w:space="0"/>
            </w:tcBorders>
            <w:noWrap/>
            <w:vAlign w:val="center"/>
          </w:tcPr>
          <w:p>
            <w:pPr>
              <w:widowControl/>
              <w:snapToGrid w:val="0"/>
              <w:jc w:val="center"/>
              <w:textAlignment w:val="baseline"/>
              <w:rPr>
                <w:rStyle w:val="13"/>
                <w:rFonts w:ascii="仿宋" w:hAnsi="仿宋" w:eastAsia="仿宋" w:cs="仿宋"/>
                <w:color w:val="auto"/>
                <w:kern w:val="0"/>
                <w:sz w:val="24"/>
                <w:highlight w:val="none"/>
              </w:rPr>
            </w:pPr>
            <w:r>
              <w:rPr>
                <w:rStyle w:val="13"/>
                <w:rFonts w:hint="eastAsia" w:ascii="仿宋" w:hAnsi="仿宋" w:eastAsia="仿宋" w:cs="仿宋"/>
                <w:color w:val="auto"/>
                <w:kern w:val="0"/>
                <w:sz w:val="24"/>
                <w:highlight w:val="none"/>
              </w:rPr>
              <w:t>台</w:t>
            </w:r>
          </w:p>
        </w:tc>
      </w:tr>
    </w:tbl>
    <w:p>
      <w:pPr>
        <w:pStyle w:val="10"/>
        <w:spacing w:line="360" w:lineRule="auto"/>
        <w:ind w:left="360" w:firstLine="0" w:firstLineChars="0"/>
        <w:jc w:val="left"/>
        <w:rPr>
          <w:rFonts w:ascii="仿宋" w:hAnsi="仿宋" w:eastAsia="仿宋" w:cs="仿宋"/>
          <w:b/>
          <w:bCs/>
          <w:color w:val="auto"/>
          <w:sz w:val="24"/>
          <w:highlight w:val="none"/>
        </w:rPr>
      </w:pP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（二）技术支持服务要求</w:t>
      </w:r>
    </w:p>
    <w:p>
      <w:pPr>
        <w:snapToGrid w:val="0"/>
        <w:spacing w:line="360" w:lineRule="auto"/>
        <w:ind w:firstLine="482" w:firstLineChars="200"/>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1.基础服务要求</w:t>
      </w:r>
    </w:p>
    <w:p>
      <w:pPr>
        <w:snapToGrid w:val="0"/>
        <w:spacing w:line="360" w:lineRule="auto"/>
        <w:ind w:firstLine="482" w:firstLineChars="200"/>
        <w:rPr>
          <w:rFonts w:ascii="仿宋" w:hAnsi="仿宋" w:eastAsia="仿宋" w:cs="仿宋"/>
          <w:b/>
          <w:bCs/>
          <w:color w:val="auto"/>
          <w:sz w:val="24"/>
          <w:highlight w:val="none"/>
          <w:shd w:val="clear" w:color="auto" w:fill="FFFFFF"/>
          <w:lang w:eastAsia="zh-Hans"/>
        </w:rPr>
      </w:pPr>
      <w:r>
        <w:rPr>
          <w:rFonts w:hint="eastAsia" w:ascii="仿宋" w:hAnsi="仿宋" w:eastAsia="仿宋" w:cs="仿宋"/>
          <w:b/>
          <w:bCs/>
          <w:color w:val="auto"/>
          <w:sz w:val="24"/>
          <w:highlight w:val="none"/>
          <w:shd w:val="clear" w:color="auto" w:fill="FFFFFF"/>
        </w:rPr>
        <w:t>1.1</w:t>
      </w:r>
      <w:r>
        <w:rPr>
          <w:rFonts w:hint="eastAsia" w:ascii="仿宋" w:hAnsi="仿宋" w:eastAsia="仿宋" w:cs="仿宋"/>
          <w:b/>
          <w:bCs/>
          <w:color w:val="auto"/>
          <w:sz w:val="24"/>
          <w:highlight w:val="none"/>
          <w:shd w:val="clear" w:color="auto" w:fill="FFFFFF"/>
          <w:lang w:eastAsia="zh-Hans"/>
        </w:rPr>
        <w:t>基础设施维护</w:t>
      </w:r>
    </w:p>
    <w:p>
      <w:pPr>
        <w:snapToGrid w:val="0"/>
        <w:spacing w:line="360" w:lineRule="auto"/>
        <w:ind w:firstLine="480" w:firstLineChars="200"/>
        <w:rPr>
          <w:rFonts w:ascii="仿宋" w:hAnsi="仿宋" w:eastAsia="仿宋" w:cs="仿宋"/>
          <w:color w:val="auto"/>
          <w:sz w:val="24"/>
          <w:highlight w:val="none"/>
          <w:shd w:val="clear" w:color="auto" w:fill="FFFFFF"/>
          <w:lang w:eastAsia="zh-Hans"/>
        </w:rPr>
      </w:pPr>
      <w:r>
        <w:rPr>
          <w:rFonts w:hint="eastAsia" w:ascii="仿宋" w:hAnsi="仿宋" w:eastAsia="仿宋" w:cs="仿宋"/>
          <w:color w:val="auto"/>
          <w:sz w:val="24"/>
          <w:highlight w:val="none"/>
          <w:shd w:val="clear" w:color="auto" w:fill="FFFFFF"/>
        </w:rPr>
        <w:t>1.1.1</w:t>
      </w:r>
      <w:r>
        <w:rPr>
          <w:rFonts w:hint="eastAsia" w:ascii="仿宋" w:hAnsi="仿宋" w:eastAsia="仿宋" w:cs="仿宋"/>
          <w:color w:val="auto"/>
          <w:sz w:val="24"/>
          <w:highlight w:val="none"/>
          <w:shd w:val="clear" w:color="auto" w:fill="FFFFFF"/>
          <w:lang w:eastAsia="zh-Hans"/>
        </w:rPr>
        <w:t>主机维护要保证</w:t>
      </w:r>
      <w:r>
        <w:rPr>
          <w:rFonts w:hint="eastAsia" w:ascii="仿宋" w:hAnsi="仿宋" w:eastAsia="仿宋" w:cs="仿宋"/>
          <w:color w:val="auto"/>
          <w:sz w:val="24"/>
          <w:highlight w:val="none"/>
          <w:shd w:val="clear" w:color="auto" w:fill="FFFFFF"/>
        </w:rPr>
        <w:t>一季度</w:t>
      </w:r>
      <w:r>
        <w:rPr>
          <w:rFonts w:hint="eastAsia" w:ascii="仿宋" w:hAnsi="仿宋" w:eastAsia="仿宋" w:cs="仿宋"/>
          <w:color w:val="auto"/>
          <w:sz w:val="24"/>
          <w:highlight w:val="none"/>
          <w:shd w:val="clear" w:color="auto" w:fill="FFFFFF"/>
          <w:lang w:eastAsia="zh-Hans"/>
        </w:rPr>
        <w:t>左右一次，需要</w:t>
      </w:r>
      <w:r>
        <w:rPr>
          <w:rFonts w:hint="eastAsia" w:ascii="仿宋" w:hAnsi="仿宋" w:eastAsia="仿宋" w:cs="仿宋"/>
          <w:color w:val="auto"/>
          <w:sz w:val="24"/>
          <w:highlight w:val="none"/>
          <w:shd w:val="clear" w:color="auto" w:fill="FFFFFF"/>
        </w:rPr>
        <w:t>将</w:t>
      </w:r>
      <w:r>
        <w:rPr>
          <w:rFonts w:hint="eastAsia" w:ascii="仿宋" w:hAnsi="仿宋" w:eastAsia="仿宋" w:cs="仿宋"/>
          <w:color w:val="auto"/>
          <w:sz w:val="24"/>
          <w:highlight w:val="none"/>
          <w:shd w:val="clear" w:color="auto" w:fill="FFFFFF"/>
          <w:lang w:eastAsia="zh-Hans"/>
        </w:rPr>
        <w:t>主机内部的部件进行清洗，主要清洁各个板卡表面、散风扇和各个接插件等。清洁时注意清除主机内部的残留物，以防止发生短路故障。主机外部机壳需要经常擦拭，以保持外观的洁净。避免线路靠近运动部件如风扇等，同时注意防止接线阻碍风扇运作，如果风扇的转速过低或停止运转，将会导致</w:t>
      </w:r>
      <w:r>
        <w:rPr>
          <w:rFonts w:hint="eastAsia" w:ascii="仿宋" w:hAnsi="仿宋" w:eastAsia="仿宋" w:cs="仿宋"/>
          <w:color w:val="auto"/>
          <w:sz w:val="24"/>
          <w:highlight w:val="none"/>
          <w:shd w:val="clear" w:color="auto" w:fill="FFFFFF"/>
        </w:rPr>
        <w:t>噪声</w:t>
      </w:r>
      <w:r>
        <w:rPr>
          <w:rFonts w:hint="eastAsia" w:ascii="仿宋" w:hAnsi="仿宋" w:eastAsia="仿宋" w:cs="仿宋"/>
          <w:color w:val="auto"/>
          <w:sz w:val="24"/>
          <w:highlight w:val="none"/>
          <w:shd w:val="clear" w:color="auto" w:fill="FFFFFF"/>
          <w:lang w:eastAsia="zh-Hans"/>
        </w:rPr>
        <w:t>过大、散热不良从而产生十分严重的后果。</w:t>
      </w:r>
    </w:p>
    <w:p>
      <w:pPr>
        <w:snapToGrid w:val="0"/>
        <w:spacing w:line="360" w:lineRule="auto"/>
        <w:ind w:firstLine="480" w:firstLineChars="200"/>
        <w:rPr>
          <w:rFonts w:ascii="仿宋" w:hAnsi="仿宋" w:eastAsia="仿宋" w:cs="仿宋"/>
          <w:color w:val="auto"/>
          <w:sz w:val="24"/>
          <w:highlight w:val="none"/>
          <w:shd w:val="clear" w:color="auto" w:fill="FFFFFF"/>
          <w:lang w:eastAsia="zh-Hans"/>
        </w:rPr>
      </w:pPr>
      <w:r>
        <w:rPr>
          <w:rFonts w:hint="eastAsia" w:ascii="仿宋" w:hAnsi="仿宋" w:eastAsia="仿宋" w:cs="仿宋"/>
          <w:color w:val="auto"/>
          <w:sz w:val="24"/>
          <w:highlight w:val="none"/>
          <w:shd w:val="clear" w:color="auto" w:fill="FFFFFF"/>
        </w:rPr>
        <w:t>1.1.2</w:t>
      </w:r>
      <w:r>
        <w:rPr>
          <w:rFonts w:hint="eastAsia" w:ascii="仿宋" w:hAnsi="仿宋" w:eastAsia="仿宋" w:cs="仿宋"/>
          <w:color w:val="auto"/>
          <w:sz w:val="24"/>
          <w:highlight w:val="none"/>
          <w:shd w:val="clear" w:color="auto" w:fill="FFFFFF"/>
          <w:lang w:eastAsia="zh-Hans"/>
        </w:rPr>
        <w:t>硬盘负责计算机的数据存储，是十分关键的部件，尽量降低硬盘的负荷，避免反复高频读写，定期更新杀毒软件，定期对计算机进行体检检查。</w:t>
      </w:r>
    </w:p>
    <w:p>
      <w:pPr>
        <w:snapToGrid w:val="0"/>
        <w:spacing w:line="360" w:lineRule="auto"/>
        <w:ind w:firstLine="480" w:firstLineChars="200"/>
        <w:rPr>
          <w:rFonts w:ascii="仿宋" w:hAnsi="仿宋" w:eastAsia="仿宋" w:cs="仿宋"/>
          <w:color w:val="auto"/>
          <w:sz w:val="24"/>
          <w:highlight w:val="none"/>
          <w:shd w:val="clear" w:color="auto" w:fill="FFFFFF"/>
          <w:lang w:eastAsia="zh-Hans"/>
        </w:rPr>
      </w:pPr>
      <w:r>
        <w:rPr>
          <w:rFonts w:hint="eastAsia" w:ascii="仿宋" w:hAnsi="仿宋" w:eastAsia="仿宋" w:cs="仿宋"/>
          <w:color w:val="auto"/>
          <w:sz w:val="24"/>
          <w:highlight w:val="none"/>
          <w:shd w:val="clear" w:color="auto" w:fill="FFFFFF"/>
        </w:rPr>
        <w:t>1.1.3</w:t>
      </w:r>
      <w:r>
        <w:rPr>
          <w:rFonts w:hint="eastAsia" w:ascii="仿宋" w:hAnsi="仿宋" w:eastAsia="仿宋" w:cs="仿宋"/>
          <w:color w:val="auto"/>
          <w:sz w:val="24"/>
          <w:highlight w:val="none"/>
          <w:shd w:val="clear" w:color="auto" w:fill="FFFFFF"/>
          <w:lang w:eastAsia="zh-Hans"/>
        </w:rPr>
        <w:t>其他部件保证每月的日常巡检，发现问题，及时处理，保障设备的稳定运行。</w:t>
      </w:r>
    </w:p>
    <w:p>
      <w:pPr>
        <w:snapToGrid w:val="0"/>
        <w:spacing w:line="360" w:lineRule="auto"/>
        <w:ind w:firstLine="482" w:firstLineChars="200"/>
        <w:rPr>
          <w:rFonts w:ascii="仿宋" w:hAnsi="仿宋" w:eastAsia="仿宋" w:cs="仿宋"/>
          <w:b/>
          <w:bCs/>
          <w:color w:val="auto"/>
          <w:sz w:val="24"/>
          <w:highlight w:val="none"/>
          <w:shd w:val="clear" w:color="auto" w:fill="FFFFFF"/>
          <w:lang w:eastAsia="zh-Hans"/>
        </w:rPr>
      </w:pPr>
      <w:r>
        <w:rPr>
          <w:rFonts w:hint="eastAsia" w:ascii="仿宋" w:hAnsi="仿宋" w:eastAsia="仿宋" w:cs="仿宋"/>
          <w:b/>
          <w:bCs/>
          <w:color w:val="auto"/>
          <w:sz w:val="24"/>
          <w:highlight w:val="none"/>
          <w:shd w:val="clear" w:color="auto" w:fill="FFFFFF"/>
        </w:rPr>
        <w:t>1.2</w:t>
      </w:r>
      <w:r>
        <w:rPr>
          <w:rFonts w:hint="eastAsia" w:ascii="仿宋" w:hAnsi="仿宋" w:eastAsia="仿宋" w:cs="仿宋"/>
          <w:b/>
          <w:bCs/>
          <w:color w:val="auto"/>
          <w:sz w:val="24"/>
          <w:highlight w:val="none"/>
          <w:shd w:val="clear" w:color="auto" w:fill="FFFFFF"/>
          <w:lang w:eastAsia="zh-Hans"/>
        </w:rPr>
        <w:t>软件及信息资源维护</w:t>
      </w:r>
    </w:p>
    <w:p>
      <w:pPr>
        <w:snapToGrid w:val="0"/>
        <w:spacing w:line="360" w:lineRule="auto"/>
        <w:ind w:firstLine="480" w:firstLineChars="200"/>
        <w:rPr>
          <w:rFonts w:ascii="仿宋" w:hAnsi="仿宋" w:eastAsia="仿宋" w:cs="仿宋"/>
          <w:color w:val="auto"/>
          <w:sz w:val="24"/>
          <w:highlight w:val="none"/>
          <w:shd w:val="clear" w:color="auto" w:fill="FFFFFF"/>
          <w:lang w:eastAsia="zh-Hans"/>
        </w:rPr>
      </w:pPr>
      <w:r>
        <w:rPr>
          <w:rFonts w:hint="eastAsia" w:ascii="仿宋" w:hAnsi="仿宋" w:eastAsia="仿宋" w:cs="仿宋"/>
          <w:color w:val="auto"/>
          <w:sz w:val="24"/>
          <w:highlight w:val="none"/>
          <w:shd w:val="clear" w:color="auto" w:fill="FFFFFF"/>
        </w:rPr>
        <w:t>1.2.1</w:t>
      </w:r>
      <w:r>
        <w:rPr>
          <w:rFonts w:hint="eastAsia" w:ascii="仿宋" w:hAnsi="仿宋" w:eastAsia="仿宋" w:cs="仿宋"/>
          <w:color w:val="auto"/>
          <w:sz w:val="24"/>
          <w:highlight w:val="none"/>
          <w:shd w:val="clear" w:color="auto" w:fill="FFFFFF"/>
          <w:lang w:eastAsia="zh-Hans"/>
        </w:rPr>
        <w:t>定期维护保存原始数据的文件夹，将历史数据转移至其他存储介质。</w:t>
      </w:r>
    </w:p>
    <w:p>
      <w:pPr>
        <w:snapToGrid w:val="0"/>
        <w:spacing w:line="360" w:lineRule="auto"/>
        <w:ind w:firstLine="480" w:firstLineChars="200"/>
        <w:rPr>
          <w:rFonts w:ascii="仿宋" w:hAnsi="仿宋" w:eastAsia="仿宋" w:cs="仿宋"/>
          <w:color w:val="auto"/>
          <w:sz w:val="24"/>
          <w:highlight w:val="none"/>
          <w:shd w:val="clear" w:color="auto" w:fill="FFFFFF"/>
          <w:lang w:eastAsia="zh-Hans"/>
        </w:rPr>
      </w:pPr>
      <w:r>
        <w:rPr>
          <w:rFonts w:hint="eastAsia" w:ascii="仿宋" w:hAnsi="仿宋" w:eastAsia="仿宋" w:cs="仿宋"/>
          <w:color w:val="auto"/>
          <w:sz w:val="24"/>
          <w:highlight w:val="none"/>
          <w:shd w:val="clear" w:color="auto" w:fill="FFFFFF"/>
        </w:rPr>
        <w:t>1.2.2</w:t>
      </w:r>
      <w:r>
        <w:rPr>
          <w:rFonts w:hint="eastAsia" w:ascii="仿宋" w:hAnsi="仿宋" w:eastAsia="仿宋" w:cs="仿宋"/>
          <w:color w:val="auto"/>
          <w:sz w:val="24"/>
          <w:highlight w:val="none"/>
          <w:shd w:val="clear" w:color="auto" w:fill="FFFFFF"/>
          <w:lang w:eastAsia="zh-Hans"/>
        </w:rPr>
        <w:t>定期维护数据文件夹，优化设备的软件结构；</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1.2.3</w:t>
      </w:r>
      <w:r>
        <w:rPr>
          <w:rFonts w:hint="eastAsia" w:ascii="仿宋" w:hAnsi="仿宋" w:eastAsia="仿宋" w:cs="仿宋"/>
          <w:color w:val="auto"/>
          <w:sz w:val="24"/>
          <w:highlight w:val="none"/>
          <w:shd w:val="clear" w:color="auto" w:fill="FFFFFF"/>
          <w:lang w:eastAsia="zh-Hans"/>
        </w:rPr>
        <w:t>根据用户需要升级软件系统。</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2.技术支持服务要求</w:t>
      </w:r>
    </w:p>
    <w:p>
      <w:pPr>
        <w:snapToGrid w:val="0"/>
        <w:spacing w:line="360" w:lineRule="auto"/>
        <w:ind w:firstLine="482" w:firstLineChars="200"/>
        <w:rPr>
          <w:rFonts w:ascii="仿宋" w:hAnsi="仿宋" w:eastAsia="仿宋" w:cs="仿宋"/>
          <w:color w:val="auto"/>
          <w:sz w:val="24"/>
          <w:highlight w:val="none"/>
          <w:shd w:val="clear" w:color="auto" w:fill="FFFFFF"/>
        </w:rPr>
      </w:pPr>
      <w:r>
        <w:rPr>
          <w:rFonts w:hint="eastAsia" w:ascii="仿宋" w:hAnsi="仿宋" w:eastAsia="仿宋" w:cs="仿宋"/>
          <w:b/>
          <w:bCs/>
          <w:color w:val="auto"/>
          <w:sz w:val="24"/>
          <w:highlight w:val="none"/>
          <w:shd w:val="clear" w:color="auto" w:fill="FFFFFF"/>
        </w:rPr>
        <w:t>2.1技术支持服务</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技术支持服务期：1年</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w:t>
      </w:r>
      <w:r>
        <w:rPr>
          <w:rFonts w:hint="eastAsia" w:ascii="仿宋" w:hAnsi="仿宋" w:eastAsia="仿宋" w:cs="仿宋"/>
          <w:b/>
          <w:bCs/>
          <w:color w:val="auto"/>
          <w:sz w:val="24"/>
          <w:highlight w:val="none"/>
          <w:shd w:val="clear" w:color="auto" w:fill="FFFFFF"/>
        </w:rPr>
        <w:t>2.1.1要求中标供应商在合同签订前提供原有高清数字法庭厂商针对庭审主设备的一年质保服务函并加盖原厂公章；届时中标供应商无法提供的，采购人有权取消其中标资格。</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2.1.2设备巡检服务：要求每月委派技术工程师到法院现场对服务对象进行例行检查1次，工程师将检查服务器运行情况、存储运行情况、录音录像情况等；并根据检查结果提供建议，必要时进行预防性维修，并提交服务报告。</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2.1.3远程技术支持服务：要求7*24小时全天候电话支持服务，软件故障、升级等配合原厂驻点浙江省高院工程师远程处理。</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2.1.4现场技术支持服务：要求对于通过电话支持和远程支持都不能解决的系统故障，技术工程师能迅速提供现场支持服务，安排经验丰富的技术支持工程师赴现场分析故障原因，制定故障解决方案；技术工程师在1小时内响应，在2小时内到达用户现场，并在24小时内解决故障。</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2.1.5重大案件技术保障服务：要求当法院审理重大案件时，技术工程师接到法院指定人员通知后，4小时内到达庭审现场进行技术保障。</w:t>
      </w:r>
    </w:p>
    <w:p>
      <w:pPr>
        <w:snapToGrid w:val="0"/>
        <w:spacing w:line="360" w:lineRule="auto"/>
        <w:ind w:firstLine="482" w:firstLineChars="200"/>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2.2运维人员综合实力</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2.2.1运维人员具有法院系统维保工作经验三年以上经验；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w:t>
      </w:r>
      <w:r>
        <w:rPr>
          <w:rFonts w:hint="eastAsia" w:ascii="仿宋" w:hAnsi="仿宋" w:eastAsia="仿宋" w:cs="仿宋"/>
          <w:b/>
          <w:bCs/>
          <w:color w:val="auto"/>
          <w:sz w:val="24"/>
          <w:highlight w:val="none"/>
          <w:shd w:val="clear" w:color="auto" w:fill="FFFFFF"/>
        </w:rPr>
        <w:t>2.2.2中标供应商在合同签订前提供拟派本项目运维人员具有的本院数字法庭品牌厂商认证（提供证书或者证明材料，并加盖厂商公章）；届时中标供应商无法提供的，采购人有权取消其中标资格。</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（三）硬件保修服务要求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★1.设备维修服务要求</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针对上述维保服务清单内所有设备提供免费维修服务，其中存储设备需要提供原厂服务；其他设备如因无法维修，原则上采用原厂硬件，找不到原配套硬件时，可采用其他兼容且不低于原配置的硬件代替。</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服务期内，对本院数字法庭设备提供送修、返修等服务并对故障设备跟踪记录，直至问题结束。</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★2.备品备件库</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服务期内，投标供应商按照备品备件库清单在中标供应商经营场所内设立“数字法庭主设备备品备件库”（备品备件库须在合同签订后20个工作日内建立完成）。</w:t>
      </w:r>
    </w:p>
    <w:p>
      <w:pPr>
        <w:snapToGrid w:val="0"/>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当关键设备出现故障时，立即提供备品备件顶替故障设备，直至故障修复再将备品备件换回，便于减少系统运行中断时间。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（四）应急响应及性能优化服务</w:t>
      </w:r>
    </w:p>
    <w:p>
      <w:pPr>
        <w:pStyle w:val="10"/>
        <w:spacing w:line="360" w:lineRule="auto"/>
        <w:ind w:firstLine="480"/>
        <w:jc w:val="left"/>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在维保期内，中标供应商须结合采购人实际情况，每季度出具一份运维服务报告交由运维监理进行审核，并配合采购人落实性能优化服务。在遇到突发性应急事件时，中标供应商须按照项目时效性要求，高效率开展维护服务，并在事件完成后，梳理风险隐患并提出解决意见办法，出具书面的事件报告（含隐患及解决意见办法）。</w:t>
      </w:r>
      <w:bookmarkStart w:id="7" w:name="_GoBack"/>
      <w:bookmarkEnd w:id="7"/>
    </w:p>
    <w:p>
      <w:pPr>
        <w:pStyle w:val="10"/>
        <w:ind w:firstLine="480"/>
        <w:jc w:val="left"/>
        <w:rPr>
          <w:rFonts w:ascii="仿宋" w:hAnsi="仿宋" w:eastAsia="仿宋" w:cs="仿宋"/>
          <w:color w:val="auto"/>
          <w:sz w:val="24"/>
          <w:highlight w:val="none"/>
        </w:rPr>
      </w:pPr>
    </w:p>
    <w:p>
      <w:pPr>
        <w:pStyle w:val="10"/>
        <w:ind w:firstLine="48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五、商务要求：</w:t>
      </w:r>
    </w:p>
    <w:tbl>
      <w:tblPr>
        <w:tblStyle w:val="6"/>
        <w:tblpPr w:leftFromText="180" w:rightFromText="180" w:vertAnchor="text" w:horzAnchor="page" w:tblpX="1285" w:tblpY="399"/>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762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31" w:type="dxa"/>
            <w:tcBorders>
              <w:tl2br w:val="nil"/>
              <w:tr2bl w:val="nil"/>
            </w:tcBorders>
            <w:vAlign w:val="center"/>
          </w:tcPr>
          <w:p>
            <w:pPr>
              <w:snapToGrid w:val="0"/>
              <w:spacing w:line="48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服务期</w:t>
            </w:r>
          </w:p>
        </w:tc>
        <w:tc>
          <w:tcPr>
            <w:tcW w:w="7623" w:type="dxa"/>
            <w:tcBorders>
              <w:tl2br w:val="nil"/>
              <w:tr2bl w:val="nil"/>
            </w:tcBorders>
            <w:vAlign w:val="center"/>
          </w:tcPr>
          <w:p>
            <w:pPr>
              <w:snapToGrid w:val="0"/>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一年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31" w:type="dxa"/>
            <w:tcBorders>
              <w:tl2br w:val="nil"/>
              <w:tr2bl w:val="nil"/>
            </w:tcBorders>
            <w:vAlign w:val="center"/>
          </w:tcPr>
          <w:p>
            <w:pPr>
              <w:snapToGrid w:val="0"/>
              <w:spacing w:line="480" w:lineRule="exact"/>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履约保证金</w:t>
            </w:r>
          </w:p>
        </w:tc>
        <w:tc>
          <w:tcPr>
            <w:tcW w:w="7623" w:type="dxa"/>
            <w:tcBorders>
              <w:tl2br w:val="nil"/>
              <w:tr2bl w:val="nil"/>
            </w:tcBorders>
            <w:vAlign w:val="center"/>
          </w:tcPr>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931" w:type="dxa"/>
            <w:tcBorders>
              <w:tl2br w:val="nil"/>
              <w:tr2bl w:val="nil"/>
            </w:tcBorders>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付款方式</w:t>
            </w:r>
          </w:p>
        </w:tc>
        <w:tc>
          <w:tcPr>
            <w:tcW w:w="7623" w:type="dxa"/>
            <w:tcBorders>
              <w:tl2br w:val="nil"/>
              <w:tr2bl w:val="nil"/>
            </w:tcBorders>
            <w:vAlign w:val="center"/>
          </w:tcPr>
          <w:p>
            <w:pPr>
              <w:numPr>
                <w:ilvl w:val="0"/>
                <w:numId w:val="4"/>
              </w:num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采购人自采购合同生效及具备实施条件后15日内支付预付款，也即合同金额的</w:t>
            </w:r>
            <w:r>
              <w:rPr>
                <w:rFonts w:ascii="仿宋" w:hAnsi="仿宋" w:eastAsia="仿宋" w:cs="仿宋"/>
                <w:color w:val="auto"/>
                <w:sz w:val="24"/>
                <w:highlight w:val="none"/>
              </w:rPr>
              <w:t>5</w:t>
            </w:r>
            <w:r>
              <w:rPr>
                <w:rFonts w:hint="eastAsia" w:ascii="仿宋" w:hAnsi="仿宋" w:eastAsia="仿宋" w:cs="仿宋"/>
                <w:color w:val="auto"/>
                <w:sz w:val="24"/>
                <w:highlight w:val="none"/>
              </w:rPr>
              <w:t>0%，服务期满后支付剩余金额。</w:t>
            </w:r>
          </w:p>
          <w:p>
            <w:pPr>
              <w:numPr>
                <w:ilvl w:val="0"/>
                <w:numId w:val="4"/>
              </w:num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采购人在向供应商支付预付款之前，供应商向采购人提供与预付款金额相对应的担保措施，担保措施可以是银行、保险公司等金融机构出具的预付款保函或其他担保措施。</w:t>
            </w:r>
          </w:p>
          <w:p>
            <w:pPr>
              <w:ind w:firstLine="480" w:firstLineChars="200"/>
              <w:rPr>
                <w:rFonts w:ascii="仿宋" w:hAnsi="仿宋" w:eastAsia="仿宋" w:cs="仿宋"/>
                <w:color w:val="auto"/>
                <w:sz w:val="24"/>
                <w:highlight w:val="none"/>
              </w:rPr>
            </w:pPr>
          </w:p>
          <w:p>
            <w:pPr>
              <w:tabs>
                <w:tab w:val="left" w:pos="0"/>
              </w:tabs>
              <w:rPr>
                <w:rFonts w:ascii="仿宋" w:hAnsi="仿宋" w:eastAsia="仿宋" w:cs="仿宋"/>
                <w:color w:val="auto"/>
                <w:sz w:val="24"/>
                <w:highlight w:val="none"/>
              </w:rPr>
            </w:pPr>
            <w:r>
              <w:rPr>
                <w:rFonts w:hint="eastAsia" w:ascii="仿宋" w:hAnsi="仿宋" w:eastAsia="仿宋" w:cs="仿宋"/>
                <w:b/>
                <w:bCs/>
                <w:color w:val="auto"/>
                <w:sz w:val="24"/>
                <w:highlight w:val="none"/>
                <w:u w:val="single"/>
              </w:rPr>
              <w:t>注：若中标供应商明确表示无需预付款或者主动要求降低预付款比例的，采购人可不适用前述规定。</w:t>
            </w:r>
          </w:p>
        </w:tc>
      </w:tr>
    </w:tbl>
    <w:p>
      <w:pPr>
        <w:autoSpaceDE w:val="0"/>
        <w:autoSpaceDN w:val="0"/>
        <w:adjustRightInd w:val="0"/>
        <w:snapToGrid w:val="0"/>
        <w:spacing w:line="380" w:lineRule="exact"/>
        <w:textAlignment w:val="bottom"/>
        <w:rPr>
          <w:rFonts w:ascii="仿宋" w:hAnsi="仿宋" w:eastAsia="仿宋" w:cs="仿宋"/>
          <w:b/>
          <w:bCs/>
          <w:color w:val="auto"/>
          <w:sz w:val="24"/>
          <w:highlight w:val="none"/>
        </w:rPr>
      </w:pPr>
    </w:p>
    <w:p>
      <w:pPr>
        <w:rPr>
          <w:color w:val="auto"/>
          <w:highlight w:val="none"/>
        </w:rPr>
      </w:pPr>
      <w:r>
        <w:rPr>
          <w:rFonts w:hint="eastAsia" w:ascii="仿宋" w:hAnsi="仿宋" w:eastAsia="仿宋" w:cs="仿宋"/>
          <w:b/>
          <w:bCs/>
          <w:color w:val="auto"/>
          <w:sz w:val="24"/>
          <w:highlight w:val="none"/>
        </w:rPr>
        <w:t>本磋商文件中带“▲”的条款为实质性条款，供应商必须在响应文件中全部作出响应，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1D5CA"/>
    <w:multiLevelType w:val="singleLevel"/>
    <w:tmpl w:val="B001D5CA"/>
    <w:lvl w:ilvl="0" w:tentative="0">
      <w:start w:val="1"/>
      <w:numFmt w:val="decimal"/>
      <w:suff w:val="nothing"/>
      <w:lvlText w:val="（%1）"/>
      <w:lvlJc w:val="left"/>
    </w:lvl>
  </w:abstractNum>
  <w:abstractNum w:abstractNumId="1">
    <w:nsid w:val="1CE70B13"/>
    <w:multiLevelType w:val="multilevel"/>
    <w:tmpl w:val="1CE70B13"/>
    <w:lvl w:ilvl="0" w:tentative="0">
      <w:start w:val="1"/>
      <w:numFmt w:val="decimal"/>
      <w:lvlText w:val="%1"/>
      <w:lvlJc w:val="left"/>
      <w:pPr>
        <w:ind w:left="420" w:hanging="420"/>
      </w:pPr>
      <w:rPr>
        <w:rFonts w:hint="eastAsia"/>
      </w:rPr>
    </w:lvl>
    <w:lvl w:ilvl="1" w:tentative="0">
      <w:start w:val="3"/>
      <w:numFmt w:val="decimal"/>
      <w:isLgl/>
      <w:lvlText w:val="%1.%2"/>
      <w:lvlJc w:val="left"/>
      <w:pPr>
        <w:ind w:left="400" w:hanging="400"/>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720" w:hanging="720"/>
      </w:pPr>
      <w:rPr>
        <w:rFonts w:hint="eastAsia"/>
      </w:rPr>
    </w:lvl>
    <w:lvl w:ilvl="4" w:tentative="0">
      <w:start w:val="1"/>
      <w:numFmt w:val="decimal"/>
      <w:isLgl/>
      <w:lvlText w:val="%1.%2.%3.%4.%5"/>
      <w:lvlJc w:val="left"/>
      <w:pPr>
        <w:ind w:left="1080" w:hanging="1080"/>
      </w:pPr>
      <w:rPr>
        <w:rFonts w:hint="eastAsia"/>
      </w:rPr>
    </w:lvl>
    <w:lvl w:ilvl="5" w:tentative="0">
      <w:start w:val="1"/>
      <w:numFmt w:val="decimal"/>
      <w:isLgl/>
      <w:lvlText w:val="%1.%2.%3.%4.%5.%6"/>
      <w:lvlJc w:val="left"/>
      <w:pPr>
        <w:ind w:left="1080" w:hanging="1080"/>
      </w:pPr>
      <w:rPr>
        <w:rFonts w:hint="eastAsia"/>
      </w:rPr>
    </w:lvl>
    <w:lvl w:ilvl="6" w:tentative="0">
      <w:start w:val="1"/>
      <w:numFmt w:val="decimal"/>
      <w:isLgl/>
      <w:lvlText w:val="%1.%2.%3.%4.%5.%6.%7"/>
      <w:lvlJc w:val="left"/>
      <w:pPr>
        <w:ind w:left="1440" w:hanging="1440"/>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800" w:hanging="1800"/>
      </w:pPr>
      <w:rPr>
        <w:rFonts w:hint="eastAsia"/>
      </w:rPr>
    </w:lvl>
  </w:abstractNum>
  <w:abstractNum w:abstractNumId="2">
    <w:nsid w:val="48662854"/>
    <w:multiLevelType w:val="multilevel"/>
    <w:tmpl w:val="48662854"/>
    <w:lvl w:ilvl="0" w:tentative="0">
      <w:start w:val="1"/>
      <w:numFmt w:val="decimal"/>
      <w:lvlText w:val="%1"/>
      <w:lvlJc w:val="left"/>
      <w:pPr>
        <w:ind w:left="420" w:hanging="420"/>
      </w:pPr>
      <w:rPr>
        <w:rFonts w:hint="eastAsia"/>
      </w:rPr>
    </w:lvl>
    <w:lvl w:ilvl="1" w:tentative="0">
      <w:start w:val="3"/>
      <w:numFmt w:val="decimal"/>
      <w:isLgl/>
      <w:lvlText w:val="%1.%2"/>
      <w:lvlJc w:val="left"/>
      <w:pPr>
        <w:ind w:left="400" w:hanging="400"/>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720" w:hanging="720"/>
      </w:pPr>
      <w:rPr>
        <w:rFonts w:hint="eastAsia"/>
      </w:rPr>
    </w:lvl>
    <w:lvl w:ilvl="4" w:tentative="0">
      <w:start w:val="1"/>
      <w:numFmt w:val="decimal"/>
      <w:isLgl/>
      <w:lvlText w:val="%1.%2.%3.%4.%5"/>
      <w:lvlJc w:val="left"/>
      <w:pPr>
        <w:ind w:left="1080" w:hanging="1080"/>
      </w:pPr>
      <w:rPr>
        <w:rFonts w:hint="eastAsia"/>
      </w:rPr>
    </w:lvl>
    <w:lvl w:ilvl="5" w:tentative="0">
      <w:start w:val="1"/>
      <w:numFmt w:val="decimal"/>
      <w:isLgl/>
      <w:lvlText w:val="%1.%2.%3.%4.%5.%6"/>
      <w:lvlJc w:val="left"/>
      <w:pPr>
        <w:ind w:left="1080" w:hanging="1080"/>
      </w:pPr>
      <w:rPr>
        <w:rFonts w:hint="eastAsia"/>
      </w:rPr>
    </w:lvl>
    <w:lvl w:ilvl="6" w:tentative="0">
      <w:start w:val="1"/>
      <w:numFmt w:val="decimal"/>
      <w:isLgl/>
      <w:lvlText w:val="%1.%2.%3.%4.%5.%6.%7"/>
      <w:lvlJc w:val="left"/>
      <w:pPr>
        <w:ind w:left="1440" w:hanging="1440"/>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800" w:hanging="1800"/>
      </w:pPr>
      <w:rPr>
        <w:rFonts w:hint="eastAsia"/>
      </w:rPr>
    </w:lvl>
  </w:abstractNum>
  <w:abstractNum w:abstractNumId="3">
    <w:nsid w:val="5374F5B5"/>
    <w:multiLevelType w:val="singleLevel"/>
    <w:tmpl w:val="5374F5B5"/>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OGZjODM4MjM2NWY2YzA0MWQwNzQ2YmVmMzJjY2IifQ=="/>
  </w:docVars>
  <w:rsids>
    <w:rsidRoot w:val="3DB0221B"/>
    <w:rsid w:val="3DB0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szCs w:val="22"/>
    </w:rPr>
  </w:style>
  <w:style w:type="paragraph" w:styleId="4">
    <w:name w:val="Block Text"/>
    <w:basedOn w:val="1"/>
    <w:qFormat/>
    <w:uiPriority w:val="0"/>
    <w:pPr>
      <w:adjustRightInd w:val="0"/>
      <w:ind w:left="420" w:right="33"/>
      <w:jc w:val="left"/>
    </w:pPr>
    <w:rPr>
      <w:kern w:val="0"/>
      <w:sz w:val="24"/>
      <w:szCs w:val="20"/>
    </w:rPr>
  </w:style>
  <w:style w:type="paragraph" w:styleId="5">
    <w:name w:val="footnote text"/>
    <w:basedOn w:val="1"/>
    <w:semiHidden/>
    <w:qFormat/>
    <w:uiPriority w:val="99"/>
    <w:pPr>
      <w:snapToGrid w:val="0"/>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link w:val="3"/>
    <w:qFormat/>
    <w:uiPriority w:val="0"/>
    <w:rPr>
      <w:b/>
      <w:bCs/>
      <w:kern w:val="44"/>
      <w:sz w:val="44"/>
      <w:szCs w:val="44"/>
    </w:rPr>
  </w:style>
  <w:style w:type="paragraph" w:styleId="10">
    <w:name w:val="List Paragraph"/>
    <w:basedOn w:val="1"/>
    <w:qFormat/>
    <w:uiPriority w:val="34"/>
    <w:pPr>
      <w:ind w:firstLine="420" w:firstLineChars="200"/>
    </w:pPr>
  </w:style>
  <w:style w:type="character" w:customStyle="1" w:styleId="11">
    <w:name w:val="font11"/>
    <w:basedOn w:val="8"/>
    <w:qFormat/>
    <w:uiPriority w:val="0"/>
    <w:rPr>
      <w:rFonts w:hint="eastAsia" w:ascii="宋体" w:hAnsi="宋体" w:eastAsia="宋体" w:cs="宋体"/>
      <w:b/>
      <w:bCs/>
      <w:color w:val="000000"/>
      <w:sz w:val="24"/>
      <w:szCs w:val="24"/>
      <w:u w:val="none"/>
    </w:rPr>
  </w:style>
  <w:style w:type="character" w:customStyle="1" w:styleId="12">
    <w:name w:val="font01"/>
    <w:basedOn w:val="8"/>
    <w:qFormat/>
    <w:uiPriority w:val="0"/>
    <w:rPr>
      <w:rFonts w:hint="default" w:ascii="Tahoma" w:hAnsi="Tahoma" w:eastAsia="Tahoma" w:cs="Tahoma"/>
      <w:color w:val="000000"/>
      <w:sz w:val="22"/>
      <w:szCs w:val="22"/>
      <w:u w:val="none"/>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2023-04-28T08:20:00Z</dcterms:created>
  <dc:creator>赵筱娅℡¹³⁷³⁵¹⁰¹⁰⁸⁵</dc:creator>
  <cp:lastModifiedBy>赵筱娅℡¹³⁷³⁵¹⁰¹⁰⁸⁵</cp:lastModifiedBy>
  <dcterms:modified xsi:type="dcterms:W3CDTF">2023-04-28T08:20:17Z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2C253DAD8C47469DB48D76EFA9FE68E2_11</vt:lpwstr>
  </property>
</Properties>
</file>