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highlight w:val="none"/>
          <w:u w:val="none"/>
        </w:rPr>
      </w:pPr>
      <w:r>
        <w:rPr>
          <w:rFonts w:hint="eastAsia" w:ascii="仿宋" w:eastAsia="仿宋"/>
          <w:b/>
          <w:bCs/>
          <w:color w:val="auto"/>
          <w:sz w:val="52"/>
          <w:szCs w:val="52"/>
          <w:highlight w:val="none"/>
          <w:u w:val="none"/>
        </w:rPr>
        <w:t>绍兴市越城区</w:t>
      </w:r>
      <w:r>
        <w:rPr>
          <w:rFonts w:hint="eastAsia" w:ascii="仿宋" w:eastAsia="仿宋"/>
          <w:b/>
          <w:bCs/>
          <w:color w:val="auto"/>
          <w:sz w:val="52"/>
          <w:szCs w:val="52"/>
          <w:highlight w:val="none"/>
          <w:u w:val="none"/>
          <w:lang w:val="en-US" w:eastAsia="zh-CN"/>
        </w:rPr>
        <w:t>府山、北海、灵芝、东湖街道社区卫生服务中心联合脑卒中筛查标本外送</w:t>
      </w:r>
      <w:r>
        <w:rPr>
          <w:rFonts w:hint="eastAsia" w:ascii="仿宋" w:eastAsia="仿宋"/>
          <w:b/>
          <w:bCs/>
          <w:color w:val="auto"/>
          <w:sz w:val="52"/>
          <w:szCs w:val="52"/>
          <w:highlight w:val="none"/>
          <w:u w:val="none"/>
        </w:rPr>
        <w:t>项目</w:t>
      </w:r>
    </w:p>
    <w:p w14:paraId="55839144">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tbl>
      <w:tblPr>
        <w:tblStyle w:val="25"/>
        <w:tblW w:w="9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705"/>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705"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none"/>
              </w:rPr>
              <w:t>ZJDT-F-24056</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705" w:type="dxa"/>
            <w:tcBorders>
              <w:top w:val="nil"/>
              <w:left w:val="nil"/>
              <w:bottom w:val="nil"/>
              <w:right w:val="nil"/>
            </w:tcBorders>
            <w:shd w:val="clear" w:color="auto" w:fill="auto"/>
            <w:noWrap/>
            <w:vAlign w:val="center"/>
          </w:tcPr>
          <w:p w14:paraId="3AACC49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eastAsia="仿宋"/>
                <w:color w:val="auto"/>
                <w:sz w:val="28"/>
                <w:highlight w:val="none"/>
              </w:rPr>
            </w:pPr>
            <w:r>
              <w:rPr>
                <w:rFonts w:hint="eastAsia" w:ascii="仿宋" w:eastAsia="仿宋"/>
                <w:color w:val="auto"/>
                <w:sz w:val="28"/>
                <w:highlight w:val="none"/>
              </w:rPr>
              <w:t>绍兴市越城区</w:t>
            </w:r>
            <w:r>
              <w:rPr>
                <w:rFonts w:hint="eastAsia" w:ascii="仿宋" w:eastAsia="仿宋"/>
                <w:color w:val="auto"/>
                <w:sz w:val="28"/>
                <w:highlight w:val="none"/>
                <w:lang w:val="en-US" w:eastAsia="zh-CN"/>
              </w:rPr>
              <w:t>府山</w:t>
            </w:r>
            <w:r>
              <w:rPr>
                <w:rFonts w:hint="eastAsia" w:ascii="仿宋" w:eastAsia="仿宋"/>
                <w:color w:val="auto"/>
                <w:sz w:val="28"/>
                <w:highlight w:val="none"/>
              </w:rPr>
              <w:t>街道社区卫生服务中心</w:t>
            </w:r>
          </w:p>
          <w:p w14:paraId="1F499E6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eastAsia="仿宋"/>
                <w:color w:val="auto"/>
                <w:sz w:val="28"/>
                <w:highlight w:val="none"/>
              </w:rPr>
            </w:pPr>
            <w:r>
              <w:rPr>
                <w:rFonts w:hint="eastAsia" w:ascii="仿宋" w:eastAsia="仿宋"/>
                <w:color w:val="auto"/>
                <w:sz w:val="28"/>
                <w:highlight w:val="none"/>
              </w:rPr>
              <w:t>绍兴市越城区</w:t>
            </w:r>
            <w:r>
              <w:rPr>
                <w:rFonts w:hint="eastAsia" w:ascii="仿宋" w:eastAsia="仿宋"/>
                <w:color w:val="auto"/>
                <w:sz w:val="28"/>
                <w:highlight w:val="none"/>
                <w:lang w:val="en-US" w:eastAsia="zh-CN"/>
              </w:rPr>
              <w:t>北海</w:t>
            </w:r>
            <w:r>
              <w:rPr>
                <w:rFonts w:hint="eastAsia" w:ascii="仿宋" w:eastAsia="仿宋"/>
                <w:color w:val="auto"/>
                <w:sz w:val="28"/>
                <w:highlight w:val="none"/>
              </w:rPr>
              <w:t>街道社区卫生服务中心</w:t>
            </w:r>
          </w:p>
          <w:p w14:paraId="373984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eastAsia="仿宋"/>
                <w:color w:val="auto"/>
                <w:sz w:val="28"/>
                <w:highlight w:val="none"/>
              </w:rPr>
            </w:pPr>
            <w:r>
              <w:rPr>
                <w:rFonts w:hint="eastAsia" w:ascii="仿宋" w:eastAsia="仿宋"/>
                <w:color w:val="auto"/>
                <w:sz w:val="28"/>
                <w:highlight w:val="none"/>
              </w:rPr>
              <w:t>绍兴市越城区</w:t>
            </w:r>
            <w:r>
              <w:rPr>
                <w:rFonts w:hint="eastAsia" w:ascii="仿宋" w:eastAsia="仿宋"/>
                <w:color w:val="auto"/>
                <w:sz w:val="28"/>
                <w:highlight w:val="none"/>
                <w:lang w:val="en-US" w:eastAsia="zh-CN"/>
              </w:rPr>
              <w:t>灵芝</w:t>
            </w:r>
            <w:r>
              <w:rPr>
                <w:rFonts w:hint="eastAsia" w:ascii="仿宋" w:eastAsia="仿宋"/>
                <w:color w:val="auto"/>
                <w:sz w:val="28"/>
                <w:highlight w:val="none"/>
              </w:rPr>
              <w:t>街道社区卫生服务中心</w:t>
            </w:r>
          </w:p>
          <w:p w14:paraId="0C2948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hAnsi="Times New Roman" w:eastAsia="仿宋" w:cs="Times New Roman"/>
                <w:color w:val="auto"/>
                <w:kern w:val="2"/>
                <w:sz w:val="28"/>
                <w:szCs w:val="20"/>
                <w:highlight w:val="none"/>
                <w:lang w:val="en-US" w:eastAsia="zh-CN" w:bidi="ar-SA"/>
              </w:rPr>
            </w:pPr>
            <w:r>
              <w:rPr>
                <w:rFonts w:hint="eastAsia" w:ascii="仿宋" w:eastAsia="仿宋"/>
                <w:color w:val="auto"/>
                <w:sz w:val="28"/>
                <w:highlight w:val="none"/>
              </w:rPr>
              <w:t>绍兴市越城区</w:t>
            </w:r>
            <w:r>
              <w:rPr>
                <w:rFonts w:hint="eastAsia" w:ascii="仿宋" w:eastAsia="仿宋"/>
                <w:color w:val="auto"/>
                <w:sz w:val="28"/>
                <w:highlight w:val="none"/>
                <w:lang w:val="en-US" w:eastAsia="zh-CN"/>
              </w:rPr>
              <w:t>东湖</w:t>
            </w:r>
            <w:r>
              <w:rPr>
                <w:rFonts w:hint="eastAsia" w:ascii="仿宋" w:eastAsia="仿宋"/>
                <w:color w:val="auto"/>
                <w:sz w:val="28"/>
                <w:highlight w:val="none"/>
              </w:rPr>
              <w:t>街道社区卫生服务中心</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705" w:type="dxa"/>
            <w:tcBorders>
              <w:top w:val="nil"/>
              <w:left w:val="nil"/>
              <w:bottom w:val="nil"/>
              <w:right w:val="nil"/>
            </w:tcBorders>
            <w:shd w:val="clear" w:color="auto" w:fill="auto"/>
            <w:noWrap/>
            <w:vAlign w:val="center"/>
          </w:tcPr>
          <w:p w14:paraId="25814BE0">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kern w:val="2"/>
                <w:sz w:val="28"/>
                <w:szCs w:val="20"/>
                <w:highlight w:val="none"/>
                <w:lang w:val="en-US" w:eastAsia="zh-CN" w:bidi="ar-SA"/>
              </w:rPr>
            </w:pPr>
            <w:r>
              <w:rPr>
                <w:rFonts w:hint="eastAsia" w:ascii="仿宋" w:eastAsia="仿宋"/>
                <w:color w:val="auto"/>
                <w:sz w:val="28"/>
                <w:highlight w:val="none"/>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705" w:type="dxa"/>
            <w:tcBorders>
              <w:top w:val="nil"/>
              <w:left w:val="nil"/>
              <w:bottom w:val="nil"/>
              <w:right w:val="nil"/>
            </w:tcBorders>
            <w:noWrap/>
            <w:vAlign w:val="center"/>
          </w:tcPr>
          <w:p w14:paraId="129FA88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eastAsia="仿宋"/>
                <w:color w:val="auto"/>
                <w:sz w:val="28"/>
                <w:highlight w:val="none"/>
              </w:rPr>
            </w:pPr>
            <w:r>
              <w:rPr>
                <w:rFonts w:hint="eastAsia" w:ascii="仿宋" w:eastAsia="仿宋"/>
                <w:color w:val="auto"/>
                <w:sz w:val="28"/>
                <w:highlight w:val="none"/>
              </w:rPr>
              <w:t>绍兴市越城区府山街道社区卫生服务中心纪检监察组</w:t>
            </w:r>
          </w:p>
          <w:p w14:paraId="1DA6CA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both"/>
              <w:textAlignment w:val="auto"/>
              <w:rPr>
                <w:rFonts w:hint="eastAsia" w:ascii="仿宋" w:eastAsia="仿宋"/>
                <w:color w:val="auto"/>
                <w:sz w:val="28"/>
                <w:highlight w:val="none"/>
              </w:rPr>
            </w:pPr>
            <w:r>
              <w:rPr>
                <w:rFonts w:hint="eastAsia" w:ascii="仿宋" w:eastAsia="仿宋"/>
                <w:color w:val="auto"/>
                <w:sz w:val="28"/>
                <w:highlight w:val="none"/>
              </w:rPr>
              <w:t>绍兴市越城区北海街道社区卫生服务中心纪检室</w:t>
            </w:r>
          </w:p>
          <w:p w14:paraId="02DE5D9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textAlignment w:val="auto"/>
              <w:rPr>
                <w:rFonts w:hint="eastAsia" w:ascii="仿宋" w:eastAsia="仿宋"/>
                <w:color w:val="auto"/>
                <w:sz w:val="28"/>
                <w:highlight w:val="none"/>
              </w:rPr>
            </w:pPr>
            <w:r>
              <w:rPr>
                <w:rFonts w:hint="eastAsia" w:ascii="仿宋" w:eastAsia="仿宋"/>
                <w:color w:val="auto"/>
                <w:sz w:val="28"/>
                <w:highlight w:val="none"/>
              </w:rPr>
              <w:t>绍兴市越城区灵芝街道社区卫生服务中心办公室</w:t>
            </w:r>
          </w:p>
          <w:p w14:paraId="7290EE6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textAlignment w:val="auto"/>
              <w:rPr>
                <w:rFonts w:hint="eastAsia" w:ascii="仿宋" w:eastAsia="仿宋"/>
                <w:color w:val="auto"/>
                <w:sz w:val="28"/>
                <w:highlight w:val="none"/>
              </w:rPr>
            </w:pPr>
            <w:r>
              <w:rPr>
                <w:rFonts w:hint="eastAsia" w:ascii="仿宋" w:eastAsia="仿宋"/>
                <w:color w:val="auto"/>
                <w:sz w:val="28"/>
                <w:highlight w:val="none"/>
              </w:rPr>
              <w:t>绍兴市越城区东湖街道社区卫生服务中心纪检监察组</w:t>
            </w:r>
          </w:p>
        </w:tc>
      </w:tr>
    </w:tbl>
    <w:p w14:paraId="13A3EA1E">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12</w:t>
      </w:r>
      <w:r>
        <w:rPr>
          <w:rFonts w:hint="eastAsia" w:ascii="仿宋" w:eastAsia="仿宋"/>
          <w:color w:val="auto"/>
          <w:sz w:val="28"/>
          <w:highlight w:val="none"/>
        </w:rPr>
        <w:t>月</w:t>
      </w:r>
    </w:p>
    <w:p w14:paraId="01954DEB">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2A8D4EB8">
      <w:pPr>
        <w:pStyle w:val="2"/>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24D057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绍兴市越城区府山、北海、灵芝、东湖街道社区卫生服务中心联合脑卒中筛查标本外送项目</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lang w:val="en-US" w:eastAsia="zh-CN"/>
        </w:rPr>
        <w:t>线下</w:t>
      </w:r>
      <w:r>
        <w:rPr>
          <w:rFonts w:hint="eastAsia" w:ascii="仿宋" w:eastAsia="仿宋"/>
          <w:color w:val="auto"/>
          <w:sz w:val="24"/>
          <w:szCs w:val="24"/>
          <w:highlight w:val="none"/>
        </w:rPr>
        <w:t>获取招标文件，并于</w:t>
      </w:r>
      <w:r>
        <w:rPr>
          <w:rFonts w:ascii="仿宋" w:eastAsia="仿宋"/>
          <w:color w:val="auto"/>
          <w:sz w:val="24"/>
          <w:szCs w:val="24"/>
          <w:highlight w:val="none"/>
          <w:u w:val="single"/>
        </w:rPr>
        <w:t xml:space="preserve">    </w:t>
      </w:r>
      <w:r>
        <w:rPr>
          <w:rFonts w:hint="eastAsia" w:ascii="仿宋" w:eastAsia="仿宋"/>
          <w:bCs/>
          <w:color w:val="auto"/>
          <w:sz w:val="24"/>
          <w:szCs w:val="24"/>
          <w:highlight w:val="none"/>
          <w:u w:val="single"/>
        </w:rPr>
        <w:t xml:space="preserve">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F6FB7D0">
      <w:pPr>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ZJDT-F-240</w:t>
      </w:r>
      <w:r>
        <w:rPr>
          <w:rFonts w:hint="eastAsia" w:ascii="仿宋" w:eastAsia="仿宋" w:cs="宋体"/>
          <w:bCs/>
          <w:color w:val="auto"/>
          <w:sz w:val="24"/>
          <w:szCs w:val="24"/>
          <w:highlight w:val="none"/>
          <w:u w:val="single"/>
          <w:lang w:val="en-US" w:eastAsia="zh-CN"/>
        </w:rPr>
        <w:t>56</w:t>
      </w:r>
    </w:p>
    <w:p w14:paraId="675E5D59">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绍兴市越城区府山、北海、灵芝、东湖街道社区卫生服务中心联合脑卒中筛查标本外送项目</w:t>
      </w:r>
    </w:p>
    <w:bookmarkEnd w:id="5"/>
    <w:p w14:paraId="7125DE47">
      <w:pPr>
        <w:spacing w:line="360" w:lineRule="auto"/>
        <w:ind w:firstLine="540"/>
        <w:rPr>
          <w:rFonts w:hint="default" w:ascii="仿宋" w:eastAsia="仿宋" w:cs="宋体"/>
          <w:bCs/>
          <w:color w:val="auto"/>
          <w:sz w:val="24"/>
          <w:szCs w:val="24"/>
          <w:highlight w:val="none"/>
          <w:u w:val="none"/>
          <w:lang w:val="en-US"/>
        </w:rPr>
      </w:pPr>
      <w:r>
        <w:rPr>
          <w:rFonts w:hint="eastAsia" w:ascii="仿宋" w:eastAsia="仿宋" w:cs="宋体"/>
          <w:bCs/>
          <w:color w:val="auto"/>
          <w:sz w:val="24"/>
          <w:szCs w:val="24"/>
          <w:highlight w:val="none"/>
          <w:u w:val="none"/>
        </w:rPr>
        <w:t>预算金额</w:t>
      </w:r>
      <w:r>
        <w:rPr>
          <w:rFonts w:ascii="仿宋" w:eastAsia="仿宋" w:cs="宋体"/>
          <w:bCs/>
          <w:color w:val="auto"/>
          <w:sz w:val="24"/>
          <w:szCs w:val="24"/>
          <w:highlight w:val="none"/>
          <w:u w:val="none"/>
        </w:rPr>
        <w:t>（元）</w:t>
      </w:r>
      <w:r>
        <w:rPr>
          <w:rFonts w:hint="eastAsia" w:ascii="仿宋" w:eastAsia="仿宋" w:cs="宋体"/>
          <w:bCs/>
          <w:color w:val="auto"/>
          <w:sz w:val="24"/>
          <w:szCs w:val="24"/>
          <w:highlight w:val="none"/>
          <w:u w:val="none"/>
        </w:rPr>
        <w:t>：</w:t>
      </w:r>
      <w:r>
        <w:rPr>
          <w:rFonts w:hint="eastAsia" w:ascii="仿宋" w:eastAsia="仿宋" w:cs="宋体"/>
          <w:bCs/>
          <w:color w:val="auto"/>
          <w:sz w:val="24"/>
          <w:szCs w:val="24"/>
          <w:highlight w:val="none"/>
          <w:u w:val="none"/>
          <w:lang w:val="en-US" w:eastAsia="zh-CN"/>
        </w:rPr>
        <w:t>800000（府山200000、北海200000、</w:t>
      </w:r>
      <w:r>
        <w:rPr>
          <w:rFonts w:hint="eastAsia" w:ascii="仿宋" w:eastAsia="仿宋" w:cs="宋体"/>
          <w:bCs/>
          <w:color w:val="auto"/>
          <w:sz w:val="24"/>
          <w:szCs w:val="24"/>
          <w:highlight w:val="none"/>
          <w:u w:val="none"/>
          <w:lang w:eastAsia="zh-CN"/>
        </w:rPr>
        <w:t>灵芝</w:t>
      </w:r>
      <w:r>
        <w:rPr>
          <w:rFonts w:hint="eastAsia" w:ascii="仿宋" w:eastAsia="仿宋" w:cs="宋体"/>
          <w:bCs/>
          <w:color w:val="auto"/>
          <w:sz w:val="24"/>
          <w:szCs w:val="24"/>
          <w:highlight w:val="none"/>
          <w:u w:val="none"/>
          <w:lang w:val="en-US" w:eastAsia="zh-CN"/>
        </w:rPr>
        <w:t>200000、</w:t>
      </w:r>
      <w:r>
        <w:rPr>
          <w:rFonts w:hint="eastAsia" w:ascii="仿宋" w:eastAsia="仿宋" w:cs="宋体"/>
          <w:bCs/>
          <w:color w:val="auto"/>
          <w:sz w:val="24"/>
          <w:szCs w:val="24"/>
          <w:highlight w:val="none"/>
          <w:u w:val="none"/>
          <w:lang w:eastAsia="zh-CN"/>
        </w:rPr>
        <w:t>东湖</w:t>
      </w:r>
      <w:r>
        <w:rPr>
          <w:rFonts w:hint="eastAsia" w:ascii="仿宋" w:eastAsia="仿宋" w:cs="宋体"/>
          <w:bCs/>
          <w:color w:val="auto"/>
          <w:sz w:val="24"/>
          <w:szCs w:val="24"/>
          <w:highlight w:val="none"/>
          <w:u w:val="none"/>
          <w:lang w:val="en-US" w:eastAsia="zh-CN"/>
        </w:rPr>
        <w:t>200000）</w:t>
      </w:r>
    </w:p>
    <w:p w14:paraId="573E81E0">
      <w:pPr>
        <w:spacing w:line="360" w:lineRule="auto"/>
        <w:ind w:firstLine="540"/>
        <w:rPr>
          <w:rFonts w:hint="eastAsia" w:ascii="仿宋" w:eastAsia="仿宋" w:cs="宋体"/>
          <w:bCs/>
          <w:color w:val="auto"/>
          <w:sz w:val="24"/>
          <w:szCs w:val="24"/>
          <w:highlight w:val="none"/>
          <w:u w:val="none"/>
        </w:rPr>
      </w:pPr>
      <w:r>
        <w:rPr>
          <w:rFonts w:hint="eastAsia" w:ascii="仿宋" w:eastAsia="仿宋" w:cs="宋体"/>
          <w:bCs/>
          <w:color w:val="auto"/>
          <w:sz w:val="24"/>
          <w:szCs w:val="24"/>
          <w:highlight w:val="none"/>
          <w:u w:val="none"/>
        </w:rPr>
        <w:t>最高限价</w:t>
      </w:r>
      <w:r>
        <w:rPr>
          <w:rFonts w:ascii="仿宋" w:eastAsia="仿宋" w:cs="宋体"/>
          <w:bCs/>
          <w:color w:val="auto"/>
          <w:sz w:val="24"/>
          <w:szCs w:val="24"/>
          <w:highlight w:val="none"/>
          <w:u w:val="none"/>
        </w:rPr>
        <w:t>（元）</w:t>
      </w:r>
      <w:r>
        <w:rPr>
          <w:rFonts w:hint="eastAsia" w:ascii="仿宋" w:eastAsia="仿宋" w:cs="宋体"/>
          <w:bCs/>
          <w:color w:val="auto"/>
          <w:sz w:val="24"/>
          <w:szCs w:val="24"/>
          <w:highlight w:val="none"/>
          <w:u w:val="none"/>
        </w:rPr>
        <w:t>：</w:t>
      </w:r>
      <w:r>
        <w:rPr>
          <w:rFonts w:hint="eastAsia" w:ascii="仿宋" w:eastAsia="仿宋" w:cs="宋体"/>
          <w:bCs/>
          <w:color w:val="auto"/>
          <w:sz w:val="24"/>
          <w:szCs w:val="24"/>
          <w:highlight w:val="none"/>
          <w:u w:val="none"/>
          <w:lang w:val="en-US" w:eastAsia="zh-CN"/>
        </w:rPr>
        <w:t>800000（府山200000、北海200000、</w:t>
      </w:r>
      <w:r>
        <w:rPr>
          <w:rFonts w:hint="eastAsia" w:ascii="仿宋" w:eastAsia="仿宋" w:cs="宋体"/>
          <w:bCs/>
          <w:color w:val="auto"/>
          <w:sz w:val="24"/>
          <w:szCs w:val="24"/>
          <w:highlight w:val="none"/>
          <w:u w:val="none"/>
          <w:lang w:eastAsia="zh-CN"/>
        </w:rPr>
        <w:t>灵芝</w:t>
      </w:r>
      <w:r>
        <w:rPr>
          <w:rFonts w:hint="eastAsia" w:ascii="仿宋" w:eastAsia="仿宋" w:cs="宋体"/>
          <w:bCs/>
          <w:color w:val="auto"/>
          <w:sz w:val="24"/>
          <w:szCs w:val="24"/>
          <w:highlight w:val="none"/>
          <w:u w:val="none"/>
          <w:lang w:val="en-US" w:eastAsia="zh-CN"/>
        </w:rPr>
        <w:t>200000、</w:t>
      </w:r>
      <w:r>
        <w:rPr>
          <w:rFonts w:hint="eastAsia" w:ascii="仿宋" w:eastAsia="仿宋" w:cs="宋体"/>
          <w:bCs/>
          <w:color w:val="auto"/>
          <w:sz w:val="24"/>
          <w:szCs w:val="24"/>
          <w:highlight w:val="none"/>
          <w:u w:val="none"/>
          <w:lang w:eastAsia="zh-CN"/>
        </w:rPr>
        <w:t>东湖</w:t>
      </w:r>
      <w:r>
        <w:rPr>
          <w:rFonts w:hint="eastAsia" w:ascii="仿宋" w:eastAsia="仿宋" w:cs="宋体"/>
          <w:bCs/>
          <w:color w:val="auto"/>
          <w:sz w:val="24"/>
          <w:szCs w:val="24"/>
          <w:highlight w:val="none"/>
          <w:u w:val="none"/>
          <w:lang w:val="en-US" w:eastAsia="zh-CN"/>
        </w:rPr>
        <w:t>200000）</w:t>
      </w:r>
    </w:p>
    <w:p w14:paraId="7EB6A095">
      <w:pPr>
        <w:spacing w:line="360" w:lineRule="auto"/>
        <w:ind w:firstLine="540"/>
        <w:rPr>
          <w:rFonts w:ascii="仿宋" w:eastAsia="仿宋" w:cs="宋体"/>
          <w:bCs/>
          <w:color w:val="auto"/>
          <w:sz w:val="24"/>
          <w:szCs w:val="24"/>
          <w:highlight w:val="none"/>
          <w:u w:val="none"/>
        </w:rPr>
      </w:pPr>
      <w:r>
        <w:rPr>
          <w:rFonts w:hint="eastAsia" w:ascii="仿宋" w:eastAsia="仿宋" w:cs="宋体"/>
          <w:bCs/>
          <w:color w:val="auto"/>
          <w:sz w:val="24"/>
          <w:szCs w:val="24"/>
          <w:highlight w:val="none"/>
          <w:u w:val="none"/>
        </w:rPr>
        <w:t>采购需求：</w:t>
      </w:r>
    </w:p>
    <w:p w14:paraId="2CBE35C9">
      <w:pPr>
        <w:spacing w:line="360" w:lineRule="auto"/>
        <w:ind w:firstLine="1020" w:firstLineChars="425"/>
        <w:rPr>
          <w:rFonts w:hint="eastAsia" w:ascii="仿宋" w:eastAsia="仿宋" w:cs="宋体"/>
          <w:bCs/>
          <w:color w:val="auto"/>
          <w:sz w:val="24"/>
          <w:highlight w:val="none"/>
          <w:u w:val="none"/>
        </w:rPr>
      </w:pPr>
      <w:r>
        <w:rPr>
          <w:rFonts w:hint="eastAsia" w:ascii="仿宋" w:eastAsia="仿宋" w:cs="宋体"/>
          <w:bCs/>
          <w:color w:val="auto"/>
          <w:sz w:val="24"/>
          <w:highlight w:val="none"/>
          <w:u w:val="none"/>
        </w:rPr>
        <w:t>标项一</w:t>
      </w:r>
      <w:r>
        <w:rPr>
          <w:rFonts w:ascii="仿宋" w:eastAsia="仿宋" w:cs="宋体"/>
          <w:bCs/>
          <w:color w:val="auto"/>
          <w:sz w:val="24"/>
          <w:highlight w:val="none"/>
          <w:u w:val="none"/>
        </w:rPr>
        <w:t>：</w:t>
      </w:r>
    </w:p>
    <w:p w14:paraId="63A311AF">
      <w:pPr>
        <w:spacing w:line="360" w:lineRule="auto"/>
        <w:ind w:firstLine="540"/>
        <w:rPr>
          <w:rFonts w:hint="eastAsia" w:ascii="仿宋" w:eastAsia="仿宋" w:cs="宋体"/>
          <w:bCs/>
          <w:color w:val="auto"/>
          <w:sz w:val="24"/>
          <w:highlight w:val="none"/>
          <w:u w:val="none"/>
          <w:lang w:eastAsia="zh-CN"/>
        </w:rPr>
      </w:pPr>
      <w:r>
        <w:rPr>
          <w:rFonts w:hint="eastAsia" w:ascii="仿宋" w:eastAsia="仿宋" w:cs="宋体"/>
          <w:bCs/>
          <w:color w:val="auto"/>
          <w:sz w:val="24"/>
          <w:highlight w:val="none"/>
          <w:u w:val="none"/>
        </w:rPr>
        <w:t xml:space="preserve">    标项名称</w:t>
      </w:r>
      <w:r>
        <w:rPr>
          <w:rFonts w:ascii="仿宋" w:eastAsia="仿宋" w:cs="宋体"/>
          <w:bCs/>
          <w:color w:val="auto"/>
          <w:sz w:val="24"/>
          <w:highlight w:val="none"/>
          <w:u w:val="none"/>
        </w:rPr>
        <w:t>：</w:t>
      </w:r>
      <w:r>
        <w:rPr>
          <w:rFonts w:hint="eastAsia" w:ascii="仿宋" w:eastAsia="仿宋" w:cs="宋体"/>
          <w:bCs/>
          <w:color w:val="auto"/>
          <w:sz w:val="24"/>
          <w:szCs w:val="24"/>
          <w:highlight w:val="none"/>
          <w:u w:val="none"/>
          <w:lang w:eastAsia="zh-CN"/>
        </w:rPr>
        <w:t>绍兴市越城区府山、北海、灵芝、东湖街道社区卫生服务中心联合脑卒中筛查标本外送项目</w:t>
      </w:r>
    </w:p>
    <w:p w14:paraId="65EBE777">
      <w:pPr>
        <w:spacing w:line="360" w:lineRule="auto"/>
        <w:ind w:firstLine="540"/>
        <w:rPr>
          <w:rFonts w:hint="eastAsia" w:ascii="仿宋" w:eastAsia="仿宋" w:cs="宋体"/>
          <w:bCs/>
          <w:color w:val="auto"/>
          <w:sz w:val="24"/>
          <w:highlight w:val="none"/>
          <w:u w:val="none"/>
          <w:lang w:eastAsia="zh-CN"/>
        </w:rPr>
      </w:pPr>
      <w:r>
        <w:rPr>
          <w:rFonts w:hint="eastAsia" w:ascii="仿宋" w:eastAsia="仿宋" w:cs="宋体"/>
          <w:bCs/>
          <w:color w:val="auto"/>
          <w:sz w:val="24"/>
          <w:highlight w:val="none"/>
          <w:u w:val="none"/>
        </w:rPr>
        <w:t xml:space="preserve">    数量</w:t>
      </w:r>
      <w:r>
        <w:rPr>
          <w:rFonts w:ascii="仿宋" w:eastAsia="仿宋" w:cs="宋体"/>
          <w:bCs/>
          <w:color w:val="auto"/>
          <w:sz w:val="24"/>
          <w:highlight w:val="none"/>
          <w:u w:val="none"/>
        </w:rPr>
        <w:t>：</w:t>
      </w:r>
      <w:r>
        <w:rPr>
          <w:rFonts w:hint="eastAsia" w:ascii="仿宋" w:eastAsia="仿宋" w:cs="宋体"/>
          <w:bCs/>
          <w:color w:val="auto"/>
          <w:sz w:val="24"/>
          <w:szCs w:val="24"/>
          <w:highlight w:val="none"/>
          <w:u w:val="none"/>
          <w:lang w:val="en-US" w:eastAsia="zh-CN"/>
        </w:rPr>
        <w:t>1</w:t>
      </w:r>
    </w:p>
    <w:p w14:paraId="4C21DC29">
      <w:pPr>
        <w:spacing w:line="360" w:lineRule="auto"/>
        <w:ind w:firstLine="540"/>
        <w:rPr>
          <w:rFonts w:hint="eastAsia" w:ascii="仿宋" w:eastAsia="仿宋" w:cs="宋体"/>
          <w:bCs/>
          <w:color w:val="auto"/>
          <w:sz w:val="24"/>
          <w:highlight w:val="none"/>
          <w:u w:val="none"/>
        </w:rPr>
      </w:pPr>
      <w:r>
        <w:rPr>
          <w:rFonts w:hint="eastAsia" w:ascii="仿宋" w:eastAsia="仿宋" w:cs="宋体"/>
          <w:bCs/>
          <w:color w:val="auto"/>
          <w:sz w:val="24"/>
          <w:highlight w:val="none"/>
          <w:u w:val="none"/>
        </w:rPr>
        <w:t xml:space="preserve">    预算金额（元）</w:t>
      </w:r>
      <w:r>
        <w:rPr>
          <w:rFonts w:ascii="仿宋" w:eastAsia="仿宋" w:cs="宋体"/>
          <w:bCs/>
          <w:color w:val="auto"/>
          <w:sz w:val="24"/>
          <w:highlight w:val="none"/>
          <w:u w:val="none"/>
        </w:rPr>
        <w:t>：</w:t>
      </w:r>
      <w:r>
        <w:rPr>
          <w:rFonts w:hint="eastAsia" w:ascii="仿宋" w:eastAsia="仿宋" w:cs="宋体"/>
          <w:bCs/>
          <w:color w:val="auto"/>
          <w:sz w:val="24"/>
          <w:szCs w:val="24"/>
          <w:highlight w:val="none"/>
          <w:u w:val="none"/>
          <w:lang w:val="en-US" w:eastAsia="zh-CN"/>
        </w:rPr>
        <w:t>800000（府山200000、北海200000、</w:t>
      </w:r>
      <w:r>
        <w:rPr>
          <w:rFonts w:hint="eastAsia" w:ascii="仿宋" w:eastAsia="仿宋" w:cs="宋体"/>
          <w:bCs/>
          <w:color w:val="auto"/>
          <w:sz w:val="24"/>
          <w:szCs w:val="24"/>
          <w:highlight w:val="none"/>
          <w:u w:val="none"/>
          <w:lang w:eastAsia="zh-CN"/>
        </w:rPr>
        <w:t>灵芝</w:t>
      </w:r>
      <w:r>
        <w:rPr>
          <w:rFonts w:hint="eastAsia" w:ascii="仿宋" w:eastAsia="仿宋" w:cs="宋体"/>
          <w:bCs/>
          <w:color w:val="auto"/>
          <w:sz w:val="24"/>
          <w:szCs w:val="24"/>
          <w:highlight w:val="none"/>
          <w:u w:val="none"/>
          <w:lang w:val="en-US" w:eastAsia="zh-CN"/>
        </w:rPr>
        <w:t>200000、</w:t>
      </w:r>
      <w:r>
        <w:rPr>
          <w:rFonts w:hint="eastAsia" w:ascii="仿宋" w:eastAsia="仿宋" w:cs="宋体"/>
          <w:bCs/>
          <w:color w:val="auto"/>
          <w:sz w:val="24"/>
          <w:szCs w:val="24"/>
          <w:highlight w:val="none"/>
          <w:u w:val="none"/>
          <w:lang w:eastAsia="zh-CN"/>
        </w:rPr>
        <w:t>东湖</w:t>
      </w:r>
      <w:r>
        <w:rPr>
          <w:rFonts w:hint="eastAsia" w:ascii="仿宋" w:eastAsia="仿宋" w:cs="宋体"/>
          <w:bCs/>
          <w:color w:val="auto"/>
          <w:sz w:val="24"/>
          <w:szCs w:val="24"/>
          <w:highlight w:val="none"/>
          <w:u w:val="none"/>
          <w:lang w:val="en-US" w:eastAsia="zh-CN"/>
        </w:rPr>
        <w:t>200000）</w:t>
      </w:r>
    </w:p>
    <w:p w14:paraId="410067D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05A9A3F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80"/>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 xml:space="preserve">  /  </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4FFE343">
      <w:pPr>
        <w:spacing w:line="360" w:lineRule="auto"/>
        <w:ind w:firstLine="540"/>
        <w:rPr>
          <w:rFonts w:ascii="仿宋" w:eastAsia="仿宋" w:cs="宋体"/>
          <w:color w:val="auto"/>
          <w:sz w:val="24"/>
          <w:szCs w:val="24"/>
          <w:highlight w:val="none"/>
        </w:rPr>
      </w:pPr>
      <w:bookmarkStart w:id="14" w:name="_Toc28359005"/>
      <w:bookmarkStart w:id="15" w:name="_Toc28359082"/>
      <w:bookmarkStart w:id="16" w:name="_Toc35393793"/>
      <w:bookmarkStart w:id="17" w:name="_Toc35393624"/>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    年  月  日</w:t>
      </w:r>
      <w:r>
        <w:rPr>
          <w:rFonts w:ascii="仿宋" w:eastAsia="仿宋" w:cs="宋体"/>
          <w:color w:val="auto"/>
          <w:sz w:val="24"/>
          <w:szCs w:val="24"/>
          <w:highlight w:val="none"/>
        </w:rPr>
        <w:t xml:space="preserve"> </w:t>
      </w:r>
      <w:r>
        <w:rPr>
          <w:rFonts w:ascii="仿宋" w:eastAsia="仿宋" w:cs="宋体"/>
          <w:color w:val="auto"/>
          <w:sz w:val="24"/>
          <w:szCs w:val="24"/>
          <w:highlight w:val="none"/>
        </w:rPr>
        <w:t>，每天上午0</w:t>
      </w:r>
      <w:r>
        <w:rPr>
          <w:rFonts w:hint="eastAsia" w:ascii="仿宋" w:eastAsia="仿宋" w:cs="宋体"/>
          <w:color w:val="auto"/>
          <w:sz w:val="24"/>
          <w:szCs w:val="24"/>
          <w:highlight w:val="none"/>
          <w:lang w:val="en-US" w:eastAsia="zh-CN"/>
        </w:rPr>
        <w:t>8</w:t>
      </w:r>
      <w:r>
        <w:rPr>
          <w:rFonts w:ascii="仿宋" w:eastAsia="仿宋" w:cs="宋体"/>
          <w:color w:val="auto"/>
          <w:sz w:val="24"/>
          <w:szCs w:val="24"/>
          <w:highlight w:val="none"/>
        </w:rPr>
        <w:t>:</w:t>
      </w:r>
      <w:r>
        <w:rPr>
          <w:rFonts w:hint="eastAsia" w:ascii="仿宋" w:eastAsia="仿宋" w:cs="宋体"/>
          <w:color w:val="auto"/>
          <w:sz w:val="24"/>
          <w:szCs w:val="24"/>
          <w:highlight w:val="none"/>
          <w:lang w:val="en-US" w:eastAsia="zh-CN"/>
        </w:rPr>
        <w:t>3</w:t>
      </w:r>
      <w:r>
        <w:rPr>
          <w:rFonts w:ascii="仿宋" w:eastAsia="仿宋" w:cs="宋体"/>
          <w:color w:val="auto"/>
          <w:sz w:val="24"/>
          <w:szCs w:val="24"/>
          <w:highlight w:val="none"/>
        </w:rPr>
        <w:t>0至12:00 ，下午1</w:t>
      </w:r>
      <w:r>
        <w:rPr>
          <w:rFonts w:hint="eastAsia" w:ascii="仿宋" w:eastAsia="仿宋" w:cs="宋体"/>
          <w:color w:val="auto"/>
          <w:sz w:val="24"/>
          <w:szCs w:val="24"/>
          <w:highlight w:val="none"/>
          <w:lang w:val="en-US" w:eastAsia="zh-CN"/>
        </w:rPr>
        <w:t>4</w:t>
      </w:r>
      <w:r>
        <w:rPr>
          <w:rFonts w:ascii="仿宋" w:eastAsia="仿宋" w:cs="宋体"/>
          <w:color w:val="auto"/>
          <w:sz w:val="24"/>
          <w:szCs w:val="24"/>
          <w:highlight w:val="none"/>
        </w:rPr>
        <w:t>:00至</w:t>
      </w:r>
      <w:r>
        <w:rPr>
          <w:rFonts w:hint="eastAsia" w:ascii="仿宋" w:eastAsia="仿宋" w:cs="宋体"/>
          <w:color w:val="auto"/>
          <w:sz w:val="24"/>
          <w:szCs w:val="24"/>
          <w:highlight w:val="none"/>
          <w:lang w:val="en-US" w:eastAsia="zh-CN"/>
        </w:rPr>
        <w:t>17:00</w:t>
      </w:r>
      <w:r>
        <w:rPr>
          <w:rFonts w:ascii="仿宋" w:eastAsia="仿宋" w:cs="宋体"/>
          <w:color w:val="auto"/>
          <w:sz w:val="24"/>
          <w:szCs w:val="24"/>
          <w:highlight w:val="none"/>
        </w:rPr>
        <w:t>（北京时间</w:t>
      </w:r>
      <w:r>
        <w:rPr>
          <w:rFonts w:hint="eastAsia" w:ascii="仿宋" w:eastAsia="仿宋" w:cs="宋体"/>
          <w:color w:val="auto"/>
          <w:sz w:val="24"/>
          <w:szCs w:val="24"/>
          <w:highlight w:val="none"/>
        </w:rPr>
        <w:t>双休日及法定节假日除外</w:t>
      </w:r>
      <w:r>
        <w:rPr>
          <w:rFonts w:ascii="仿宋" w:eastAsia="仿宋" w:cs="宋体"/>
          <w:color w:val="auto"/>
          <w:sz w:val="24"/>
          <w:szCs w:val="24"/>
          <w:highlight w:val="none"/>
        </w:rPr>
        <w:t>）。</w:t>
      </w:r>
    </w:p>
    <w:p w14:paraId="788F02C9">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hint="eastAsia" w:ascii="仿宋" w:eastAsia="仿宋"/>
          <w:bCs/>
          <w:color w:val="auto"/>
          <w:sz w:val="24"/>
          <w:szCs w:val="24"/>
          <w:highlight w:val="none"/>
        </w:rPr>
        <w:t>浙江东腾利成招标代理有限公司（绍兴市人民东路1187号伟丰文化产业园藏品楼30</w:t>
      </w:r>
      <w:r>
        <w:rPr>
          <w:rFonts w:hint="eastAsia" w:ascii="仿宋" w:eastAsia="仿宋"/>
          <w:bCs/>
          <w:color w:val="auto"/>
          <w:sz w:val="24"/>
          <w:szCs w:val="24"/>
          <w:highlight w:val="none"/>
          <w:lang w:val="en-US" w:eastAsia="zh-CN"/>
        </w:rPr>
        <w:t>4</w:t>
      </w:r>
      <w:r>
        <w:rPr>
          <w:rFonts w:hint="eastAsia" w:ascii="仿宋" w:eastAsia="仿宋"/>
          <w:bCs/>
          <w:color w:val="auto"/>
          <w:sz w:val="24"/>
          <w:szCs w:val="24"/>
          <w:highlight w:val="none"/>
        </w:rPr>
        <w:t>室）</w:t>
      </w:r>
    </w:p>
    <w:p w14:paraId="5F54B0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投标人获取时需提供以下报名资料（加盖单位公章）扫描件以邮件形式发送至13757590582@163.com邮箱内，报名是否成功以招标代理回复为准：</w:t>
      </w:r>
    </w:p>
    <w:p w14:paraId="4D19E3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aps w:val="0"/>
          <w:smallCaps w:val="0"/>
          <w:snapToGrid/>
          <w:vanish w:val="0"/>
          <w:color w:val="auto"/>
          <w:sz w:val="24"/>
          <w:szCs w:val="24"/>
          <w:highlight w:val="none"/>
          <w:vertAlign w:val="baseline"/>
        </w:rPr>
        <w:t>（1）营业执照、组织机构代码证、税务登记证或五证合一营业执照的复印件；</w:t>
      </w:r>
    </w:p>
    <w:p w14:paraId="0C0838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aps w:val="0"/>
          <w:smallCaps w:val="0"/>
          <w:snapToGrid/>
          <w:vanish w:val="0"/>
          <w:color w:val="auto"/>
          <w:sz w:val="24"/>
          <w:szCs w:val="24"/>
          <w:highlight w:val="none"/>
          <w:vertAlign w:val="baseline"/>
        </w:rPr>
        <w:t>（2）投标人出具的报名代表介绍信（或授权委托书），包含联系人，联系电话等投标人信息；</w:t>
      </w:r>
    </w:p>
    <w:p w14:paraId="7D358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aps w:val="0"/>
          <w:smallCaps w:val="0"/>
          <w:snapToGrid/>
          <w:vanish w:val="0"/>
          <w:color w:val="auto"/>
          <w:sz w:val="24"/>
          <w:szCs w:val="24"/>
          <w:highlight w:val="none"/>
          <w:vertAlign w:val="baseline"/>
        </w:rPr>
        <w:t>（3）采购代理机构将拒绝接受未获取招标文件或未登记的供应商的投标文件；</w:t>
      </w:r>
    </w:p>
    <w:p w14:paraId="2E88F7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C8E2E09">
      <w:pPr>
        <w:spacing w:line="360" w:lineRule="auto"/>
        <w:ind w:firstLine="480" w:firstLineChars="200"/>
        <w:rPr>
          <w:rFonts w:ascii="仿宋" w:eastAsia="仿宋"/>
          <w:bCs/>
          <w:color w:val="auto"/>
          <w:sz w:val="24"/>
          <w:szCs w:val="24"/>
          <w:highlight w:val="none"/>
          <w:u w:val="single"/>
        </w:rPr>
      </w:pPr>
      <w:bookmarkStart w:id="18" w:name="_Toc35393625"/>
      <w:bookmarkStart w:id="19" w:name="_Toc28359084"/>
      <w:bookmarkStart w:id="20" w:name="_Toc35393794"/>
      <w:bookmarkStart w:id="21" w:name="_Toc28359007"/>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0CC1CA06">
      <w:pPr>
        <w:spacing w:line="360" w:lineRule="auto"/>
        <w:ind w:firstLine="480" w:firstLineChars="200"/>
        <w:rPr>
          <w:rFonts w:hint="eastAsia" w:ascii="仿宋" w:hAnsi="仿宋" w:eastAsia="仿宋" w:cs="宋体"/>
          <w:color w:val="auto"/>
          <w:sz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hint="eastAsia" w:ascii="仿宋" w:hAnsi="仿宋" w:eastAsia="仿宋" w:cs="宋体"/>
          <w:color w:val="auto"/>
          <w:sz w:val="24"/>
          <w:highlight w:val="none"/>
        </w:rPr>
        <w:t>浙江东腾利成招标代理有限公司</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绍兴市人民东路1187号伟丰文化产业园藏品楼</w:t>
      </w:r>
      <w:r>
        <w:rPr>
          <w:rFonts w:hint="eastAsia" w:ascii="仿宋" w:hAnsi="仿宋" w:eastAsia="仿宋" w:cs="宋体"/>
          <w:color w:val="auto"/>
          <w:sz w:val="24"/>
          <w:highlight w:val="none"/>
          <w:lang w:val="en-US" w:eastAsia="zh-CN"/>
        </w:rPr>
        <w:t>305室</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逾期送达作无效投标处理。</w:t>
      </w:r>
    </w:p>
    <w:p w14:paraId="7CD75A90">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p>
    <w:p w14:paraId="070E162C">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w:t>
      </w:r>
      <w:r>
        <w:rPr>
          <w:rFonts w:hint="eastAsia" w:ascii="仿宋" w:eastAsia="仿宋"/>
          <w:color w:val="auto"/>
          <w:sz w:val="24"/>
          <w:szCs w:val="24"/>
          <w:highlight w:val="none"/>
          <w:lang w:eastAsia="zh-CN"/>
        </w:rPr>
        <w:t>：</w:t>
      </w:r>
      <w:r>
        <w:rPr>
          <w:rFonts w:hint="eastAsia" w:ascii="仿宋" w:hAnsi="仿宋" w:eastAsia="仿宋" w:cs="宋体"/>
          <w:color w:val="auto"/>
          <w:sz w:val="24"/>
          <w:highlight w:val="none"/>
        </w:rPr>
        <w:t>浙江东腾利成招标代理有限公司（绍兴市人民东路1187号伟丰文化产业园藏品楼3楼开标室）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0CBF106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42C5E4B8">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BE92EEA">
      <w:pPr>
        <w:ind w:left="0" w:firstLine="480" w:firstLineChars="200"/>
        <w:rPr>
          <w:rFonts w:hint="eastAsia" w:ascii="仿宋" w:eastAsia="仿宋" w:cs="宋体"/>
          <w:color w:val="auto"/>
          <w:kern w:val="0"/>
          <w:sz w:val="24"/>
          <w:szCs w:val="24"/>
          <w:highlight w:val="none"/>
        </w:rPr>
      </w:pPr>
      <w:r>
        <w:rPr>
          <w:rFonts w:hint="eastAsia" w:ascii="仿宋" w:eastAsia="仿宋" w:cs="宋体"/>
          <w:color w:val="auto"/>
          <w:kern w:val="0"/>
          <w:sz w:val="24"/>
          <w:szCs w:val="24"/>
          <w:highlight w:val="none"/>
          <w:lang w:val="en-US" w:eastAsia="zh-CN"/>
        </w:rPr>
        <w:t>2</w:t>
      </w:r>
      <w:r>
        <w:rPr>
          <w:rFonts w:ascii="仿宋" w:eastAsia="仿宋" w:cs="宋体"/>
          <w:color w:val="auto"/>
          <w:kern w:val="0"/>
          <w:sz w:val="24"/>
          <w:szCs w:val="24"/>
          <w:highlight w:val="none"/>
        </w:rPr>
        <w:t>.其他事项：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E32C3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627"/>
      <w:bookmarkStart w:id="25" w:name="_Toc28359008"/>
      <w:bookmarkStart w:id="26" w:name="_Toc28359085"/>
      <w:bookmarkStart w:id="27" w:name="_Toc35393796"/>
      <w:r>
        <w:rPr>
          <w:rFonts w:hint="eastAsia" w:ascii="仿宋" w:hAnsi="仿宋" w:eastAsia="仿宋" w:cs="仿宋"/>
          <w:b/>
          <w:bCs/>
          <w:color w:val="auto"/>
          <w:sz w:val="24"/>
          <w:szCs w:val="24"/>
          <w:highlight w:val="none"/>
        </w:rPr>
        <w:t>七、本项目投标采用以下方式：</w:t>
      </w:r>
    </w:p>
    <w:p w14:paraId="2B3ED2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1.本项目投标文件允许供应商通过邮寄快递方式送达（建议可采用EMS或顺丰快递。地址：浙江东腾利成招标代理有限公司（绍兴市人民东路1187号伟丰文化产业园藏品楼30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室），邮编312000，签收人：</w:t>
      </w:r>
      <w:r>
        <w:rPr>
          <w:rFonts w:hint="eastAsia" w:ascii="仿宋" w:hAnsi="仿宋" w:eastAsia="仿宋" w:cs="仿宋"/>
          <w:color w:val="auto"/>
          <w:sz w:val="24"/>
          <w:highlight w:val="none"/>
          <w:lang w:val="en-US" w:eastAsia="zh-CN"/>
        </w:rPr>
        <w:t>冯工</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13757590582</w:t>
      </w:r>
      <w:r>
        <w:rPr>
          <w:rFonts w:hint="eastAsia" w:ascii="仿宋" w:hAnsi="仿宋" w:eastAsia="仿宋" w:cs="仿宋"/>
          <w:color w:val="auto"/>
          <w:sz w:val="24"/>
          <w:highlight w:val="none"/>
        </w:rPr>
        <w:t>）。并请充分考虑快递在途时间，以确保在投标截止时间前送达。投标文件递交的时间以招标采购代理机构签收时间为准，除邮寄外包装外，投标文件仍需要按采购文件要求封包，但在邮寄过程中发生的包封缺损或保管过程中发生的一切事宜均由供应商自行承担。</w:t>
      </w:r>
    </w:p>
    <w:p w14:paraId="09D84C4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别提醒：请各供应商确保密封包装在邮寄过程密封包装完好，因邮寄过程的密封破损造成不符合开标要求的，本项目招标采购代理机构及采购人概不负责。建议投标文件包装后邮寄时再进行外包装。供应商应对邮寄快递投标文件的完整性、密封性负责。邮包外包装应注明供应商名称和联系人手机号码，以便代理机构在收到邮包后第一时间与寄包人取得联系，否则不清楚邮包来源。</w:t>
      </w:r>
    </w:p>
    <w:p w14:paraId="1013698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同时允许供应商现场送达（即交即走）的方式，在投标截至时间前将投标文件递交至</w:t>
      </w:r>
      <w:r>
        <w:rPr>
          <w:rFonts w:hint="eastAsia" w:ascii="仿宋" w:hAnsi="仿宋" w:eastAsia="仿宋" w:cs="仿宋"/>
          <w:color w:val="auto"/>
          <w:sz w:val="24"/>
          <w:highlight w:val="none"/>
        </w:rPr>
        <w:t>浙江东腾利成招标代理有限公司（绍兴市人民东路1187号伟丰文化产业园藏品楼30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室）</w:t>
      </w:r>
      <w:r>
        <w:rPr>
          <w:rFonts w:hint="eastAsia" w:ascii="仿宋" w:hAnsi="仿宋" w:eastAsia="仿宋" w:cs="仿宋"/>
          <w:color w:val="auto"/>
          <w:sz w:val="24"/>
          <w:highlight w:val="none"/>
        </w:rPr>
        <w:t>。</w:t>
      </w:r>
    </w:p>
    <w:p w14:paraId="6812B7F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供应商的法定代表人或授权代表等均可不参加开标会议。若供应商法定代表人或授权代表不在现场参加开标会议的，取消开标现场的书面签字确认等有关操作要求，供应商需向招标采购代理机构工作人员告知其联系方式，以备询标等事宜。</w:t>
      </w:r>
    </w:p>
    <w:p w14:paraId="070624F5">
      <w:pPr>
        <w:spacing w:line="440" w:lineRule="exact"/>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本项目采购文件内对开标现场原件核验不作要求，采购人有权在评标结束后对中标候选人进行原件核验。供应商对所提供的全部资料的真实性承担法律责任。</w:t>
      </w:r>
    </w:p>
    <w:p w14:paraId="1E3946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对本次招标提出询问、质疑、投诉，请按以下方式联系</w:t>
      </w:r>
      <w:bookmarkEnd w:id="24"/>
      <w:bookmarkEnd w:id="25"/>
      <w:bookmarkEnd w:id="26"/>
      <w:bookmarkEnd w:id="27"/>
    </w:p>
    <w:p w14:paraId="65CD77D7">
      <w:pPr>
        <w:spacing w:line="360" w:lineRule="auto"/>
        <w:ind w:left="1079" w:leftChars="371" w:hanging="300" w:hangingChars="125"/>
        <w:jc w:val="left"/>
        <w:rPr>
          <w:rFonts w:hint="eastAsia" w:ascii="仿宋" w:eastAsia="仿宋"/>
          <w:color w:val="auto"/>
          <w:sz w:val="24"/>
          <w:szCs w:val="24"/>
          <w:highlight w:val="none"/>
          <w:u w:val="none"/>
        </w:rPr>
      </w:pPr>
      <w:r>
        <w:rPr>
          <w:rFonts w:hint="eastAsia" w:ascii="仿宋" w:eastAsia="仿宋"/>
          <w:color w:val="auto"/>
          <w:sz w:val="24"/>
          <w:szCs w:val="24"/>
          <w:highlight w:val="none"/>
          <w:u w:val="none"/>
        </w:rPr>
        <w:t>1.采购人信息</w:t>
      </w:r>
    </w:p>
    <w:p w14:paraId="47369783">
      <w:pPr>
        <w:keepNext w:val="0"/>
        <w:keepLines w:val="0"/>
        <w:pageBreakBefore w:val="0"/>
        <w:widowControl w:val="0"/>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名</w:t>
      </w:r>
      <w:r>
        <w:rPr>
          <w:rFonts w:hint="eastAsia" w:ascii="仿宋" w:eastAsia="仿宋"/>
          <w:color w:val="auto"/>
          <w:sz w:val="24"/>
          <w:szCs w:val="24"/>
          <w:highlight w:val="none"/>
          <w:u w:val="none"/>
          <w:lang w:val="en-US" w:eastAsia="zh-CN"/>
        </w:rPr>
        <w:t xml:space="preserve"> </w:t>
      </w:r>
      <w:r>
        <w:rPr>
          <w:rFonts w:hint="eastAsia" w:ascii="仿宋" w:eastAsia="仿宋"/>
          <w:color w:val="auto"/>
          <w:sz w:val="24"/>
          <w:szCs w:val="24"/>
          <w:highlight w:val="none"/>
          <w:u w:val="none"/>
        </w:rPr>
        <w:t>称：绍兴市越城区</w:t>
      </w:r>
      <w:r>
        <w:rPr>
          <w:rFonts w:hint="eastAsia" w:ascii="仿宋" w:eastAsia="仿宋"/>
          <w:color w:val="auto"/>
          <w:sz w:val="24"/>
          <w:szCs w:val="24"/>
          <w:highlight w:val="none"/>
          <w:u w:val="none"/>
          <w:lang w:val="en-US" w:eastAsia="zh-CN"/>
        </w:rPr>
        <w:t>府山</w:t>
      </w:r>
      <w:r>
        <w:rPr>
          <w:rFonts w:hint="eastAsia" w:ascii="仿宋" w:eastAsia="仿宋"/>
          <w:color w:val="auto"/>
          <w:sz w:val="24"/>
          <w:szCs w:val="24"/>
          <w:highlight w:val="none"/>
          <w:u w:val="none"/>
        </w:rPr>
        <w:t>街道社区卫生服务中心</w:t>
      </w:r>
    </w:p>
    <w:p w14:paraId="434490DF">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绍兴市越城区</w:t>
      </w:r>
      <w:r>
        <w:rPr>
          <w:rFonts w:hint="eastAsia" w:ascii="仿宋" w:eastAsia="仿宋"/>
          <w:color w:val="auto"/>
          <w:sz w:val="24"/>
          <w:szCs w:val="24"/>
          <w:highlight w:val="none"/>
          <w:u w:val="none"/>
          <w:lang w:val="en-US" w:eastAsia="zh-CN"/>
        </w:rPr>
        <w:t>北海</w:t>
      </w:r>
      <w:r>
        <w:rPr>
          <w:rFonts w:hint="eastAsia" w:ascii="仿宋" w:eastAsia="仿宋"/>
          <w:color w:val="auto"/>
          <w:sz w:val="24"/>
          <w:szCs w:val="24"/>
          <w:highlight w:val="none"/>
          <w:u w:val="none"/>
        </w:rPr>
        <w:t>街道社区卫生服务中心</w:t>
      </w:r>
    </w:p>
    <w:p w14:paraId="633E18D3">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绍兴市越城区</w:t>
      </w:r>
      <w:r>
        <w:rPr>
          <w:rFonts w:hint="eastAsia" w:ascii="仿宋" w:eastAsia="仿宋"/>
          <w:color w:val="auto"/>
          <w:sz w:val="24"/>
          <w:szCs w:val="24"/>
          <w:highlight w:val="none"/>
          <w:u w:val="none"/>
          <w:lang w:val="en-US" w:eastAsia="zh-CN"/>
        </w:rPr>
        <w:t>灵芝</w:t>
      </w:r>
      <w:r>
        <w:rPr>
          <w:rFonts w:hint="eastAsia" w:ascii="仿宋" w:eastAsia="仿宋"/>
          <w:color w:val="auto"/>
          <w:sz w:val="24"/>
          <w:szCs w:val="24"/>
          <w:highlight w:val="none"/>
          <w:u w:val="none"/>
        </w:rPr>
        <w:t>街道社区卫生服务中心</w:t>
      </w:r>
    </w:p>
    <w:p w14:paraId="3B211CFD">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绍兴市越城区</w:t>
      </w:r>
      <w:r>
        <w:rPr>
          <w:rFonts w:hint="eastAsia" w:ascii="仿宋" w:eastAsia="仿宋"/>
          <w:color w:val="auto"/>
          <w:sz w:val="24"/>
          <w:szCs w:val="24"/>
          <w:highlight w:val="none"/>
          <w:u w:val="none"/>
          <w:lang w:val="en-US" w:eastAsia="zh-CN"/>
        </w:rPr>
        <w:t>东湖</w:t>
      </w:r>
      <w:r>
        <w:rPr>
          <w:rFonts w:hint="eastAsia" w:ascii="仿宋" w:eastAsia="仿宋"/>
          <w:color w:val="auto"/>
          <w:sz w:val="24"/>
          <w:szCs w:val="24"/>
          <w:highlight w:val="none"/>
          <w:u w:val="none"/>
        </w:rPr>
        <w:t>街道社区卫生服务中心</w:t>
      </w:r>
    </w:p>
    <w:p w14:paraId="1866DF25">
      <w:pPr>
        <w:keepNext w:val="0"/>
        <w:keepLines w:val="0"/>
        <w:pageBreakBefore w:val="0"/>
        <w:widowControl w:val="0"/>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地</w:t>
      </w:r>
      <w:r>
        <w:rPr>
          <w:rFonts w:hint="eastAsia" w:ascii="仿宋" w:eastAsia="仿宋"/>
          <w:color w:val="auto"/>
          <w:sz w:val="24"/>
          <w:szCs w:val="24"/>
          <w:highlight w:val="none"/>
          <w:u w:val="none"/>
          <w:lang w:val="en-US" w:eastAsia="zh-CN"/>
        </w:rPr>
        <w:t xml:space="preserve"> </w:t>
      </w:r>
      <w:r>
        <w:rPr>
          <w:rFonts w:hint="eastAsia" w:ascii="仿宋" w:eastAsia="仿宋"/>
          <w:color w:val="auto"/>
          <w:sz w:val="24"/>
          <w:szCs w:val="24"/>
          <w:highlight w:val="none"/>
          <w:u w:val="none"/>
        </w:rPr>
        <w:t>址：绍兴市越城区司狱使前15号</w:t>
      </w:r>
    </w:p>
    <w:p w14:paraId="73F1A331">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绍兴市越城区北海街道运河人家大池坊26幢</w:t>
      </w:r>
    </w:p>
    <w:p w14:paraId="38C8A654">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绍兴市越城区灵芝街道凤林西路501号</w:t>
      </w:r>
    </w:p>
    <w:p w14:paraId="4B647FE2">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绍兴市越城区双保仓储物流园区8号楼</w:t>
      </w:r>
    </w:p>
    <w:p w14:paraId="0D1BC666">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w:t>
      </w:r>
      <w:r>
        <w:rPr>
          <w:rFonts w:hint="eastAsia" w:ascii="仿宋" w:eastAsia="仿宋"/>
          <w:color w:val="auto"/>
          <w:sz w:val="24"/>
          <w:szCs w:val="24"/>
          <w:highlight w:val="none"/>
          <w:u w:val="none"/>
          <w:lang w:val="en-US" w:eastAsia="zh-CN"/>
        </w:rPr>
        <w:t xml:space="preserve"> </w:t>
      </w:r>
      <w:r>
        <w:rPr>
          <w:rFonts w:ascii="仿宋" w:eastAsia="仿宋"/>
          <w:color w:val="auto"/>
          <w:sz w:val="24"/>
          <w:szCs w:val="24"/>
          <w:highlight w:val="none"/>
          <w:u w:val="none"/>
        </w:rPr>
        <w:t>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r>
        <w:rPr>
          <w:rFonts w:hint="eastAsia" w:ascii="仿宋" w:eastAsia="仿宋"/>
          <w:color w:val="auto"/>
          <w:sz w:val="24"/>
          <w:szCs w:val="24"/>
          <w:highlight w:val="none"/>
          <w:u w:val="none"/>
        </w:rPr>
        <w:t xml:space="preserve"> </w:t>
      </w:r>
      <w:bookmarkStart w:id="28" w:name="_Toc28359086"/>
      <w:bookmarkStart w:id="29" w:name="_Toc28359009"/>
    </w:p>
    <w:p w14:paraId="3BDDD331">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潘莉莉</w:t>
      </w:r>
    </w:p>
    <w:p w14:paraId="7F45B83A">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lang w:val="en-US" w:eastAsia="zh-CN"/>
        </w:rPr>
        <w:t>15336761310</w:t>
      </w:r>
    </w:p>
    <w:p w14:paraId="2FCA414F">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唐学敏</w:t>
      </w:r>
    </w:p>
    <w:p w14:paraId="17021BC2">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质疑联系方式：</w:t>
      </w:r>
      <w:r>
        <w:rPr>
          <w:rFonts w:hint="eastAsia" w:ascii="仿宋" w:eastAsia="仿宋"/>
          <w:color w:val="auto"/>
          <w:sz w:val="24"/>
          <w:szCs w:val="24"/>
          <w:highlight w:val="none"/>
          <w:u w:val="none"/>
          <w:lang w:val="en-US" w:eastAsia="zh-CN"/>
        </w:rPr>
        <w:t>18767561078</w:t>
      </w:r>
    </w:p>
    <w:p w14:paraId="4628F62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s="宋体"/>
          <w:color w:val="auto"/>
          <w:sz w:val="24"/>
          <w:szCs w:val="24"/>
          <w:highlight w:val="none"/>
          <w:u w:val="none"/>
        </w:rPr>
        <w:t>2.采购代理机构信息</w:t>
      </w:r>
      <w:bookmarkEnd w:id="28"/>
      <w:bookmarkEnd w:id="29"/>
    </w:p>
    <w:p w14:paraId="6DC26AD0">
      <w:pPr>
        <w:spacing w:line="360" w:lineRule="auto"/>
        <w:ind w:left="1079" w:leftChars="371" w:hanging="300" w:hangingChars="125"/>
        <w:jc w:val="left"/>
        <w:rPr>
          <w:rFonts w:ascii="仿宋" w:eastAsia="仿宋"/>
          <w:color w:val="auto"/>
          <w:sz w:val="24"/>
          <w:szCs w:val="24"/>
          <w:highlight w:val="none"/>
          <w:u w:val="none"/>
        </w:rPr>
      </w:pPr>
      <w:bookmarkStart w:id="30" w:name="_Toc28359087"/>
      <w:bookmarkStart w:id="31" w:name="_Toc28359010"/>
      <w:r>
        <w:rPr>
          <w:rFonts w:hint="eastAsia" w:ascii="仿宋" w:eastAsia="仿宋"/>
          <w:color w:val="auto"/>
          <w:sz w:val="24"/>
          <w:szCs w:val="24"/>
          <w:highlight w:val="none"/>
          <w:u w:val="none"/>
        </w:rPr>
        <w:t>名 称：浙江东腾利成招标代理有限公司</w:t>
      </w:r>
    </w:p>
    <w:p w14:paraId="02D8DF1F">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w:t>
      </w:r>
      <w:r>
        <w:rPr>
          <w:rFonts w:hint="eastAsia" w:ascii="仿宋" w:eastAsia="仿宋"/>
          <w:color w:val="auto"/>
          <w:sz w:val="24"/>
          <w:szCs w:val="24"/>
          <w:highlight w:val="none"/>
          <w:u w:val="none"/>
          <w:lang w:val="en-US" w:eastAsia="zh-CN"/>
        </w:rPr>
        <w:t xml:space="preserve"> </w:t>
      </w:r>
      <w:r>
        <w:rPr>
          <w:rFonts w:hint="eastAsia" w:ascii="仿宋" w:eastAsia="仿宋"/>
          <w:color w:val="auto"/>
          <w:sz w:val="24"/>
          <w:szCs w:val="24"/>
          <w:highlight w:val="none"/>
          <w:u w:val="none"/>
        </w:rPr>
        <w:t>址：绍兴市人民东路1187号伟丰文化产业园藏品楼304室</w:t>
      </w:r>
    </w:p>
    <w:p w14:paraId="184EE89A">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ascii="仿宋" w:eastAsia="仿宋"/>
          <w:color w:val="auto"/>
          <w:sz w:val="24"/>
          <w:szCs w:val="24"/>
          <w:highlight w:val="none"/>
          <w:u w:val="none"/>
        </w:rPr>
        <w:t>传</w:t>
      </w:r>
      <w:r>
        <w:rPr>
          <w:rFonts w:hint="eastAsia" w:ascii="仿宋" w:eastAsia="仿宋"/>
          <w:color w:val="auto"/>
          <w:sz w:val="24"/>
          <w:szCs w:val="24"/>
          <w:highlight w:val="none"/>
          <w:u w:val="none"/>
          <w:lang w:val="en-US" w:eastAsia="zh-CN"/>
        </w:rPr>
        <w:t xml:space="preserve"> </w:t>
      </w:r>
      <w:r>
        <w:rPr>
          <w:rFonts w:ascii="仿宋" w:eastAsia="仿宋"/>
          <w:color w:val="auto"/>
          <w:sz w:val="24"/>
          <w:szCs w:val="24"/>
          <w:highlight w:val="none"/>
          <w:u w:val="none"/>
        </w:rPr>
        <w:t>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p>
    <w:p w14:paraId="2F3091FA">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 xml:space="preserve">：冯莹洁 </w:t>
      </w:r>
    </w:p>
    <w:p w14:paraId="46FAFEB3">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rPr>
        <w:t>13757590582</w:t>
      </w:r>
    </w:p>
    <w:p w14:paraId="16C42CAB">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茹丽萍</w:t>
      </w:r>
    </w:p>
    <w:p w14:paraId="27C74196">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0575-88137377</w:t>
      </w:r>
      <w:r>
        <w:rPr>
          <w:rFonts w:hint="eastAsia" w:ascii="仿宋" w:eastAsia="仿宋"/>
          <w:color w:val="auto"/>
          <w:sz w:val="24"/>
          <w:szCs w:val="24"/>
          <w:highlight w:val="none"/>
          <w:u w:val="none"/>
        </w:rPr>
        <w:t xml:space="preserve"> </w:t>
      </w:r>
    </w:p>
    <w:p w14:paraId="699B9BA0">
      <w:pPr>
        <w:spacing w:line="360" w:lineRule="auto"/>
        <w:ind w:firstLine="720" w:firstLineChars="300"/>
        <w:rPr>
          <w:rFonts w:ascii="仿宋" w:eastAsia="仿宋"/>
          <w:color w:val="auto"/>
          <w:sz w:val="24"/>
          <w:szCs w:val="24"/>
          <w:highlight w:val="none"/>
          <w:u w:val="none"/>
        </w:rPr>
      </w:pPr>
      <w:r>
        <w:rPr>
          <w:rFonts w:hint="eastAsia" w:ascii="仿宋" w:eastAsia="仿宋" w:cs="宋体"/>
          <w:color w:val="auto"/>
          <w:sz w:val="24"/>
          <w:szCs w:val="24"/>
          <w:highlight w:val="none"/>
          <w:u w:val="none"/>
        </w:rPr>
        <w:t>3.</w:t>
      </w:r>
      <w:bookmarkEnd w:id="30"/>
      <w:bookmarkEnd w:id="31"/>
      <w:r>
        <w:rPr>
          <w:rFonts w:ascii="仿宋" w:eastAsia="仿宋" w:cs="宋体"/>
          <w:color w:val="auto"/>
          <w:sz w:val="24"/>
          <w:szCs w:val="24"/>
          <w:highlight w:val="none"/>
          <w:u w:val="none"/>
        </w:rPr>
        <w:t>同级政府采购监督管理部门</w:t>
      </w:r>
    </w:p>
    <w:p w14:paraId="7B364D20">
      <w:pPr>
        <w:keepNext w:val="0"/>
        <w:keepLines w:val="0"/>
        <w:pageBreakBefore w:val="0"/>
        <w:widowControl w:val="0"/>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名</w:t>
      </w:r>
      <w:r>
        <w:rPr>
          <w:rFonts w:hint="eastAsia" w:ascii="仿宋" w:eastAsia="仿宋"/>
          <w:color w:val="auto"/>
          <w:sz w:val="24"/>
          <w:szCs w:val="24"/>
          <w:highlight w:val="none"/>
          <w:u w:val="none"/>
          <w:lang w:val="en-US" w:eastAsia="zh-CN"/>
        </w:rPr>
        <w:t xml:space="preserve"> </w:t>
      </w:r>
      <w:r>
        <w:rPr>
          <w:rFonts w:hint="eastAsia" w:ascii="仿宋" w:eastAsia="仿宋"/>
          <w:color w:val="auto"/>
          <w:sz w:val="24"/>
          <w:szCs w:val="24"/>
          <w:highlight w:val="none"/>
          <w:u w:val="none"/>
        </w:rPr>
        <w:t>称：绍兴市越城区府山街道社区卫生服务中心纪检监察组</w:t>
      </w:r>
    </w:p>
    <w:p w14:paraId="7457A7FB">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绍兴市越城区北海街道社区卫生服务中心纪检室</w:t>
      </w:r>
    </w:p>
    <w:p w14:paraId="2DADBBAF">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绍兴市越城区灵芝街道社区卫生服务中心办公室</w:t>
      </w:r>
    </w:p>
    <w:p w14:paraId="5D0C2E25">
      <w:pPr>
        <w:keepNext w:val="0"/>
        <w:keepLines w:val="0"/>
        <w:pageBreakBefore w:val="0"/>
        <w:widowControl w:val="0"/>
        <w:kinsoku/>
        <w:wordWrap/>
        <w:overflowPunct/>
        <w:topLinePunct w:val="0"/>
        <w:autoSpaceDE/>
        <w:autoSpaceDN/>
        <w:bidi w:val="0"/>
        <w:adjustRightInd/>
        <w:snapToGrid/>
        <w:spacing w:line="288" w:lineRule="auto"/>
        <w:ind w:left="1258" w:leftChars="599" w:firstLine="420" w:firstLineChars="175"/>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绍兴市越城区东湖街道社区卫生服务中心纪检监察组</w:t>
      </w:r>
    </w:p>
    <w:p w14:paraId="514B4FD7">
      <w:pPr>
        <w:keepNext w:val="0"/>
        <w:keepLines w:val="0"/>
        <w:pageBreakBefore w:val="0"/>
        <w:widowControl w:val="0"/>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地</w:t>
      </w:r>
      <w:r>
        <w:rPr>
          <w:rFonts w:hint="eastAsia" w:ascii="仿宋" w:eastAsia="仿宋"/>
          <w:color w:val="auto"/>
          <w:sz w:val="24"/>
          <w:szCs w:val="24"/>
          <w:highlight w:val="none"/>
          <w:u w:val="none"/>
          <w:lang w:val="en-US" w:eastAsia="zh-CN"/>
        </w:rPr>
        <w:t xml:space="preserve"> </w:t>
      </w:r>
      <w:r>
        <w:rPr>
          <w:rFonts w:hint="eastAsia" w:ascii="仿宋" w:eastAsia="仿宋"/>
          <w:color w:val="auto"/>
          <w:sz w:val="24"/>
          <w:szCs w:val="24"/>
          <w:highlight w:val="none"/>
          <w:u w:val="none"/>
        </w:rPr>
        <w:t>址：绍兴市越城区司狱使前15号</w:t>
      </w:r>
    </w:p>
    <w:p w14:paraId="0E5473EE">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绍兴市越城区北海街道运河人家大池坊26幢</w:t>
      </w:r>
    </w:p>
    <w:p w14:paraId="0264649C">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绍兴市越城区灵芝街道凤林西路501号</w:t>
      </w:r>
    </w:p>
    <w:p w14:paraId="19DB9099">
      <w:pPr>
        <w:keepNext w:val="0"/>
        <w:keepLines w:val="0"/>
        <w:pageBreakBefore w:val="0"/>
        <w:widowControl w:val="0"/>
        <w:kinsoku/>
        <w:wordWrap/>
        <w:overflowPunct/>
        <w:topLinePunct w:val="0"/>
        <w:autoSpaceDE/>
        <w:autoSpaceDN/>
        <w:bidi w:val="0"/>
        <w:adjustRightInd/>
        <w:snapToGrid/>
        <w:spacing w:line="288" w:lineRule="auto"/>
        <w:ind w:firstLine="1680" w:firstLineChars="700"/>
        <w:jc w:val="left"/>
        <w:textAlignment w:val="auto"/>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lang w:eastAsia="zh-CN"/>
        </w:rPr>
        <w:t>绍兴市越城区东湖街道袍中路与则水牌路交叉口</w:t>
      </w:r>
    </w:p>
    <w:p w14:paraId="06CE7742">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w:t>
      </w:r>
      <w:r>
        <w:rPr>
          <w:rFonts w:hint="eastAsia" w:ascii="仿宋" w:eastAsia="仿宋"/>
          <w:color w:val="auto"/>
          <w:sz w:val="24"/>
          <w:szCs w:val="24"/>
          <w:highlight w:val="none"/>
          <w:u w:val="none"/>
          <w:lang w:val="en-US" w:eastAsia="zh-CN"/>
        </w:rPr>
        <w:t xml:space="preserve"> </w:t>
      </w:r>
      <w:r>
        <w:rPr>
          <w:rFonts w:ascii="仿宋" w:eastAsia="仿宋"/>
          <w:color w:val="auto"/>
          <w:sz w:val="24"/>
          <w:szCs w:val="24"/>
          <w:highlight w:val="none"/>
          <w:u w:val="none"/>
        </w:rPr>
        <w:t>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r>
        <w:rPr>
          <w:rFonts w:hint="eastAsia" w:ascii="仿宋" w:eastAsia="仿宋"/>
          <w:color w:val="auto"/>
          <w:sz w:val="24"/>
          <w:szCs w:val="24"/>
          <w:highlight w:val="none"/>
          <w:u w:val="none"/>
        </w:rPr>
        <w:t xml:space="preserve"> </w:t>
      </w:r>
    </w:p>
    <w:p w14:paraId="4B4FA176">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联系人：</w:t>
      </w:r>
      <w:r>
        <w:rPr>
          <w:rFonts w:hint="eastAsia" w:ascii="仿宋" w:eastAsia="仿宋"/>
          <w:color w:val="auto"/>
          <w:sz w:val="24"/>
          <w:szCs w:val="24"/>
          <w:highlight w:val="none"/>
          <w:u w:val="none"/>
          <w:lang w:val="en-US" w:eastAsia="zh-CN"/>
        </w:rPr>
        <w:t>喻孙军、傅佳娜、裘颂平、王祥</w:t>
      </w:r>
    </w:p>
    <w:p w14:paraId="2C28EFB0">
      <w:pPr>
        <w:spacing w:line="360" w:lineRule="auto"/>
        <w:ind w:left="1079" w:leftChars="371" w:hanging="300" w:hangingChars="125"/>
        <w:jc w:val="left"/>
        <w:rPr>
          <w:rFonts w:hint="eastAsia" w:ascii="仿宋" w:eastAsia="仿宋"/>
          <w:color w:val="auto"/>
          <w:sz w:val="24"/>
          <w:szCs w:val="24"/>
          <w:highlight w:val="none"/>
          <w:u w:val="none"/>
          <w:lang w:val="en-US" w:eastAsia="zh-CN"/>
        </w:rPr>
      </w:pPr>
      <w:r>
        <w:rPr>
          <w:rFonts w:ascii="仿宋" w:eastAsia="仿宋"/>
          <w:color w:val="auto"/>
          <w:sz w:val="24"/>
          <w:szCs w:val="24"/>
          <w:highlight w:val="none"/>
          <w:u w:val="none"/>
        </w:rPr>
        <w:t>监督投诉</w:t>
      </w:r>
      <w:r>
        <w:rPr>
          <w:rFonts w:hint="eastAsia" w:ascii="仿宋" w:eastAsia="仿宋"/>
          <w:color w:val="auto"/>
          <w:sz w:val="24"/>
          <w:szCs w:val="24"/>
          <w:highlight w:val="none"/>
          <w:u w:val="none"/>
        </w:rPr>
        <w:t>电话：</w:t>
      </w:r>
      <w:r>
        <w:rPr>
          <w:rFonts w:hint="eastAsia" w:ascii="仿宋" w:eastAsia="仿宋"/>
          <w:color w:val="auto"/>
          <w:sz w:val="24"/>
          <w:szCs w:val="24"/>
          <w:highlight w:val="none"/>
          <w:u w:val="none"/>
          <w:lang w:val="en-US" w:eastAsia="zh-CN"/>
        </w:rPr>
        <w:t>0575-85093014、0575-85151900、</w:t>
      </w:r>
    </w:p>
    <w:p w14:paraId="3F46460C">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lang w:val="en-US" w:eastAsia="zh-CN"/>
        </w:rPr>
        <w:t>0575-88006905、0575-88010495</w:t>
      </w:r>
    </w:p>
    <w:p w14:paraId="04F61ADD">
      <w:pPr>
        <w:widowControl/>
        <w:jc w:val="center"/>
        <w:rPr>
          <w:rFonts w:hint="eastAsia" w:ascii="仿宋" w:eastAsia="仿宋"/>
          <w:b/>
          <w:bCs/>
          <w:color w:val="auto"/>
          <w:sz w:val="44"/>
          <w:szCs w:val="44"/>
          <w:highlight w:val="none"/>
        </w:rPr>
      </w:pPr>
    </w:p>
    <w:p w14:paraId="16768EAB">
      <w:pPr>
        <w:widowControl/>
        <w:jc w:val="center"/>
        <w:rPr>
          <w:rFonts w:hint="eastAsia" w:ascii="仿宋" w:eastAsia="仿宋"/>
          <w:b/>
          <w:bCs/>
          <w:color w:val="auto"/>
          <w:sz w:val="44"/>
          <w:szCs w:val="44"/>
          <w:highlight w:val="none"/>
        </w:rPr>
      </w:pPr>
      <w:r>
        <w:rPr>
          <w:rFonts w:hint="eastAsia" w:ascii="仿宋" w:eastAsia="仿宋"/>
          <w:b/>
          <w:bCs/>
          <w:color w:val="auto"/>
          <w:sz w:val="44"/>
          <w:szCs w:val="44"/>
          <w:highlight w:val="none"/>
        </w:rPr>
        <w:t>采购公告补充事项</w:t>
      </w:r>
    </w:p>
    <w:p w14:paraId="438DD7A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eastAsia="zh-CN"/>
        </w:rPr>
        <w:t>自行采购</w:t>
      </w:r>
      <w:r>
        <w:rPr>
          <w:rFonts w:ascii="仿宋" w:eastAsia="仿宋" w:cs="Arial"/>
          <w:bCs/>
          <w:color w:val="auto"/>
          <w:sz w:val="24"/>
          <w:highlight w:val="none"/>
          <w:u w:val="single"/>
        </w:rPr>
        <w:t xml:space="preserve">  </w:t>
      </w:r>
    </w:p>
    <w:p w14:paraId="013DAE96">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325E74C">
      <w:pPr>
        <w:spacing w:line="360" w:lineRule="auto"/>
        <w:ind w:firstLine="480"/>
        <w:rPr>
          <w:rFonts w:hint="eastAsia" w:ascii="仿宋" w:eastAsia="仿宋" w:cs="宋体"/>
          <w:color w:val="auto"/>
          <w:kern w:val="0"/>
          <w:sz w:val="24"/>
          <w:highlight w:val="none"/>
        </w:rPr>
      </w:pPr>
      <w:bookmarkStart w:id="32" w:name="_Toc1678"/>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8EE3964">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5B903915">
      <w:pPr>
        <w:spacing w:line="360" w:lineRule="auto"/>
        <w:ind w:left="0" w:firstLine="349" w:firstLineChars="150"/>
        <w:rPr>
          <w:rFonts w:hint="eastAsia" w:ascii="仿宋"/>
          <w:color w:val="auto"/>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6"/>
      <w:bookmarkEnd w:id="33"/>
      <w:bookmarkStart w:id="34" w:name="_Hlt10553107"/>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请在浙江政府采购网更正公告页面或越城区人民政府门户网站采购公告页面中下载。</w:t>
      </w:r>
    </w:p>
    <w:p w14:paraId="63AB77E2">
      <w:pPr>
        <w:rPr>
          <w:rFonts w:hint="eastAsia" w:ascii="仿宋"/>
          <w:color w:val="auto"/>
          <w:highlight w:val="none"/>
        </w:rPr>
      </w:pPr>
      <w:r>
        <w:rPr>
          <w:rFonts w:hint="eastAsia" w:ascii="仿宋"/>
          <w:color w:val="auto"/>
          <w:highlight w:val="none"/>
        </w:rPr>
        <w:br w:type="page"/>
      </w:r>
    </w:p>
    <w:p w14:paraId="25CB2299">
      <w:pPr>
        <w:pStyle w:val="2"/>
        <w:rPr>
          <w:rFonts w:hint="eastAsia" w:ascii="仿宋"/>
          <w:color w:val="auto"/>
          <w:highlight w:val="none"/>
        </w:rPr>
      </w:pPr>
      <w:r>
        <w:rPr>
          <w:rFonts w:hint="eastAsia" w:ascii="仿宋"/>
          <w:color w:val="auto"/>
          <w:highlight w:val="none"/>
        </w:rPr>
        <w:t>第二章  投标人须知</w:t>
      </w:r>
      <w:bookmarkEnd w:id="32"/>
    </w:p>
    <w:p w14:paraId="133BA9A2">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绍兴市越城区府山、北海、灵芝、东湖街道社区卫生服务中心联合脑卒中筛查标本外送项目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2A32C8">
            <w:pPr>
              <w:spacing w:line="500" w:lineRule="exact"/>
              <w:rPr>
                <w:rFonts w:hint="eastAsia" w:ascii="仿宋" w:eastAsia="仿宋"/>
                <w:color w:val="auto"/>
                <w:sz w:val="24"/>
                <w:highlight w:val="none"/>
              </w:rPr>
            </w:pPr>
            <w:r>
              <w:rPr>
                <w:rFonts w:hint="eastAsia" w:ascii="仿宋" w:eastAsia="仿宋"/>
                <w:b/>
                <w:bCs w:val="0"/>
                <w:color w:val="auto"/>
                <w:sz w:val="24"/>
                <w:highlight w:val="none"/>
              </w:rPr>
              <w:t>投标文件份数：</w:t>
            </w:r>
            <w:r>
              <w:rPr>
                <w:rFonts w:hint="eastAsia" w:ascii="仿宋" w:eastAsia="仿宋"/>
                <w:b w:val="0"/>
                <w:bCs/>
                <w:color w:val="auto"/>
                <w:sz w:val="24"/>
                <w:highlight w:val="none"/>
              </w:rPr>
              <w:t>正本一份，副本四份；另附一份盖章版电子投标文件（pdf扫描件），以U盘形式单独密封递交</w:t>
            </w:r>
            <w:r>
              <w:rPr>
                <w:rFonts w:hint="eastAsia" w:ascii="仿宋" w:eastAsia="仿宋"/>
                <w:b w:val="0"/>
                <w:bCs/>
                <w:color w:val="auto"/>
                <w:sz w:val="24"/>
                <w:highlight w:val="none"/>
                <w:lang w:eastAsia="zh-CN"/>
              </w:rPr>
              <w:t>；</w:t>
            </w:r>
            <w:r>
              <w:rPr>
                <w:rFonts w:hint="eastAsia" w:ascii="仿宋" w:eastAsia="仿宋"/>
                <w:b w:val="0"/>
                <w:bCs/>
                <w:color w:val="auto"/>
                <w:sz w:val="24"/>
                <w:highlight w:val="none"/>
              </w:rPr>
              <w:t>正本与副本内容不一致的，以正本为准。</w:t>
            </w:r>
            <w:r>
              <w:rPr>
                <w:rFonts w:hint="eastAsia" w:ascii="仿宋" w:eastAsia="仿宋"/>
                <w:b/>
                <w:color w:val="auto"/>
                <w:sz w:val="24"/>
                <w:highlight w:val="none"/>
                <w:lang w:val="en-US" w:eastAsia="zh-CN"/>
              </w:rPr>
              <w:t>注：资格文件资料、</w:t>
            </w:r>
            <w:r>
              <w:rPr>
                <w:rFonts w:hint="eastAsia" w:ascii="仿宋" w:hAnsi="仿宋" w:eastAsia="仿宋" w:cs="仿宋"/>
                <w:b/>
                <w:color w:val="auto"/>
                <w:sz w:val="24"/>
                <w:highlight w:val="none"/>
              </w:rPr>
              <w:t>报价文件资料、商务技术文件资料必须单独封装。（若投标单位报多个段，报价文件资料、商务技术文件资料各标项须每个分开单独封装。）</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 xml:space="preserve">  </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绍兴市越城区府山、北海、灵芝、东湖街道社区卫生服务中心联合脑卒中筛查标本外送项目</w:t>
                  </w:r>
                </w:p>
              </w:tc>
              <w:tc>
                <w:tcPr>
                  <w:tcW w:w="4078"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496A097A">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DE76BD">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6C3B8D60">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中标供应商须向招标代理机构按如下标准和规定交纳中标服务费：</w:t>
            </w:r>
          </w:p>
          <w:p w14:paraId="336C1A85">
            <w:pPr>
              <w:numPr>
                <w:ilvl w:val="0"/>
                <w:numId w:val="4"/>
              </w:num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收费标准：本项目协议价</w:t>
            </w:r>
            <w:r>
              <w:rPr>
                <w:rFonts w:hint="eastAsia" w:ascii="仿宋" w:eastAsia="仿宋" w:cs="仿宋_GB2312"/>
                <w:b w:val="0"/>
                <w:bCs w:val="0"/>
                <w:color w:val="auto"/>
                <w:sz w:val="24"/>
                <w:highlight w:val="none"/>
                <w:u w:val="none"/>
                <w:lang w:val="en-US" w:eastAsia="zh-CN"/>
              </w:rPr>
              <w:t>4000</w:t>
            </w:r>
            <w:r>
              <w:rPr>
                <w:rFonts w:hint="eastAsia" w:ascii="仿宋" w:eastAsia="仿宋" w:cs="仿宋_GB2312"/>
                <w:b w:val="0"/>
                <w:bCs w:val="0"/>
                <w:color w:val="auto"/>
                <w:sz w:val="24"/>
                <w:highlight w:val="none"/>
                <w:u w:val="none"/>
              </w:rPr>
              <w:t>元</w:t>
            </w:r>
          </w:p>
          <w:p w14:paraId="6D3162AF">
            <w:pPr>
              <w:numPr>
                <w:ilvl w:val="0"/>
                <w:numId w:val="4"/>
              </w:num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服务费的交纳方式：</w:t>
            </w:r>
          </w:p>
          <w:p w14:paraId="6B61A1F8">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用银行支票、汇票、电汇、现金等付款方式直接交纳中标服务费。</w:t>
            </w:r>
          </w:p>
          <w:p w14:paraId="252FFBC0">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公司名称：浙江东腾利成招标代理有限公司</w:t>
            </w:r>
          </w:p>
          <w:p w14:paraId="51BEB771">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账    号：19545201040012508</w:t>
            </w:r>
          </w:p>
          <w:p w14:paraId="74ECDBB9">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开 户 行：中国农业银行股份有限公司绍兴广场支行</w:t>
            </w:r>
          </w:p>
          <w:p w14:paraId="4AE85976">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（3）以上费用在领取中标通知书前交纳。</w:t>
            </w:r>
          </w:p>
          <w:p w14:paraId="34F53D53">
            <w:pPr>
              <w:spacing w:line="500" w:lineRule="exact"/>
              <w:jc w:val="left"/>
              <w:rPr>
                <w:rFonts w:hint="eastAsia" w:ascii="仿宋" w:eastAsia="仿宋" w:cs="仿宋_GB2312"/>
                <w:color w:val="auto"/>
                <w:sz w:val="24"/>
                <w:highlight w:val="none"/>
              </w:rPr>
            </w:pPr>
            <w:r>
              <w:rPr>
                <w:rFonts w:hint="eastAsia" w:ascii="仿宋" w:eastAsia="仿宋" w:cs="仿宋_GB2312"/>
                <w:b w:val="0"/>
                <w:bCs w:val="0"/>
                <w:color w:val="auto"/>
                <w:sz w:val="24"/>
                <w:highlight w:val="none"/>
                <w:u w:val="none"/>
              </w:rPr>
              <w:t>（4）评审费由采购人支付。</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w:t>
      </w:r>
      <w:r>
        <w:rPr>
          <w:rFonts w:hint="eastAsia" w:ascii="仿宋" w:eastAsia="仿宋"/>
          <w:color w:val="auto"/>
          <w:highlight w:val="none"/>
          <w:lang w:val="en-US" w:eastAsia="zh-CN"/>
        </w:rPr>
        <w:t>自行</w:t>
      </w:r>
      <w:r>
        <w:rPr>
          <w:rFonts w:hint="eastAsia" w:ascii="仿宋" w:eastAsia="仿宋"/>
          <w:color w:val="auto"/>
          <w:highlight w:val="none"/>
        </w:rPr>
        <w:t>下载。</w:t>
      </w:r>
    </w:p>
    <w:p w14:paraId="57E70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BCC2322">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本项目投标文件由“资格文件”、“商务和技术文件”、“报价文件”、“电子投标文件”四部分组成：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24A20D3C">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7759B46D">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注：“商务和技术文件”可在上述内容格式的基础上适当调整，以使内容更加完备。盖章、签署等要求按采购文件第六章和标段内的规定执行。</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51FA9335">
      <w:pPr>
        <w:numPr>
          <w:ilvl w:val="0"/>
          <w:numId w:val="0"/>
        </w:numPr>
        <w:snapToGrid w:val="0"/>
        <w:spacing w:line="440" w:lineRule="exact"/>
        <w:ind w:leftChars="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注：“报价文件”按采购文件第六章规定的内容填写，内容有实质性偏离的作无效投标处理。</w:t>
      </w:r>
    </w:p>
    <w:p w14:paraId="44ABFE2D">
      <w:pPr>
        <w:numPr>
          <w:ilvl w:val="0"/>
          <w:numId w:val="0"/>
        </w:numPr>
        <w:snapToGrid w:val="0"/>
        <w:spacing w:line="440" w:lineRule="exact"/>
        <w:ind w:leftChars="0"/>
        <w:jc w:val="left"/>
        <w:rPr>
          <w:rFonts w:hint="eastAsia" w:ascii="仿宋" w:eastAsia="仿宋"/>
          <w:b/>
          <w:color w:val="auto"/>
          <w:sz w:val="24"/>
          <w:highlight w:val="non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5B911D3F">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657CEB24">
      <w:pPr>
        <w:widowControl/>
        <w:snapToGrid w:val="0"/>
        <w:spacing w:line="440" w:lineRule="exact"/>
        <w:rPr>
          <w:rFonts w:hint="eastAsia" w:ascii="仿宋" w:eastAsia="仿宋"/>
          <w:b w:val="0"/>
          <w:bCs/>
          <w:color w:val="auto"/>
          <w:sz w:val="24"/>
          <w:highlight w:val="none"/>
        </w:rPr>
      </w:pPr>
      <w:r>
        <w:rPr>
          <w:rFonts w:hint="eastAsia" w:ascii="仿宋" w:eastAsia="仿宋"/>
          <w:b w:val="0"/>
          <w:bCs/>
          <w:color w:val="auto"/>
          <w:sz w:val="24"/>
          <w:highlight w:val="none"/>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D28DE73">
      <w:pPr>
        <w:widowControl/>
        <w:snapToGrid w:val="0"/>
        <w:spacing w:line="440" w:lineRule="exact"/>
        <w:rPr>
          <w:rFonts w:hint="eastAsia" w:ascii="仿宋" w:eastAsia="仿宋"/>
          <w:b w:val="0"/>
          <w:bCs/>
          <w:color w:val="auto"/>
          <w:sz w:val="24"/>
          <w:highlight w:val="none"/>
        </w:rPr>
      </w:pPr>
      <w:r>
        <w:rPr>
          <w:rFonts w:hint="eastAsia" w:ascii="仿宋" w:eastAsia="仿宋"/>
          <w:b w:val="0"/>
          <w:bCs/>
          <w:color w:val="auto"/>
          <w:sz w:val="24"/>
          <w:highlight w:val="none"/>
        </w:rPr>
        <w:t>3.2签署要求：按采购文件第六章“投标文件格式附件”各表单要求签署。</w:t>
      </w:r>
    </w:p>
    <w:p w14:paraId="58AF26F5">
      <w:pPr>
        <w:widowControl/>
        <w:snapToGrid w:val="0"/>
        <w:spacing w:line="440" w:lineRule="exact"/>
        <w:rPr>
          <w:rFonts w:hint="eastAsia" w:ascii="仿宋" w:eastAsia="仿宋"/>
          <w:b w:val="0"/>
          <w:bCs/>
          <w:color w:val="auto"/>
          <w:sz w:val="24"/>
          <w:highlight w:val="none"/>
          <w:lang w:eastAsia="zh-CN"/>
        </w:rPr>
      </w:pPr>
      <w:r>
        <w:rPr>
          <w:rFonts w:hint="eastAsia" w:ascii="仿宋" w:eastAsia="仿宋"/>
          <w:b w:val="0"/>
          <w:bCs/>
          <w:color w:val="auto"/>
          <w:sz w:val="24"/>
          <w:highlight w:val="none"/>
        </w:rPr>
        <w:t>3.3制作要求：建议采用A4幅面，编制页码，制作目录，提倡双面打印</w:t>
      </w:r>
      <w:r>
        <w:rPr>
          <w:rFonts w:hint="eastAsia" w:ascii="仿宋" w:eastAsia="仿宋"/>
          <w:b w:val="0"/>
          <w:bCs/>
          <w:color w:val="auto"/>
          <w:sz w:val="24"/>
          <w:highlight w:val="none"/>
          <w:lang w:eastAsia="zh-CN"/>
        </w:rPr>
        <w:t>。</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3D8F2266">
      <w:pPr>
        <w:pStyle w:val="7"/>
        <w:keepNext w:val="0"/>
        <w:keepLines w:val="0"/>
        <w:pageBreakBefore w:val="0"/>
        <w:widowControl/>
        <w:numPr>
          <w:ilvl w:val="0"/>
          <w:numId w:val="0"/>
        </w:numPr>
        <w:kinsoku/>
        <w:wordWrap/>
        <w:overflowPunct/>
        <w:topLinePunct w:val="0"/>
        <w:autoSpaceDE/>
        <w:autoSpaceDN/>
        <w:bidi w:val="0"/>
        <w:adjustRightInd/>
        <w:snapToGrid/>
        <w:spacing w:after="0" w:afterLines="0" w:line="440" w:lineRule="atLeast"/>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投标文件的形式以对投标文件进行补充和修改，补充和修改将以投标截止时间后的最终投标文件为准，投标截止时间前未完成递交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10F61853">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5DA324F7">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0C888DCC">
      <w:pPr>
        <w:snapToGrid w:val="0"/>
        <w:spacing w:line="44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1.1 投标人的法定代表人或其授权代表可不出席开标会议。</w:t>
      </w:r>
    </w:p>
    <w:p w14:paraId="473FDCED">
      <w:pPr>
        <w:snapToGrid w:val="0"/>
        <w:spacing w:line="44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1.2 若投标人法定代表人或授权代表不在现场参加开标会议的，投标人需向招标代理机构工作人员告知其联系方式，以备询标等事宜。</w:t>
      </w:r>
    </w:p>
    <w:p w14:paraId="0BE2318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0672037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6AC6CC4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238928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w:t>
      </w:r>
      <w:r>
        <w:rPr>
          <w:rFonts w:hint="eastAsia" w:ascii="仿宋" w:eastAsia="仿宋"/>
          <w:color w:val="auto"/>
          <w:sz w:val="24"/>
          <w:highlight w:val="none"/>
          <w:lang w:val="en-US" w:eastAsia="zh-CN"/>
        </w:rPr>
        <w:t>递交</w:t>
      </w:r>
      <w:r>
        <w:rPr>
          <w:rFonts w:hint="eastAsia" w:ascii="仿宋" w:eastAsia="仿宋"/>
          <w:color w:val="auto"/>
          <w:sz w:val="24"/>
          <w:highlight w:val="none"/>
        </w:rPr>
        <w:t>投标文件的供应商名单。</w:t>
      </w:r>
    </w:p>
    <w:p w14:paraId="2ECF789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077BC4D4">
      <w:pPr>
        <w:snapToGrid w:val="0"/>
        <w:spacing w:line="480" w:lineRule="exact"/>
        <w:jc w:val="left"/>
        <w:rPr>
          <w:rFonts w:hint="eastAsia" w:ascii="仿宋" w:eastAsia="仿宋"/>
          <w:color w:val="auto"/>
          <w:sz w:val="24"/>
          <w:highlight w:val="none"/>
          <w:lang w:eastAsia="zh-CN"/>
        </w:rPr>
      </w:pPr>
      <w:r>
        <w:rPr>
          <w:rFonts w:hint="eastAsia" w:ascii="仿宋" w:eastAsia="仿宋"/>
          <w:color w:val="auto"/>
          <w:sz w:val="24"/>
          <w:highlight w:val="none"/>
        </w:rPr>
        <w:t>2.4启封“资格文件”，采购机构对法定代表人或其授权代表的身份进行核验，核验通过</w:t>
      </w:r>
      <w:r>
        <w:rPr>
          <w:rFonts w:hint="eastAsia" w:ascii="仿宋" w:eastAsia="仿宋"/>
          <w:color w:val="auto"/>
          <w:sz w:val="24"/>
          <w:highlight w:val="none"/>
          <w:lang w:eastAsia="zh-CN"/>
        </w:rPr>
        <w:t>。</w:t>
      </w:r>
    </w:p>
    <w:p w14:paraId="76F2B633">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5</w:t>
      </w:r>
      <w:r>
        <w:rPr>
          <w:rFonts w:hint="eastAsia" w:ascii="仿宋" w:eastAsia="仿宋"/>
          <w:color w:val="auto"/>
          <w:sz w:val="24"/>
          <w:highlight w:val="none"/>
        </w:rPr>
        <w:t>启封“商务和技术文件”，交由评审委员会评审。如有演示要求，组织各供应商逐一演示，具体详见《前附表》中的演示要求。</w:t>
      </w:r>
    </w:p>
    <w:p w14:paraId="7712D310">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2.6</w:t>
      </w:r>
      <w:r>
        <w:rPr>
          <w:rFonts w:hint="eastAsia" w:ascii="仿宋" w:eastAsia="仿宋"/>
          <w:color w:val="auto"/>
          <w:sz w:val="24"/>
          <w:highlight w:val="none"/>
        </w:rPr>
        <w:t>主持人宣布商务和技术文件得分情况及无效（废）投标情形（如有），无效供应商可收回未拆封的报价文件和原件材料（如有）并签字确认。</w:t>
      </w:r>
    </w:p>
    <w:p w14:paraId="7569E47E">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2.7</w:t>
      </w:r>
      <w:r>
        <w:rPr>
          <w:rFonts w:hint="eastAsia" w:ascii="仿宋" w:eastAsia="仿宋"/>
          <w:color w:val="auto"/>
          <w:sz w:val="24"/>
          <w:highlight w:val="none"/>
        </w:rPr>
        <w:t>启封“报价文件”，宣读供应商名称、投标报价等内容。宣读结束后，参加开标会的法定代表人或其授权代表应对报价和宣读的内容签字确认。</w:t>
      </w:r>
    </w:p>
    <w:p w14:paraId="344C912A">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2.8</w:t>
      </w:r>
      <w:r>
        <w:rPr>
          <w:rFonts w:hint="eastAsia" w:ascii="仿宋" w:eastAsia="仿宋"/>
          <w:color w:val="auto"/>
          <w:sz w:val="24"/>
          <w:highlight w:val="none"/>
        </w:rPr>
        <w:t>评审委员会对“报价文件”进行评审，计算评标价及价格分，汇总商务技术分、价格分，根据得分排序确定中标候选人。</w:t>
      </w:r>
    </w:p>
    <w:p w14:paraId="63E6E2BC">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2.9</w:t>
      </w:r>
      <w:r>
        <w:rPr>
          <w:rFonts w:hint="eastAsia" w:ascii="仿宋" w:eastAsia="仿宋"/>
          <w:color w:val="auto"/>
          <w:sz w:val="24"/>
          <w:highlight w:val="none"/>
        </w:rPr>
        <w:t>主持人向投标单位公布评审结果。</w:t>
      </w:r>
    </w:p>
    <w:p w14:paraId="1465450D">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要求投标人作出必要的澄清、说明或者补正。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3E180A8F">
      <w:pPr>
        <w:pStyle w:val="15"/>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2D6C08D0">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0A6FFB6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463B227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4DB986A0">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56EA7F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6F5A322E">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62C3065C">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31CE004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5B75EB1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7011FF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11568F5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3F5650C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2BAFFD3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4AE75839">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46FFB804">
      <w:pPr>
        <w:pStyle w:val="15"/>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62D3A23B">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5E204565">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6F74922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1D23664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262C6BA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7CD48E1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59F98F60">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409BE87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0267CAC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72AD842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6B6F8F2">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3FB75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2E106F49">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6507DB5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3729041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20D8BB6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22FE142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3A43654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4947ECC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6B780C3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69D9971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2977AB79">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79C79882">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1A04B41">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违反法律、法规及本磋商文件规定的其他无效磋商情形。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DF056B7">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296FE9D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8.1本项目中标通知书在采购代理机构处领取。</w:t>
      </w:r>
    </w:p>
    <w:p w14:paraId="22C6AB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6607044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241ADDE">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23452C70">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440" w:lineRule="exact"/>
        <w:jc w:val="left"/>
        <w:rPr>
          <w:rFonts w:hint="default" w:ascii="仿宋" w:eastAsia="仿宋"/>
          <w:b/>
          <w:color w:val="auto"/>
          <w:sz w:val="24"/>
          <w:highlight w:val="none"/>
          <w:lang w:val="en-US" w:eastAsia="zh-CN"/>
        </w:rPr>
      </w:pPr>
      <w:r>
        <w:rPr>
          <w:rFonts w:hint="eastAsia" w:ascii="仿宋" w:eastAsia="仿宋"/>
          <w:b/>
          <w:color w:val="auto"/>
          <w:sz w:val="24"/>
          <w:highlight w:val="none"/>
        </w:rPr>
        <w:t>2．履约保证金</w:t>
      </w:r>
      <w:r>
        <w:rPr>
          <w:rFonts w:hint="eastAsia" w:ascii="仿宋" w:eastAsia="仿宋"/>
          <w:b/>
          <w:color w:val="auto"/>
          <w:sz w:val="24"/>
          <w:highlight w:val="none"/>
          <w:lang w:eastAsia="zh-CN"/>
        </w:rPr>
        <w:t>：</w:t>
      </w:r>
      <w:r>
        <w:rPr>
          <w:rFonts w:hint="eastAsia" w:ascii="仿宋" w:eastAsia="仿宋"/>
          <w:b/>
          <w:color w:val="auto"/>
          <w:sz w:val="24"/>
          <w:highlight w:val="none"/>
          <w:lang w:val="en-US" w:eastAsia="zh-CN"/>
        </w:rPr>
        <w:t>无</w:t>
      </w:r>
    </w:p>
    <w:p w14:paraId="3F7630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78083B63">
      <w:pPr>
        <w:rPr>
          <w:rFonts w:hint="eastAsia" w:ascii="仿宋"/>
          <w:color w:val="auto"/>
          <w:highlight w:val="none"/>
        </w:rPr>
      </w:pPr>
      <w:bookmarkStart w:id="40" w:name="_Toc3442"/>
      <w:r>
        <w:rPr>
          <w:rFonts w:hint="eastAsia" w:ascii="仿宋"/>
          <w:color w:val="auto"/>
          <w:highlight w:val="none"/>
        </w:rPr>
        <w:br w:type="page"/>
      </w:r>
    </w:p>
    <w:p w14:paraId="2A40FCA1">
      <w:pPr>
        <w:pStyle w:val="2"/>
        <w:jc w:val="center"/>
        <w:rPr>
          <w:rFonts w:hint="eastAsia" w:ascii="仿宋"/>
          <w:color w:val="auto"/>
          <w:highlight w:val="none"/>
        </w:rPr>
      </w:pPr>
      <w:r>
        <w:rPr>
          <w:rFonts w:hint="eastAsia" w:ascii="仿宋"/>
          <w:color w:val="auto"/>
          <w:highlight w:val="none"/>
        </w:rPr>
        <w:t>第三章  采购需求</w:t>
      </w:r>
      <w:bookmarkEnd w:id="40"/>
    </w:p>
    <w:p w14:paraId="7BD528C5">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403D8ECD">
      <w:pPr>
        <w:pageBreakBefore w:val="0"/>
        <w:kinsoku/>
        <w:wordWrap/>
        <w:overflowPunct/>
        <w:topLinePunct w:val="0"/>
        <w:autoSpaceDE/>
        <w:autoSpaceDN/>
        <w:bidi w:val="0"/>
        <w:spacing w:line="420" w:lineRule="exact"/>
        <w:ind w:left="0" w:leftChars="0" w:right="0" w:rightChars="0"/>
        <w:textAlignment w:val="auto"/>
        <w:rPr>
          <w:rStyle w:val="31"/>
          <w:rFonts w:hint="eastAsia" w:ascii="仿宋" w:hAnsi="仿宋" w:eastAsia="仿宋" w:cs="仿宋"/>
          <w:b/>
          <w:bCs/>
          <w:color w:val="auto"/>
          <w:sz w:val="24"/>
          <w:szCs w:val="24"/>
          <w:highlight w:val="none"/>
          <w:u w:val="none"/>
          <w:lang w:val="en-US" w:eastAsia="zh-CN"/>
        </w:rPr>
      </w:pPr>
      <w:r>
        <w:rPr>
          <w:rStyle w:val="31"/>
          <w:rFonts w:hint="eastAsia" w:ascii="仿宋" w:hAnsi="仿宋" w:eastAsia="仿宋" w:cs="仿宋"/>
          <w:b/>
          <w:bCs/>
          <w:color w:val="auto"/>
          <w:sz w:val="24"/>
          <w:szCs w:val="24"/>
          <w:highlight w:val="none"/>
          <w:u w:val="none"/>
          <w:lang w:val="en-US" w:eastAsia="zh-CN"/>
        </w:rPr>
        <w:t>（一）采购内容</w:t>
      </w:r>
    </w:p>
    <w:tbl>
      <w:tblPr>
        <w:tblStyle w:val="25"/>
        <w:tblW w:w="4743" w:type="pct"/>
        <w:tblInd w:w="0" w:type="dxa"/>
        <w:tblLayout w:type="fixed"/>
        <w:tblCellMar>
          <w:top w:w="0" w:type="dxa"/>
          <w:left w:w="30" w:type="dxa"/>
          <w:bottom w:w="0" w:type="dxa"/>
          <w:right w:w="30" w:type="dxa"/>
        </w:tblCellMar>
      </w:tblPr>
      <w:tblGrid>
        <w:gridCol w:w="1089"/>
        <w:gridCol w:w="4211"/>
        <w:gridCol w:w="1392"/>
        <w:gridCol w:w="1562"/>
      </w:tblGrid>
      <w:tr w14:paraId="7A4EC89A">
        <w:tblPrEx>
          <w:tblCellMar>
            <w:top w:w="0" w:type="dxa"/>
            <w:left w:w="30" w:type="dxa"/>
            <w:bottom w:w="0" w:type="dxa"/>
            <w:right w:w="30" w:type="dxa"/>
          </w:tblCellMar>
        </w:tblPrEx>
        <w:trPr>
          <w:trHeight w:val="402" w:hRule="atLeast"/>
        </w:trPr>
        <w:tc>
          <w:tcPr>
            <w:tcW w:w="659" w:type="pct"/>
            <w:tcBorders>
              <w:top w:val="single" w:color="000000" w:sz="6" w:space="0"/>
              <w:left w:val="single" w:color="000000" w:sz="6" w:space="0"/>
              <w:bottom w:val="single" w:color="000000" w:sz="6" w:space="0"/>
              <w:right w:val="single" w:color="000000" w:sz="6" w:space="0"/>
            </w:tcBorders>
            <w:vAlign w:val="center"/>
          </w:tcPr>
          <w:p w14:paraId="419529AD">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bookmarkStart w:id="42" w:name="_Toc16453"/>
            <w:r>
              <w:rPr>
                <w:rFonts w:hint="eastAsia" w:ascii="仿宋" w:hAnsi="仿宋" w:eastAsia="仿宋" w:cs="仿宋"/>
                <w:b/>
                <w:bCs/>
                <w:color w:val="auto"/>
                <w:kern w:val="0"/>
                <w:sz w:val="24"/>
                <w:szCs w:val="24"/>
                <w:highlight w:val="none"/>
                <w:lang w:val="en-GB"/>
              </w:rPr>
              <w:t>序号</w:t>
            </w:r>
          </w:p>
        </w:tc>
        <w:tc>
          <w:tcPr>
            <w:tcW w:w="2551" w:type="pct"/>
            <w:tcBorders>
              <w:top w:val="single" w:color="000000" w:sz="6" w:space="0"/>
              <w:left w:val="single" w:color="000000" w:sz="6" w:space="0"/>
              <w:bottom w:val="single" w:color="000000" w:sz="6" w:space="0"/>
              <w:right w:val="single" w:color="000000" w:sz="6" w:space="0"/>
            </w:tcBorders>
            <w:vAlign w:val="center"/>
          </w:tcPr>
          <w:p w14:paraId="126CBAFA">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名 称</w:t>
            </w:r>
          </w:p>
        </w:tc>
        <w:tc>
          <w:tcPr>
            <w:tcW w:w="843" w:type="pct"/>
            <w:tcBorders>
              <w:top w:val="single" w:color="000000" w:sz="6" w:space="0"/>
              <w:left w:val="single" w:color="000000" w:sz="6" w:space="0"/>
              <w:bottom w:val="single" w:color="000000" w:sz="6" w:space="0"/>
              <w:right w:val="single" w:color="000000" w:sz="6" w:space="0"/>
            </w:tcBorders>
            <w:vAlign w:val="center"/>
          </w:tcPr>
          <w:p w14:paraId="704DB639">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eastAsia="zh-CN"/>
              </w:rPr>
            </w:pPr>
            <w:r>
              <w:rPr>
                <w:rFonts w:hint="eastAsia" w:ascii="仿宋" w:hAnsi="仿宋" w:eastAsia="仿宋" w:cs="仿宋"/>
                <w:b/>
                <w:bCs/>
                <w:color w:val="auto"/>
                <w:kern w:val="0"/>
                <w:sz w:val="24"/>
                <w:szCs w:val="24"/>
                <w:highlight w:val="none"/>
                <w:lang w:val="en-US" w:eastAsia="zh-CN"/>
              </w:rPr>
              <w:t>单位</w:t>
            </w:r>
          </w:p>
        </w:tc>
        <w:tc>
          <w:tcPr>
            <w:tcW w:w="946" w:type="pct"/>
            <w:tcBorders>
              <w:top w:val="single" w:color="000000" w:sz="6" w:space="0"/>
              <w:left w:val="single" w:color="000000" w:sz="6" w:space="0"/>
              <w:bottom w:val="single" w:color="000000" w:sz="6" w:space="0"/>
              <w:right w:val="single" w:color="000000" w:sz="6" w:space="0"/>
            </w:tcBorders>
            <w:vAlign w:val="center"/>
          </w:tcPr>
          <w:p w14:paraId="7054ABC1">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eastAsia="zh-CN"/>
              </w:rPr>
            </w:pPr>
            <w:r>
              <w:rPr>
                <w:rFonts w:hint="eastAsia" w:ascii="仿宋" w:hAnsi="仿宋" w:eastAsia="仿宋" w:cs="仿宋"/>
                <w:b/>
                <w:bCs/>
                <w:color w:val="auto"/>
                <w:kern w:val="0"/>
                <w:sz w:val="24"/>
                <w:szCs w:val="24"/>
                <w:highlight w:val="none"/>
                <w:lang w:val="en-US" w:eastAsia="zh-CN"/>
              </w:rPr>
              <w:t>数量</w:t>
            </w:r>
          </w:p>
        </w:tc>
      </w:tr>
      <w:tr w14:paraId="170A164C">
        <w:tblPrEx>
          <w:tblCellMar>
            <w:top w:w="0" w:type="dxa"/>
            <w:left w:w="30" w:type="dxa"/>
            <w:bottom w:w="0" w:type="dxa"/>
            <w:right w:w="30" w:type="dxa"/>
          </w:tblCellMar>
        </w:tblPrEx>
        <w:trPr>
          <w:trHeight w:val="408" w:hRule="atLeast"/>
        </w:trPr>
        <w:tc>
          <w:tcPr>
            <w:tcW w:w="659" w:type="pct"/>
            <w:tcBorders>
              <w:top w:val="single" w:color="000000" w:sz="6" w:space="0"/>
              <w:left w:val="single" w:color="000000" w:sz="6" w:space="0"/>
              <w:bottom w:val="single" w:color="000000" w:sz="6" w:space="0"/>
              <w:right w:val="single" w:color="000000" w:sz="6" w:space="0"/>
            </w:tcBorders>
            <w:vAlign w:val="center"/>
          </w:tcPr>
          <w:p w14:paraId="3B72C1B1">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w:t>
            </w:r>
          </w:p>
        </w:tc>
        <w:tc>
          <w:tcPr>
            <w:tcW w:w="2551" w:type="pct"/>
            <w:tcBorders>
              <w:top w:val="single" w:color="000000" w:sz="6" w:space="0"/>
              <w:left w:val="single" w:color="000000" w:sz="6" w:space="0"/>
              <w:bottom w:val="single" w:color="000000" w:sz="6" w:space="0"/>
              <w:right w:val="single" w:color="000000" w:sz="6" w:space="0"/>
            </w:tcBorders>
            <w:vAlign w:val="center"/>
          </w:tcPr>
          <w:p w14:paraId="3C7D85F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脑卒中筛查标本外送</w:t>
            </w:r>
          </w:p>
        </w:tc>
        <w:tc>
          <w:tcPr>
            <w:tcW w:w="843" w:type="pct"/>
            <w:tcBorders>
              <w:top w:val="single" w:color="000000" w:sz="6" w:space="0"/>
              <w:left w:val="single" w:color="000000" w:sz="6" w:space="0"/>
              <w:bottom w:val="single" w:color="000000" w:sz="6" w:space="0"/>
              <w:right w:val="single" w:color="000000" w:sz="6" w:space="0"/>
            </w:tcBorders>
            <w:vAlign w:val="center"/>
          </w:tcPr>
          <w:p w14:paraId="3689D07E">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每人次</w:t>
            </w:r>
          </w:p>
        </w:tc>
        <w:tc>
          <w:tcPr>
            <w:tcW w:w="946" w:type="pct"/>
            <w:tcBorders>
              <w:top w:val="single" w:color="000000" w:sz="6" w:space="0"/>
              <w:left w:val="single" w:color="000000" w:sz="6" w:space="0"/>
              <w:bottom w:val="single" w:color="000000" w:sz="6" w:space="0"/>
              <w:right w:val="single" w:color="000000" w:sz="6" w:space="0"/>
            </w:tcBorders>
            <w:vAlign w:val="center"/>
          </w:tcPr>
          <w:p w14:paraId="683DC53A">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4000</w:t>
            </w:r>
          </w:p>
        </w:tc>
      </w:tr>
    </w:tbl>
    <w:p w14:paraId="0667B6DD">
      <w:pPr>
        <w:pageBreakBefore w:val="0"/>
        <w:kinsoku/>
        <w:wordWrap/>
        <w:overflowPunct/>
        <w:topLinePunct w:val="0"/>
        <w:autoSpaceDE/>
        <w:autoSpaceDN/>
        <w:bidi w:val="0"/>
        <w:spacing w:line="420" w:lineRule="exact"/>
        <w:ind w:left="0" w:leftChars="0" w:right="0" w:rightChars="0"/>
        <w:textAlignment w:val="auto"/>
        <w:rPr>
          <w:rFonts w:hint="eastAsia" w:ascii="仿宋" w:hAnsi="仿宋" w:eastAsia="仿宋" w:cs="仿宋"/>
          <w:b/>
          <w:color w:val="auto"/>
          <w:sz w:val="24"/>
          <w:szCs w:val="24"/>
          <w:highlight w:val="none"/>
        </w:rPr>
      </w:pPr>
      <w:r>
        <w:rPr>
          <w:rStyle w:val="31"/>
          <w:rFonts w:hint="eastAsia" w:ascii="仿宋" w:hAnsi="仿宋" w:eastAsia="仿宋" w:cs="仿宋"/>
          <w:b/>
          <w:bCs/>
          <w:color w:val="auto"/>
          <w:sz w:val="24"/>
          <w:szCs w:val="24"/>
          <w:highlight w:val="none"/>
          <w:u w:val="none"/>
          <w:lang w:val="en-US" w:eastAsia="zh-CN"/>
        </w:rPr>
        <w:t>（二）</w:t>
      </w:r>
      <w:r>
        <w:rPr>
          <w:rFonts w:hint="eastAsia" w:ascii="仿宋" w:hAnsi="仿宋" w:eastAsia="仿宋" w:cs="仿宋"/>
          <w:b/>
          <w:color w:val="auto"/>
          <w:sz w:val="24"/>
          <w:szCs w:val="24"/>
          <w:highlight w:val="none"/>
        </w:rPr>
        <w:t>检验外送项目清单</w:t>
      </w:r>
    </w:p>
    <w:tbl>
      <w:tblPr>
        <w:tblStyle w:val="25"/>
        <w:tblpPr w:leftFromText="180" w:rightFromText="180" w:vertAnchor="text" w:horzAnchor="page" w:tblpXSpec="center" w:tblpY="189"/>
        <w:tblOverlap w:val="never"/>
        <w:tblW w:w="8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1"/>
        <w:gridCol w:w="720"/>
        <w:gridCol w:w="5607"/>
      </w:tblGrid>
      <w:tr w14:paraId="0560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841" w:type="dxa"/>
            <w:tcBorders>
              <w:top w:val="single" w:color="000000" w:sz="4" w:space="0"/>
              <w:left w:val="single" w:color="000000" w:sz="4" w:space="0"/>
              <w:bottom w:val="single" w:color="000000" w:sz="4" w:space="0"/>
              <w:right w:val="single" w:color="000000" w:sz="4" w:space="0"/>
            </w:tcBorders>
            <w:noWrap w:val="0"/>
            <w:vAlign w:val="center"/>
          </w:tcPr>
          <w:p w14:paraId="7301EFD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检测外送项目名称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E2117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5607" w:type="dxa"/>
            <w:tcBorders>
              <w:top w:val="single" w:color="000000" w:sz="4" w:space="0"/>
              <w:left w:val="single" w:color="000000" w:sz="4" w:space="0"/>
              <w:bottom w:val="single" w:color="000000" w:sz="4" w:space="0"/>
              <w:right w:val="single" w:color="000000" w:sz="4" w:space="0"/>
            </w:tcBorders>
            <w:noWrap w:val="0"/>
            <w:vAlign w:val="center"/>
          </w:tcPr>
          <w:p w14:paraId="300E7A4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包含的项目明细</w:t>
            </w:r>
          </w:p>
        </w:tc>
      </w:tr>
      <w:tr w14:paraId="5A05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restart"/>
            <w:tcBorders>
              <w:top w:val="single" w:color="000000" w:sz="4" w:space="0"/>
              <w:left w:val="single" w:color="000000" w:sz="4" w:space="0"/>
              <w:right w:val="single" w:color="000000" w:sz="4" w:space="0"/>
            </w:tcBorders>
            <w:noWrap w:val="0"/>
            <w:vAlign w:val="center"/>
          </w:tcPr>
          <w:p w14:paraId="19EF37E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基于血液标记物的智能脑卒中风险筛查外送检测服务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464F0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52E0C7B7">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甘油三酯测定试剂盒（GPO-PAP法）</w:t>
            </w:r>
          </w:p>
        </w:tc>
      </w:tr>
      <w:tr w14:paraId="317D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noWrap w:val="0"/>
            <w:vAlign w:val="center"/>
          </w:tcPr>
          <w:p w14:paraId="2A65E0FA">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9CB99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7D9D95E0">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胆固醇测定试剂盒（CHOD-PAP法）</w:t>
            </w:r>
          </w:p>
        </w:tc>
      </w:tr>
      <w:tr w14:paraId="5E65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jc w:val="center"/>
        </w:trPr>
        <w:tc>
          <w:tcPr>
            <w:tcW w:w="1841" w:type="dxa"/>
            <w:vMerge w:val="continue"/>
            <w:tcBorders>
              <w:left w:val="single" w:color="000000" w:sz="4" w:space="0"/>
              <w:right w:val="single" w:color="000000" w:sz="4" w:space="0"/>
            </w:tcBorders>
            <w:noWrap w:val="0"/>
            <w:vAlign w:val="center"/>
          </w:tcPr>
          <w:p w14:paraId="227A5C92">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6406F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3A05786D">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高密度脂蛋白胆固醇测定试剂盒（直接法-过氧化氢酶清除法）</w:t>
            </w:r>
          </w:p>
        </w:tc>
      </w:tr>
      <w:tr w14:paraId="62A3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noWrap w:val="0"/>
            <w:vAlign w:val="center"/>
          </w:tcPr>
          <w:p w14:paraId="6AE42130">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DBA0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7FDE33C5">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低密度脂蛋白胆固醇测定试剂盒（直接法-表面活性剂清除法）</w:t>
            </w:r>
          </w:p>
        </w:tc>
      </w:tr>
      <w:tr w14:paraId="766F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6685D1D1">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AF42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6BF1C13">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脂蛋白（a）测定试剂盒（胶乳免疫比浊法）</w:t>
            </w:r>
          </w:p>
        </w:tc>
      </w:tr>
      <w:tr w14:paraId="2196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53EB721B">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6BB2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056CFE8">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D二聚体测定试剂盒(胶乳免疫比浊法)</w:t>
            </w:r>
          </w:p>
        </w:tc>
      </w:tr>
      <w:tr w14:paraId="48D4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01A37D0D">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B5AD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CB85226">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糖化血清蛋白测定试剂盒（四氮唑盐还原法）</w:t>
            </w:r>
          </w:p>
        </w:tc>
      </w:tr>
      <w:tr w14:paraId="5902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noWrap w:val="0"/>
            <w:vAlign w:val="center"/>
          </w:tcPr>
          <w:p w14:paraId="0192A922">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FC23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49AB5DFA">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游离脂肪酸测定试剂盒（ACS-ACOD法）</w:t>
            </w:r>
          </w:p>
        </w:tc>
      </w:tr>
      <w:tr w14:paraId="2401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27BA1746">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12F7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DA85CF7">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纤维蛋白原降解产物测定试剂盒（胶乳增强免疫比浊法）</w:t>
            </w:r>
          </w:p>
        </w:tc>
      </w:tr>
      <w:tr w14:paraId="4178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noWrap w:val="0"/>
            <w:vAlign w:val="center"/>
          </w:tcPr>
          <w:p w14:paraId="25888D31">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CE10B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5607" w:type="dxa"/>
            <w:tcBorders>
              <w:top w:val="single" w:color="000000" w:sz="4" w:space="0"/>
              <w:left w:val="single" w:color="000000" w:sz="4" w:space="0"/>
              <w:bottom w:val="single" w:color="000000" w:sz="4" w:space="0"/>
              <w:right w:val="single" w:color="000000" w:sz="4" w:space="0"/>
            </w:tcBorders>
            <w:noWrap w:val="0"/>
            <w:vAlign w:val="bottom"/>
          </w:tcPr>
          <w:p w14:paraId="1E981129">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超敏C-反应蛋白测定试剂盒（胶乳免疫比浊法）</w:t>
            </w:r>
          </w:p>
        </w:tc>
      </w:tr>
      <w:tr w14:paraId="17CA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521BD795">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412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5DE9577">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同型半胱氨酸测定试剂盒(酶循环法)</w:t>
            </w:r>
          </w:p>
        </w:tc>
      </w:tr>
      <w:tr w14:paraId="28B4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16973B15">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DAB9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BCFE8DF">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载脂蛋白E测定试剂盒（免疫比浊法）</w:t>
            </w:r>
          </w:p>
        </w:tc>
      </w:tr>
      <w:tr w14:paraId="2A5C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5AAAE00B">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04D2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9A28E74">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缺血修饰白蛋白测定试剂盒（ACB法）</w:t>
            </w:r>
          </w:p>
        </w:tc>
      </w:tr>
      <w:tr w14:paraId="050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right w:val="single" w:color="000000" w:sz="4" w:space="0"/>
            </w:tcBorders>
            <w:shd w:val="clear" w:color="auto" w:fill="FFFFFF"/>
            <w:noWrap w:val="0"/>
            <w:vAlign w:val="center"/>
          </w:tcPr>
          <w:p w14:paraId="2210F2D4">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D91B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7BC3E17">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血管紧张素转换酶测定试剂盒(连续监测法）</w:t>
            </w:r>
          </w:p>
        </w:tc>
      </w:tr>
      <w:tr w14:paraId="001E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41" w:type="dxa"/>
            <w:vMerge w:val="continue"/>
            <w:tcBorders>
              <w:left w:val="single" w:color="000000" w:sz="4" w:space="0"/>
              <w:bottom w:val="single" w:color="000000" w:sz="4" w:space="0"/>
              <w:right w:val="single" w:color="000000" w:sz="4" w:space="0"/>
            </w:tcBorders>
            <w:shd w:val="clear" w:color="auto" w:fill="FFFFFF"/>
            <w:noWrap w:val="0"/>
            <w:vAlign w:val="center"/>
          </w:tcPr>
          <w:p w14:paraId="6C650559">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0C24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56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91E1F7F">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糖化白蛋白测定试剂盒（酶法）</w:t>
            </w:r>
          </w:p>
        </w:tc>
      </w:tr>
    </w:tbl>
    <w:p w14:paraId="6B1D85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Style w:val="31"/>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val="0"/>
          <w:bCs w:val="0"/>
          <w:caps w:val="0"/>
          <w:smallCaps w:val="0"/>
          <w:vanish w:val="0"/>
          <w:color w:val="auto"/>
          <w:sz w:val="24"/>
          <w:szCs w:val="24"/>
          <w:highlight w:val="none"/>
          <w:vertAlign w:val="baseline"/>
          <w:lang w:val="en-US" w:eastAsia="zh-CN"/>
        </w:rPr>
        <w:t>以上清单服务内容不得有缺项。</w:t>
      </w:r>
    </w:p>
    <w:p w14:paraId="6373F1F7">
      <w:pPr>
        <w:pageBreakBefore w:val="0"/>
        <w:kinsoku/>
        <w:wordWrap/>
        <w:overflowPunct/>
        <w:topLinePunct w:val="0"/>
        <w:autoSpaceDE/>
        <w:autoSpaceDN/>
        <w:bidi w:val="0"/>
        <w:spacing w:line="420" w:lineRule="exact"/>
        <w:ind w:left="0" w:leftChars="0" w:right="0" w:rightChars="0"/>
        <w:textAlignment w:val="auto"/>
        <w:rPr>
          <w:rStyle w:val="31"/>
          <w:rFonts w:hint="eastAsia" w:ascii="仿宋" w:hAnsi="仿宋" w:eastAsia="仿宋" w:cs="仿宋"/>
          <w:b/>
          <w:bCs/>
          <w:color w:val="auto"/>
          <w:sz w:val="24"/>
          <w:szCs w:val="24"/>
          <w:highlight w:val="none"/>
          <w:u w:val="none"/>
          <w:lang w:eastAsia="zh-CN"/>
        </w:rPr>
      </w:pPr>
      <w:r>
        <w:rPr>
          <w:rStyle w:val="31"/>
          <w:rFonts w:hint="eastAsia" w:ascii="仿宋" w:hAnsi="仿宋" w:eastAsia="仿宋" w:cs="仿宋"/>
          <w:b/>
          <w:bCs/>
          <w:color w:val="auto"/>
          <w:sz w:val="24"/>
          <w:szCs w:val="24"/>
          <w:highlight w:val="none"/>
          <w:u w:val="none"/>
          <w:lang w:val="en-US" w:eastAsia="zh-CN"/>
        </w:rPr>
        <w:t>（三）</w:t>
      </w:r>
      <w:r>
        <w:rPr>
          <w:rStyle w:val="31"/>
          <w:rFonts w:hint="eastAsia" w:ascii="仿宋" w:hAnsi="仿宋" w:eastAsia="仿宋" w:cs="仿宋"/>
          <w:b/>
          <w:bCs/>
          <w:color w:val="auto"/>
          <w:sz w:val="24"/>
          <w:szCs w:val="24"/>
          <w:highlight w:val="none"/>
          <w:u w:val="none"/>
          <w:lang w:eastAsia="zh-CN"/>
        </w:rPr>
        <w:t>采购需求</w:t>
      </w:r>
    </w:p>
    <w:p w14:paraId="2162F911">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lang w:val="en-US" w:eastAsia="zh-CN"/>
        </w:rPr>
        <w:t>1</w:t>
      </w:r>
      <w:r>
        <w:rPr>
          <w:rStyle w:val="31"/>
          <w:rFonts w:hint="eastAsia" w:ascii="仿宋" w:hAnsi="仿宋" w:eastAsia="仿宋" w:cs="仿宋"/>
          <w:b w:val="0"/>
          <w:bCs w:val="0"/>
          <w:color w:val="auto"/>
          <w:sz w:val="24"/>
          <w:szCs w:val="24"/>
          <w:highlight w:val="none"/>
          <w:u w:val="none"/>
        </w:rPr>
        <w:t>、适用范围：</w:t>
      </w:r>
      <w:r>
        <w:rPr>
          <w:rStyle w:val="31"/>
          <w:rFonts w:hint="eastAsia" w:ascii="仿宋" w:hAnsi="仿宋" w:eastAsia="仿宋" w:cs="仿宋"/>
          <w:b w:val="0"/>
          <w:bCs w:val="0"/>
          <w:color w:val="auto"/>
          <w:sz w:val="24"/>
          <w:szCs w:val="24"/>
          <w:highlight w:val="none"/>
          <w:u w:val="none"/>
          <w:lang w:val="en-US" w:eastAsia="zh-CN"/>
        </w:rPr>
        <w:t>各采购单位</w:t>
      </w:r>
      <w:r>
        <w:rPr>
          <w:rStyle w:val="31"/>
          <w:rFonts w:hint="eastAsia" w:ascii="仿宋" w:hAnsi="仿宋" w:eastAsia="仿宋" w:cs="仿宋"/>
          <w:b w:val="0"/>
          <w:bCs w:val="0"/>
          <w:color w:val="auto"/>
          <w:sz w:val="24"/>
          <w:szCs w:val="24"/>
          <w:highlight w:val="none"/>
          <w:u w:val="none"/>
          <w:lang w:eastAsia="zh-CN"/>
        </w:rPr>
        <w:t>检验</w:t>
      </w:r>
      <w:r>
        <w:rPr>
          <w:rStyle w:val="31"/>
          <w:rFonts w:hint="eastAsia" w:ascii="仿宋" w:hAnsi="仿宋" w:eastAsia="仿宋" w:cs="仿宋"/>
          <w:b w:val="0"/>
          <w:bCs w:val="0"/>
          <w:color w:val="auto"/>
          <w:sz w:val="24"/>
          <w:szCs w:val="24"/>
          <w:highlight w:val="none"/>
          <w:u w:val="none"/>
        </w:rPr>
        <w:t>科</w:t>
      </w:r>
    </w:p>
    <w:p w14:paraId="25FB2B85">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lang w:val="en-US" w:eastAsia="zh-CN"/>
        </w:rPr>
        <w:t>2</w:t>
      </w:r>
      <w:r>
        <w:rPr>
          <w:rStyle w:val="31"/>
          <w:rFonts w:hint="eastAsia" w:ascii="仿宋" w:hAnsi="仿宋" w:eastAsia="仿宋" w:cs="仿宋"/>
          <w:b w:val="0"/>
          <w:bCs w:val="0"/>
          <w:color w:val="auto"/>
          <w:sz w:val="24"/>
          <w:szCs w:val="24"/>
          <w:highlight w:val="none"/>
          <w:u w:val="none"/>
        </w:rPr>
        <w:t>、产品主要技术参数要求（服务要求）</w:t>
      </w:r>
    </w:p>
    <w:p w14:paraId="6A9468CF">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w:t>
      </w:r>
      <w:r>
        <w:rPr>
          <w:rStyle w:val="31"/>
          <w:rFonts w:hint="eastAsia" w:ascii="仿宋" w:hAnsi="仿宋" w:eastAsia="仿宋" w:cs="仿宋"/>
          <w:b w:val="0"/>
          <w:bCs w:val="0"/>
          <w:color w:val="auto"/>
          <w:sz w:val="24"/>
          <w:szCs w:val="24"/>
          <w:highlight w:val="none"/>
          <w:u w:val="none"/>
          <w:lang w:val="en-US" w:eastAsia="zh-CN"/>
        </w:rPr>
        <w:t xml:space="preserve">1 </w:t>
      </w:r>
      <w:r>
        <w:rPr>
          <w:rStyle w:val="31"/>
          <w:rFonts w:hint="eastAsia" w:ascii="仿宋" w:hAnsi="仿宋" w:eastAsia="仿宋" w:cs="仿宋"/>
          <w:b w:val="0"/>
          <w:bCs w:val="0"/>
          <w:color w:val="auto"/>
          <w:sz w:val="24"/>
          <w:szCs w:val="24"/>
          <w:highlight w:val="none"/>
          <w:u w:val="none"/>
        </w:rPr>
        <w:t>中标单位应按国家相关规定妥善保管好标本，有保证标本安全的义务；招标单位有督查、借阅的权利，对检验结果有异疑时进行免费复查或再委托第三方检验，这种情况所发生的费用，由投标人承担。</w:t>
      </w:r>
    </w:p>
    <w:p w14:paraId="3AA14FE9">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w:t>
      </w:r>
      <w:r>
        <w:rPr>
          <w:rStyle w:val="31"/>
          <w:rFonts w:hint="eastAsia" w:ascii="仿宋" w:hAnsi="仿宋" w:eastAsia="仿宋" w:cs="仿宋"/>
          <w:b w:val="0"/>
          <w:bCs w:val="0"/>
          <w:color w:val="auto"/>
          <w:sz w:val="24"/>
          <w:szCs w:val="24"/>
          <w:highlight w:val="none"/>
          <w:u w:val="none"/>
          <w:lang w:val="en-US" w:eastAsia="zh-CN"/>
        </w:rPr>
        <w:t>2</w:t>
      </w:r>
      <w:r>
        <w:rPr>
          <w:rStyle w:val="31"/>
          <w:rFonts w:hint="eastAsia" w:ascii="仿宋" w:hAnsi="仿宋" w:eastAsia="仿宋" w:cs="仿宋"/>
          <w:b w:val="0"/>
          <w:bCs w:val="0"/>
          <w:color w:val="auto"/>
          <w:sz w:val="24"/>
          <w:szCs w:val="24"/>
          <w:highlight w:val="none"/>
          <w:u w:val="none"/>
        </w:rPr>
        <w:t>投标人承诺</w:t>
      </w:r>
      <w:r>
        <w:rPr>
          <w:rStyle w:val="31"/>
          <w:rFonts w:hint="eastAsia" w:ascii="仿宋" w:hAnsi="仿宋" w:eastAsia="仿宋" w:cs="仿宋"/>
          <w:b w:val="0"/>
          <w:bCs w:val="0"/>
          <w:color w:val="auto"/>
          <w:sz w:val="24"/>
          <w:szCs w:val="24"/>
          <w:highlight w:val="none"/>
          <w:u w:val="none"/>
          <w:lang w:val="en-US" w:eastAsia="zh-CN"/>
        </w:rPr>
        <w:t>因服务</w:t>
      </w:r>
      <w:r>
        <w:rPr>
          <w:rStyle w:val="31"/>
          <w:rFonts w:hint="eastAsia" w:ascii="仿宋" w:hAnsi="仿宋" w:eastAsia="仿宋" w:cs="仿宋"/>
          <w:b w:val="0"/>
          <w:bCs w:val="0"/>
          <w:color w:val="auto"/>
          <w:sz w:val="24"/>
          <w:szCs w:val="24"/>
          <w:highlight w:val="none"/>
          <w:u w:val="none"/>
        </w:rPr>
        <w:t>（非院方及患者原因或产品质量问题）</w:t>
      </w:r>
      <w:r>
        <w:rPr>
          <w:rStyle w:val="31"/>
          <w:rFonts w:hint="eastAsia" w:ascii="仿宋" w:hAnsi="仿宋" w:eastAsia="仿宋" w:cs="仿宋"/>
          <w:b w:val="0"/>
          <w:bCs w:val="0"/>
          <w:color w:val="auto"/>
          <w:sz w:val="24"/>
          <w:szCs w:val="24"/>
          <w:highlight w:val="none"/>
          <w:u w:val="none"/>
        </w:rPr>
        <w:t>引起的医疗投诉、纠纷，能协助招标方做好患者的协调工作，并承担</w:t>
      </w:r>
      <w:r>
        <w:rPr>
          <w:rStyle w:val="31"/>
          <w:rFonts w:hint="eastAsia" w:ascii="仿宋" w:hAnsi="仿宋" w:eastAsia="仿宋" w:cs="仿宋"/>
          <w:b w:val="0"/>
          <w:bCs w:val="0"/>
          <w:color w:val="auto"/>
          <w:sz w:val="24"/>
          <w:szCs w:val="24"/>
          <w:highlight w:val="none"/>
          <w:u w:val="none"/>
          <w:lang w:val="en-US" w:eastAsia="zh-CN"/>
        </w:rPr>
        <w:t>所有</w:t>
      </w:r>
      <w:r>
        <w:rPr>
          <w:rStyle w:val="31"/>
          <w:rFonts w:hint="eastAsia" w:ascii="仿宋" w:hAnsi="仿宋" w:eastAsia="仿宋" w:cs="仿宋"/>
          <w:b w:val="0"/>
          <w:bCs w:val="0"/>
          <w:color w:val="auto"/>
          <w:sz w:val="24"/>
          <w:szCs w:val="24"/>
          <w:highlight w:val="none"/>
          <w:u w:val="none"/>
        </w:rPr>
        <w:t>的处理费用。</w:t>
      </w:r>
    </w:p>
    <w:p w14:paraId="1E733698">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w:t>
      </w:r>
      <w:r>
        <w:rPr>
          <w:rStyle w:val="31"/>
          <w:rFonts w:hint="eastAsia" w:ascii="仿宋" w:hAnsi="仿宋" w:eastAsia="仿宋" w:cs="仿宋"/>
          <w:b w:val="0"/>
          <w:bCs w:val="0"/>
          <w:color w:val="auto"/>
          <w:sz w:val="24"/>
          <w:szCs w:val="24"/>
          <w:highlight w:val="none"/>
          <w:u w:val="none"/>
          <w:lang w:val="en-US" w:eastAsia="zh-CN"/>
        </w:rPr>
        <w:t>3</w:t>
      </w:r>
      <w:r>
        <w:rPr>
          <w:rStyle w:val="31"/>
          <w:rFonts w:hint="eastAsia" w:ascii="仿宋" w:hAnsi="仿宋" w:eastAsia="仿宋" w:cs="仿宋"/>
          <w:b w:val="0"/>
          <w:bCs w:val="0"/>
          <w:color w:val="auto"/>
          <w:sz w:val="24"/>
          <w:szCs w:val="24"/>
          <w:highlight w:val="none"/>
          <w:u w:val="none"/>
        </w:rPr>
        <w:t>对于因标本丢失、未在规定时间内出具报告或检验项目检测结果不准确等造成的医疗事故（医疗事件）或医疗纠纷，投标人承担全部经济及法律责任，并提出书面承诺。投标人对招标方不明原因（非院方及患者原因或产品质量问题）引起的医疗投诉、纠纷，能协助招标方做好患者的协调工作，并承担一定的处理费用。若不能积极配合者，下次招标不予考虑。</w:t>
      </w:r>
    </w:p>
    <w:p w14:paraId="3A730A46">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w:t>
      </w:r>
      <w:r>
        <w:rPr>
          <w:rStyle w:val="31"/>
          <w:rFonts w:hint="eastAsia" w:ascii="仿宋" w:hAnsi="仿宋" w:eastAsia="仿宋" w:cs="仿宋"/>
          <w:b w:val="0"/>
          <w:bCs w:val="0"/>
          <w:color w:val="auto"/>
          <w:sz w:val="24"/>
          <w:szCs w:val="24"/>
          <w:highlight w:val="none"/>
          <w:u w:val="none"/>
          <w:lang w:val="en-US" w:eastAsia="zh-CN"/>
        </w:rPr>
        <w:t>4</w:t>
      </w:r>
      <w:r>
        <w:rPr>
          <w:rStyle w:val="31"/>
          <w:rFonts w:hint="eastAsia" w:ascii="仿宋" w:hAnsi="仿宋" w:eastAsia="仿宋" w:cs="仿宋"/>
          <w:b w:val="0"/>
          <w:bCs w:val="0"/>
          <w:color w:val="auto"/>
          <w:sz w:val="24"/>
          <w:szCs w:val="24"/>
          <w:highlight w:val="none"/>
          <w:u w:val="none"/>
        </w:rPr>
        <w:t>遵守保密制度，保护受检者的秘密，不得向无关人员泄露受检者的检测情况。</w:t>
      </w:r>
    </w:p>
    <w:p w14:paraId="30DE0E37">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w:t>
      </w:r>
      <w:r>
        <w:rPr>
          <w:rStyle w:val="31"/>
          <w:rFonts w:hint="eastAsia" w:ascii="仿宋" w:hAnsi="仿宋" w:eastAsia="仿宋" w:cs="仿宋"/>
          <w:b w:val="0"/>
          <w:bCs w:val="0"/>
          <w:color w:val="auto"/>
          <w:sz w:val="24"/>
          <w:szCs w:val="24"/>
          <w:highlight w:val="none"/>
          <w:u w:val="none"/>
          <w:lang w:val="en-US" w:eastAsia="zh-CN"/>
        </w:rPr>
        <w:t>5</w:t>
      </w:r>
      <w:r>
        <w:rPr>
          <w:rStyle w:val="31"/>
          <w:rFonts w:hint="eastAsia" w:ascii="仿宋" w:hAnsi="仿宋" w:eastAsia="仿宋" w:cs="仿宋"/>
          <w:b w:val="0"/>
          <w:bCs w:val="0"/>
          <w:color w:val="auto"/>
          <w:sz w:val="24"/>
          <w:szCs w:val="24"/>
          <w:highlight w:val="none"/>
          <w:u w:val="none"/>
        </w:rPr>
        <w:t>中标单位需</w:t>
      </w:r>
      <w:r>
        <w:rPr>
          <w:rStyle w:val="31"/>
          <w:rFonts w:hint="eastAsia" w:ascii="仿宋" w:hAnsi="仿宋" w:eastAsia="仿宋" w:cs="仿宋"/>
          <w:b w:val="0"/>
          <w:bCs w:val="0"/>
          <w:color w:val="auto"/>
          <w:sz w:val="24"/>
          <w:szCs w:val="24"/>
          <w:highlight w:val="none"/>
          <w:u w:val="none"/>
          <w:lang w:eastAsia="zh-CN"/>
        </w:rPr>
        <w:t>在</w:t>
      </w:r>
      <w:r>
        <w:rPr>
          <w:rStyle w:val="31"/>
          <w:rFonts w:hint="eastAsia" w:ascii="仿宋" w:hAnsi="仿宋" w:eastAsia="仿宋" w:cs="仿宋"/>
          <w:b w:val="0"/>
          <w:bCs w:val="0"/>
          <w:color w:val="auto"/>
          <w:sz w:val="24"/>
          <w:szCs w:val="24"/>
          <w:highlight w:val="none"/>
          <w:u w:val="none"/>
          <w:lang w:val="en-US" w:eastAsia="zh-CN"/>
        </w:rPr>
        <w:t>服务期间与送检方建立对口联系制度，对于标本收取时发现的异常及时反馈并提出建议。</w:t>
      </w:r>
      <w:r>
        <w:rPr>
          <w:rStyle w:val="31"/>
          <w:rFonts w:hint="eastAsia" w:ascii="仿宋" w:hAnsi="仿宋" w:eastAsia="仿宋" w:cs="仿宋"/>
          <w:b w:val="0"/>
          <w:bCs w:val="0"/>
          <w:color w:val="auto"/>
          <w:sz w:val="24"/>
          <w:szCs w:val="24"/>
          <w:highlight w:val="none"/>
          <w:u w:val="none"/>
          <w:lang w:eastAsia="zh-CN"/>
        </w:rPr>
        <w:t>并</w:t>
      </w:r>
      <w:r>
        <w:rPr>
          <w:rStyle w:val="31"/>
          <w:rFonts w:hint="eastAsia" w:ascii="仿宋" w:hAnsi="仿宋" w:eastAsia="仿宋" w:cs="仿宋"/>
          <w:b w:val="0"/>
          <w:bCs w:val="0"/>
          <w:color w:val="auto"/>
          <w:sz w:val="24"/>
          <w:szCs w:val="24"/>
          <w:highlight w:val="none"/>
          <w:u w:val="none"/>
        </w:rPr>
        <w:t>指定1名专业（医学检验）服务人员负责此项目。</w:t>
      </w:r>
    </w:p>
    <w:p w14:paraId="5BEE6208">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lang w:val="en-US" w:eastAsia="zh-CN"/>
        </w:rPr>
      </w:pPr>
      <w:r>
        <w:rPr>
          <w:rStyle w:val="31"/>
          <w:rFonts w:hint="eastAsia" w:ascii="仿宋" w:hAnsi="仿宋" w:eastAsia="仿宋" w:cs="仿宋"/>
          <w:b w:val="0"/>
          <w:bCs w:val="0"/>
          <w:color w:val="auto"/>
          <w:sz w:val="24"/>
          <w:szCs w:val="24"/>
          <w:highlight w:val="none"/>
          <w:u w:val="none"/>
        </w:rPr>
        <w:t>▲</w:t>
      </w:r>
      <w:r>
        <w:rPr>
          <w:rStyle w:val="31"/>
          <w:rFonts w:hint="eastAsia" w:ascii="仿宋" w:hAnsi="仿宋" w:eastAsia="仿宋" w:cs="仿宋"/>
          <w:b w:val="0"/>
          <w:bCs w:val="0"/>
          <w:color w:val="auto"/>
          <w:sz w:val="24"/>
          <w:szCs w:val="24"/>
          <w:highlight w:val="none"/>
          <w:u w:val="none"/>
          <w:lang w:val="en-US" w:eastAsia="zh-CN"/>
        </w:rPr>
        <w:t>2.6产品质量要求：用于检测服务的检测仪器设备及试剂应当符合《医疗器械监督管理条例》等相关规定。所有检测设备、检测试剂及脑卒中风险评估软件均须具备医疗器械注册证。</w:t>
      </w:r>
    </w:p>
    <w:p w14:paraId="19EB27D6">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w:t>
      </w:r>
      <w:r>
        <w:rPr>
          <w:rStyle w:val="31"/>
          <w:rFonts w:hint="eastAsia" w:ascii="仿宋" w:hAnsi="仿宋" w:eastAsia="仿宋" w:cs="仿宋"/>
          <w:b w:val="0"/>
          <w:bCs w:val="0"/>
          <w:color w:val="auto"/>
          <w:sz w:val="24"/>
          <w:szCs w:val="24"/>
          <w:highlight w:val="none"/>
          <w:u w:val="none"/>
          <w:lang w:val="en-US" w:eastAsia="zh-CN"/>
        </w:rPr>
        <w:t>2.7报告内容：能出具基于血液标记物的脑卒中风险评估，评估报告能输出具体的风险分值，可划分“低危、中低危、中高危、高危、极高危”5级风险预警，并提供基于中国脑卒中一级预防指南的自动化健康处方，实现一次脑卒中筛查及干预闭环。</w:t>
      </w:r>
    </w:p>
    <w:p w14:paraId="046FE16A">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t>▲</w:t>
      </w:r>
      <w:r>
        <w:rPr>
          <w:rStyle w:val="31"/>
          <w:rFonts w:hint="eastAsia" w:ascii="仿宋" w:hAnsi="仿宋" w:eastAsia="仿宋" w:cs="仿宋"/>
          <w:b w:val="0"/>
          <w:bCs w:val="0"/>
          <w:color w:val="auto"/>
          <w:sz w:val="24"/>
          <w:szCs w:val="24"/>
          <w:highlight w:val="none"/>
          <w:u w:val="none"/>
          <w:lang w:val="en-US" w:eastAsia="zh-CN"/>
        </w:rPr>
        <w:t>2.8</w:t>
      </w:r>
      <w:r>
        <w:rPr>
          <w:rStyle w:val="31"/>
          <w:rFonts w:hint="eastAsia" w:ascii="仿宋" w:hAnsi="仿宋" w:eastAsia="仿宋" w:cs="仿宋"/>
          <w:b w:val="0"/>
          <w:bCs w:val="0"/>
          <w:color w:val="auto"/>
          <w:sz w:val="24"/>
          <w:szCs w:val="24"/>
          <w:highlight w:val="none"/>
          <w:u w:val="none"/>
        </w:rPr>
        <w:t>报告时间：标本收取</w:t>
      </w:r>
      <w:r>
        <w:rPr>
          <w:rStyle w:val="31"/>
          <w:rFonts w:hint="eastAsia" w:ascii="仿宋" w:hAnsi="仿宋" w:eastAsia="仿宋" w:cs="仿宋"/>
          <w:b w:val="0"/>
          <w:bCs w:val="0"/>
          <w:color w:val="auto"/>
          <w:sz w:val="24"/>
          <w:szCs w:val="24"/>
          <w:highlight w:val="none"/>
          <w:u w:val="none"/>
          <w:lang w:eastAsia="zh-CN"/>
        </w:rPr>
        <w:t>后</w:t>
      </w:r>
      <w:r>
        <w:rPr>
          <w:rStyle w:val="31"/>
          <w:rFonts w:hint="eastAsia" w:ascii="仿宋" w:hAnsi="仿宋" w:eastAsia="仿宋" w:cs="仿宋"/>
          <w:b w:val="0"/>
          <w:bCs w:val="0"/>
          <w:color w:val="auto"/>
          <w:sz w:val="24"/>
          <w:szCs w:val="24"/>
          <w:highlight w:val="none"/>
          <w:u w:val="none"/>
          <w:lang w:val="en-US" w:eastAsia="zh-CN"/>
        </w:rPr>
        <w:t>48小时内</w:t>
      </w:r>
      <w:r>
        <w:rPr>
          <w:rStyle w:val="31"/>
          <w:rFonts w:hint="eastAsia" w:ascii="仿宋" w:hAnsi="仿宋" w:eastAsia="仿宋" w:cs="仿宋"/>
          <w:b w:val="0"/>
          <w:bCs w:val="0"/>
          <w:color w:val="auto"/>
          <w:sz w:val="24"/>
          <w:szCs w:val="24"/>
          <w:highlight w:val="none"/>
          <w:u w:val="none"/>
        </w:rPr>
        <w:t>发放检测报告；特殊标本可适当延长报告时间；</w:t>
      </w:r>
    </w:p>
    <w:p w14:paraId="748640AA">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rPr>
        <w:t>▲</w:t>
      </w:r>
      <w:r>
        <w:rPr>
          <w:rStyle w:val="31"/>
          <w:rFonts w:hint="eastAsia" w:ascii="仿宋" w:hAnsi="仿宋" w:eastAsia="仿宋" w:cs="仿宋"/>
          <w:b w:val="0"/>
          <w:bCs w:val="0"/>
          <w:color w:val="auto"/>
          <w:sz w:val="24"/>
          <w:szCs w:val="24"/>
          <w:highlight w:val="none"/>
          <w:u w:val="none"/>
          <w:lang w:val="en-US" w:eastAsia="zh-CN"/>
        </w:rPr>
        <w:t>2.9</w:t>
      </w:r>
      <w:r>
        <w:rPr>
          <w:rStyle w:val="31"/>
          <w:rFonts w:hint="eastAsia" w:ascii="仿宋" w:hAnsi="仿宋" w:eastAsia="仿宋" w:cs="仿宋"/>
          <w:b w:val="0"/>
          <w:bCs w:val="0"/>
          <w:color w:val="auto"/>
          <w:sz w:val="24"/>
          <w:szCs w:val="24"/>
          <w:highlight w:val="none"/>
          <w:u w:val="none"/>
          <w:lang w:eastAsia="zh-CN"/>
        </w:rPr>
        <w:t>报告查看：</w:t>
      </w:r>
      <w:r>
        <w:rPr>
          <w:rStyle w:val="31"/>
          <w:rFonts w:hint="eastAsia" w:ascii="仿宋" w:hAnsi="仿宋" w:eastAsia="仿宋" w:cs="仿宋"/>
          <w:b w:val="0"/>
          <w:bCs w:val="0"/>
          <w:color w:val="auto"/>
          <w:sz w:val="24"/>
          <w:szCs w:val="24"/>
          <w:highlight w:val="none"/>
          <w:u w:val="none"/>
        </w:rPr>
        <w:t>报告单可</w:t>
      </w:r>
      <w:r>
        <w:rPr>
          <w:rStyle w:val="31"/>
          <w:rFonts w:hint="eastAsia" w:ascii="仿宋" w:hAnsi="仿宋" w:eastAsia="仿宋" w:cs="仿宋"/>
          <w:b w:val="0"/>
          <w:bCs w:val="0"/>
          <w:color w:val="auto"/>
          <w:sz w:val="24"/>
          <w:szCs w:val="24"/>
          <w:highlight w:val="none"/>
          <w:u w:val="none"/>
          <w:lang w:eastAsia="zh-CN"/>
        </w:rPr>
        <w:t>实现</w:t>
      </w:r>
      <w:r>
        <w:rPr>
          <w:rStyle w:val="31"/>
          <w:rFonts w:hint="eastAsia" w:ascii="仿宋" w:hAnsi="仿宋" w:eastAsia="仿宋" w:cs="仿宋"/>
          <w:b w:val="0"/>
          <w:bCs w:val="0"/>
          <w:color w:val="auto"/>
          <w:sz w:val="24"/>
          <w:szCs w:val="24"/>
          <w:highlight w:val="none"/>
          <w:u w:val="none"/>
        </w:rPr>
        <w:t>在网上查询，</w:t>
      </w:r>
      <w:r>
        <w:rPr>
          <w:rStyle w:val="31"/>
          <w:rFonts w:hint="eastAsia" w:ascii="仿宋" w:hAnsi="仿宋" w:eastAsia="仿宋" w:cs="仿宋"/>
          <w:b w:val="0"/>
          <w:bCs w:val="0"/>
          <w:color w:val="auto"/>
          <w:sz w:val="24"/>
          <w:szCs w:val="24"/>
          <w:highlight w:val="none"/>
          <w:u w:val="none"/>
          <w:lang w:eastAsia="zh-CN"/>
        </w:rPr>
        <w:t>由中标方提供相关报告查看的网址、账号等信息</w:t>
      </w:r>
      <w:r>
        <w:rPr>
          <w:rStyle w:val="31"/>
          <w:rFonts w:hint="eastAsia" w:ascii="仿宋" w:hAnsi="仿宋" w:eastAsia="仿宋" w:cs="仿宋"/>
          <w:b w:val="0"/>
          <w:bCs w:val="0"/>
          <w:color w:val="auto"/>
          <w:sz w:val="24"/>
          <w:szCs w:val="24"/>
          <w:highlight w:val="none"/>
          <w:u w:val="none"/>
        </w:rPr>
        <w:t>。</w:t>
      </w:r>
      <w:r>
        <w:rPr>
          <w:rStyle w:val="31"/>
          <w:rFonts w:hint="eastAsia" w:ascii="仿宋" w:hAnsi="仿宋" w:eastAsia="仿宋" w:cs="仿宋"/>
          <w:b w:val="0"/>
          <w:bCs w:val="0"/>
          <w:color w:val="auto"/>
          <w:sz w:val="24"/>
          <w:szCs w:val="24"/>
          <w:highlight w:val="none"/>
          <w:u w:val="none"/>
          <w:lang w:val="en-US" w:eastAsia="zh-CN"/>
        </w:rPr>
        <w:t xml:space="preserve">    </w:t>
      </w:r>
    </w:p>
    <w:p w14:paraId="666DD1DE">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kern w:val="2"/>
          <w:sz w:val="24"/>
          <w:szCs w:val="24"/>
          <w:highlight w:val="none"/>
          <w:lang w:val="en-US" w:eastAsia="zh-CN" w:bidi="ar-SA"/>
        </w:rPr>
      </w:pPr>
      <w:r>
        <w:rPr>
          <w:rStyle w:val="31"/>
          <w:rFonts w:hint="eastAsia" w:ascii="仿宋" w:hAnsi="仿宋" w:eastAsia="仿宋" w:cs="仿宋"/>
          <w:b w:val="0"/>
          <w:bCs w:val="0"/>
          <w:color w:val="auto"/>
          <w:sz w:val="24"/>
          <w:szCs w:val="24"/>
          <w:highlight w:val="none"/>
          <w:u w:val="none"/>
          <w:lang w:val="en-US" w:eastAsia="zh-CN"/>
        </w:rPr>
        <w:t>2.10</w:t>
      </w:r>
      <w:r>
        <w:rPr>
          <w:rStyle w:val="31"/>
          <w:rFonts w:hint="eastAsia" w:ascii="仿宋" w:hAnsi="仿宋" w:eastAsia="仿宋" w:cs="仿宋"/>
          <w:b w:val="0"/>
          <w:bCs w:val="0"/>
          <w:color w:val="auto"/>
          <w:kern w:val="2"/>
          <w:sz w:val="24"/>
          <w:szCs w:val="24"/>
          <w:highlight w:val="none"/>
          <w:lang w:val="en-US" w:eastAsia="zh-CN" w:bidi="ar-SA"/>
        </w:rPr>
        <w:t>异常样本：对于取样不合格须重新取样的，重新取样标本的检测不再收取费用。如送检方对检验项目测定结果有疑义，中标方免费复验，并在双方约定的时间内重新提供检测报告。</w:t>
      </w:r>
    </w:p>
    <w:p w14:paraId="79F0F084">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lang w:eastAsia="zh-CN"/>
        </w:rPr>
      </w:pPr>
      <w:r>
        <w:rPr>
          <w:rStyle w:val="31"/>
          <w:rFonts w:hint="eastAsia" w:ascii="仿宋" w:hAnsi="仿宋" w:eastAsia="仿宋" w:cs="仿宋"/>
          <w:b w:val="0"/>
          <w:bCs w:val="0"/>
          <w:color w:val="auto"/>
          <w:sz w:val="24"/>
          <w:szCs w:val="24"/>
          <w:highlight w:val="none"/>
          <w:u w:val="none"/>
        </w:rPr>
        <w:t>2.1</w:t>
      </w:r>
      <w:r>
        <w:rPr>
          <w:rStyle w:val="31"/>
          <w:rFonts w:hint="eastAsia" w:ascii="仿宋" w:hAnsi="仿宋" w:eastAsia="仿宋" w:cs="仿宋"/>
          <w:b w:val="0"/>
          <w:bCs w:val="0"/>
          <w:color w:val="auto"/>
          <w:sz w:val="24"/>
          <w:szCs w:val="24"/>
          <w:highlight w:val="none"/>
          <w:u w:val="none"/>
          <w:lang w:val="en-US" w:eastAsia="zh-CN"/>
        </w:rPr>
        <w:t>1</w:t>
      </w:r>
      <w:r>
        <w:rPr>
          <w:rStyle w:val="31"/>
          <w:rFonts w:hint="eastAsia" w:ascii="仿宋" w:hAnsi="仿宋" w:eastAsia="仿宋" w:cs="仿宋"/>
          <w:b w:val="0"/>
          <w:bCs w:val="0"/>
          <w:color w:val="auto"/>
          <w:sz w:val="24"/>
          <w:szCs w:val="24"/>
          <w:highlight w:val="none"/>
          <w:u w:val="none"/>
        </w:rPr>
        <w:t>样本交接及运送过程必须符合样本的安全管理要求</w:t>
      </w:r>
      <w:r>
        <w:rPr>
          <w:rStyle w:val="31"/>
          <w:rFonts w:hint="eastAsia" w:ascii="仿宋" w:hAnsi="仿宋" w:eastAsia="仿宋" w:cs="仿宋"/>
          <w:b w:val="0"/>
          <w:bCs w:val="0"/>
          <w:color w:val="auto"/>
          <w:sz w:val="24"/>
          <w:szCs w:val="24"/>
          <w:highlight w:val="none"/>
          <w:u w:val="none"/>
          <w:lang w:eastAsia="zh-CN"/>
        </w:rPr>
        <w:t>。</w:t>
      </w:r>
    </w:p>
    <w:p w14:paraId="6A3E8678">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2.1</w:t>
      </w:r>
      <w:r>
        <w:rPr>
          <w:rStyle w:val="31"/>
          <w:rFonts w:hint="eastAsia" w:ascii="仿宋" w:hAnsi="仿宋" w:eastAsia="仿宋" w:cs="仿宋"/>
          <w:b w:val="0"/>
          <w:bCs w:val="0"/>
          <w:color w:val="auto"/>
          <w:sz w:val="24"/>
          <w:szCs w:val="24"/>
          <w:highlight w:val="none"/>
          <w:u w:val="none"/>
          <w:lang w:val="en-US" w:eastAsia="zh-CN"/>
        </w:rPr>
        <w:t>2</w:t>
      </w:r>
      <w:r>
        <w:rPr>
          <w:rStyle w:val="31"/>
          <w:rFonts w:hint="eastAsia" w:ascii="仿宋" w:hAnsi="仿宋" w:eastAsia="仿宋" w:cs="仿宋"/>
          <w:b w:val="0"/>
          <w:bCs w:val="0"/>
          <w:color w:val="auto"/>
          <w:sz w:val="24"/>
          <w:szCs w:val="24"/>
          <w:highlight w:val="none"/>
          <w:u w:val="none"/>
        </w:rPr>
        <w:t>所有样本运送必须符合样本温度的管理要求</w:t>
      </w:r>
      <w:r>
        <w:rPr>
          <w:rStyle w:val="31"/>
          <w:rFonts w:hint="eastAsia" w:ascii="仿宋" w:hAnsi="仿宋" w:eastAsia="仿宋" w:cs="仿宋"/>
          <w:b w:val="0"/>
          <w:bCs w:val="0"/>
          <w:color w:val="auto"/>
          <w:sz w:val="24"/>
          <w:szCs w:val="24"/>
          <w:highlight w:val="none"/>
          <w:u w:val="none"/>
          <w:lang w:eastAsia="zh-CN"/>
        </w:rPr>
        <w:t>，</w:t>
      </w:r>
      <w:r>
        <w:rPr>
          <w:rStyle w:val="31"/>
          <w:rFonts w:hint="eastAsia" w:ascii="仿宋" w:hAnsi="仿宋" w:eastAsia="仿宋" w:cs="仿宋"/>
          <w:b w:val="0"/>
          <w:bCs w:val="0"/>
          <w:color w:val="auto"/>
          <w:sz w:val="24"/>
          <w:szCs w:val="24"/>
          <w:highlight w:val="none"/>
          <w:u w:val="none"/>
        </w:rPr>
        <w:t>采用符合相关标准的冷链物流车或转送车辆及冷链物流箱，冷链物流车或转送车辆及冷链物流箱配备数量满足标本转送要求。</w:t>
      </w:r>
    </w:p>
    <w:p w14:paraId="093346CB">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480" w:firstLineChars="20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rPr>
        <w:t>2.1</w:t>
      </w:r>
      <w:r>
        <w:rPr>
          <w:rStyle w:val="31"/>
          <w:rFonts w:hint="eastAsia" w:ascii="仿宋" w:hAnsi="仿宋" w:eastAsia="仿宋" w:cs="仿宋"/>
          <w:b w:val="0"/>
          <w:bCs w:val="0"/>
          <w:color w:val="auto"/>
          <w:sz w:val="24"/>
          <w:szCs w:val="24"/>
          <w:highlight w:val="none"/>
          <w:u w:val="none"/>
          <w:lang w:val="en-US" w:eastAsia="zh-CN"/>
        </w:rPr>
        <w:t>3</w:t>
      </w:r>
      <w:r>
        <w:rPr>
          <w:rStyle w:val="31"/>
          <w:rFonts w:hint="eastAsia" w:ascii="仿宋" w:hAnsi="仿宋" w:eastAsia="仿宋" w:cs="仿宋"/>
          <w:b w:val="0"/>
          <w:bCs w:val="0"/>
          <w:color w:val="auto"/>
          <w:sz w:val="24"/>
          <w:szCs w:val="24"/>
          <w:highlight w:val="none"/>
          <w:u w:val="none"/>
        </w:rPr>
        <w:t>中标单位应提供可实时监控物流各个环节的温度的系统和终端设备，能够对物流的全程进行温度监控、报警及记录，能够对整个过程进行溯源管理，并能够提交相关记录的纸质文档，以留档备查。</w:t>
      </w:r>
    </w:p>
    <w:p w14:paraId="3ECBE688">
      <w:pPr>
        <w:pStyle w:val="39"/>
        <w:pageBreakBefore w:val="0"/>
        <w:kinsoku/>
        <w:wordWrap/>
        <w:overflowPunct/>
        <w:topLinePunct w:val="0"/>
        <w:autoSpaceDE/>
        <w:autoSpaceDN/>
        <w:bidi w:val="0"/>
        <w:spacing w:line="420" w:lineRule="exact"/>
        <w:ind w:left="0" w:leftChars="0" w:right="0" w:rightChars="0"/>
        <w:textAlignment w:val="auto"/>
        <w:rPr>
          <w:rStyle w:val="31"/>
          <w:rFonts w:hint="eastAsia" w:ascii="仿宋" w:hAnsi="仿宋" w:eastAsia="仿宋" w:cs="仿宋"/>
          <w:b w:val="0"/>
          <w:bCs w:val="0"/>
          <w:color w:val="auto"/>
          <w:sz w:val="24"/>
          <w:szCs w:val="24"/>
          <w:highlight w:val="none"/>
          <w:u w:val="none"/>
        </w:rPr>
      </w:pPr>
      <w:bookmarkStart w:id="43" w:name="OLE_LINK10"/>
      <w:r>
        <w:rPr>
          <w:rFonts w:hint="eastAsia" w:ascii="仿宋" w:hAnsi="仿宋" w:eastAsia="仿宋" w:cs="仿宋"/>
          <w:b w:val="0"/>
          <w:bCs w:val="0"/>
          <w:color w:val="auto"/>
          <w:sz w:val="24"/>
          <w:szCs w:val="24"/>
          <w:highlight w:val="none"/>
        </w:rPr>
        <w:t>★</w:t>
      </w:r>
      <w:bookmarkEnd w:id="43"/>
      <w:r>
        <w:rPr>
          <w:rStyle w:val="31"/>
          <w:rFonts w:hint="eastAsia" w:ascii="仿宋" w:hAnsi="仿宋" w:eastAsia="仿宋" w:cs="仿宋"/>
          <w:b w:val="0"/>
          <w:bCs w:val="0"/>
          <w:color w:val="auto"/>
          <w:sz w:val="24"/>
          <w:szCs w:val="24"/>
          <w:highlight w:val="none"/>
          <w:u w:val="none"/>
        </w:rPr>
        <w:t>2.1</w:t>
      </w:r>
      <w:r>
        <w:rPr>
          <w:rStyle w:val="31"/>
          <w:rFonts w:hint="eastAsia" w:ascii="仿宋" w:hAnsi="仿宋" w:eastAsia="仿宋" w:cs="仿宋"/>
          <w:b w:val="0"/>
          <w:bCs w:val="0"/>
          <w:color w:val="auto"/>
          <w:sz w:val="24"/>
          <w:szCs w:val="24"/>
          <w:highlight w:val="none"/>
          <w:u w:val="none"/>
          <w:lang w:val="en-US" w:eastAsia="zh-CN"/>
        </w:rPr>
        <w:t>4</w:t>
      </w:r>
      <w:r>
        <w:rPr>
          <w:rStyle w:val="31"/>
          <w:rFonts w:hint="eastAsia" w:ascii="仿宋" w:hAnsi="仿宋" w:eastAsia="仿宋" w:cs="仿宋"/>
          <w:b w:val="0"/>
          <w:bCs w:val="0"/>
          <w:color w:val="auto"/>
          <w:sz w:val="24"/>
          <w:szCs w:val="24"/>
          <w:highlight w:val="none"/>
          <w:u w:val="none"/>
        </w:rPr>
        <w:t>合同执行期间或因与上级部门政策不符，本合同自动终止。</w:t>
      </w:r>
    </w:p>
    <w:p w14:paraId="088C1060">
      <w:pPr>
        <w:pStyle w:val="39"/>
        <w:pageBreakBefore w:val="0"/>
        <w:kinsoku/>
        <w:wordWrap/>
        <w:overflowPunct/>
        <w:topLinePunct w:val="0"/>
        <w:autoSpaceDE/>
        <w:autoSpaceDN/>
        <w:bidi w:val="0"/>
        <w:spacing w:line="420" w:lineRule="exact"/>
        <w:ind w:left="0" w:leftChars="0" w:right="0" w:rightChars="0"/>
        <w:textAlignment w:val="auto"/>
        <w:rPr>
          <w:rStyle w:val="31"/>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t>▲</w:t>
      </w:r>
      <w:r>
        <w:rPr>
          <w:rStyle w:val="31"/>
          <w:rFonts w:hint="eastAsia" w:ascii="仿宋" w:hAnsi="仿宋" w:eastAsia="仿宋" w:cs="仿宋"/>
          <w:b w:val="0"/>
          <w:bCs w:val="0"/>
          <w:color w:val="auto"/>
          <w:sz w:val="24"/>
          <w:szCs w:val="24"/>
          <w:highlight w:val="none"/>
          <w:u w:val="none"/>
          <w:lang w:val="en-US" w:eastAsia="zh-CN"/>
        </w:rPr>
        <w:t>2.15</w:t>
      </w:r>
      <w:r>
        <w:rPr>
          <w:rStyle w:val="31"/>
          <w:rFonts w:hint="eastAsia" w:ascii="仿宋" w:hAnsi="仿宋" w:eastAsia="仿宋" w:cs="仿宋"/>
          <w:b w:val="0"/>
          <w:bCs w:val="0"/>
          <w:color w:val="auto"/>
          <w:sz w:val="24"/>
          <w:szCs w:val="24"/>
          <w:highlight w:val="none"/>
          <w:u w:val="none"/>
        </w:rPr>
        <w:t>提供检测服务的实验室和投标人的营业执照必须一致，用于检测服务的检测仪器设备及试剂应当符合《医疗器械监督管理条例》等相关规定</w:t>
      </w:r>
      <w:r>
        <w:rPr>
          <w:rStyle w:val="31"/>
          <w:rFonts w:hint="eastAsia" w:ascii="仿宋" w:hAnsi="仿宋" w:eastAsia="仿宋" w:cs="仿宋"/>
          <w:b w:val="0"/>
          <w:bCs w:val="0"/>
          <w:color w:val="auto"/>
          <w:sz w:val="24"/>
          <w:szCs w:val="24"/>
          <w:highlight w:val="none"/>
          <w:u w:val="none"/>
          <w:lang w:eastAsia="zh-CN"/>
        </w:rPr>
        <w:t>；</w:t>
      </w:r>
      <w:r>
        <w:rPr>
          <w:rStyle w:val="31"/>
          <w:rFonts w:hint="eastAsia" w:ascii="仿宋" w:hAnsi="仿宋" w:eastAsia="仿宋" w:cs="仿宋"/>
          <w:b w:val="0"/>
          <w:bCs w:val="0"/>
          <w:color w:val="auto"/>
          <w:sz w:val="24"/>
          <w:szCs w:val="24"/>
          <w:highlight w:val="none"/>
          <w:u w:val="none"/>
        </w:rPr>
        <w:t>检测设备、检测试剂及脑卒中风险评估软件均须具备医疗器械注册证。</w:t>
      </w:r>
    </w:p>
    <w:p w14:paraId="4DB368C7">
      <w:pPr>
        <w:pStyle w:val="39"/>
        <w:pageBreakBefore w:val="0"/>
        <w:kinsoku/>
        <w:wordWrap/>
        <w:overflowPunct/>
        <w:topLinePunct w:val="0"/>
        <w:autoSpaceDE/>
        <w:autoSpaceDN/>
        <w:bidi w:val="0"/>
        <w:spacing w:line="420" w:lineRule="exact"/>
        <w:ind w:left="0" w:leftChars="0" w:right="0" w:rightChars="0"/>
        <w:textAlignment w:val="auto"/>
        <w:rPr>
          <w:rStyle w:val="31"/>
          <w:rFonts w:hint="eastAsia" w:ascii="仿宋" w:hAnsi="仿宋" w:eastAsia="仿宋" w:cs="仿宋"/>
          <w:b w:val="0"/>
          <w:bCs w:val="0"/>
          <w:color w:val="auto"/>
          <w:sz w:val="24"/>
          <w:szCs w:val="24"/>
          <w:highlight w:val="none"/>
          <w:u w:val="none"/>
        </w:rPr>
      </w:pPr>
      <w:r>
        <w:rPr>
          <w:rStyle w:val="31"/>
          <w:rFonts w:hint="eastAsia" w:ascii="仿宋" w:hAnsi="仿宋" w:eastAsia="仿宋" w:cs="仿宋"/>
          <w:b w:val="0"/>
          <w:bCs w:val="0"/>
          <w:color w:val="auto"/>
          <w:sz w:val="24"/>
          <w:szCs w:val="24"/>
          <w:highlight w:val="none"/>
          <w:u w:val="none"/>
          <w:lang w:val="en-US" w:eastAsia="zh-CN"/>
        </w:rPr>
        <w:t xml:space="preserve"> </w:t>
      </w:r>
      <w:r>
        <w:rPr>
          <w:rStyle w:val="31"/>
          <w:rFonts w:hint="eastAsia" w:ascii="仿宋" w:hAnsi="仿宋" w:eastAsia="仿宋" w:cs="仿宋"/>
          <w:b w:val="0"/>
          <w:bCs w:val="0"/>
          <w:color w:val="auto"/>
          <w:sz w:val="24"/>
          <w:szCs w:val="24"/>
          <w:highlight w:val="none"/>
          <w:u w:val="none"/>
          <w:lang w:eastAsia="zh-CN"/>
        </w:rPr>
        <w:t>注：</w:t>
      </w:r>
      <w:r>
        <w:rPr>
          <w:rStyle w:val="31"/>
          <w:rFonts w:hint="eastAsia" w:ascii="仿宋" w:hAnsi="仿宋" w:eastAsia="仿宋" w:cs="仿宋"/>
          <w:b w:val="0"/>
          <w:bCs w:val="0"/>
          <w:color w:val="auto"/>
          <w:sz w:val="24"/>
          <w:szCs w:val="24"/>
          <w:highlight w:val="none"/>
          <w:u w:val="none"/>
        </w:rPr>
        <w:t>★为实质性响应要求，如不满足将作无效投标处理。</w:t>
      </w:r>
    </w:p>
    <w:p w14:paraId="2241462E">
      <w:pPr>
        <w:pageBreakBefore w:val="0"/>
        <w:kinsoku/>
        <w:wordWrap/>
        <w:overflowPunct/>
        <w:topLinePunct w:val="0"/>
        <w:autoSpaceDE/>
        <w:autoSpaceDN/>
        <w:bidi w:val="0"/>
        <w:snapToGrid w:val="0"/>
        <w:spacing w:line="420" w:lineRule="exact"/>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（四）其他</w:t>
      </w:r>
      <w:r>
        <w:rPr>
          <w:rFonts w:hint="eastAsia" w:ascii="仿宋" w:hAnsi="仿宋" w:eastAsia="仿宋" w:cs="仿宋"/>
          <w:b/>
          <w:color w:val="auto"/>
          <w:sz w:val="24"/>
          <w:szCs w:val="24"/>
          <w:highlight w:val="none"/>
        </w:rPr>
        <w:t>要求</w:t>
      </w:r>
    </w:p>
    <w:p w14:paraId="29549763">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.1本次确定1家中标单位，中标单位质量和服务能达到规定要求的基础上，获最高分者为中标人。</w:t>
      </w:r>
    </w:p>
    <w:p w14:paraId="03F4FE7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投标报价应包括标本运输、</w:t>
      </w:r>
      <w:r>
        <w:rPr>
          <w:rFonts w:hint="eastAsia" w:ascii="仿宋" w:hAnsi="仿宋" w:eastAsia="仿宋" w:cs="仿宋"/>
          <w:b w:val="0"/>
          <w:bCs w:val="0"/>
          <w:color w:val="auto"/>
          <w:kern w:val="0"/>
          <w:sz w:val="24"/>
          <w:szCs w:val="24"/>
          <w:highlight w:val="none"/>
          <w:lang w:eastAsia="zh-CN"/>
        </w:rPr>
        <w:t>样本检测</w:t>
      </w:r>
      <w:r>
        <w:rPr>
          <w:rFonts w:hint="eastAsia" w:ascii="仿宋" w:hAnsi="仿宋" w:eastAsia="仿宋" w:cs="仿宋"/>
          <w:b w:val="0"/>
          <w:bCs w:val="0"/>
          <w:color w:val="auto"/>
          <w:kern w:val="0"/>
          <w:sz w:val="24"/>
          <w:szCs w:val="24"/>
          <w:highlight w:val="none"/>
        </w:rPr>
        <w:t>、售后以及相关附加服务等一切费用。</w:t>
      </w:r>
    </w:p>
    <w:p w14:paraId="108E741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合同签订前，中标人应根据招标人要求提供相关资质证明材料原件，双方以此作为提供检验报告依据。未按要求提供材料的，招标人有权取消该中标人的中标资格。</w:t>
      </w:r>
    </w:p>
    <w:p w14:paraId="36B5FBF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合同履行期间，招标人视具体中标和使用情况，对不符合招标人使用要求的个别项目产品进行调整，</w:t>
      </w:r>
      <w:r>
        <w:rPr>
          <w:rFonts w:hint="eastAsia" w:ascii="仿宋" w:hAnsi="仿宋" w:eastAsia="仿宋" w:cs="仿宋"/>
          <w:b w:val="0"/>
          <w:bCs w:val="0"/>
          <w:color w:val="auto"/>
          <w:kern w:val="0"/>
          <w:sz w:val="24"/>
          <w:szCs w:val="24"/>
          <w:highlight w:val="none"/>
        </w:rPr>
        <w:t>中标人应</w:t>
      </w:r>
      <w:r>
        <w:rPr>
          <w:rFonts w:hint="eastAsia" w:ascii="仿宋" w:hAnsi="仿宋" w:eastAsia="仿宋" w:cs="仿宋"/>
          <w:b w:val="0"/>
          <w:bCs w:val="0"/>
          <w:color w:val="auto"/>
          <w:kern w:val="0"/>
          <w:sz w:val="24"/>
          <w:szCs w:val="24"/>
          <w:highlight w:val="none"/>
          <w:lang w:val="en-US" w:eastAsia="zh-CN"/>
        </w:rPr>
        <w:t>无条件</w:t>
      </w:r>
      <w:r>
        <w:rPr>
          <w:rFonts w:hint="eastAsia" w:ascii="仿宋" w:hAnsi="仿宋" w:eastAsia="仿宋" w:cs="仿宋"/>
          <w:b w:val="0"/>
          <w:bCs w:val="0"/>
          <w:color w:val="auto"/>
          <w:kern w:val="0"/>
          <w:sz w:val="24"/>
          <w:szCs w:val="24"/>
          <w:highlight w:val="none"/>
        </w:rPr>
        <w:t>配合做好相关工作。</w:t>
      </w:r>
    </w:p>
    <w:p w14:paraId="7E9B7BE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合同期内，若中标人累计三次无正当理由不能提供相应服务，招标单位有权取消合同。</w:t>
      </w:r>
    </w:p>
    <w:p w14:paraId="71ED13E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中标之后，除中标公司工商变更外，不得授权转包。</w:t>
      </w:r>
    </w:p>
    <w:p w14:paraId="671354B3">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7</w:t>
      </w:r>
      <w:r>
        <w:rPr>
          <w:rFonts w:hint="eastAsia" w:ascii="仿宋" w:hAnsi="仿宋" w:eastAsia="仿宋" w:cs="仿宋"/>
          <w:b w:val="0"/>
          <w:bCs w:val="0"/>
          <w:color w:val="auto"/>
          <w:kern w:val="0"/>
          <w:sz w:val="24"/>
          <w:szCs w:val="24"/>
          <w:highlight w:val="none"/>
        </w:rPr>
        <w:t>协议期满后，在招标人没有再次进行招标前，或因再次招标至中标人改变，原中标人必须协助招标人做好衔接工作且供应价不变。协议期内，由于代理权限的转移或者公司注销等原因，中标人应以书面的形式说明原因并协助医院做好产品的延续工作。同时招标方有权重新确定新供货单位。</w:t>
      </w:r>
    </w:p>
    <w:p w14:paraId="3E415E97">
      <w:pPr>
        <w:pStyle w:val="3"/>
        <w:keepNext/>
        <w:keepLines/>
        <w:pageBreakBefore w:val="0"/>
        <w:widowControl w:val="0"/>
        <w:suppressLineNumbers w:val="0"/>
        <w:suppressAutoHyphens w:val="0"/>
        <w:spacing w:line="415" w:lineRule="auto"/>
        <w:rPr>
          <w:rFonts w:hint="eastAsia" w:ascii="仿宋"/>
          <w:color w:val="auto"/>
          <w:highlight w:val="none"/>
        </w:rPr>
      </w:pPr>
    </w:p>
    <w:p w14:paraId="5A6571C2">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7E0C16E1">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7589F43C">
      <w:pPr>
        <w:pageBreakBefore w:val="0"/>
        <w:widowControl/>
        <w:kinsoku/>
        <w:wordWrap/>
        <w:overflowPunct/>
        <w:topLinePunct w:val="0"/>
        <w:autoSpaceDE/>
        <w:autoSpaceDN/>
        <w:bidi w:val="0"/>
        <w:snapToGrid w:val="0"/>
        <w:spacing w:line="420" w:lineRule="exact"/>
        <w:ind w:left="0" w:leftChars="0" w:right="0" w:rightChars="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合同期限为：</w:t>
      </w:r>
      <w:r>
        <w:rPr>
          <w:rFonts w:hint="eastAsia" w:ascii="仿宋" w:eastAsia="仿宋" w:cs="宋体"/>
          <w:bCs/>
          <w:color w:val="auto"/>
          <w:sz w:val="24"/>
          <w:highlight w:val="none"/>
          <w:u w:val="none"/>
          <w:lang w:val="en-US" w:eastAsia="zh-CN"/>
        </w:rPr>
        <w:t>一</w:t>
      </w:r>
      <w:r>
        <w:rPr>
          <w:rFonts w:hint="default" w:ascii="仿宋" w:eastAsia="仿宋" w:cs="宋体"/>
          <w:bCs/>
          <w:color w:val="auto"/>
          <w:sz w:val="24"/>
          <w:highlight w:val="none"/>
          <w:u w:val="none"/>
          <w:lang w:val="en-US" w:eastAsia="zh-CN"/>
        </w:rPr>
        <w:t>年。</w:t>
      </w:r>
    </w:p>
    <w:p w14:paraId="4CF7CE1E">
      <w:pPr>
        <w:pageBreakBefore w:val="0"/>
        <w:widowControl/>
        <w:numPr>
          <w:ilvl w:val="0"/>
          <w:numId w:val="6"/>
        </w:numPr>
        <w:kinsoku/>
        <w:wordWrap/>
        <w:overflowPunct/>
        <w:topLinePunct w:val="0"/>
        <w:autoSpaceDE/>
        <w:autoSpaceDN/>
        <w:bidi w:val="0"/>
        <w:snapToGrid w:val="0"/>
        <w:spacing w:line="420" w:lineRule="exact"/>
        <w:ind w:left="-59" w:leftChars="0" w:right="0" w:rightChars="0" w:firstLine="479" w:firstLineChars="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合同签订要求：签订时间为中标公告期满后</w:t>
      </w:r>
      <w:r>
        <w:rPr>
          <w:rFonts w:hint="eastAsia" w:ascii="仿宋" w:eastAsia="仿宋"/>
          <w:color w:val="auto"/>
          <w:kern w:val="0"/>
          <w:sz w:val="24"/>
          <w:highlight w:val="none"/>
          <w:u w:val="none"/>
          <w:lang w:val="en-US" w:eastAsia="zh-CN"/>
        </w:rPr>
        <w:t>30</w:t>
      </w:r>
      <w:r>
        <w:rPr>
          <w:rFonts w:hint="eastAsia" w:ascii="仿宋" w:eastAsia="仿宋"/>
          <w:color w:val="auto"/>
          <w:kern w:val="0"/>
          <w:sz w:val="24"/>
          <w:highlight w:val="none"/>
          <w:u w:val="none"/>
        </w:rPr>
        <w:t>日内，中标人持《中标通知书》与招标人签订采购合同，超过期限认定为自动放弃。</w:t>
      </w:r>
    </w:p>
    <w:p w14:paraId="4BD82785">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left="0" w:leftChars="0" w:right="0" w:rightChars="0" w:firstLine="480" w:firstLineChars="200"/>
        <w:jc w:val="both"/>
        <w:textAlignment w:val="auto"/>
        <w:rPr>
          <w:rFonts w:hint="eastAsia" w:ascii="仿宋" w:eastAsia="仿宋"/>
          <w:color w:val="auto"/>
          <w:kern w:val="0"/>
          <w:sz w:val="24"/>
          <w:highlight w:val="none"/>
          <w:u w:val="none"/>
          <w:lang w:eastAsia="zh-CN"/>
        </w:rPr>
      </w:pPr>
      <w:r>
        <w:rPr>
          <w:rFonts w:hint="eastAsia" w:ascii="仿宋" w:eastAsia="仿宋"/>
          <w:color w:val="auto"/>
          <w:kern w:val="0"/>
          <w:sz w:val="24"/>
          <w:highlight w:val="none"/>
          <w:u w:val="none"/>
          <w:lang w:val="en-US" w:eastAsia="zh-CN"/>
        </w:rPr>
        <w:t>2.合同签订后15日内未能履行投标时所承诺条款的，将视为违约，采购人有权终止合同，并要求中标单位支付采购的全部经济损失。</w:t>
      </w:r>
    </w:p>
    <w:p w14:paraId="4657A0DA">
      <w:pPr>
        <w:pageBreakBefore w:val="0"/>
        <w:widowControl/>
        <w:kinsoku/>
        <w:wordWrap/>
        <w:overflowPunct/>
        <w:topLinePunct w:val="0"/>
        <w:autoSpaceDE/>
        <w:autoSpaceDN/>
        <w:bidi w:val="0"/>
        <w:snapToGrid w:val="0"/>
        <w:spacing w:line="420" w:lineRule="exact"/>
        <w:ind w:left="0" w:leftChars="0" w:right="0" w:rightChars="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3</w:t>
      </w:r>
      <w:r>
        <w:rPr>
          <w:rFonts w:hint="eastAsia" w:ascii="仿宋" w:eastAsia="仿宋"/>
          <w:color w:val="auto"/>
          <w:kern w:val="0"/>
          <w:sz w:val="24"/>
          <w:highlight w:val="none"/>
          <w:u w:val="none"/>
        </w:rPr>
        <w:t>．签约地点：</w:t>
      </w:r>
      <w:r>
        <w:rPr>
          <w:rFonts w:hint="eastAsia" w:ascii="仿宋" w:eastAsia="仿宋"/>
          <w:color w:val="auto"/>
          <w:kern w:val="0"/>
          <w:sz w:val="24"/>
          <w:highlight w:val="none"/>
          <w:u w:val="none"/>
          <w:lang w:eastAsia="zh-CN"/>
        </w:rPr>
        <w:t>绍兴市越城区</w:t>
      </w:r>
      <w:r>
        <w:rPr>
          <w:rFonts w:hint="eastAsia" w:ascii="仿宋" w:eastAsia="仿宋"/>
          <w:color w:val="auto"/>
          <w:kern w:val="0"/>
          <w:sz w:val="24"/>
          <w:highlight w:val="none"/>
          <w:u w:val="none"/>
          <w:lang w:val="en-US" w:eastAsia="zh-CN"/>
        </w:rPr>
        <w:t>府山</w:t>
      </w:r>
      <w:r>
        <w:rPr>
          <w:rFonts w:hint="eastAsia" w:ascii="仿宋" w:eastAsia="仿宋"/>
          <w:color w:val="auto"/>
          <w:kern w:val="0"/>
          <w:sz w:val="24"/>
          <w:highlight w:val="none"/>
          <w:u w:val="none"/>
          <w:lang w:eastAsia="zh-CN"/>
        </w:rPr>
        <w:t>街道社区卫生服务中心。</w:t>
      </w:r>
    </w:p>
    <w:p w14:paraId="2C11932B">
      <w:pPr>
        <w:pageBreakBefore w:val="0"/>
        <w:widowControl/>
        <w:kinsoku/>
        <w:wordWrap/>
        <w:overflowPunct/>
        <w:topLinePunct w:val="0"/>
        <w:autoSpaceDE/>
        <w:autoSpaceDN/>
        <w:bidi w:val="0"/>
        <w:snapToGrid w:val="0"/>
        <w:spacing w:line="420" w:lineRule="exact"/>
        <w:ind w:left="0" w:leftChars="0" w:right="0" w:rightChars="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4</w:t>
      </w:r>
      <w:r>
        <w:rPr>
          <w:rFonts w:hint="eastAsia" w:ascii="仿宋" w:eastAsia="仿宋"/>
          <w:color w:val="auto"/>
          <w:kern w:val="0"/>
          <w:sz w:val="24"/>
          <w:highlight w:val="none"/>
          <w:u w:val="none"/>
        </w:rPr>
        <w:t>．合同期间如遇有上级部门集中招标采购规定的，按上级部门规定执行，本期合同自然终止。</w:t>
      </w:r>
    </w:p>
    <w:p w14:paraId="3D7C8B9E">
      <w:pPr>
        <w:pageBreakBefore w:val="0"/>
        <w:widowControl/>
        <w:kinsoku/>
        <w:wordWrap/>
        <w:overflowPunct/>
        <w:topLinePunct w:val="0"/>
        <w:autoSpaceDE/>
        <w:autoSpaceDN/>
        <w:bidi w:val="0"/>
        <w:snapToGrid w:val="0"/>
        <w:spacing w:line="420" w:lineRule="exact"/>
        <w:ind w:left="0" w:leftChars="0" w:right="0" w:rightChars="0" w:firstLine="479"/>
        <w:textAlignment w:val="auto"/>
        <w:rPr>
          <w:rFonts w:hint="eastAsia" w:ascii="仿宋" w:eastAsia="仿宋"/>
          <w:color w:val="auto"/>
          <w:kern w:val="0"/>
          <w:sz w:val="24"/>
          <w:highlight w:val="none"/>
          <w:u w:val="none"/>
          <w:lang w:eastAsia="zh-CN"/>
        </w:rPr>
      </w:pPr>
      <w:r>
        <w:rPr>
          <w:rFonts w:hint="eastAsia" w:ascii="仿宋" w:eastAsia="仿宋"/>
          <w:color w:val="auto"/>
          <w:kern w:val="0"/>
          <w:sz w:val="24"/>
          <w:highlight w:val="none"/>
          <w:u w:val="none"/>
          <w:lang w:val="en-US" w:eastAsia="zh-CN"/>
        </w:rPr>
        <w:t>5</w:t>
      </w:r>
      <w:r>
        <w:rPr>
          <w:rFonts w:hint="eastAsia" w:ascii="仿宋" w:eastAsia="仿宋"/>
          <w:color w:val="auto"/>
          <w:kern w:val="0"/>
          <w:sz w:val="24"/>
          <w:highlight w:val="none"/>
          <w:u w:val="none"/>
        </w:rPr>
        <w:t>．在正式签约时，根据上述精神拟就更为详尽的合同书</w:t>
      </w:r>
      <w:r>
        <w:rPr>
          <w:rFonts w:hint="eastAsia" w:ascii="仿宋" w:eastAsia="仿宋"/>
          <w:color w:val="auto"/>
          <w:kern w:val="0"/>
          <w:sz w:val="24"/>
          <w:highlight w:val="none"/>
          <w:u w:val="none"/>
          <w:lang w:eastAsia="zh-CN"/>
        </w:rPr>
        <w:t>。</w:t>
      </w:r>
    </w:p>
    <w:p w14:paraId="0C043EC2">
      <w:pPr>
        <w:pageBreakBefore w:val="0"/>
        <w:widowControl/>
        <w:kinsoku/>
        <w:wordWrap/>
        <w:overflowPunct/>
        <w:topLinePunct w:val="0"/>
        <w:autoSpaceDE/>
        <w:autoSpaceDN/>
        <w:bidi w:val="0"/>
        <w:snapToGrid w:val="0"/>
        <w:spacing w:line="420" w:lineRule="exact"/>
        <w:ind w:left="0" w:leftChars="0" w:right="0" w:rightChars="0"/>
        <w:textAlignment w:val="auto"/>
        <w:rPr>
          <w:rFonts w:hint="eastAsia" w:ascii="仿宋" w:eastAsia="仿宋"/>
          <w:b/>
          <w:bCs/>
          <w:color w:val="auto"/>
          <w:sz w:val="24"/>
          <w:highlight w:val="none"/>
        </w:rPr>
      </w:pPr>
      <w:r>
        <w:rPr>
          <w:rFonts w:hint="eastAsia" w:ascii="仿宋" w:eastAsia="仿宋"/>
          <w:b/>
          <w:bCs/>
          <w:color w:val="auto"/>
          <w:sz w:val="24"/>
          <w:highlight w:val="none"/>
        </w:rPr>
        <w:t>2.3数量调整</w:t>
      </w:r>
    </w:p>
    <w:p w14:paraId="77106150">
      <w:pPr>
        <w:pageBreakBefore w:val="0"/>
        <w:widowControl/>
        <w:kinsoku/>
        <w:wordWrap/>
        <w:overflowPunct/>
        <w:topLinePunct w:val="0"/>
        <w:autoSpaceDE/>
        <w:autoSpaceDN/>
        <w:bidi w:val="0"/>
        <w:snapToGrid w:val="0"/>
        <w:spacing w:line="420" w:lineRule="exact"/>
        <w:ind w:left="0" w:leftChars="0" w:right="0" w:rightChars="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605DBDA3">
      <w:pPr>
        <w:pageBreakBefore w:val="0"/>
        <w:widowControl/>
        <w:kinsoku/>
        <w:wordWrap/>
        <w:overflowPunct/>
        <w:topLinePunct w:val="0"/>
        <w:autoSpaceDE/>
        <w:autoSpaceDN/>
        <w:bidi w:val="0"/>
        <w:snapToGrid w:val="0"/>
        <w:spacing w:line="420" w:lineRule="exact"/>
        <w:ind w:left="0" w:leftChars="0" w:right="0" w:rightChars="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0BB48905">
      <w:pPr>
        <w:pageBreakBefore w:val="0"/>
        <w:widowControl/>
        <w:kinsoku/>
        <w:wordWrap/>
        <w:overflowPunct/>
        <w:topLinePunct w:val="0"/>
        <w:autoSpaceDE/>
        <w:autoSpaceDN/>
        <w:bidi w:val="0"/>
        <w:snapToGrid w:val="0"/>
        <w:spacing w:line="420" w:lineRule="exact"/>
        <w:ind w:left="0" w:leftChars="0" w:right="0" w:rightChars="0"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675B66EC">
      <w:pPr>
        <w:pageBreakBefore w:val="0"/>
        <w:widowControl/>
        <w:kinsoku/>
        <w:wordWrap/>
        <w:overflowPunct/>
        <w:topLinePunct w:val="0"/>
        <w:autoSpaceDE/>
        <w:autoSpaceDN/>
        <w:bidi w:val="0"/>
        <w:snapToGrid w:val="0"/>
        <w:spacing w:line="420" w:lineRule="exact"/>
        <w:ind w:left="0" w:leftChars="0" w:right="0" w:rightChars="0"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3F50F24">
      <w:pPr>
        <w:pageBreakBefore w:val="0"/>
        <w:widowControl/>
        <w:kinsoku/>
        <w:wordWrap/>
        <w:overflowPunct/>
        <w:topLinePunct w:val="0"/>
        <w:autoSpaceDE/>
        <w:autoSpaceDN/>
        <w:bidi w:val="0"/>
        <w:snapToGrid w:val="0"/>
        <w:spacing w:line="420" w:lineRule="exact"/>
        <w:ind w:left="0" w:leftChars="0" w:right="0" w:rightChars="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w:t>
      </w:r>
      <w:r>
        <w:rPr>
          <w:rFonts w:hint="eastAsia" w:ascii="仿宋" w:eastAsia="仿宋"/>
          <w:b/>
          <w:bCs/>
          <w:color w:val="auto"/>
          <w:kern w:val="0"/>
          <w:sz w:val="24"/>
          <w:highlight w:val="none"/>
          <w:u w:val="none"/>
          <w:lang w:val="en-US" w:eastAsia="zh-CN"/>
        </w:rPr>
        <w:t>结算及</w:t>
      </w:r>
      <w:r>
        <w:rPr>
          <w:rFonts w:hint="eastAsia" w:ascii="仿宋" w:eastAsia="仿宋"/>
          <w:b/>
          <w:bCs/>
          <w:color w:val="auto"/>
          <w:kern w:val="0"/>
          <w:sz w:val="24"/>
          <w:highlight w:val="none"/>
          <w:u w:val="none"/>
        </w:rPr>
        <w:t>付款方式</w:t>
      </w:r>
    </w:p>
    <w:p w14:paraId="4636F0A7">
      <w:pPr>
        <w:pageBreakBefore w:val="0"/>
        <w:widowControl/>
        <w:kinsoku/>
        <w:wordWrap/>
        <w:overflowPunct/>
        <w:topLinePunct w:val="0"/>
        <w:autoSpaceDE/>
        <w:autoSpaceDN/>
        <w:bidi w:val="0"/>
        <w:snapToGrid w:val="0"/>
        <w:spacing w:line="420" w:lineRule="exact"/>
        <w:ind w:left="0" w:leftChars="0" w:right="0" w:rightChars="0" w:firstLine="480" w:firstLineChars="200"/>
        <w:textAlignment w:val="auto"/>
        <w:rPr>
          <w:rFonts w:hint="default" w:ascii="仿宋" w:hAnsi="Times New Roman" w:eastAsia="仿宋" w:cs="Times New Roman"/>
          <w:color w:val="auto"/>
          <w:kern w:val="0"/>
          <w:sz w:val="24"/>
          <w:highlight w:val="none"/>
          <w:u w:val="none"/>
          <w:lang w:val="en-US" w:eastAsia="zh-CN"/>
        </w:rPr>
      </w:pPr>
      <w:r>
        <w:rPr>
          <w:rFonts w:hint="eastAsia" w:ascii="仿宋" w:hAnsi="Times New Roman" w:eastAsia="仿宋" w:cs="Times New Roman"/>
          <w:color w:val="auto"/>
          <w:kern w:val="0"/>
          <w:sz w:val="24"/>
          <w:highlight w:val="none"/>
          <w:u w:val="none"/>
          <w:lang w:val="en-US" w:eastAsia="zh-CN"/>
        </w:rPr>
        <w:t>1.</w:t>
      </w:r>
      <w:r>
        <w:rPr>
          <w:rFonts w:hint="eastAsia" w:ascii="仿宋" w:eastAsia="仿宋" w:cs="Times New Roman"/>
          <w:color w:val="auto"/>
          <w:kern w:val="0"/>
          <w:sz w:val="24"/>
          <w:highlight w:val="none"/>
          <w:u w:val="none"/>
          <w:lang w:val="en-US" w:eastAsia="zh-CN"/>
        </w:rPr>
        <w:t>结算价格：根据投标报价</w:t>
      </w:r>
    </w:p>
    <w:p w14:paraId="00BE9C5C">
      <w:pPr>
        <w:pageBreakBefore w:val="0"/>
        <w:widowControl/>
        <w:kinsoku/>
        <w:wordWrap/>
        <w:overflowPunct/>
        <w:topLinePunct w:val="0"/>
        <w:autoSpaceDE/>
        <w:autoSpaceDN/>
        <w:bidi w:val="0"/>
        <w:snapToGrid w:val="0"/>
        <w:spacing w:line="420" w:lineRule="exact"/>
        <w:ind w:left="0" w:leftChars="0" w:right="0" w:rightChars="0" w:firstLine="480" w:firstLineChars="200"/>
        <w:textAlignment w:val="auto"/>
        <w:rPr>
          <w:rFonts w:hint="default" w:ascii="仿宋" w:hAnsi="Times New Roman" w:eastAsia="仿宋" w:cs="Times New Roman"/>
          <w:color w:val="auto"/>
          <w:kern w:val="0"/>
          <w:sz w:val="24"/>
          <w:highlight w:val="none"/>
          <w:u w:val="none"/>
          <w:lang w:val="en-US" w:eastAsia="zh-CN"/>
        </w:rPr>
      </w:pPr>
      <w:r>
        <w:rPr>
          <w:rFonts w:hint="eastAsia" w:ascii="仿宋" w:hAnsi="Times New Roman" w:eastAsia="仿宋" w:cs="Times New Roman"/>
          <w:color w:val="auto"/>
          <w:kern w:val="0"/>
          <w:sz w:val="24"/>
          <w:highlight w:val="none"/>
          <w:u w:val="none"/>
          <w:lang w:val="en-US" w:eastAsia="zh-CN"/>
        </w:rPr>
        <w:t>1.业务量的结算：以实际出具的有效报告为准，须与送检标本登记签收记录相匹配</w:t>
      </w:r>
      <w:r>
        <w:rPr>
          <w:rFonts w:hint="eastAsia" w:ascii="仿宋" w:eastAsia="仿宋" w:cs="Times New Roman"/>
          <w:color w:val="auto"/>
          <w:kern w:val="0"/>
          <w:sz w:val="24"/>
          <w:highlight w:val="none"/>
          <w:u w:val="none"/>
          <w:lang w:val="en-US" w:eastAsia="zh-CN"/>
        </w:rPr>
        <w:t>，根据投标单价进行结算。</w:t>
      </w:r>
    </w:p>
    <w:p w14:paraId="2F10268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ascii="仿宋" w:eastAsia="仿宋"/>
          <w:color w:val="auto"/>
          <w:kern w:val="0"/>
          <w:sz w:val="24"/>
          <w:highlight w:val="none"/>
        </w:rPr>
      </w:pPr>
      <w:r>
        <w:rPr>
          <w:rFonts w:hint="eastAsia" w:ascii="仿宋" w:hAnsi="Times New Roman" w:eastAsia="仿宋" w:cs="Times New Roman"/>
          <w:color w:val="auto"/>
          <w:kern w:val="0"/>
          <w:sz w:val="24"/>
          <w:highlight w:val="none"/>
          <w:u w:val="none"/>
          <w:lang w:val="en-US" w:eastAsia="zh-CN"/>
        </w:rPr>
        <w:t>2.检测服务费按月为结算周期，服务单位提供发票及对账依据，财务入账后，3个月内支付（遇质量问题等特殊情况除外）。结算周期内双方确认的实际检验数量一次性付清。发票章单位名称必须与投标时公章名称相符合，否则医院有权拒付相关款项。具体付款方式由双方协商后在合同中详尽。</w:t>
      </w:r>
    </w:p>
    <w:p w14:paraId="5E8C4EC1">
      <w:pPr>
        <w:widowControl/>
        <w:snapToGrid w:val="0"/>
        <w:spacing w:line="480" w:lineRule="exact"/>
        <w:ind w:firstLine="0"/>
        <w:rPr>
          <w:rFonts w:ascii="仿宋" w:eastAsia="仿宋"/>
          <w:color w:val="auto"/>
          <w:kern w:val="0"/>
          <w:sz w:val="24"/>
          <w:highlight w:val="none"/>
        </w:rPr>
      </w:pPr>
    </w:p>
    <w:p w14:paraId="28C26A07">
      <w:pPr>
        <w:widowControl/>
        <w:snapToGrid w:val="0"/>
        <w:spacing w:line="480" w:lineRule="exact"/>
        <w:ind w:firstLine="0"/>
        <w:rPr>
          <w:rFonts w:ascii="仿宋" w:eastAsia="仿宋"/>
          <w:color w:val="auto"/>
          <w:kern w:val="0"/>
          <w:sz w:val="24"/>
          <w:highlight w:val="none"/>
        </w:rPr>
      </w:pPr>
    </w:p>
    <w:p w14:paraId="23E8520B">
      <w:pPr>
        <w:widowControl/>
        <w:snapToGrid w:val="0"/>
        <w:spacing w:line="480" w:lineRule="exact"/>
        <w:ind w:firstLine="0"/>
        <w:rPr>
          <w:rFonts w:ascii="仿宋" w:eastAsia="仿宋"/>
          <w:color w:val="auto"/>
          <w:kern w:val="0"/>
          <w:sz w:val="24"/>
          <w:highlight w:val="none"/>
        </w:rPr>
      </w:pPr>
    </w:p>
    <w:p w14:paraId="1A9971C5">
      <w:pPr>
        <w:widowControl/>
        <w:snapToGrid w:val="0"/>
        <w:spacing w:line="480" w:lineRule="exact"/>
        <w:ind w:firstLine="0"/>
        <w:rPr>
          <w:rFonts w:ascii="仿宋" w:eastAsia="仿宋"/>
          <w:color w:val="auto"/>
          <w:kern w:val="0"/>
          <w:sz w:val="24"/>
          <w:highlight w:val="none"/>
        </w:rPr>
      </w:pPr>
    </w:p>
    <w:p w14:paraId="76A3300A">
      <w:pPr>
        <w:widowControl/>
        <w:snapToGrid w:val="0"/>
        <w:spacing w:line="480" w:lineRule="exact"/>
        <w:ind w:firstLine="0"/>
        <w:rPr>
          <w:rFonts w:ascii="仿宋" w:eastAsia="仿宋"/>
          <w:color w:val="auto"/>
          <w:kern w:val="0"/>
          <w:sz w:val="24"/>
          <w:highlight w:val="none"/>
        </w:rPr>
      </w:pPr>
    </w:p>
    <w:p w14:paraId="34629432">
      <w:pPr>
        <w:widowControl/>
        <w:snapToGrid w:val="0"/>
        <w:spacing w:line="480" w:lineRule="exact"/>
        <w:ind w:firstLine="0"/>
        <w:rPr>
          <w:rFonts w:ascii="仿宋" w:eastAsia="仿宋"/>
          <w:color w:val="auto"/>
          <w:kern w:val="0"/>
          <w:sz w:val="24"/>
          <w:highlight w:val="none"/>
        </w:rPr>
      </w:pPr>
    </w:p>
    <w:p w14:paraId="19CCCBB9">
      <w:pPr>
        <w:widowControl/>
        <w:snapToGrid w:val="0"/>
        <w:spacing w:line="480" w:lineRule="exact"/>
        <w:ind w:firstLine="0"/>
        <w:rPr>
          <w:rFonts w:ascii="仿宋" w:eastAsia="仿宋"/>
          <w:color w:val="auto"/>
          <w:kern w:val="0"/>
          <w:sz w:val="24"/>
          <w:highlight w:val="none"/>
        </w:rPr>
      </w:pPr>
    </w:p>
    <w:p w14:paraId="6A848BD2">
      <w:pPr>
        <w:widowControl/>
        <w:snapToGrid w:val="0"/>
        <w:spacing w:line="480" w:lineRule="exact"/>
        <w:ind w:firstLine="0"/>
        <w:rPr>
          <w:rFonts w:ascii="仿宋" w:eastAsia="仿宋"/>
          <w:color w:val="auto"/>
          <w:kern w:val="0"/>
          <w:sz w:val="24"/>
          <w:highlight w:val="none"/>
        </w:rPr>
      </w:pPr>
    </w:p>
    <w:p w14:paraId="774B9635">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268"/>
      <w:r>
        <w:rPr>
          <w:rFonts w:hint="eastAsia" w:ascii="仿宋"/>
          <w:color w:val="auto"/>
          <w:highlight w:val="none"/>
        </w:rPr>
        <w:t>第四章  拟签订合同的主要条款</w:t>
      </w:r>
      <w:bookmarkEnd w:id="44"/>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4424"/>
      <w:bookmarkStart w:id="87" w:name="_GoBack"/>
      <w:bookmarkEnd w:id="87"/>
      <w:r>
        <w:rPr>
          <w:rFonts w:hint="eastAsia" w:ascii="仿宋"/>
          <w:color w:val="auto"/>
          <w:highlight w:val="none"/>
        </w:rPr>
        <w:t>第五章  评标办法及标准</w:t>
      </w:r>
      <w:bookmarkEnd w:id="45"/>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05"/>
        <w:gridCol w:w="6800"/>
        <w:gridCol w:w="556"/>
      </w:tblGrid>
      <w:tr w14:paraId="482C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1FEF7B98">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205" w:type="dxa"/>
            <w:noWrap w:val="0"/>
            <w:vAlign w:val="center"/>
          </w:tcPr>
          <w:p w14:paraId="01FC70A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评分内容</w:t>
            </w:r>
          </w:p>
        </w:tc>
        <w:tc>
          <w:tcPr>
            <w:tcW w:w="6800" w:type="dxa"/>
            <w:noWrap w:val="0"/>
            <w:vAlign w:val="center"/>
          </w:tcPr>
          <w:p w14:paraId="65160FD3">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评  分  说  明</w:t>
            </w:r>
          </w:p>
        </w:tc>
        <w:tc>
          <w:tcPr>
            <w:tcW w:w="556" w:type="dxa"/>
            <w:noWrap w:val="0"/>
            <w:vAlign w:val="center"/>
          </w:tcPr>
          <w:p w14:paraId="0AF5175E">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分值</w:t>
            </w:r>
          </w:p>
        </w:tc>
      </w:tr>
      <w:tr w14:paraId="3190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59" w:type="dxa"/>
            <w:noWrap w:val="0"/>
            <w:vAlign w:val="center"/>
          </w:tcPr>
          <w:p w14:paraId="2BE2AC82">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205" w:type="dxa"/>
            <w:noWrap w:val="0"/>
            <w:vAlign w:val="center"/>
          </w:tcPr>
          <w:p w14:paraId="204363F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bidi="ar"/>
              </w:rPr>
              <w:t>主要技术参数响应性</w:t>
            </w:r>
          </w:p>
        </w:tc>
        <w:tc>
          <w:tcPr>
            <w:tcW w:w="6800" w:type="dxa"/>
            <w:noWrap w:val="0"/>
            <w:vAlign w:val="center"/>
          </w:tcPr>
          <w:p w14:paraId="11B06530">
            <w:pPr>
              <w:widowControl/>
              <w:numPr>
                <w:ilvl w:val="0"/>
                <w:numId w:val="0"/>
              </w:numPr>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bidi="ar"/>
              </w:rPr>
              <w:t>满足招标文件要求得</w:t>
            </w:r>
            <w:r>
              <w:rPr>
                <w:rFonts w:hint="eastAsia" w:ascii="仿宋" w:hAnsi="仿宋" w:eastAsia="仿宋" w:cs="仿宋"/>
                <w:color w:val="auto"/>
                <w:kern w:val="0"/>
                <w:sz w:val="24"/>
                <w:szCs w:val="24"/>
                <w:highlight w:val="none"/>
                <w:lang w:val="en-US" w:eastAsia="zh-CN" w:bidi="ar"/>
              </w:rPr>
              <w:t>30</w:t>
            </w:r>
            <w:r>
              <w:rPr>
                <w:rFonts w:hint="eastAsia" w:ascii="仿宋" w:hAnsi="仿宋" w:eastAsia="仿宋" w:cs="仿宋"/>
                <w:color w:val="auto"/>
                <w:kern w:val="0"/>
                <w:sz w:val="24"/>
                <w:szCs w:val="24"/>
                <w:highlight w:val="none"/>
                <w:lang w:bidi="ar"/>
              </w:rPr>
              <w:t>分，打“★”负偏离作无效标处理，打“▲”号的指标为主要功能、配置，每有一项负偏离招标文件的扣</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分；一般指标每有一项负偏离招标文件的扣1分，扣完为至。</w:t>
            </w:r>
          </w:p>
        </w:tc>
        <w:tc>
          <w:tcPr>
            <w:tcW w:w="556" w:type="dxa"/>
            <w:noWrap w:val="0"/>
            <w:vAlign w:val="center"/>
          </w:tcPr>
          <w:p w14:paraId="66D71E95">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w:t>
            </w:r>
          </w:p>
        </w:tc>
      </w:tr>
      <w:tr w14:paraId="1F8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659" w:type="dxa"/>
            <w:noWrap w:val="0"/>
            <w:vAlign w:val="center"/>
          </w:tcPr>
          <w:p w14:paraId="0B6610EF">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05" w:type="dxa"/>
            <w:noWrap w:val="0"/>
            <w:vAlign w:val="center"/>
          </w:tcPr>
          <w:p w14:paraId="45E3458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检测报告</w:t>
            </w:r>
          </w:p>
        </w:tc>
        <w:tc>
          <w:tcPr>
            <w:tcW w:w="6800" w:type="dxa"/>
            <w:noWrap w:val="0"/>
            <w:vAlign w:val="center"/>
          </w:tcPr>
          <w:p w14:paraId="570C327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能准确出具评估报告和健康处方，评估报告能输出具体的风险分值，可划分“低危、中低危、中高危、高危、极高危”5级风险预警。由评委进行评审，检测报告完整优秀的得8.1-12分，检测报告较为完整良好的得4.1-8分，检测报告一般的得0-4分。</w:t>
            </w:r>
          </w:p>
          <w:p w14:paraId="44D8174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提供相关报告模版等证明材料的资料复印件加盖投标人公章。</w:t>
            </w:r>
          </w:p>
        </w:tc>
        <w:tc>
          <w:tcPr>
            <w:tcW w:w="556" w:type="dxa"/>
            <w:noWrap w:val="0"/>
            <w:vAlign w:val="center"/>
          </w:tcPr>
          <w:p w14:paraId="634334F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r>
      <w:tr w14:paraId="1212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59" w:type="dxa"/>
            <w:noWrap w:val="0"/>
            <w:vAlign w:val="center"/>
          </w:tcPr>
          <w:p w14:paraId="66B84A15">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205" w:type="dxa"/>
            <w:noWrap w:val="0"/>
            <w:vAlign w:val="center"/>
          </w:tcPr>
          <w:p w14:paraId="33EE6602">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Cs/>
                <w:color w:val="auto"/>
                <w:sz w:val="24"/>
                <w:szCs w:val="24"/>
                <w:highlight w:val="none"/>
                <w:lang w:bidi="ar"/>
              </w:rPr>
              <w:t>人员配置</w:t>
            </w:r>
          </w:p>
        </w:tc>
        <w:tc>
          <w:tcPr>
            <w:tcW w:w="6800" w:type="dxa"/>
            <w:noWrap w:val="0"/>
            <w:vAlign w:val="center"/>
          </w:tcPr>
          <w:p w14:paraId="5F2B0546">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iCs/>
                <w:color w:val="auto"/>
                <w:sz w:val="24"/>
                <w:szCs w:val="24"/>
                <w:highlight w:val="none"/>
                <w:lang w:bidi="ar"/>
              </w:rPr>
            </w:pPr>
            <w:r>
              <w:rPr>
                <w:rFonts w:hint="eastAsia" w:ascii="仿宋" w:hAnsi="仿宋" w:eastAsia="仿宋" w:cs="仿宋"/>
                <w:iCs/>
                <w:color w:val="auto"/>
                <w:sz w:val="24"/>
                <w:szCs w:val="24"/>
                <w:highlight w:val="none"/>
                <w:lang w:bidi="ar"/>
              </w:rPr>
              <w:t>根据投标人实验室中具备主管技师及以上职称的人才数量进行评分，每拥有一名主管技师及以上职称的人才，投标人可获得1分，最高得5分。</w:t>
            </w:r>
          </w:p>
          <w:p w14:paraId="0B25E71E">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Cs/>
                <w:color w:val="auto"/>
                <w:sz w:val="24"/>
                <w:szCs w:val="24"/>
                <w:highlight w:val="none"/>
                <w:lang w:val="en-US" w:eastAsia="zh-CN" w:bidi="ar"/>
              </w:rPr>
              <w:t>提供</w:t>
            </w:r>
            <w:r>
              <w:rPr>
                <w:rFonts w:hint="eastAsia" w:ascii="仿宋" w:hAnsi="仿宋" w:eastAsia="仿宋" w:cs="仿宋"/>
                <w:iCs/>
                <w:color w:val="auto"/>
                <w:sz w:val="24"/>
                <w:szCs w:val="24"/>
                <w:highlight w:val="none"/>
                <w:lang w:bidi="ar"/>
              </w:rPr>
              <w:t>上述人员</w:t>
            </w:r>
            <w:r>
              <w:rPr>
                <w:rFonts w:hint="eastAsia" w:ascii="仿宋" w:hAnsi="仿宋" w:eastAsia="仿宋" w:cs="仿宋"/>
                <w:iCs/>
                <w:color w:val="auto"/>
                <w:sz w:val="24"/>
                <w:szCs w:val="24"/>
                <w:highlight w:val="none"/>
                <w:lang w:eastAsia="zh-CN" w:bidi="ar"/>
              </w:rPr>
              <w:t>证书</w:t>
            </w:r>
            <w:r>
              <w:rPr>
                <w:rFonts w:hint="eastAsia" w:ascii="仿宋" w:hAnsi="仿宋" w:eastAsia="仿宋" w:cs="仿宋"/>
                <w:iCs/>
                <w:color w:val="auto"/>
                <w:sz w:val="24"/>
                <w:szCs w:val="24"/>
                <w:highlight w:val="none"/>
                <w:lang w:bidi="ar"/>
              </w:rPr>
              <w:t>证明材料</w:t>
            </w:r>
            <w:r>
              <w:rPr>
                <w:rFonts w:hint="eastAsia" w:ascii="仿宋" w:hAnsi="仿宋" w:eastAsia="仿宋" w:cs="仿宋"/>
                <w:iCs/>
                <w:color w:val="auto"/>
                <w:sz w:val="24"/>
                <w:szCs w:val="24"/>
                <w:highlight w:val="none"/>
                <w:lang w:eastAsia="zh-CN" w:bidi="ar"/>
              </w:rPr>
              <w:t>、在本单位的社保证明</w:t>
            </w:r>
            <w:r>
              <w:rPr>
                <w:rFonts w:hint="eastAsia" w:ascii="仿宋" w:hAnsi="仿宋" w:eastAsia="仿宋" w:cs="仿宋"/>
                <w:iCs/>
                <w:color w:val="auto"/>
                <w:sz w:val="24"/>
                <w:szCs w:val="24"/>
                <w:highlight w:val="none"/>
                <w:lang w:val="en-US" w:eastAsia="zh-CN" w:bidi="ar"/>
              </w:rPr>
              <w:t>或</w:t>
            </w:r>
            <w:r>
              <w:rPr>
                <w:rFonts w:hint="eastAsia" w:ascii="仿宋" w:hAnsi="仿宋" w:eastAsia="仿宋" w:cs="仿宋"/>
                <w:iCs/>
                <w:color w:val="auto"/>
                <w:sz w:val="24"/>
                <w:szCs w:val="24"/>
                <w:highlight w:val="none"/>
                <w:lang w:eastAsia="zh-CN" w:bidi="ar"/>
              </w:rPr>
              <w:t>与公司</w:t>
            </w:r>
            <w:r>
              <w:rPr>
                <w:rFonts w:hint="eastAsia" w:ascii="仿宋" w:hAnsi="仿宋" w:eastAsia="仿宋" w:cs="仿宋"/>
                <w:iCs/>
                <w:color w:val="auto"/>
                <w:sz w:val="24"/>
                <w:szCs w:val="24"/>
                <w:highlight w:val="none"/>
                <w:lang w:val="en-US" w:eastAsia="zh-CN" w:bidi="ar"/>
              </w:rPr>
              <w:t>签订</w:t>
            </w:r>
            <w:r>
              <w:rPr>
                <w:rFonts w:hint="eastAsia" w:ascii="仿宋" w:hAnsi="仿宋" w:eastAsia="仿宋" w:cs="仿宋"/>
                <w:iCs/>
                <w:color w:val="auto"/>
                <w:sz w:val="24"/>
                <w:szCs w:val="24"/>
                <w:highlight w:val="none"/>
                <w:lang w:eastAsia="zh-CN" w:bidi="ar"/>
              </w:rPr>
              <w:t>的劳动合同或聘用合同复印件并</w:t>
            </w:r>
            <w:r>
              <w:rPr>
                <w:rFonts w:hint="eastAsia" w:ascii="仿宋" w:hAnsi="仿宋" w:eastAsia="仿宋" w:cs="仿宋"/>
                <w:iCs/>
                <w:color w:val="auto"/>
                <w:sz w:val="24"/>
                <w:szCs w:val="24"/>
                <w:highlight w:val="none"/>
                <w:lang w:bidi="ar"/>
              </w:rPr>
              <w:t>加盖投标人公章</w:t>
            </w:r>
            <w:r>
              <w:rPr>
                <w:rFonts w:hint="eastAsia" w:ascii="仿宋" w:hAnsi="仿宋" w:eastAsia="仿宋" w:cs="仿宋"/>
                <w:iCs/>
                <w:color w:val="auto"/>
                <w:sz w:val="24"/>
                <w:szCs w:val="24"/>
                <w:highlight w:val="none"/>
                <w:lang w:eastAsia="zh-CN" w:bidi="ar"/>
              </w:rPr>
              <w:t>，</w:t>
            </w:r>
            <w:r>
              <w:rPr>
                <w:rFonts w:hint="eastAsia" w:ascii="仿宋" w:hAnsi="仿宋" w:eastAsia="仿宋" w:cs="仿宋"/>
                <w:iCs/>
                <w:color w:val="auto"/>
                <w:sz w:val="24"/>
                <w:szCs w:val="24"/>
                <w:highlight w:val="none"/>
                <w:lang w:val="en-US" w:eastAsia="zh-CN" w:bidi="ar"/>
              </w:rPr>
              <w:t>不提供不得分。</w:t>
            </w:r>
          </w:p>
        </w:tc>
        <w:tc>
          <w:tcPr>
            <w:tcW w:w="556" w:type="dxa"/>
            <w:noWrap w:val="0"/>
            <w:vAlign w:val="center"/>
          </w:tcPr>
          <w:p w14:paraId="55B48ADE">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0C73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4BCB643D">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strike/>
                <w:dstrike w:val="0"/>
                <w:color w:val="auto"/>
                <w:sz w:val="24"/>
                <w:szCs w:val="24"/>
                <w:highlight w:val="none"/>
                <w:vertAlign w:val="baseline"/>
                <w:lang w:val="en-US" w:eastAsia="zh-CN"/>
              </w:rPr>
            </w:pPr>
            <w:r>
              <w:rPr>
                <w:rFonts w:hint="eastAsia" w:ascii="仿宋" w:hAnsi="仿宋" w:eastAsia="仿宋" w:cs="仿宋"/>
                <w:strike w:val="0"/>
                <w:dstrike w:val="0"/>
                <w:color w:val="auto"/>
                <w:sz w:val="24"/>
                <w:szCs w:val="24"/>
                <w:highlight w:val="none"/>
                <w:vertAlign w:val="baseline"/>
                <w:lang w:val="en-US" w:eastAsia="zh-CN"/>
              </w:rPr>
              <w:t>4</w:t>
            </w:r>
          </w:p>
        </w:tc>
        <w:tc>
          <w:tcPr>
            <w:tcW w:w="1205" w:type="dxa"/>
            <w:noWrap w:val="0"/>
            <w:vAlign w:val="center"/>
          </w:tcPr>
          <w:p w14:paraId="7440864D">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w:t>
            </w:r>
          </w:p>
        </w:tc>
        <w:tc>
          <w:tcPr>
            <w:tcW w:w="6800" w:type="dxa"/>
            <w:noWrap w:val="0"/>
            <w:vAlign w:val="center"/>
          </w:tcPr>
          <w:p w14:paraId="78D74975">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根据投标单位提供的售后服务内容、售后服务响应流程、服务计划等方案承诺进行分析比较、评议，确定档次打分：</w:t>
            </w:r>
          </w:p>
          <w:p w14:paraId="0B67EFA9">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售后服务内容完善、售后服务响应流程保障性强的，得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；售后服务内容较为完善、售后服务响应流程保障性比较强的，得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；售后服务内容与售后服务响应流程保障性一般的，得0.1-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，不提供不得分。</w:t>
            </w:r>
          </w:p>
        </w:tc>
        <w:tc>
          <w:tcPr>
            <w:tcW w:w="556" w:type="dxa"/>
            <w:noWrap w:val="0"/>
            <w:vAlign w:val="center"/>
          </w:tcPr>
          <w:p w14:paraId="75DFF137">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r>
      <w:tr w14:paraId="3370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trPr>
        <w:tc>
          <w:tcPr>
            <w:tcW w:w="659" w:type="dxa"/>
            <w:noWrap w:val="0"/>
            <w:vAlign w:val="center"/>
          </w:tcPr>
          <w:p w14:paraId="6A1980DF">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205" w:type="dxa"/>
            <w:noWrap w:val="0"/>
            <w:vAlign w:val="center"/>
          </w:tcPr>
          <w:p w14:paraId="184D3997">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Cs/>
                <w:color w:val="auto"/>
                <w:sz w:val="24"/>
                <w:szCs w:val="24"/>
                <w:highlight w:val="none"/>
                <w:lang w:bidi="ar"/>
              </w:rPr>
              <w:t>冷链物流能力</w:t>
            </w:r>
          </w:p>
        </w:tc>
        <w:tc>
          <w:tcPr>
            <w:tcW w:w="6800" w:type="dxa"/>
            <w:noWrap w:val="0"/>
            <w:vAlign w:val="center"/>
          </w:tcPr>
          <w:p w14:paraId="32AA6672">
            <w:pPr>
              <w:pStyle w:val="39"/>
              <w:keepNext w:val="0"/>
              <w:keepLines w:val="0"/>
              <w:pageBreakBefore w:val="0"/>
              <w:numPr>
                <w:ilvl w:val="0"/>
                <w:numId w:val="0"/>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iCs/>
                <w:color w:val="auto"/>
                <w:sz w:val="24"/>
                <w:szCs w:val="24"/>
                <w:highlight w:val="none"/>
                <w:lang w:val="en-US" w:eastAsia="zh-CN" w:bidi="ar"/>
              </w:rPr>
            </w:pPr>
            <w:r>
              <w:rPr>
                <w:rFonts w:hint="eastAsia" w:ascii="仿宋" w:hAnsi="仿宋" w:eastAsia="仿宋" w:cs="仿宋"/>
                <w:iCs/>
                <w:color w:val="auto"/>
                <w:sz w:val="24"/>
                <w:szCs w:val="24"/>
                <w:highlight w:val="none"/>
                <w:lang w:val="en-US" w:eastAsia="zh-CN" w:bidi="ar"/>
              </w:rPr>
              <w:t>1.标本运输时间≤5小时得5分，5小时＜标本运输时间≤8小时得3分，8小时＜标本运输时间≤12小时得1分，标本运输时间超过12小时不得分。</w:t>
            </w:r>
          </w:p>
          <w:p w14:paraId="06A4AF5C">
            <w:pPr>
              <w:pStyle w:val="39"/>
              <w:keepNext w:val="0"/>
              <w:keepLines w:val="0"/>
              <w:pageBreakBefore w:val="0"/>
              <w:numPr>
                <w:ilvl w:val="0"/>
                <w:numId w:val="0"/>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标本运输时间指样本从医院出发至供应商实验室</w:t>
            </w:r>
            <w:r>
              <w:rPr>
                <w:rFonts w:hint="eastAsia" w:ascii="仿宋" w:hAnsi="仿宋" w:eastAsia="仿宋" w:cs="仿宋"/>
                <w:strike w:val="0"/>
                <w:dstrike w:val="0"/>
                <w:color w:val="auto"/>
                <w:sz w:val="24"/>
                <w:szCs w:val="24"/>
                <w:highlight w:val="none"/>
                <w:lang w:val="en-US" w:eastAsia="zh-CN"/>
              </w:rPr>
              <w:t>（投标人实验室至各家医院的标本运输时间须同时满足所列指标的下限，否则下划一档），需提供供应商</w:t>
            </w:r>
            <w:r>
              <w:rPr>
                <w:rFonts w:hint="eastAsia" w:ascii="仿宋" w:hAnsi="仿宋" w:eastAsia="仿宋" w:cs="仿宋"/>
                <w:color w:val="auto"/>
                <w:sz w:val="24"/>
                <w:szCs w:val="24"/>
                <w:highlight w:val="none"/>
                <w:lang w:val="en-US" w:eastAsia="zh-CN"/>
              </w:rPr>
              <w:t>实验室名称、地址、第三方导航软件截图等佐证材料并加盖投标人公章。</w:t>
            </w:r>
          </w:p>
          <w:p w14:paraId="291D6993">
            <w:pPr>
              <w:pStyle w:val="39"/>
              <w:keepNext w:val="0"/>
              <w:keepLines w:val="0"/>
              <w:pageBreakBefore w:val="0"/>
              <w:numPr>
                <w:ilvl w:val="0"/>
                <w:numId w:val="0"/>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Times New Roman"/>
                <w:color w:val="auto"/>
                <w:sz w:val="24"/>
                <w:highlight w:val="none"/>
                <w:lang w:val="en-US" w:eastAsia="zh-CN"/>
              </w:rPr>
              <w:t>物流方案的可行性：投标人有符合生物安全的冷链物流方案。根据投标人所具有冷链车、冷链箱、运输</w:t>
            </w:r>
            <w:r>
              <w:rPr>
                <w:rFonts w:hint="eastAsia" w:ascii="仿宋" w:hAnsi="仿宋" w:eastAsia="仿宋" w:cs="仿宋"/>
                <w:color w:val="auto"/>
                <w:kern w:val="0"/>
                <w:sz w:val="24"/>
                <w:szCs w:val="24"/>
                <w:highlight w:val="none"/>
                <w:lang w:bidi="ar"/>
              </w:rPr>
              <w:t>服务人员</w:t>
            </w:r>
            <w:r>
              <w:rPr>
                <w:rFonts w:hint="eastAsia" w:ascii="仿宋" w:hAnsi="仿宋" w:eastAsia="仿宋" w:cs="Times New Roman"/>
                <w:color w:val="auto"/>
                <w:sz w:val="24"/>
                <w:highlight w:val="none"/>
                <w:lang w:val="en-US" w:eastAsia="zh-CN"/>
              </w:rPr>
              <w:t>等资质进行综合打分，</w:t>
            </w:r>
            <w:r>
              <w:rPr>
                <w:rFonts w:hint="eastAsia" w:ascii="仿宋" w:hAnsi="仿宋" w:eastAsia="仿宋" w:cs="仿宋"/>
                <w:color w:val="auto"/>
                <w:kern w:val="0"/>
                <w:sz w:val="24"/>
                <w:szCs w:val="24"/>
                <w:highlight w:val="none"/>
                <w:lang w:eastAsia="zh-CN" w:bidi="ar"/>
              </w:rPr>
              <w:t>优于项目需求的的得</w:t>
            </w:r>
            <w:r>
              <w:rPr>
                <w:rFonts w:hint="eastAsia" w:ascii="仿宋" w:hAnsi="仿宋" w:eastAsia="仿宋" w:cs="仿宋"/>
                <w:color w:val="auto"/>
                <w:kern w:val="0"/>
                <w:sz w:val="24"/>
                <w:szCs w:val="24"/>
                <w:highlight w:val="none"/>
                <w:lang w:val="en-US" w:eastAsia="zh-CN" w:bidi="ar"/>
              </w:rPr>
              <w:t>2.1-3分，基本符合项目需求的的得1.1-2分，</w:t>
            </w:r>
            <w:r>
              <w:rPr>
                <w:rFonts w:hint="eastAsia" w:ascii="仿宋" w:hAnsi="仿宋" w:eastAsia="仿宋" w:cs="仿宋"/>
                <w:color w:val="auto"/>
                <w:kern w:val="0"/>
                <w:sz w:val="24"/>
                <w:szCs w:val="24"/>
                <w:highlight w:val="none"/>
                <w:lang w:bidi="ar"/>
              </w:rPr>
              <w:t>部分符合项目需求的</w:t>
            </w:r>
            <w:r>
              <w:rPr>
                <w:rFonts w:hint="eastAsia" w:ascii="仿宋" w:hAnsi="仿宋" w:eastAsia="仿宋" w:cs="仿宋"/>
                <w:color w:val="auto"/>
                <w:kern w:val="0"/>
                <w:sz w:val="24"/>
                <w:szCs w:val="24"/>
                <w:highlight w:val="none"/>
                <w:lang w:val="en-US" w:eastAsia="zh-CN" w:bidi="ar"/>
              </w:rPr>
              <w:t>得0-1分。</w:t>
            </w:r>
            <w:r>
              <w:rPr>
                <w:rFonts w:hint="eastAsia" w:ascii="仿宋" w:hAnsi="仿宋" w:eastAsia="仿宋" w:cs="Times New Roman"/>
                <w:color w:val="auto"/>
                <w:sz w:val="24"/>
                <w:highlight w:val="none"/>
                <w:lang w:val="en-US" w:eastAsia="zh-CN"/>
              </w:rPr>
              <w:t>（投标文件中需提供冷链车、冷链箱、车辆行驶证、运输人员驾驶证或冷链车租赁合同等相关证明材</w:t>
            </w:r>
            <w:r>
              <w:rPr>
                <w:rFonts w:hint="eastAsia" w:ascii="仿宋" w:hAnsi="仿宋" w:eastAsia="仿宋"/>
                <w:color w:val="auto"/>
                <w:sz w:val="24"/>
                <w:highlight w:val="none"/>
                <w:lang w:val="en-US" w:eastAsia="zh-CN"/>
              </w:rPr>
              <w:t>料）。</w:t>
            </w:r>
          </w:p>
        </w:tc>
        <w:tc>
          <w:tcPr>
            <w:tcW w:w="556" w:type="dxa"/>
            <w:noWrap w:val="0"/>
            <w:vAlign w:val="center"/>
          </w:tcPr>
          <w:p w14:paraId="07F3B7ED">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38C7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51DAEB9F">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1205" w:type="dxa"/>
            <w:noWrap w:val="0"/>
            <w:vAlign w:val="center"/>
          </w:tcPr>
          <w:p w14:paraId="28C56328">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iCs/>
                <w:color w:val="auto"/>
                <w:sz w:val="24"/>
                <w:szCs w:val="24"/>
                <w:highlight w:val="none"/>
                <w:lang w:val="en-US" w:eastAsia="zh-CN" w:bidi="ar"/>
              </w:rPr>
            </w:pPr>
            <w:r>
              <w:rPr>
                <w:rFonts w:hint="eastAsia" w:ascii="仿宋" w:hAnsi="仿宋" w:eastAsia="仿宋" w:cs="仿宋"/>
                <w:iCs/>
                <w:color w:val="auto"/>
                <w:sz w:val="24"/>
                <w:szCs w:val="24"/>
                <w:highlight w:val="none"/>
              </w:rPr>
              <w:t>项目业绩</w:t>
            </w:r>
          </w:p>
        </w:tc>
        <w:tc>
          <w:tcPr>
            <w:tcW w:w="6800" w:type="dxa"/>
            <w:noWrap w:val="0"/>
            <w:vAlign w:val="center"/>
          </w:tcPr>
          <w:p w14:paraId="703A0D6D">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年1月1日以来（以合同签订日期为准），投标人具有同类业绩的，每提供一</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（同一医疗机构只计一次分</w:t>
            </w:r>
            <w:r>
              <w:rPr>
                <w:rFonts w:hint="eastAsia" w:ascii="仿宋" w:hAnsi="仿宋" w:eastAsia="仿宋" w:cs="仿宋"/>
                <w:color w:val="auto"/>
                <w:sz w:val="24"/>
                <w:szCs w:val="24"/>
                <w:highlight w:val="none"/>
                <w:lang w:val="en-US" w:eastAsia="zh-CN"/>
              </w:rPr>
              <w:t>）</w:t>
            </w:r>
          </w:p>
          <w:p w14:paraId="3193B000">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（提供项目的合同复印件为业绩证明材料，不提供不得分。）</w:t>
            </w:r>
          </w:p>
        </w:tc>
        <w:tc>
          <w:tcPr>
            <w:tcW w:w="556" w:type="dxa"/>
            <w:noWrap w:val="0"/>
            <w:vAlign w:val="center"/>
          </w:tcPr>
          <w:p w14:paraId="6660E04C">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bl>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60F74F41">
      <w:pPr>
        <w:spacing w:line="288" w:lineRule="auto"/>
        <w:rPr>
          <w:rFonts w:ascii="仿宋" w:hAnsi="仿宋" w:eastAsia="仿宋" w:cs="仿宋"/>
          <w:bCs/>
          <w:i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.1本次招标报价产品报价单价作为实际供应价。</w:t>
      </w:r>
    </w:p>
    <w:p w14:paraId="6F19CE6B">
      <w:pPr>
        <w:spacing w:line="288"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1</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1</w:t>
      </w:r>
      <w:r>
        <w:rPr>
          <w:rFonts w:hint="eastAsia" w:ascii="仿宋" w:hAnsi="仿宋" w:eastAsia="仿宋" w:cs="仿宋"/>
          <w:bCs/>
          <w:iCs/>
          <w:color w:val="auto"/>
          <w:sz w:val="24"/>
          <w:highlight w:val="none"/>
        </w:rPr>
        <w:t>.2评标基准价：即满足招标文件要求且投标价格最低的投标报价为评标基准价，其价格分为满分。</w:t>
      </w:r>
    </w:p>
    <w:p w14:paraId="6A053E84">
      <w:pPr>
        <w:spacing w:line="288"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1</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1</w:t>
      </w:r>
      <w:r>
        <w:rPr>
          <w:rFonts w:hint="eastAsia" w:ascii="仿宋" w:hAnsi="仿宋" w:eastAsia="仿宋" w:cs="仿宋"/>
          <w:bCs/>
          <w:iCs/>
          <w:color w:val="auto"/>
          <w:sz w:val="24"/>
          <w:highlight w:val="none"/>
        </w:rPr>
        <w:t>.3其他投标人的价格分统一按照下列公式计算：</w:t>
      </w:r>
    </w:p>
    <w:p w14:paraId="467A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rPr>
        <w:t>评标基准价／投标报价</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rPr>
        <w:t>×价格权值×100</w:t>
      </w:r>
    </w:p>
    <w:p w14:paraId="4F53320B">
      <w:pPr>
        <w:widowControl/>
        <w:snapToGrid w:val="0"/>
        <w:spacing w:line="480" w:lineRule="exact"/>
        <w:ind w:left="0"/>
        <w:rPr>
          <w:rFonts w:hint="default" w:ascii="仿宋" w:eastAsia="仿宋"/>
          <w:bCs/>
          <w:iCs/>
          <w:color w:val="auto"/>
          <w:sz w:val="24"/>
          <w:highlight w:val="none"/>
          <w:u w:val="single"/>
          <w:lang w:val="en-US"/>
        </w:rPr>
      </w:pPr>
      <w:r>
        <w:rPr>
          <w:rFonts w:hint="eastAsia" w:ascii="仿宋" w:hAnsi="仿宋" w:eastAsia="仿宋" w:cs="仿宋"/>
          <w:bCs/>
          <w:iCs/>
          <w:color w:val="auto"/>
          <w:sz w:val="24"/>
          <w:highlight w:val="none"/>
        </w:rPr>
        <w:t>即：投标报价得分=</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rPr>
        <w:t>评标基准价／投标报价</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30</w:t>
      </w:r>
    </w:p>
    <w:p w14:paraId="7D976B42">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6" w:name="_Toc15148"/>
      <w:r>
        <w:rPr>
          <w:rFonts w:hint="eastAsia" w:ascii="仿宋"/>
          <w:color w:val="auto"/>
          <w:highlight w:val="none"/>
        </w:rPr>
        <w:t>第六章  投标文件格式附件</w:t>
      </w:r>
      <w:bookmarkEnd w:id="46"/>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48942128">
      <w:pPr>
        <w:widowControl/>
        <w:snapToGrid w:val="0"/>
        <w:spacing w:line="480" w:lineRule="exact"/>
        <w:ind w:firstLine="480" w:firstLineChars="200"/>
        <w:rPr>
          <w:rFonts w:hint="eastAsia" w:ascii="仿宋" w:eastAsia="仿宋"/>
          <w:color w:val="auto"/>
          <w:kern w:val="0"/>
          <w:sz w:val="24"/>
          <w:highlight w:val="none"/>
          <w:u w:val="none"/>
        </w:rPr>
      </w:pPr>
    </w:p>
    <w:p w14:paraId="0B77F08F">
      <w:pPr>
        <w:widowControl/>
        <w:snapToGrid w:val="0"/>
        <w:spacing w:line="480" w:lineRule="exact"/>
        <w:ind w:firstLine="480" w:firstLineChars="200"/>
        <w:rPr>
          <w:rFonts w:hint="eastAsia" w:ascii="仿宋" w:eastAsia="仿宋"/>
          <w:color w:val="auto"/>
          <w:kern w:val="0"/>
          <w:sz w:val="24"/>
          <w:highlight w:val="none"/>
          <w:u w:val="none"/>
        </w:rPr>
      </w:pPr>
    </w:p>
    <w:p w14:paraId="7B6E390B">
      <w:pPr>
        <w:widowControl/>
        <w:snapToGrid w:val="0"/>
        <w:spacing w:line="480" w:lineRule="exact"/>
        <w:ind w:firstLine="480" w:firstLineChars="200"/>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43529DD5">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7" w:name="_Toc64369786"/>
      <w:r>
        <w:rPr>
          <w:rFonts w:hint="eastAsia" w:ascii="仿宋" w:eastAsia="仿宋" w:cs="仿宋_GB2312"/>
          <w:color w:val="auto"/>
          <w:sz w:val="30"/>
          <w:szCs w:val="30"/>
          <w:highlight w:val="none"/>
        </w:rPr>
        <w:t>目 录</w:t>
      </w:r>
      <w:bookmarkEnd w:id="47"/>
    </w:p>
    <w:p w14:paraId="52A88906">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7"/>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7"/>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7"/>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7528A79A">
      <w:pPr>
        <w:pStyle w:val="37"/>
        <w:spacing w:line="360" w:lineRule="auto"/>
        <w:ind w:firstLine="240" w:firstLineChars="100"/>
        <w:jc w:val="left"/>
        <w:rPr>
          <w:rFonts w:hint="eastAsia" w:ascii="仿宋" w:eastAsia="仿宋" w:cs="仿宋_GB2312"/>
          <w:color w:val="auto"/>
          <w:highlight w:val="none"/>
        </w:rPr>
      </w:pPr>
      <w:bookmarkStart w:id="48"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8"/>
    </w:p>
    <w:p w14:paraId="0BD98B27">
      <w:pPr>
        <w:pStyle w:val="37"/>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9" w:name="_Toc64369788"/>
      <w:r>
        <w:rPr>
          <w:rFonts w:hint="eastAsia" w:ascii="仿宋" w:eastAsia="仿宋" w:cs="仿宋_GB2312"/>
          <w:color w:val="auto"/>
          <w:highlight w:val="none"/>
        </w:rPr>
        <w:t>特定资格条件的有关证明材料（如有）………………………………（页码）</w:t>
      </w:r>
      <w:bookmarkEnd w:id="49"/>
    </w:p>
    <w:p w14:paraId="6F57AA87">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50" w:name="OLE_LINK1"/>
      <w:r>
        <w:rPr>
          <w:rFonts w:hint="eastAsia" w:ascii="仿宋" w:eastAsia="仿宋" w:cs="仿宋_GB2312"/>
          <w:color w:val="auto"/>
          <w:highlight w:val="none"/>
        </w:rPr>
        <w:t>……………</w:t>
      </w:r>
      <w:bookmarkEnd w:id="50"/>
      <w:r>
        <w:rPr>
          <w:rFonts w:hint="eastAsia" w:ascii="仿宋" w:eastAsia="仿宋" w:cs="仿宋_GB2312"/>
          <w:color w:val="auto"/>
          <w:highlight w:val="none"/>
        </w:rPr>
        <w:t>…………………………………………………（页码）</w:t>
      </w:r>
    </w:p>
    <w:p w14:paraId="5F479380">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B2422BA">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注：“资格文件”需按采购文件要求的内容制作，复印件需加盖供应商公章，未按要求签署、盖章或内容实质性偏离的，资格审查不通过。</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2"/>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2"/>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09E0FA07">
      <w:pPr>
        <w:pStyle w:val="32"/>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2"/>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2"/>
        <w:spacing w:after="50" w:afterLines="0" w:line="440" w:lineRule="exact"/>
        <w:rPr>
          <w:rFonts w:hint="eastAsia" w:ascii="仿宋" w:eastAsia="仿宋"/>
          <w:color w:val="auto"/>
          <w:szCs w:val="24"/>
          <w:highlight w:val="none"/>
        </w:rPr>
      </w:pPr>
    </w:p>
    <w:p w14:paraId="72EE7818">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2"/>
        <w:spacing w:after="50" w:afterLines="0" w:line="440" w:lineRule="exact"/>
        <w:rPr>
          <w:rFonts w:hint="eastAsia" w:ascii="仿宋" w:eastAsia="仿宋"/>
          <w:color w:val="auto"/>
          <w:szCs w:val="24"/>
          <w:highlight w:val="none"/>
        </w:rPr>
      </w:pPr>
    </w:p>
    <w:p w14:paraId="6B8D9A4F">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2"/>
        <w:spacing w:after="50" w:afterLines="0" w:line="440" w:lineRule="exact"/>
        <w:rPr>
          <w:rFonts w:hint="eastAsia" w:ascii="仿宋" w:eastAsia="仿宋"/>
          <w:color w:val="auto"/>
          <w:szCs w:val="24"/>
          <w:highlight w:val="none"/>
        </w:rPr>
      </w:pPr>
    </w:p>
    <w:p w14:paraId="2D177360">
      <w:pPr>
        <w:pStyle w:val="32"/>
        <w:spacing w:after="50" w:afterLines="0" w:line="440" w:lineRule="exact"/>
        <w:rPr>
          <w:rFonts w:hint="eastAsia" w:ascii="仿宋" w:eastAsia="仿宋"/>
          <w:color w:val="auto"/>
          <w:szCs w:val="24"/>
          <w:highlight w:val="none"/>
        </w:rPr>
      </w:pPr>
    </w:p>
    <w:p w14:paraId="71F663EA">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highlight w:val="none"/>
        </w:rPr>
      </w:pPr>
    </w:p>
    <w:p w14:paraId="0E9FD52C">
      <w:pPr>
        <w:pStyle w:val="8"/>
        <w:overflowPunct w:val="0"/>
        <w:spacing w:line="460" w:lineRule="exact"/>
        <w:ind w:firstLine="513" w:firstLineChars="214"/>
        <w:rPr>
          <w:rFonts w:hint="eastAsia" w:ascii="仿宋" w:eastAsia="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2"/>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2"/>
        <w:spacing w:after="50" w:afterLines="0" w:line="440" w:lineRule="exact"/>
        <w:ind w:left="0" w:firstLine="0" w:firstLineChars="0"/>
        <w:rPr>
          <w:rFonts w:hint="eastAsia" w:ascii="仿宋" w:eastAsia="仿宋"/>
          <w:b/>
          <w:bCs/>
          <w:color w:val="auto"/>
          <w:sz w:val="28"/>
          <w:szCs w:val="28"/>
          <w:highlight w:val="none"/>
        </w:rPr>
      </w:pPr>
    </w:p>
    <w:p w14:paraId="70175C82">
      <w:pPr>
        <w:pStyle w:val="32"/>
        <w:spacing w:after="50" w:afterLines="0" w:line="440" w:lineRule="exact"/>
        <w:ind w:left="0" w:firstLine="0" w:firstLineChars="0"/>
        <w:rPr>
          <w:rFonts w:hint="eastAsia" w:ascii="仿宋" w:eastAsia="仿宋"/>
          <w:b/>
          <w:bCs/>
          <w:color w:val="auto"/>
          <w:sz w:val="28"/>
          <w:szCs w:val="28"/>
          <w:highlight w:val="none"/>
        </w:rPr>
      </w:pPr>
    </w:p>
    <w:p w14:paraId="18480C80">
      <w:pPr>
        <w:pStyle w:val="32"/>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w:t>
      </w:r>
      <w:r>
        <w:rPr>
          <w:rFonts w:hint="eastAsia" w:ascii="仿宋" w:eastAsia="仿宋"/>
          <w:color w:val="auto"/>
          <w:sz w:val="28"/>
          <w:szCs w:val="28"/>
          <w:highlight w:val="none"/>
          <w:lang w:val="en-US" w:eastAsia="zh-CN"/>
        </w:rPr>
        <w:t>公</w:t>
      </w:r>
      <w:r>
        <w:rPr>
          <w:rFonts w:hint="eastAsia" w:ascii="仿宋" w:eastAsia="仿宋"/>
          <w:color w:val="auto"/>
          <w:sz w:val="28"/>
          <w:szCs w:val="28"/>
          <w:highlight w:val="none"/>
        </w:rPr>
        <w:t>章，否则视为无效投标。</w:t>
      </w:r>
    </w:p>
    <w:p w14:paraId="62EF09D0">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2"/>
        <w:spacing w:after="50" w:afterLines="0" w:line="440" w:lineRule="exact"/>
        <w:ind w:left="0" w:firstLine="0" w:firstLineChars="0"/>
        <w:rPr>
          <w:rFonts w:hint="eastAsia" w:ascii="仿宋" w:eastAsia="仿宋"/>
          <w:color w:val="auto"/>
          <w:sz w:val="28"/>
          <w:szCs w:val="28"/>
          <w:highlight w:val="none"/>
        </w:rPr>
      </w:pPr>
    </w:p>
    <w:p w14:paraId="6F439E4A">
      <w:pPr>
        <w:pStyle w:val="32"/>
        <w:spacing w:after="50" w:afterLines="0" w:line="440" w:lineRule="exact"/>
        <w:ind w:left="0" w:firstLine="0" w:firstLineChars="0"/>
        <w:rPr>
          <w:rFonts w:hint="eastAsia" w:ascii="仿宋" w:eastAsia="仿宋"/>
          <w:color w:val="auto"/>
          <w:sz w:val="28"/>
          <w:szCs w:val="28"/>
          <w:highlight w:val="none"/>
        </w:rPr>
      </w:pPr>
    </w:p>
    <w:p w14:paraId="025DB2D1">
      <w:pPr>
        <w:pStyle w:val="32"/>
        <w:spacing w:after="50" w:afterLines="0" w:line="440" w:lineRule="exact"/>
        <w:ind w:left="0" w:firstLine="0" w:firstLineChars="0"/>
        <w:rPr>
          <w:rFonts w:hint="eastAsia" w:ascii="仿宋" w:eastAsia="仿宋"/>
          <w:color w:val="auto"/>
          <w:sz w:val="28"/>
          <w:szCs w:val="28"/>
          <w:highlight w:val="none"/>
        </w:rPr>
      </w:pPr>
    </w:p>
    <w:p w14:paraId="1C91DB1E">
      <w:pPr>
        <w:pStyle w:val="32"/>
        <w:spacing w:after="50" w:afterLines="0" w:line="440" w:lineRule="exact"/>
        <w:ind w:left="0" w:firstLine="0" w:firstLineChars="0"/>
        <w:rPr>
          <w:rFonts w:hint="eastAsia" w:ascii="仿宋" w:eastAsia="仿宋"/>
          <w:color w:val="auto"/>
          <w:sz w:val="28"/>
          <w:szCs w:val="28"/>
          <w:highlight w:val="none"/>
        </w:rPr>
      </w:pPr>
    </w:p>
    <w:p w14:paraId="165E1148">
      <w:pPr>
        <w:pStyle w:val="32"/>
        <w:spacing w:after="50" w:afterLines="0" w:line="440" w:lineRule="exact"/>
        <w:ind w:left="0" w:firstLine="0" w:firstLineChars="0"/>
        <w:rPr>
          <w:rFonts w:hint="eastAsia" w:ascii="仿宋" w:eastAsia="仿宋"/>
          <w:color w:val="auto"/>
          <w:sz w:val="28"/>
          <w:szCs w:val="28"/>
          <w:highlight w:val="none"/>
        </w:rPr>
      </w:pPr>
    </w:p>
    <w:p w14:paraId="61A4978C">
      <w:pPr>
        <w:pStyle w:val="32"/>
        <w:spacing w:after="50" w:afterLines="0" w:line="440" w:lineRule="exact"/>
        <w:ind w:left="0" w:firstLine="0" w:firstLineChars="0"/>
        <w:rPr>
          <w:rFonts w:hint="eastAsia" w:ascii="仿宋" w:eastAsia="仿宋"/>
          <w:color w:val="auto"/>
          <w:sz w:val="28"/>
          <w:szCs w:val="28"/>
          <w:highlight w:val="none"/>
        </w:rPr>
      </w:pPr>
    </w:p>
    <w:p w14:paraId="01AFB495">
      <w:pPr>
        <w:pStyle w:val="32"/>
        <w:spacing w:after="50" w:afterLines="0" w:line="440" w:lineRule="exact"/>
        <w:ind w:left="0" w:firstLine="0" w:firstLineChars="0"/>
        <w:rPr>
          <w:rFonts w:hint="eastAsia" w:ascii="仿宋" w:eastAsia="仿宋"/>
          <w:color w:val="auto"/>
          <w:sz w:val="28"/>
          <w:szCs w:val="28"/>
          <w:highlight w:val="none"/>
        </w:rPr>
      </w:pPr>
    </w:p>
    <w:p w14:paraId="38384260">
      <w:pPr>
        <w:pStyle w:val="32"/>
        <w:spacing w:after="50" w:afterLines="0" w:line="440" w:lineRule="exact"/>
        <w:ind w:left="0" w:firstLine="0" w:firstLineChars="0"/>
        <w:rPr>
          <w:rFonts w:hint="eastAsia" w:ascii="仿宋" w:eastAsia="仿宋"/>
          <w:color w:val="auto"/>
          <w:sz w:val="28"/>
          <w:szCs w:val="28"/>
          <w:highlight w:val="none"/>
        </w:rPr>
      </w:pPr>
    </w:p>
    <w:p w14:paraId="4C78C45C">
      <w:pPr>
        <w:pStyle w:val="32"/>
        <w:spacing w:after="50" w:afterLines="0" w:line="440" w:lineRule="exact"/>
        <w:ind w:left="0" w:firstLine="0" w:firstLineChars="0"/>
        <w:rPr>
          <w:rFonts w:hint="eastAsia" w:ascii="仿宋" w:eastAsia="仿宋"/>
          <w:color w:val="auto"/>
          <w:sz w:val="28"/>
          <w:szCs w:val="28"/>
          <w:highlight w:val="none"/>
        </w:rPr>
      </w:pPr>
    </w:p>
    <w:p w14:paraId="32B35324">
      <w:pPr>
        <w:pStyle w:val="32"/>
        <w:spacing w:after="50" w:afterLines="0" w:line="440" w:lineRule="exact"/>
        <w:ind w:left="0" w:firstLine="0" w:firstLineChars="0"/>
        <w:rPr>
          <w:rFonts w:hint="eastAsia" w:ascii="仿宋" w:eastAsia="仿宋"/>
          <w:color w:val="auto"/>
          <w:sz w:val="28"/>
          <w:szCs w:val="28"/>
          <w:highlight w:val="none"/>
        </w:rPr>
      </w:pPr>
    </w:p>
    <w:p w14:paraId="5AF663DB">
      <w:pPr>
        <w:pStyle w:val="32"/>
        <w:spacing w:after="50" w:afterLines="0" w:line="440" w:lineRule="exact"/>
        <w:ind w:left="0" w:firstLine="0" w:firstLineChars="0"/>
        <w:rPr>
          <w:rFonts w:hint="eastAsia" w:ascii="仿宋" w:eastAsia="仿宋"/>
          <w:color w:val="auto"/>
          <w:sz w:val="28"/>
          <w:szCs w:val="28"/>
          <w:highlight w:val="none"/>
        </w:rPr>
      </w:pPr>
    </w:p>
    <w:p w14:paraId="7CCA656C">
      <w:pPr>
        <w:pStyle w:val="32"/>
        <w:spacing w:after="50" w:afterLines="0" w:line="440" w:lineRule="exact"/>
        <w:ind w:left="0" w:firstLine="0" w:firstLineChars="0"/>
        <w:rPr>
          <w:rFonts w:hint="eastAsia" w:ascii="仿宋" w:eastAsia="仿宋"/>
          <w:color w:val="auto"/>
          <w:sz w:val="28"/>
          <w:szCs w:val="28"/>
          <w:highlight w:val="none"/>
        </w:rPr>
      </w:pPr>
    </w:p>
    <w:p w14:paraId="253DD076">
      <w:pPr>
        <w:pStyle w:val="32"/>
        <w:spacing w:after="50" w:afterLines="0" w:line="440" w:lineRule="exact"/>
        <w:ind w:left="0" w:firstLine="0" w:firstLineChars="0"/>
        <w:rPr>
          <w:rFonts w:hint="eastAsia" w:ascii="仿宋" w:eastAsia="仿宋"/>
          <w:color w:val="auto"/>
          <w:sz w:val="28"/>
          <w:szCs w:val="28"/>
          <w:highlight w:val="none"/>
        </w:rPr>
      </w:pPr>
    </w:p>
    <w:p w14:paraId="1966EDB4">
      <w:pPr>
        <w:pStyle w:val="32"/>
        <w:spacing w:after="50" w:afterLines="0" w:line="440" w:lineRule="exact"/>
        <w:ind w:left="0" w:firstLine="0" w:firstLineChars="0"/>
        <w:rPr>
          <w:rFonts w:hint="eastAsia" w:ascii="仿宋" w:eastAsia="仿宋"/>
          <w:color w:val="auto"/>
          <w:sz w:val="28"/>
          <w:szCs w:val="28"/>
          <w:highlight w:val="none"/>
        </w:rPr>
      </w:pPr>
    </w:p>
    <w:p w14:paraId="25700BEF">
      <w:pPr>
        <w:pStyle w:val="32"/>
        <w:spacing w:after="50" w:afterLines="0" w:line="440" w:lineRule="exact"/>
        <w:ind w:left="0" w:firstLine="0" w:firstLineChars="0"/>
        <w:rPr>
          <w:rFonts w:hint="eastAsia" w:ascii="仿宋" w:eastAsia="仿宋"/>
          <w:color w:val="auto"/>
          <w:sz w:val="28"/>
          <w:szCs w:val="28"/>
          <w:highlight w:val="none"/>
        </w:rPr>
      </w:pPr>
    </w:p>
    <w:p w14:paraId="69F23FB1">
      <w:pPr>
        <w:pStyle w:val="32"/>
        <w:spacing w:after="50" w:afterLines="0" w:line="440" w:lineRule="exact"/>
        <w:ind w:left="0" w:firstLine="0" w:firstLineChars="0"/>
        <w:rPr>
          <w:rFonts w:hint="eastAsia" w:ascii="仿宋" w:eastAsia="仿宋"/>
          <w:color w:val="auto"/>
          <w:sz w:val="28"/>
          <w:szCs w:val="28"/>
          <w:highlight w:val="none"/>
        </w:rPr>
      </w:pPr>
    </w:p>
    <w:p w14:paraId="4650B144">
      <w:pPr>
        <w:pStyle w:val="32"/>
        <w:spacing w:after="50" w:afterLines="0" w:line="440" w:lineRule="exact"/>
        <w:ind w:left="0" w:firstLine="0" w:firstLineChars="0"/>
        <w:rPr>
          <w:rFonts w:hint="eastAsia" w:ascii="仿宋" w:eastAsia="仿宋"/>
          <w:color w:val="auto"/>
          <w:sz w:val="28"/>
          <w:szCs w:val="28"/>
          <w:highlight w:val="none"/>
        </w:rPr>
      </w:pPr>
    </w:p>
    <w:p w14:paraId="7DBB2BD2">
      <w:pPr>
        <w:pStyle w:val="32"/>
        <w:spacing w:after="50" w:afterLines="0" w:line="440" w:lineRule="exact"/>
        <w:ind w:left="0" w:firstLine="0" w:firstLineChars="0"/>
        <w:rPr>
          <w:rFonts w:hint="eastAsia" w:ascii="仿宋" w:eastAsia="仿宋"/>
          <w:color w:val="auto"/>
          <w:sz w:val="28"/>
          <w:szCs w:val="28"/>
          <w:highlight w:val="none"/>
        </w:rPr>
      </w:pPr>
    </w:p>
    <w:p w14:paraId="05CDB1BA">
      <w:pPr>
        <w:pStyle w:val="32"/>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0"/>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1"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1"/>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7"/>
        <w:spacing w:line="360" w:lineRule="auto"/>
        <w:ind w:firstLine="0" w:firstLineChars="0"/>
        <w:jc w:val="left"/>
        <w:rPr>
          <w:rFonts w:hint="eastAsia" w:ascii="仿宋" w:eastAsia="仿宋" w:cs="仿宋_GB2312"/>
          <w:color w:val="auto"/>
          <w:highlight w:val="none"/>
        </w:rPr>
      </w:pPr>
      <w:bookmarkStart w:id="52"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3CD57D4D">
      <w:pPr>
        <w:pStyle w:val="37"/>
        <w:spacing w:line="360" w:lineRule="auto"/>
        <w:ind w:firstLine="0" w:firstLineChars="0"/>
        <w:jc w:val="left"/>
        <w:rPr>
          <w:rFonts w:hint="eastAsia" w:ascii="仿宋" w:eastAsia="仿宋" w:cs="仿宋_GB2312"/>
          <w:color w:val="auto"/>
          <w:highlight w:val="none"/>
        </w:rPr>
      </w:pPr>
      <w:bookmarkStart w:id="53" w:name="_Toc64369790"/>
      <w:r>
        <w:rPr>
          <w:rFonts w:hint="eastAsia" w:ascii="仿宋" w:eastAsia="仿宋" w:cs="仿宋_GB2312"/>
          <w:color w:val="auto"/>
          <w:highlight w:val="none"/>
        </w:rPr>
        <w:t>2.技术响应表…………………………………………………………………（页码）</w:t>
      </w:r>
      <w:bookmarkEnd w:id="53"/>
    </w:p>
    <w:p w14:paraId="40C9B608">
      <w:pPr>
        <w:pStyle w:val="37"/>
        <w:spacing w:line="360" w:lineRule="auto"/>
        <w:ind w:firstLine="0" w:firstLineChars="0"/>
        <w:jc w:val="left"/>
        <w:rPr>
          <w:rFonts w:hint="eastAsia" w:ascii="仿宋" w:eastAsia="仿宋" w:cs="仿宋_GB2312"/>
          <w:color w:val="auto"/>
          <w:highlight w:val="none"/>
        </w:rPr>
      </w:pPr>
      <w:bookmarkStart w:id="54" w:name="_Toc64369791"/>
      <w:r>
        <w:rPr>
          <w:rFonts w:hint="eastAsia" w:ascii="仿宋" w:eastAsia="仿宋" w:cs="仿宋_GB2312"/>
          <w:color w:val="auto"/>
          <w:highlight w:val="none"/>
        </w:rPr>
        <w:t>3.商务响应表…………………………………………………………………（页码）</w:t>
      </w:r>
      <w:bookmarkEnd w:id="54"/>
    </w:p>
    <w:p w14:paraId="39CC48DE">
      <w:pPr>
        <w:pStyle w:val="37"/>
        <w:spacing w:line="360" w:lineRule="auto"/>
        <w:ind w:firstLine="0" w:firstLineChars="0"/>
        <w:jc w:val="left"/>
        <w:rPr>
          <w:rFonts w:hint="eastAsia" w:ascii="仿宋" w:eastAsia="仿宋" w:cs="仿宋_GB2312"/>
          <w:color w:val="auto"/>
          <w:highlight w:val="none"/>
        </w:rPr>
      </w:pPr>
      <w:bookmarkStart w:id="55"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CC74AEF">
      <w:pPr>
        <w:pStyle w:val="37"/>
        <w:spacing w:line="360" w:lineRule="auto"/>
        <w:ind w:firstLine="0" w:firstLineChars="0"/>
        <w:jc w:val="left"/>
        <w:rPr>
          <w:rFonts w:hint="eastAsia" w:ascii="仿宋" w:eastAsia="仿宋" w:cs="仿宋_GB2312"/>
          <w:color w:val="auto"/>
          <w:highlight w:val="none"/>
        </w:rPr>
      </w:pPr>
      <w:bookmarkStart w:id="56"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192B346A">
      <w:pPr>
        <w:pStyle w:val="37"/>
        <w:spacing w:line="360" w:lineRule="auto"/>
        <w:ind w:firstLine="0" w:firstLineChars="0"/>
        <w:jc w:val="left"/>
        <w:rPr>
          <w:rFonts w:ascii="仿宋" w:eastAsia="仿宋" w:cs="仿宋_GB2312"/>
          <w:color w:val="auto"/>
          <w:highlight w:val="none"/>
        </w:rPr>
      </w:pPr>
      <w:bookmarkStart w:id="57"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40C2F20E">
      <w:pPr>
        <w:pStyle w:val="35"/>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7"/>
        <w:spacing w:line="360" w:lineRule="auto"/>
        <w:ind w:firstLine="0" w:firstLineChars="0"/>
        <w:jc w:val="left"/>
        <w:rPr>
          <w:rFonts w:hint="eastAsia" w:ascii="仿宋" w:eastAsia="仿宋" w:cs="仿宋_GB2312"/>
          <w:color w:val="auto"/>
          <w:highlight w:val="none"/>
        </w:rPr>
      </w:pPr>
      <w:bookmarkStart w:id="58"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7B043023">
      <w:pPr>
        <w:pStyle w:val="37"/>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7"/>
        <w:spacing w:line="360" w:lineRule="auto"/>
        <w:ind w:firstLine="0" w:firstLineChars="0"/>
        <w:jc w:val="left"/>
        <w:rPr>
          <w:rFonts w:hint="eastAsia" w:ascii="仿宋" w:eastAsia="仿宋" w:cs="仿宋_GB2312"/>
          <w:color w:val="auto"/>
          <w:highlight w:val="none"/>
        </w:rPr>
      </w:pPr>
      <w:bookmarkStart w:id="59"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6C1E531C">
      <w:pPr>
        <w:pStyle w:val="35"/>
        <w:numPr>
          <w:ilvl w:val="0"/>
          <w:numId w:val="0"/>
        </w:numPr>
        <w:spacing w:line="240" w:lineRule="auto"/>
        <w:ind w:left="0" w:firstLine="0"/>
        <w:rPr>
          <w:rFonts w:hint="eastAsia" w:ascii="仿宋" w:eastAsia="仿宋"/>
          <w:color w:val="auto"/>
          <w:highlight w:val="none"/>
        </w:rPr>
      </w:pPr>
    </w:p>
    <w:p w14:paraId="77F5C6EB">
      <w:pPr>
        <w:rPr>
          <w:rFonts w:hint="eastAsia" w:ascii="仿宋" w:eastAsia="仿宋"/>
          <w:color w:val="auto"/>
          <w:highlight w:val="none"/>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w:t>
      </w:r>
    </w:p>
    <w:p w14:paraId="6AE50D86">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60" w:name="_Toc64369807"/>
            <w:r>
              <w:rPr>
                <w:rFonts w:hint="eastAsia" w:ascii="仿宋" w:eastAsia="仿宋"/>
                <w:color w:val="auto"/>
                <w:spacing w:val="20"/>
                <w:sz w:val="24"/>
                <w:szCs w:val="24"/>
                <w:highlight w:val="none"/>
              </w:rPr>
              <w:t>服务部分</w:t>
            </w:r>
            <w:bookmarkEnd w:id="60"/>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1" w:name="_Toc64369800"/>
            <w:r>
              <w:rPr>
                <w:rFonts w:hint="eastAsia" w:ascii="仿宋" w:eastAsia="仿宋"/>
                <w:color w:val="auto"/>
                <w:spacing w:val="20"/>
                <w:sz w:val="24"/>
                <w:szCs w:val="24"/>
                <w:highlight w:val="none"/>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2" w:name="_Toc64369801"/>
            <w:bookmarkStart w:id="63"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4"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4"/>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5" w:name="_Toc64369804"/>
            <w:r>
              <w:rPr>
                <w:rFonts w:hint="eastAsia" w:ascii="仿宋" w:eastAsia="仿宋"/>
                <w:color w:val="auto"/>
                <w:spacing w:val="20"/>
                <w:sz w:val="24"/>
                <w:szCs w:val="24"/>
                <w:highlight w:val="none"/>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6" w:name="_Toc64369805"/>
            <w:r>
              <w:rPr>
                <w:rFonts w:hint="eastAsia" w:ascii="仿宋" w:eastAsia="仿宋"/>
                <w:color w:val="auto"/>
                <w:spacing w:val="20"/>
                <w:sz w:val="24"/>
                <w:szCs w:val="24"/>
                <w:highlight w:val="none"/>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7" w:name="_Toc64369806"/>
            <w:bookmarkEnd w:id="67"/>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8"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8"/>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9" w:name="_Toc64369808"/>
            <w:r>
              <w:rPr>
                <w:rFonts w:hint="eastAsia" w:ascii="仿宋" w:eastAsia="仿宋"/>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70" w:name="_Toc64369809"/>
            <w:bookmarkStart w:id="71"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2"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2"/>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3" w:name="_Toc64369814"/>
            <w:r>
              <w:rPr>
                <w:rFonts w:hint="eastAsia" w:ascii="仿宋" w:eastAsia="仿宋"/>
                <w:color w:val="auto"/>
                <w:spacing w:val="20"/>
                <w:sz w:val="24"/>
                <w:szCs w:val="24"/>
                <w:highlight w:val="none"/>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8" w:name="_Toc64369823"/>
            <w:bookmarkStart w:id="79" w:name="_Toc64369819"/>
            <w:r>
              <w:rPr>
                <w:rFonts w:hint="eastAsia" w:ascii="仿宋" w:eastAsia="仿宋"/>
                <w:color w:val="auto"/>
                <w:spacing w:val="20"/>
                <w:sz w:val="28"/>
                <w:szCs w:val="28"/>
                <w:highlight w:val="none"/>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5"/>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5"/>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5"/>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5"/>
              <w:snapToGrid w:val="0"/>
              <w:spacing w:before="120" w:after="120"/>
              <w:outlineLvl w:val="0"/>
              <w:rPr>
                <w:rFonts w:hint="eastAsia" w:ascii="仿宋" w:eastAsia="仿宋"/>
                <w:color w:val="auto"/>
                <w:sz w:val="28"/>
                <w:szCs w:val="28"/>
                <w:highlight w:val="none"/>
              </w:rPr>
            </w:pPr>
          </w:p>
        </w:tc>
      </w:tr>
    </w:tbl>
    <w:p w14:paraId="0FB37B0E">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6"/>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1"/>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1"/>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5"/>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38"/>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38"/>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38"/>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38"/>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38"/>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38"/>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38"/>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38"/>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5"/>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7"/>
        <w:spacing w:line="360" w:lineRule="auto"/>
        <w:ind w:firstLine="0" w:firstLineChars="0"/>
        <w:jc w:val="center"/>
        <w:rPr>
          <w:rFonts w:hint="eastAsia" w:ascii="仿宋" w:eastAsia="仿宋" w:cs="仿宋_GB2312"/>
          <w:color w:val="auto"/>
          <w:highlight w:val="none"/>
        </w:rPr>
      </w:pPr>
      <w:bookmarkStart w:id="80" w:name="_Toc64369825"/>
      <w:r>
        <w:rPr>
          <w:rFonts w:hint="eastAsia" w:ascii="仿宋" w:eastAsia="仿宋" w:cs="仿宋_GB2312"/>
          <w:color w:val="auto"/>
          <w:highlight w:val="none"/>
        </w:rPr>
        <w:t>目 录</w:t>
      </w:r>
      <w:bookmarkEnd w:id="80"/>
    </w:p>
    <w:p w14:paraId="1DAB8562">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7"/>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187A0483">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81" w:name="_Toc64369826"/>
      <w:r>
        <w:rPr>
          <w:rFonts w:hint="eastAsia" w:ascii="仿宋" w:eastAsia="仿宋"/>
          <w:color w:val="auto"/>
          <w:sz w:val="24"/>
          <w:highlight w:val="none"/>
        </w:rPr>
        <w:t xml:space="preserve">法定代表人或其授权代表签字（或盖章）：            </w:t>
      </w:r>
      <w:bookmarkEnd w:id="81"/>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2" w:name="_Toc64369827"/>
      <w:r>
        <w:rPr>
          <w:rFonts w:hint="eastAsia" w:ascii="仿宋" w:eastAsia="仿宋"/>
          <w:color w:val="auto"/>
          <w:sz w:val="24"/>
          <w:highlight w:val="none"/>
        </w:rPr>
        <w:t>日期：    年   月   日</w:t>
      </w:r>
      <w:bookmarkEnd w:id="82"/>
    </w:p>
    <w:p w14:paraId="51A2FED6">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3" w:name="_Toc16291"/>
      <w:r>
        <w:rPr>
          <w:rFonts w:hint="eastAsia" w:ascii="仿宋"/>
          <w:color w:val="auto"/>
          <w:highlight w:val="none"/>
        </w:rPr>
        <w:t>第七章  询问、质疑及投诉</w:t>
      </w:r>
      <w:bookmarkEnd w:id="83"/>
    </w:p>
    <w:p w14:paraId="017D3571">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highlight w:val="none"/>
        </w:rPr>
      </w:pPr>
      <w:bookmarkStart w:id="84" w:name="_Toc31383"/>
      <w:r>
        <w:rPr>
          <w:rFonts w:hint="eastAsia" w:ascii="仿宋"/>
          <w:color w:val="auto"/>
          <w:highlight w:val="none"/>
        </w:rPr>
        <w:t>一、供应商询问</w:t>
      </w:r>
      <w:bookmarkEnd w:id="84"/>
    </w:p>
    <w:p w14:paraId="1CB32028">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w:t>
      </w:r>
      <w:r>
        <w:rPr>
          <w:rFonts w:hint="eastAsia" w:ascii="仿宋" w:eastAsia="仿宋"/>
          <w:color w:val="auto"/>
          <w:sz w:val="24"/>
          <w:highlight w:val="none"/>
          <w:lang w:val="en-US" w:eastAsia="zh-CN"/>
        </w:rPr>
        <w:t>公</w:t>
      </w:r>
      <w:r>
        <w:rPr>
          <w:rFonts w:ascii="仿宋" w:eastAsia="仿宋"/>
          <w:color w:val="auto"/>
          <w:sz w:val="24"/>
          <w:highlight w:val="none"/>
        </w:rPr>
        <w:t>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3"/>
        <w:spacing w:line="415" w:lineRule="auto"/>
        <w:jc w:val="center"/>
        <w:rPr>
          <w:rFonts w:hint="eastAsia" w:ascii="仿宋"/>
          <w:color w:val="auto"/>
          <w:highlight w:val="none"/>
        </w:rPr>
      </w:pPr>
      <w:bookmarkStart w:id="85" w:name="_Toc25373"/>
      <w:r>
        <w:rPr>
          <w:rFonts w:hint="eastAsia" w:ascii="仿宋"/>
          <w:color w:val="auto"/>
          <w:highlight w:val="none"/>
        </w:rPr>
        <w:t>二、供应商质疑</w:t>
      </w:r>
      <w:bookmarkEnd w:id="85"/>
    </w:p>
    <w:p w14:paraId="7E40DE44">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5"/>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w:t>
      </w:r>
      <w:r>
        <w:rPr>
          <w:rFonts w:hint="eastAsia" w:ascii="仿宋" w:eastAsia="仿宋"/>
          <w:color w:val="auto"/>
          <w:sz w:val="24"/>
          <w:highlight w:val="none"/>
          <w:lang w:val="en-US" w:eastAsia="zh-CN"/>
        </w:rPr>
        <w:t>公</w:t>
      </w:r>
      <w:r>
        <w:rPr>
          <w:rFonts w:hint="eastAsia" w:ascii="仿宋" w:eastAsia="仿宋"/>
          <w:color w:val="auto"/>
          <w:sz w:val="24"/>
          <w:highlight w:val="none"/>
        </w:rPr>
        <w:t>章的数据电文形式</w:t>
      </w:r>
      <w:r>
        <w:rPr>
          <w:rFonts w:ascii="仿宋" w:eastAsia="仿宋"/>
          <w:color w:val="auto"/>
          <w:sz w:val="24"/>
          <w:highlight w:val="none"/>
        </w:rPr>
        <w:t>，</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5"/>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5"/>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5"/>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highlight w:val="none"/>
        </w:rPr>
      </w:pPr>
      <w:bookmarkStart w:id="86" w:name="_Toc17941"/>
      <w:r>
        <w:rPr>
          <w:rFonts w:hint="eastAsia" w:ascii="仿宋"/>
          <w:color w:val="auto"/>
          <w:highlight w:val="none"/>
        </w:rPr>
        <w:t>三、供应商投诉</w:t>
      </w:r>
      <w:bookmarkEnd w:id="86"/>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97A4494">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FB5ECB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C7177C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000000C"/>
    <w:multiLevelType w:val="singleLevel"/>
    <w:tmpl w:val="0000000C"/>
    <w:lvl w:ilvl="0" w:tentative="0">
      <w:start w:val="1"/>
      <w:numFmt w:val="decimal"/>
      <w:suff w:val="nothing"/>
      <w:lvlText w:val="%1．"/>
      <w:lvlJc w:val="left"/>
      <w:pPr>
        <w:ind w:left="-59"/>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36C81D49"/>
    <w:multiLevelType w:val="singleLevel"/>
    <w:tmpl w:val="36C81D49"/>
    <w:lvl w:ilvl="0" w:tentative="0">
      <w:start w:val="1"/>
      <w:numFmt w:val="decimal"/>
      <w:suff w:val="nothing"/>
      <w:lvlText w:val="（%1）"/>
      <w:lvlJc w:val="left"/>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7"/>
  </w:num>
  <w:num w:numId="5">
    <w:abstractNumId w:val="9"/>
  </w:num>
  <w:num w:numId="6">
    <w:abstractNumId w:val="5"/>
  </w:num>
  <w:num w:numId="7">
    <w:abstractNumId w:val="3"/>
  </w:num>
  <w:num w:numId="8">
    <w:abstractNumId w:val="4"/>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5A45637"/>
    <w:rsid w:val="07334CB8"/>
    <w:rsid w:val="098C3B31"/>
    <w:rsid w:val="09E34BDB"/>
    <w:rsid w:val="0A983074"/>
    <w:rsid w:val="0C232D87"/>
    <w:rsid w:val="0C2A7686"/>
    <w:rsid w:val="0E0B4BC2"/>
    <w:rsid w:val="10C369B2"/>
    <w:rsid w:val="13A94DCC"/>
    <w:rsid w:val="147E276B"/>
    <w:rsid w:val="18A63422"/>
    <w:rsid w:val="19304E94"/>
    <w:rsid w:val="1C660C85"/>
    <w:rsid w:val="1E133453"/>
    <w:rsid w:val="221B5790"/>
    <w:rsid w:val="23963526"/>
    <w:rsid w:val="244073C9"/>
    <w:rsid w:val="28D03941"/>
    <w:rsid w:val="298E3F12"/>
    <w:rsid w:val="2B253DFC"/>
    <w:rsid w:val="2BC576F6"/>
    <w:rsid w:val="2D1E103E"/>
    <w:rsid w:val="2EF36E47"/>
    <w:rsid w:val="3217264B"/>
    <w:rsid w:val="32BD5208"/>
    <w:rsid w:val="360858DC"/>
    <w:rsid w:val="361260CA"/>
    <w:rsid w:val="391815C9"/>
    <w:rsid w:val="3A0E62A2"/>
    <w:rsid w:val="3AE0588D"/>
    <w:rsid w:val="3B8B3D3E"/>
    <w:rsid w:val="3C307D34"/>
    <w:rsid w:val="43C42339"/>
    <w:rsid w:val="46D46ADF"/>
    <w:rsid w:val="46D729A5"/>
    <w:rsid w:val="47281A85"/>
    <w:rsid w:val="477657CD"/>
    <w:rsid w:val="480D3A3E"/>
    <w:rsid w:val="48EA42C6"/>
    <w:rsid w:val="4D7A1812"/>
    <w:rsid w:val="52515B2D"/>
    <w:rsid w:val="536F510F"/>
    <w:rsid w:val="56D03E0D"/>
    <w:rsid w:val="5C957F91"/>
    <w:rsid w:val="5EE270CE"/>
    <w:rsid w:val="5FC20B3E"/>
    <w:rsid w:val="61E430FB"/>
    <w:rsid w:val="62E6604F"/>
    <w:rsid w:val="684C53AD"/>
    <w:rsid w:val="687B49C3"/>
    <w:rsid w:val="6972446D"/>
    <w:rsid w:val="6A88233D"/>
    <w:rsid w:val="6ACD4147"/>
    <w:rsid w:val="6D5E733D"/>
    <w:rsid w:val="6EBF7A49"/>
    <w:rsid w:val="6F4D55C1"/>
    <w:rsid w:val="6F7A6951"/>
    <w:rsid w:val="71066EA0"/>
    <w:rsid w:val="72F76BF4"/>
    <w:rsid w:val="73F8738D"/>
    <w:rsid w:val="764A6E41"/>
    <w:rsid w:val="7A1F3D24"/>
    <w:rsid w:val="7BF46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53</Pages>
  <Words>18007</Words>
  <Characters>19143</Characters>
  <Lines>1498</Lines>
  <Paragraphs>801</Paragraphs>
  <TotalTime>19</TotalTime>
  <ScaleCrop>false</ScaleCrop>
  <LinksUpToDate>false</LinksUpToDate>
  <CharactersWithSpaces>19897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2020-02-27T03:07:00Z</cp:lastPrinted>
  <dcterms:modified xsi:type="dcterms:W3CDTF">2025-01-03T08:46:24Z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9E15B6E3756C4EB08B299A8BD159BF3D_13</vt:lpwstr>
  </property>
  <property fmtid="{D5CDD505-2E9C-101B-9397-08002B2CF9AE}" pid="4" name="KSOTemplateDocerSaveRecord">
    <vt:lpwstr>eyJoZGlkIjoiNzdhNmM0NDA0OGM1OWYwNzJjNjNiODUxNDgyMDA4ZjkiLCJ1c2VySWQiOiIzNTUwNzQxNTQifQ==</vt:lpwstr>
  </property>
</Properties>
</file>