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N w:val="0"/>
        <w:spacing w:line="1100" w:lineRule="exact"/>
        <w:ind w:right="23"/>
        <w:jc w:val="center"/>
        <w:rPr>
          <w:rFonts w:eastAsia="华文中宋"/>
          <w:b/>
          <w:bCs/>
          <w:color w:val="FF0000"/>
          <w:kern w:val="24"/>
          <w:sz w:val="72"/>
          <w:szCs w:val="72"/>
        </w:rPr>
      </w:pPr>
      <w:r>
        <w:rPr>
          <w:rFonts w:hint="eastAsia" w:eastAsia="华文中宋"/>
          <w:b/>
          <w:bCs/>
          <w:color w:val="FF0000"/>
          <w:kern w:val="24"/>
          <w:sz w:val="72"/>
          <w:szCs w:val="72"/>
        </w:rPr>
        <w:t>绍兴市柯桥区财政局</w:t>
      </w:r>
    </w:p>
    <w:p>
      <w:pPr>
        <w:keepNext w:val="0"/>
        <w:keepLines w:val="0"/>
        <w:pageBreakBefore w:val="0"/>
        <w:widowControl w:val="0"/>
        <w:kinsoku/>
        <w:wordWrap/>
        <w:overflowPunct/>
        <w:topLinePunct w:val="0"/>
        <w:autoSpaceDE/>
        <w:autoSpaceDN w:val="0"/>
        <w:bidi w:val="0"/>
        <w:adjustRightInd/>
        <w:snapToGrid/>
        <w:spacing w:line="440" w:lineRule="exact"/>
        <w:jc w:val="center"/>
        <w:textAlignment w:val="auto"/>
        <w:rPr>
          <w:rFonts w:eastAsia="华文中宋"/>
          <w:b/>
          <w:bCs/>
          <w:color w:val="FF0000"/>
          <w:kern w:val="24"/>
          <w:szCs w:val="21"/>
        </w:rPr>
      </w:pPr>
    </w:p>
    <w:p>
      <w:pPr>
        <w:keepNext w:val="0"/>
        <w:keepLines w:val="0"/>
        <w:pageBreakBefore w:val="0"/>
        <w:widowControl w:val="0"/>
        <w:kinsoku/>
        <w:wordWrap/>
        <w:overflowPunct/>
        <w:topLinePunct w:val="0"/>
        <w:autoSpaceDE/>
        <w:autoSpaceDN w:val="0"/>
        <w:bidi w:val="0"/>
        <w:adjustRightInd/>
        <w:snapToGrid/>
        <w:spacing w:line="240" w:lineRule="auto"/>
        <w:jc w:val="distribute"/>
        <w:textAlignment w:val="auto"/>
        <w:rPr>
          <w:rFonts w:hint="eastAsia" w:ascii="仿宋_GB2312" w:eastAsia="仿宋_GB2312"/>
          <w:snapToGrid w:val="0"/>
          <w:kern w:val="0"/>
          <w:sz w:val="32"/>
          <w:szCs w:val="32"/>
        </w:rPr>
      </w:pPr>
      <w:r>
        <w:rPr>
          <w:rFonts w:hint="eastAsia" w:eastAsia="华文中宋"/>
          <w:b/>
          <w:bCs/>
          <w:color w:val="FF0000"/>
          <w:kern w:val="24"/>
          <w:sz w:val="80"/>
          <w:szCs w:val="80"/>
        </w:rPr>
        <w:t>行政处理决定书</w:t>
      </w:r>
    </w:p>
    <w:p>
      <w:pPr>
        <w:keepNext w:val="0"/>
        <w:keepLines w:val="0"/>
        <w:pageBreakBefore w:val="0"/>
        <w:widowControl w:val="0"/>
        <w:tabs>
          <w:tab w:val="left" w:pos="2058"/>
          <w:tab w:val="center" w:pos="4337"/>
          <w:tab w:val="center" w:pos="4422"/>
          <w:tab w:val="left" w:pos="5772"/>
        </w:tabs>
        <w:kinsoku/>
        <w:wordWrap/>
        <w:overflowPunct/>
        <w:topLinePunct w:val="0"/>
        <w:autoSpaceDE/>
        <w:autoSpaceDN w:val="0"/>
        <w:bidi w:val="0"/>
        <w:spacing w:line="540" w:lineRule="exact"/>
        <w:jc w:val="both"/>
        <w:textAlignment w:val="auto"/>
        <w:rPr>
          <w:rFonts w:hint="eastAsia" w:ascii="仿宋_GB2312" w:eastAsia="仿宋_GB2312"/>
          <w:kern w:val="0"/>
          <w:sz w:val="32"/>
          <w:szCs w:val="32"/>
        </w:rPr>
      </w:pPr>
    </w:p>
    <w:p>
      <w:pPr>
        <w:keepNext w:val="0"/>
        <w:keepLines w:val="0"/>
        <w:pageBreakBefore w:val="0"/>
        <w:widowControl w:val="0"/>
        <w:tabs>
          <w:tab w:val="left" w:pos="2058"/>
          <w:tab w:val="center" w:pos="4337"/>
          <w:tab w:val="center" w:pos="4422"/>
          <w:tab w:val="left" w:pos="5772"/>
        </w:tabs>
        <w:kinsoku/>
        <w:wordWrap/>
        <w:overflowPunct/>
        <w:topLinePunct w:val="0"/>
        <w:autoSpaceDE/>
        <w:autoSpaceDN w:val="0"/>
        <w:bidi w:val="0"/>
        <w:spacing w:line="540" w:lineRule="exact"/>
        <w:jc w:val="both"/>
        <w:textAlignment w:val="auto"/>
        <w:rPr>
          <w:rFonts w:hint="eastAsia" w:ascii="仿宋_GB2312" w:eastAsia="仿宋_GB2312"/>
          <w:kern w:val="0"/>
          <w:sz w:val="32"/>
          <w:szCs w:val="32"/>
        </w:rPr>
      </w:pPr>
    </w:p>
    <w:p>
      <w:pPr>
        <w:keepNext w:val="0"/>
        <w:keepLines w:val="0"/>
        <w:pageBreakBefore w:val="0"/>
        <w:widowControl w:val="0"/>
        <w:tabs>
          <w:tab w:val="center" w:pos="4337"/>
        </w:tabs>
        <w:kinsoku/>
        <w:wordWrap/>
        <w:overflowPunct/>
        <w:topLinePunct w:val="0"/>
        <w:autoSpaceDE/>
        <w:bidi w:val="0"/>
        <w:spacing w:line="540" w:lineRule="exact"/>
        <w:jc w:val="center"/>
        <w:textAlignment w:val="auto"/>
        <w:rPr>
          <w:rFonts w:hint="eastAsia" w:ascii="方正小标宋简体" w:hAnsi="方正小标宋简体"/>
          <w:sz w:val="32"/>
          <w:szCs w:val="32"/>
        </w:rPr>
      </w:pPr>
      <w:r>
        <w:rPr>
          <w:rFonts w:hint="eastAsia" w:ascii="仿宋_GB2312" w:hAnsi="宋体" w:eastAsia="仿宋_GB2312"/>
          <w:snapToGrid w:val="0"/>
          <w:kern w:val="0"/>
          <w:sz w:val="32"/>
          <w:szCs w:val="32"/>
        </w:rPr>
        <w:t>绍柯财执法</w:t>
      </w:r>
      <w:r>
        <w:rPr>
          <w:rFonts w:hint="eastAsia" w:ascii="仿宋_GB2312" w:eastAsia="仿宋_GB2312"/>
          <w:sz w:val="32"/>
        </w:rPr>
        <w:t>〔202</w:t>
      </w:r>
      <w:r>
        <w:rPr>
          <w:rFonts w:hint="eastAsia" w:ascii="仿宋_GB2312" w:eastAsia="仿宋_GB2312"/>
          <w:sz w:val="32"/>
          <w:lang w:val="en-US" w:eastAsia="zh-CN"/>
        </w:rPr>
        <w:t>4</w:t>
      </w:r>
      <w:r>
        <w:rPr>
          <w:rFonts w:hint="eastAsia" w:ascii="仿宋_GB2312" w:eastAsia="仿宋_GB2312"/>
          <w:sz w:val="32"/>
        </w:rPr>
        <w:t>〕</w:t>
      </w:r>
      <w:r>
        <w:rPr>
          <w:rFonts w:hint="eastAsia" w:ascii="仿宋_GB2312" w:eastAsia="仿宋_GB2312"/>
          <w:sz w:val="32"/>
          <w:lang w:val="en-US" w:eastAsia="zh-CN"/>
        </w:rPr>
        <w:t>15</w:t>
      </w:r>
      <w:r>
        <w:rPr>
          <w:rFonts w:hint="eastAsia" w:ascii="仿宋_GB2312" w:hAnsi="宋体" w:eastAsia="仿宋_GB2312"/>
          <w:snapToGrid w:val="0"/>
          <w:kern w:val="0"/>
          <w:sz w:val="32"/>
          <w:szCs w:val="32"/>
        </w:rPr>
        <w:t>号</w:t>
      </w:r>
    </w:p>
    <w:p>
      <w:pPr>
        <w:keepNext w:val="0"/>
        <w:keepLines w:val="0"/>
        <w:pageBreakBefore w:val="0"/>
        <w:widowControl w:val="0"/>
        <w:tabs>
          <w:tab w:val="center" w:pos="4337"/>
        </w:tabs>
        <w:kinsoku/>
        <w:wordWrap/>
        <w:overflowPunct/>
        <w:topLinePunct w:val="0"/>
        <w:autoSpaceDE/>
        <w:autoSpaceDN w:val="0"/>
        <w:bidi w:val="0"/>
        <w:adjustRightInd/>
        <w:snapToGrid/>
        <w:spacing w:line="400" w:lineRule="exact"/>
        <w:jc w:val="center"/>
        <w:textAlignment w:val="auto"/>
      </w:pPr>
      <w: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50800</wp:posOffset>
                </wp:positionV>
                <wp:extent cx="5647690" cy="889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647690" cy="8890"/>
                        </a:xfrm>
                        <a:prstGeom prst="straightConnector1">
                          <a:avLst/>
                        </a:prstGeom>
                        <a:ln w="28575" cap="flat" cmpd="sng">
                          <a:solidFill>
                            <a:srgbClr val="FF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2.35pt;margin-top:4pt;height:0.7pt;width:444.7pt;z-index:251660288;mso-width-relative:page;mso-height-relative:page;" filled="f" stroked="t" coordsize="21600,21600" o:gfxdata="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rsTqdQAAAAFAQAADwAAAAAAAAABACAAAAAiAAAAZHJzL2Rv&#10;d25yZXYueG1sUEsBAhQAFAAAAAgAh07iQKvNHmoFAgAA+gMAAA4AAAAAAAAAAQAgAAAAIwEAAGRy&#10;cy9lMm9Eb2MueG1sUEsFBgAAAAAGAAYAWQEAAJoFAAAAAA==&#10;">
                <v:fill on="f" focussize="0,0"/>
                <v:stroke weight="2.25pt" color="#FF0000" joinstyle="round"/>
                <v:imagedata o:title=""/>
                <o:lock v:ext="edit" aspectratio="f"/>
              </v:shape>
            </w:pict>
          </mc:Fallback>
        </mc:AlternateContent>
      </w:r>
    </w:p>
    <w:p>
      <w:pPr>
        <w:pStyle w:val="2"/>
        <w:keepNext w:val="0"/>
        <w:keepLines w:val="0"/>
        <w:pageBreakBefore w:val="0"/>
        <w:widowControl w:val="0"/>
        <w:kinsoku/>
        <w:wordWrap/>
        <w:overflowPunct/>
        <w:topLinePunct w:val="0"/>
        <w:autoSpaceDN w:val="0"/>
        <w:bidi w:val="0"/>
        <w:snapToGrid/>
        <w:spacing w:line="400" w:lineRule="exact"/>
        <w:textAlignment w:val="auto"/>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投诉人</w:t>
      </w:r>
      <w:r>
        <w:rPr>
          <w:rFonts w:hint="eastAsia" w:ascii="仿宋_GB2312" w:hAnsi="仿宋_GB2312" w:eastAsia="仿宋_GB2312" w:cs="仿宋_GB2312"/>
          <w:sz w:val="32"/>
          <w:szCs w:val="32"/>
          <w:lang w:eastAsia="zh-CN"/>
        </w:rPr>
        <w:t>：</w:t>
      </w:r>
      <w:bookmarkStart w:id="0" w:name="OLE_LINK1"/>
      <w:r>
        <w:rPr>
          <w:rFonts w:hint="eastAsia" w:ascii="仿宋_GB2312" w:hAnsi="仿宋_GB2312" w:eastAsia="仿宋_GB2312" w:cs="仿宋_GB2312"/>
          <w:sz w:val="32"/>
          <w:szCs w:val="32"/>
          <w:lang w:eastAsia="zh-CN"/>
        </w:rPr>
        <w:t>浙江匠普医疗科技有限公司</w:t>
      </w:r>
    </w:p>
    <w:bookmarkEnd w:id="0"/>
    <w:p>
      <w:pPr>
        <w:keepNext w:val="0"/>
        <w:keepLines w:val="0"/>
        <w:pageBreakBefore w:val="0"/>
        <w:widowControl w:val="0"/>
        <w:tabs>
          <w:tab w:val="left" w:pos="640"/>
        </w:tabs>
        <w:kinsoku/>
        <w:wordWrap/>
        <w:overflowPunct/>
        <w:topLinePunct w:val="0"/>
        <w:autoSpaceDE/>
        <w:autoSpaceDN/>
        <w:bidi w:val="0"/>
        <w:adjustRightInd/>
        <w:snapToGrid/>
        <w:spacing w:line="520" w:lineRule="exact"/>
        <w:ind w:left="1263" w:leftChars="-8" w:hanging="1280" w:hangingChars="4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址：</w:t>
      </w:r>
      <w:r>
        <w:rPr>
          <w:rFonts w:hint="eastAsia" w:ascii="仿宋_GB2312" w:hAnsi="仿宋_GB2312" w:eastAsia="仿宋_GB2312" w:cs="仿宋_GB2312"/>
          <w:sz w:val="32"/>
          <w:szCs w:val="32"/>
          <w:lang w:eastAsia="zh-CN"/>
        </w:rPr>
        <w:t>杭州市滨江区江南大道</w:t>
      </w:r>
      <w:r>
        <w:rPr>
          <w:rFonts w:hint="eastAsia" w:ascii="仿宋_GB2312" w:hAnsi="仿宋_GB2312" w:eastAsia="仿宋_GB2312" w:cs="仿宋_GB2312"/>
          <w:sz w:val="32"/>
          <w:szCs w:val="32"/>
          <w:lang w:val="en-US" w:eastAsia="zh-CN"/>
        </w:rPr>
        <w:t>3778号元天科技大楼A座6楼6009室</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被投诉人1：</w:t>
      </w:r>
      <w:bookmarkStart w:id="1" w:name="OLE_LINK10"/>
      <w:r>
        <w:rPr>
          <w:rFonts w:hint="eastAsia" w:ascii="仿宋_GB2312" w:hAnsi="仿宋_GB2312" w:eastAsia="仿宋_GB2312" w:cs="仿宋_GB2312"/>
          <w:sz w:val="32"/>
          <w:szCs w:val="32"/>
          <w:lang w:eastAsia="zh-CN"/>
        </w:rPr>
        <w:t>绍兴第二医院医共体总院</w:t>
      </w:r>
      <w:bookmarkEnd w:id="1"/>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绍兴市延安路</w:t>
      </w:r>
      <w:r>
        <w:rPr>
          <w:rFonts w:hint="eastAsia" w:ascii="仿宋_GB2312" w:hAnsi="仿宋_GB2312" w:eastAsia="仿宋_GB2312" w:cs="仿宋_GB2312"/>
          <w:sz w:val="32"/>
          <w:szCs w:val="32"/>
          <w:lang w:val="en-US" w:eastAsia="zh-CN"/>
        </w:rPr>
        <w:t>123号</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被投诉人2：</w:t>
      </w:r>
      <w:bookmarkStart w:id="2" w:name="OLE_LINK11"/>
      <w:r>
        <w:rPr>
          <w:rFonts w:hint="eastAsia" w:ascii="仿宋_GB2312" w:hAnsi="仿宋_GB2312" w:eastAsia="仿宋_GB2312" w:cs="仿宋_GB2312"/>
          <w:sz w:val="32"/>
          <w:szCs w:val="32"/>
          <w:lang w:eastAsia="zh-CN"/>
        </w:rPr>
        <w:t>浙江越锋项目管理有限公司</w:t>
      </w:r>
      <w:bookmarkEnd w:id="2"/>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绍兴市柯桥区湖西路</w:t>
      </w:r>
      <w:r>
        <w:rPr>
          <w:rFonts w:hint="eastAsia" w:ascii="仿宋_GB2312" w:hAnsi="仿宋_GB2312" w:eastAsia="仿宋_GB2312" w:cs="仿宋_GB2312"/>
          <w:sz w:val="32"/>
          <w:szCs w:val="32"/>
          <w:lang w:val="en-US" w:eastAsia="zh-CN"/>
        </w:rPr>
        <w:t>1176号（现代大厦）</w:t>
      </w:r>
    </w:p>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eastAsia" w:ascii="仿宋_GB2312" w:hAnsi="仿宋_GB2312" w:eastAsia="仿宋_GB2312" w:cs="仿宋_GB2312"/>
          <w:sz w:val="32"/>
          <w:szCs w:val="32"/>
          <w:lang w:eastAsia="zh-CN"/>
        </w:rPr>
      </w:pPr>
      <w:bookmarkStart w:id="3" w:name="OLE_LINK13"/>
      <w:r>
        <w:rPr>
          <w:rFonts w:hint="eastAsia" w:ascii="仿宋_GB2312" w:hAnsi="仿宋_GB2312" w:eastAsia="仿宋_GB2312" w:cs="仿宋_GB2312"/>
          <w:sz w:val="32"/>
          <w:szCs w:val="32"/>
        </w:rPr>
        <w:t>相关供应商：</w:t>
      </w:r>
      <w:bookmarkStart w:id="4" w:name="OLE_LINK9"/>
      <w:r>
        <w:rPr>
          <w:rFonts w:hint="eastAsia" w:ascii="仿宋_GB2312" w:hAnsi="仿宋_GB2312" w:eastAsia="仿宋_GB2312" w:cs="仿宋_GB2312"/>
          <w:kern w:val="2"/>
          <w:sz w:val="32"/>
          <w:szCs w:val="32"/>
          <w:lang w:val="en-US" w:eastAsia="zh-CN" w:bidi="ar"/>
        </w:rPr>
        <w:t>重药控股（浙江）有限公司</w:t>
      </w:r>
    </w:p>
    <w:bookmarkEnd w:id="3"/>
    <w:bookmarkEnd w:id="4"/>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地址：</w:t>
      </w:r>
      <w:r>
        <w:rPr>
          <w:rFonts w:hint="eastAsia" w:ascii="仿宋_GB2312" w:hAnsi="仿宋_GB2312" w:eastAsia="仿宋_GB2312" w:cs="仿宋_GB2312"/>
          <w:sz w:val="32"/>
          <w:szCs w:val="32"/>
          <w:lang w:eastAsia="zh-CN"/>
        </w:rPr>
        <w:t>杭州市萧山区义桥镇民丰村傅家里</w:t>
      </w:r>
      <w:r>
        <w:rPr>
          <w:rFonts w:hint="eastAsia" w:ascii="仿宋_GB2312" w:hAnsi="仿宋_GB2312" w:eastAsia="仿宋_GB2312" w:cs="仿宋_GB2312"/>
          <w:sz w:val="32"/>
          <w:szCs w:val="32"/>
          <w:lang w:val="en-US" w:eastAsia="zh-CN"/>
        </w:rPr>
        <w:t>38号1幢、2幢</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0"/>
          <w:sz w:val="32"/>
          <w:szCs w:val="32"/>
          <w:lang w:val="en-US" w:eastAsia="zh-CN"/>
        </w:rPr>
        <w:t>投诉人对被投诉人关于</w:t>
      </w:r>
      <w:bookmarkStart w:id="5" w:name="OLE_LINK32"/>
      <w:r>
        <w:rPr>
          <w:rFonts w:hint="eastAsia" w:ascii="仿宋_GB2312" w:hAnsi="仿宋_GB2312" w:eastAsia="仿宋_GB2312" w:cs="仿宋_GB2312"/>
          <w:kern w:val="0"/>
          <w:sz w:val="32"/>
          <w:szCs w:val="32"/>
          <w:lang w:val="en-US" w:eastAsia="zh-CN"/>
        </w:rPr>
        <w:t>绍兴第二医院兰亭院区医疗设备采购（第八批）（绍柯采〔2024〕956号-标项三）</w:t>
      </w:r>
      <w:bookmarkEnd w:id="5"/>
      <w:r>
        <w:rPr>
          <w:rFonts w:hint="eastAsia" w:ascii="仿宋_GB2312" w:hAnsi="仿宋_GB2312" w:eastAsia="仿宋_GB2312" w:cs="仿宋_GB2312"/>
          <w:kern w:val="0"/>
          <w:sz w:val="32"/>
          <w:szCs w:val="32"/>
          <w:lang w:val="en-US" w:eastAsia="zh-CN"/>
        </w:rPr>
        <w:t>的质疑答复不满，于2024年8月20日向本机关提起投诉，经补正资料，本机关于2024年8月21日受理。经依法对本次政府采购活动的相关材料进行审查并向投诉人、被投诉人及其他投诉相关当事人进行调查了解，现本案</w:t>
      </w:r>
      <w:r>
        <w:rPr>
          <w:rFonts w:hint="eastAsia" w:ascii="仿宋_GB2312" w:hAnsi="仿宋_GB2312" w:eastAsia="仿宋_GB2312" w:cs="仿宋_GB2312"/>
          <w:sz w:val="32"/>
          <w:szCs w:val="32"/>
        </w:rPr>
        <w:t>已审查终结。</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lang w:val="en-US" w:eastAsia="zh-CN"/>
        </w:rPr>
        <w:t>投诉人</w:t>
      </w:r>
      <w:r>
        <w:rPr>
          <w:rFonts w:hint="eastAsia" w:ascii="黑体" w:hAnsi="黑体" w:eastAsia="黑体" w:cs="黑体"/>
          <w:bCs/>
          <w:sz w:val="32"/>
          <w:szCs w:val="32"/>
          <w:lang w:eastAsia="zh-CN"/>
        </w:rPr>
        <w:t>浙江匠普医疗科技有限公司</w:t>
      </w:r>
      <w:r>
        <w:rPr>
          <w:rFonts w:hint="eastAsia" w:ascii="黑体" w:hAnsi="黑体" w:eastAsia="黑体" w:cs="黑体"/>
          <w:b w:val="0"/>
          <w:bCs/>
          <w:sz w:val="32"/>
          <w:szCs w:val="32"/>
        </w:rPr>
        <w:t>诉称</w:t>
      </w:r>
      <w:r>
        <w:rPr>
          <w:rFonts w:hint="eastAsia" w:ascii="黑体" w:hAnsi="黑体" w:eastAsia="黑体" w:cs="黑体"/>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b w:val="0"/>
          <w:bCs w:val="0"/>
          <w:color w:val="auto"/>
          <w:sz w:val="32"/>
          <w:szCs w:val="32"/>
          <w:highlight w:val="none"/>
          <w:lang w:eastAsia="zh-CN"/>
        </w:rPr>
      </w:pPr>
      <w:r>
        <w:rPr>
          <w:rFonts w:hint="eastAsia" w:ascii="楷体_GB2312" w:hAnsi="楷体_GB2312" w:eastAsia="楷体_GB2312" w:cs="楷体_GB2312"/>
          <w:b w:val="0"/>
          <w:bCs w:val="0"/>
          <w:color w:val="auto"/>
          <w:sz w:val="32"/>
          <w:szCs w:val="32"/>
          <w:highlight w:val="none"/>
          <w:lang w:eastAsia="zh-CN"/>
        </w:rPr>
        <w:t>一、</w:t>
      </w:r>
      <w:r>
        <w:rPr>
          <w:rFonts w:hint="eastAsia" w:ascii="楷体_GB2312" w:hAnsi="楷体_GB2312" w:eastAsia="楷体_GB2312" w:cs="楷体_GB2312"/>
          <w:b w:val="0"/>
          <w:bCs w:val="0"/>
          <w:color w:val="auto"/>
          <w:sz w:val="32"/>
          <w:szCs w:val="32"/>
          <w:highlight w:val="none"/>
        </w:rPr>
        <w:t>投诉事项</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kern w:val="0"/>
          <w:sz w:val="32"/>
          <w:szCs w:val="32"/>
          <w:lang w:val="en-US" w:eastAsia="zh-CN"/>
        </w:rPr>
      </w:pPr>
      <w:bookmarkStart w:id="6" w:name="OLE_LINK14"/>
      <w:r>
        <w:rPr>
          <w:rFonts w:hint="eastAsia" w:ascii="仿宋_GB2312" w:hAnsi="仿宋_GB2312" w:eastAsia="仿宋_GB2312" w:cs="仿宋_GB2312"/>
          <w:kern w:val="0"/>
          <w:sz w:val="32"/>
          <w:szCs w:val="32"/>
          <w:lang w:val="en-US" w:eastAsia="zh-CN"/>
        </w:rPr>
        <w:t>投诉事项1：</w:t>
      </w:r>
      <w:bookmarkEnd w:id="6"/>
      <w:r>
        <w:rPr>
          <w:rFonts w:hint="eastAsia" w:ascii="仿宋_GB2312" w:hAnsi="仿宋_GB2312" w:eastAsia="仿宋_GB2312" w:cs="仿宋_GB2312"/>
          <w:kern w:val="0"/>
          <w:sz w:val="32"/>
          <w:szCs w:val="32"/>
          <w:lang w:val="en-US" w:eastAsia="zh-CN"/>
        </w:rPr>
        <w:t>招标文件第“3.2.2  2D探测器像素≤48μm，灰阶≥16bit”，此条款中标单位重药控股（浙江）有限公司所投产品NewTom GiANO HR明显不符合招标要求，属于负偏离。</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事实依据：根据Newtom GiANO HR的产品技术白皮书第10.7.2D专用全景传感器的特点(PAN)说明中，第四行像素尺寸明确标明为100μm、第八行灰度14bit，此条明显不符合招标要求属于负偏离。（详见后附彩页截图及技术白皮书）</w:t>
      </w:r>
    </w:p>
    <w:p>
      <w:pPr>
        <w:pStyle w:val="3"/>
        <w:keepNext w:val="0"/>
        <w:keepLines w:val="0"/>
        <w:pageBreakBefore w:val="0"/>
        <w:widowControl w:val="0"/>
        <w:kinsoku/>
        <w:wordWrap/>
        <w:overflowPunct/>
        <w:topLinePunct w:val="0"/>
        <w:autoSpaceDE w:val="0"/>
        <w:autoSpaceDN w:val="0"/>
        <w:bidi w:val="0"/>
        <w:adjustRightInd w:val="0"/>
        <w:snapToGrid/>
        <w:spacing w:line="520" w:lineRule="exact"/>
        <w:ind w:left="0" w:leftChars="0" w:firstLine="640" w:firstLineChars="200"/>
        <w:textAlignment w:val="auto"/>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kern w:val="0"/>
          <w:sz w:val="32"/>
          <w:szCs w:val="32"/>
          <w:lang w:val="en-US" w:eastAsia="zh-CN"/>
        </w:rPr>
        <w:t>法律依据：按照招标文件中评分标准：“产品参数性能及要求，一般性指标出现负偏离每项扣2分”因此，此条3.2.2参数明显不符合招标要求，重药控股（浙江）有限公司在商务技术评分里应扣除2分。</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kern w:val="0"/>
          <w:sz w:val="32"/>
          <w:szCs w:val="32"/>
          <w:u w:val="none"/>
          <w:lang w:val="en-US"/>
        </w:rPr>
      </w:pPr>
      <w:bookmarkStart w:id="7" w:name="OLE_LINK2"/>
      <w:r>
        <w:rPr>
          <w:rFonts w:hint="eastAsia" w:ascii="仿宋_GB2312" w:hAnsi="仿宋_GB2312" w:eastAsia="仿宋_GB2312" w:cs="仿宋_GB2312"/>
          <w:kern w:val="0"/>
          <w:sz w:val="32"/>
          <w:szCs w:val="32"/>
          <w:lang w:val="en-US" w:eastAsia="zh-CN"/>
        </w:rPr>
        <w:t>投诉事项2：</w:t>
      </w:r>
      <w:bookmarkEnd w:id="7"/>
      <w:r>
        <w:rPr>
          <w:rFonts w:hint="eastAsia" w:ascii="仿宋_GB2312" w:hAnsi="仿宋_GB2312" w:eastAsia="仿宋_GB2312" w:cs="仿宋_GB2312"/>
          <w:kern w:val="0"/>
          <w:sz w:val="32"/>
          <w:szCs w:val="32"/>
          <w:u w:val="none"/>
          <w:lang w:val="en-US"/>
        </w:rPr>
        <w:t>招标文件第“3.4.7◆ 头颅正畸模块，可拍摄正位，侧位，可设定大小，可拍摄范围≥30x27cm（宽x高），最高精度≤48μm”，此条款中标单位重药控股（浙江）有限公司所投产品NewTom GiANO HR明显不符合招标要求，属于负偏离</w:t>
      </w:r>
      <w:r>
        <w:rPr>
          <w:rFonts w:hint="eastAsia" w:ascii="仿宋_GB2312" w:hAnsi="仿宋_GB2312" w:eastAsia="仿宋_GB2312" w:cs="仿宋_GB2312"/>
          <w:kern w:val="0"/>
          <w:sz w:val="32"/>
          <w:szCs w:val="32"/>
          <w:u w:val="none"/>
          <w:lang w:val="en-US" w:eastAsia="zh-CN"/>
        </w:rPr>
        <w:t>。</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b w:val="0"/>
          <w:bCs w:val="0"/>
          <w:kern w:val="0"/>
          <w:sz w:val="32"/>
          <w:szCs w:val="32"/>
          <w:u w:val="none"/>
          <w:lang w:val="en-US"/>
        </w:rPr>
      </w:pPr>
      <w:r>
        <w:rPr>
          <w:rFonts w:hint="eastAsia" w:ascii="仿宋_GB2312" w:hAnsi="仿宋_GB2312" w:eastAsia="仿宋_GB2312" w:cs="仿宋_GB2312"/>
          <w:kern w:val="0"/>
          <w:sz w:val="32"/>
          <w:szCs w:val="32"/>
          <w:lang w:val="en-US"/>
        </w:rPr>
        <w:t>事实依据：</w:t>
      </w:r>
      <w:r>
        <w:rPr>
          <w:rFonts w:hint="eastAsia" w:ascii="仿宋_GB2312" w:hAnsi="仿宋_GB2312" w:eastAsia="仿宋_GB2312" w:cs="仿宋_GB2312"/>
          <w:b w:val="0"/>
          <w:bCs w:val="0"/>
          <w:kern w:val="0"/>
          <w:sz w:val="32"/>
          <w:szCs w:val="32"/>
          <w:u w:val="none"/>
          <w:lang w:val="en-US"/>
        </w:rPr>
        <w:t>根据Newtom GiANO HR的产品彩页第33页技术参数下第三行明确标注，头侧最大视野为30（长度）：22（高度）、以及产品技术白皮书第10.8.远距射线照相（ceph）的传感器特性说明中第三行，明确标明像素尺寸为100um。（详见后附彩页截图及技术白皮书）</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kern w:val="0"/>
          <w:sz w:val="32"/>
          <w:szCs w:val="32"/>
          <w:u w:val="none"/>
          <w:lang w:val="en-US"/>
        </w:rPr>
      </w:pPr>
      <w:r>
        <w:rPr>
          <w:rFonts w:hint="eastAsia" w:ascii="仿宋_GB2312" w:hAnsi="仿宋_GB2312" w:eastAsia="仿宋_GB2312" w:cs="仿宋_GB2312"/>
          <w:kern w:val="0"/>
          <w:sz w:val="32"/>
          <w:szCs w:val="32"/>
          <w:lang w:val="en-US"/>
        </w:rPr>
        <w:t>法律依据：</w:t>
      </w:r>
      <w:r>
        <w:rPr>
          <w:rFonts w:hint="eastAsia" w:ascii="仿宋_GB2312" w:hAnsi="仿宋_GB2312" w:eastAsia="仿宋_GB2312" w:cs="仿宋_GB2312"/>
          <w:kern w:val="0"/>
          <w:sz w:val="32"/>
          <w:szCs w:val="32"/>
          <w:u w:val="none"/>
          <w:lang w:val="en-US"/>
        </w:rPr>
        <w:t>按照招标文件中评分标准“产品参数性能及要求，打◆的重要技术参数指标出现负偏离每项扣5分”因此，此条3.4.7◆参数不符合招标要求，重药控股（浙江）有限公司在商务技术评分里应扣除5分。</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kern w:val="0"/>
          <w:sz w:val="32"/>
          <w:szCs w:val="32"/>
          <w:u w:val="none"/>
          <w:lang w:val="en-US"/>
        </w:rPr>
      </w:pPr>
      <w:bookmarkStart w:id="8" w:name="OLE_LINK3"/>
      <w:r>
        <w:rPr>
          <w:rFonts w:hint="eastAsia" w:ascii="仿宋_GB2312" w:hAnsi="仿宋_GB2312" w:eastAsia="仿宋_GB2312" w:cs="仿宋_GB2312"/>
          <w:kern w:val="0"/>
          <w:sz w:val="32"/>
          <w:szCs w:val="32"/>
          <w:u w:val="none"/>
          <w:lang w:val="en-US" w:eastAsia="zh-CN"/>
        </w:rPr>
        <w:t>投诉事项3：</w:t>
      </w:r>
      <w:bookmarkEnd w:id="8"/>
      <w:r>
        <w:rPr>
          <w:rFonts w:hint="eastAsia" w:ascii="仿宋_GB2312" w:hAnsi="仿宋_GB2312" w:eastAsia="仿宋_GB2312" w:cs="仿宋_GB2312"/>
          <w:kern w:val="0"/>
          <w:sz w:val="32"/>
          <w:szCs w:val="32"/>
          <w:u w:val="none"/>
          <w:lang w:val="en-US"/>
        </w:rPr>
        <w:t>招标文件第“4.12. 独立原厂高速重建服务器”，此条款中标单位重药控股（浙江）有限公司所投产品NewTom GiANO HR明显不符合招标要求，属于负偏离</w:t>
      </w:r>
      <w:r>
        <w:rPr>
          <w:rFonts w:hint="eastAsia" w:ascii="仿宋_GB2312" w:hAnsi="仿宋_GB2312" w:eastAsia="仿宋_GB2312" w:cs="仿宋_GB2312"/>
          <w:kern w:val="0"/>
          <w:sz w:val="32"/>
          <w:szCs w:val="32"/>
          <w:u w:val="none"/>
          <w:lang w:val="en-US" w:eastAsia="zh-CN"/>
        </w:rPr>
        <w:t>。</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b w:val="0"/>
          <w:kern w:val="0"/>
          <w:sz w:val="32"/>
          <w:szCs w:val="32"/>
          <w:u w:val="none"/>
          <w:lang w:val="en-US"/>
        </w:rPr>
      </w:pPr>
      <w:r>
        <w:rPr>
          <w:rFonts w:hint="eastAsia" w:ascii="仿宋_GB2312" w:hAnsi="仿宋_GB2312" w:eastAsia="仿宋_GB2312" w:cs="仿宋_GB2312"/>
          <w:kern w:val="0"/>
          <w:sz w:val="32"/>
          <w:szCs w:val="32"/>
          <w:u w:val="none"/>
          <w:lang w:val="en-US"/>
        </w:rPr>
        <w:t>事实依据：</w:t>
      </w:r>
      <w:r>
        <w:rPr>
          <w:rFonts w:hint="eastAsia" w:ascii="仿宋_GB2312" w:hAnsi="仿宋_GB2312" w:eastAsia="仿宋_GB2312" w:cs="仿宋_GB2312"/>
          <w:b w:val="0"/>
          <w:bCs w:val="0"/>
          <w:kern w:val="0"/>
          <w:sz w:val="32"/>
          <w:szCs w:val="32"/>
          <w:u w:val="none"/>
          <w:lang w:val="en-US"/>
        </w:rPr>
        <w:t>根据Newtom GiANO HR的产品在各医院的</w:t>
      </w:r>
      <w:r>
        <w:rPr>
          <w:rFonts w:hint="eastAsia" w:ascii="仿宋_GB2312" w:hAnsi="仿宋_GB2312" w:eastAsia="仿宋_GB2312" w:cs="仿宋_GB2312"/>
          <w:b w:val="0"/>
          <w:kern w:val="0"/>
          <w:sz w:val="32"/>
          <w:szCs w:val="32"/>
          <w:u w:val="none"/>
          <w:lang w:val="en-US"/>
        </w:rPr>
        <w:t>装机电脑中，可以明显的看到其使用的是一体式工作电脑，并非是招标文件中所要求的独立原厂重建服务器。此条明显不符招标要求属于负偏离。（后附浙江省中医院实际在用的现场图片）</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kern w:val="0"/>
          <w:sz w:val="32"/>
          <w:szCs w:val="32"/>
          <w:u w:val="none"/>
          <w:lang w:val="en-US"/>
        </w:rPr>
      </w:pPr>
      <w:r>
        <w:rPr>
          <w:rFonts w:hint="eastAsia" w:ascii="仿宋_GB2312" w:hAnsi="仿宋_GB2312" w:eastAsia="仿宋_GB2312" w:cs="仿宋_GB2312"/>
          <w:kern w:val="0"/>
          <w:sz w:val="32"/>
          <w:szCs w:val="32"/>
          <w:u w:val="none"/>
          <w:lang w:val="en-US"/>
        </w:rPr>
        <w:t>法律依据：按照招标文件中评分标准：“产品参数性能及要求，一般性指标出现负偏离每项扣2分”因此，此条4.12.参数明显不符合招标要求，重药控股（浙江）有限公司在商务技术评分里应扣除2分。</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kern w:val="0"/>
          <w:sz w:val="32"/>
          <w:szCs w:val="32"/>
          <w:u w:val="none"/>
          <w:lang w:val="en-US"/>
        </w:rPr>
      </w:pPr>
      <w:r>
        <w:rPr>
          <w:rFonts w:hint="eastAsia" w:ascii="仿宋_GB2312" w:hAnsi="仿宋_GB2312" w:eastAsia="仿宋_GB2312" w:cs="仿宋_GB2312"/>
          <w:kern w:val="0"/>
          <w:sz w:val="32"/>
          <w:szCs w:val="32"/>
          <w:u w:val="none"/>
          <w:lang w:val="en-US" w:eastAsia="zh-CN"/>
        </w:rPr>
        <w:t>投诉事项4：</w:t>
      </w:r>
      <w:r>
        <w:rPr>
          <w:rFonts w:hint="eastAsia" w:ascii="仿宋_GB2312" w:hAnsi="仿宋_GB2312" w:eastAsia="仿宋_GB2312" w:cs="仿宋_GB2312"/>
          <w:kern w:val="0"/>
          <w:sz w:val="32"/>
          <w:szCs w:val="32"/>
          <w:u w:val="none"/>
          <w:lang w:val="en-US"/>
        </w:rPr>
        <w:t>招标文件第“4.16.微软SQL数据库软件，用于储存病人信息等拍摄信息”，此条款中标单位重药控股（浙江）有限公司所投产品NewTom GiANO HR明显不符合招标要求，属于负偏离</w:t>
      </w:r>
      <w:r>
        <w:rPr>
          <w:rFonts w:hint="eastAsia" w:ascii="仿宋_GB2312" w:hAnsi="仿宋_GB2312" w:eastAsia="仿宋_GB2312" w:cs="仿宋_GB2312"/>
          <w:kern w:val="0"/>
          <w:sz w:val="32"/>
          <w:szCs w:val="32"/>
          <w:u w:val="none"/>
          <w:lang w:val="en-US" w:eastAsia="zh-CN"/>
        </w:rPr>
        <w:t>。</w:t>
      </w:r>
    </w:p>
    <w:p>
      <w:pPr>
        <w:pStyle w:val="3"/>
        <w:autoSpaceDE w:val="0"/>
        <w:autoSpaceDN w:val="0"/>
        <w:adjustRightInd w:val="0"/>
        <w:snapToGrid/>
        <w:spacing w:line="520" w:lineRule="exact"/>
        <w:ind w:firstLine="640" w:firstLineChars="200"/>
        <w:rPr>
          <w:rFonts w:hint="eastAsia" w:ascii="仿宋_GB2312" w:hAnsi="仿宋_GB2312" w:eastAsia="仿宋_GB2312" w:cs="仿宋_GB2312"/>
          <w:b w:val="0"/>
          <w:spacing w:val="-6"/>
          <w:kern w:val="0"/>
          <w:sz w:val="32"/>
          <w:szCs w:val="32"/>
          <w:u w:val="none"/>
          <w:lang w:val="en-US"/>
        </w:rPr>
      </w:pPr>
      <w:r>
        <w:rPr>
          <w:rFonts w:hint="eastAsia" w:ascii="仿宋_GB2312" w:hAnsi="仿宋_GB2312" w:eastAsia="仿宋_GB2312" w:cs="仿宋_GB2312"/>
          <w:kern w:val="0"/>
          <w:sz w:val="32"/>
          <w:szCs w:val="32"/>
          <w:u w:val="none"/>
          <w:lang w:val="en-US"/>
        </w:rPr>
        <w:t>事实依据：</w:t>
      </w:r>
      <w:r>
        <w:rPr>
          <w:rFonts w:hint="eastAsia" w:ascii="仿宋_GB2312" w:hAnsi="仿宋_GB2312" w:eastAsia="仿宋_GB2312" w:cs="仿宋_GB2312"/>
          <w:b w:val="0"/>
          <w:bCs w:val="0"/>
          <w:spacing w:val="-6"/>
          <w:kern w:val="0"/>
          <w:sz w:val="32"/>
          <w:szCs w:val="32"/>
          <w:u w:val="none"/>
          <w:lang w:val="en-US"/>
        </w:rPr>
        <w:t>根据Newtom GiANO HR的产品在各医院的</w:t>
      </w:r>
      <w:r>
        <w:rPr>
          <w:rFonts w:hint="eastAsia" w:ascii="仿宋_GB2312" w:hAnsi="仿宋_GB2312" w:eastAsia="仿宋_GB2312" w:cs="仿宋_GB2312"/>
          <w:b w:val="0"/>
          <w:spacing w:val="-6"/>
          <w:kern w:val="0"/>
          <w:sz w:val="32"/>
          <w:szCs w:val="32"/>
          <w:u w:val="none"/>
          <w:lang w:val="en-US"/>
        </w:rPr>
        <w:t>装机电脑中，可以明显的看到其使用的是AccessDatabase的数据库，与招标文件中要求的微软SQL数据库软件完全不同。此条明显不符招标要求属于负偏离。（后附浙江省中医院实际软件使用截屏图片）</w:t>
      </w:r>
    </w:p>
    <w:p>
      <w:pPr>
        <w:spacing w:line="520" w:lineRule="exact"/>
        <w:ind w:firstLine="640" w:firstLineChars="200"/>
        <w:rPr>
          <w:rFonts w:hint="eastAsia" w:ascii="仿宋_GB2312" w:hAnsi="仿宋_GB2312" w:eastAsia="仿宋_GB2312" w:cs="仿宋_GB2312"/>
          <w:kern w:val="2"/>
          <w:sz w:val="32"/>
          <w:szCs w:val="32"/>
          <w:u w:val="none"/>
          <w:lang w:val="en-US" w:eastAsia="zh-CN"/>
        </w:rPr>
      </w:pPr>
      <w:r>
        <w:rPr>
          <w:rFonts w:hint="eastAsia" w:ascii="仿宋_GB2312" w:hAnsi="仿宋_GB2312" w:eastAsia="仿宋_GB2312" w:cs="仿宋_GB2312"/>
          <w:kern w:val="2"/>
          <w:sz w:val="32"/>
          <w:szCs w:val="32"/>
          <w:u w:val="none"/>
          <w:lang w:val="en-US"/>
        </w:rPr>
        <w:t>法律依据：按照招标文件中评分标准：“产品参数性能及要求，一般性指标出现负偏离每项扣2分”因此，此条4.16.参数明显不符合招标要求，重药控股（浙江）有限公司在商务技术评分里应扣除2分。</w:t>
      </w:r>
    </w:p>
    <w:p>
      <w:pPr>
        <w:pStyle w:val="3"/>
        <w:keepNext w:val="0"/>
        <w:keepLines w:val="0"/>
        <w:pageBreakBefore w:val="0"/>
        <w:widowControl w:val="0"/>
        <w:kinsoku/>
        <w:wordWrap/>
        <w:overflowPunct/>
        <w:topLinePunct w:val="0"/>
        <w:autoSpaceDE w:val="0"/>
        <w:autoSpaceDN w:val="0"/>
        <w:bidi w:val="0"/>
        <w:adjustRightInd w:val="0"/>
        <w:snapToGrid/>
        <w:spacing w:line="520" w:lineRule="exact"/>
        <w:ind w:left="0" w:leftChars="0" w:firstLine="640" w:firstLineChars="200"/>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投诉事项5：招标文件第“</w:t>
      </w:r>
      <w:bookmarkStart w:id="9" w:name="OLE_LINK25"/>
      <w:r>
        <w:rPr>
          <w:rFonts w:hint="eastAsia" w:ascii="仿宋_GB2312" w:hAnsi="仿宋_GB2312" w:eastAsia="仿宋_GB2312" w:cs="仿宋_GB2312"/>
          <w:kern w:val="0"/>
          <w:sz w:val="32"/>
          <w:szCs w:val="32"/>
          <w:u w:val="none"/>
          <w:lang w:val="en-US" w:eastAsia="zh-CN"/>
        </w:rPr>
        <w:t>4.21.◆ 3D数据整合，CT影像可与三维口内扫描仪数据整合，软件模块中包含设计模块，并可通过3D打印机打印种植导板等</w:t>
      </w:r>
      <w:bookmarkEnd w:id="9"/>
      <w:r>
        <w:rPr>
          <w:rFonts w:hint="eastAsia" w:ascii="仿宋_GB2312" w:hAnsi="仿宋_GB2312" w:eastAsia="仿宋_GB2312" w:cs="仿宋_GB2312"/>
          <w:kern w:val="0"/>
          <w:sz w:val="32"/>
          <w:szCs w:val="32"/>
          <w:u w:val="none"/>
          <w:lang w:val="en-US" w:eastAsia="zh-CN"/>
        </w:rPr>
        <w:t>”，此条款中标单位重药控股（浙江）有限公司所投产品NewTom GiANO HR明显不符合招标要求，属于负偏离。</w:t>
      </w:r>
    </w:p>
    <w:p>
      <w:pPr>
        <w:pStyle w:val="3"/>
        <w:keepNext w:val="0"/>
        <w:keepLines w:val="0"/>
        <w:pageBreakBefore w:val="0"/>
        <w:widowControl w:val="0"/>
        <w:kinsoku/>
        <w:wordWrap/>
        <w:overflowPunct/>
        <w:topLinePunct w:val="0"/>
        <w:autoSpaceDE w:val="0"/>
        <w:autoSpaceDN w:val="0"/>
        <w:bidi w:val="0"/>
        <w:adjustRightInd w:val="0"/>
        <w:snapToGrid/>
        <w:spacing w:line="520" w:lineRule="exact"/>
        <w:ind w:left="0" w:leftChars="0" w:firstLine="640" w:firstLineChars="200"/>
        <w:textAlignment w:val="auto"/>
        <w:rPr>
          <w:rFonts w:hint="eastAsia" w:ascii="仿宋_GB2312" w:hAnsi="仿宋_GB2312" w:eastAsia="仿宋_GB2312" w:cs="仿宋_GB2312"/>
          <w:kern w:val="0"/>
          <w:sz w:val="32"/>
          <w:szCs w:val="32"/>
          <w:u w:val="none"/>
          <w:lang w:val="en-US" w:eastAsia="zh-CN"/>
        </w:rPr>
      </w:pPr>
      <w:r>
        <w:rPr>
          <w:rFonts w:hint="eastAsia" w:ascii="仿宋_GB2312" w:hAnsi="仿宋_GB2312" w:eastAsia="仿宋_GB2312" w:cs="仿宋_GB2312"/>
          <w:kern w:val="0"/>
          <w:sz w:val="32"/>
          <w:szCs w:val="32"/>
          <w:u w:val="none"/>
          <w:lang w:val="en-US" w:eastAsia="zh-CN"/>
        </w:rPr>
        <w:t>事实依据：根据Newtom GiANO HR的产品在各医院的装机电脑中，可以明显的看到其使用的NTT软件中并不包含口扫设计模块，而且NewTOM GiANO HR制造商赛福徕也无口扫产品，根本就不存在口扫设计模块。此条明显不符招标要求属于负偏离。（后附实际软件使用截屏图片）。</w:t>
      </w:r>
    </w:p>
    <w:p>
      <w:pPr>
        <w:pStyle w:val="3"/>
        <w:autoSpaceDE w:val="0"/>
        <w:autoSpaceDN w:val="0"/>
        <w:adjustRightInd w:val="0"/>
        <w:spacing w:line="520" w:lineRule="exact"/>
        <w:ind w:firstLine="640" w:firstLineChars="200"/>
        <w:rPr>
          <w:rFonts w:hint="eastAsia" w:ascii="仿宋_GB2312" w:hAnsi="仿宋_GB2312" w:eastAsia="仿宋_GB2312" w:cs="仿宋_GB2312"/>
          <w:b w:val="0"/>
          <w:bCs w:val="0"/>
          <w:kern w:val="0"/>
          <w:sz w:val="32"/>
          <w:szCs w:val="32"/>
          <w:lang w:val="en-US" w:eastAsia="zh-CN" w:bidi="ar"/>
        </w:rPr>
      </w:pPr>
      <w:r>
        <w:rPr>
          <w:rFonts w:hint="eastAsia" w:ascii="仿宋_GB2312" w:hAnsi="仿宋_GB2312" w:eastAsia="仿宋_GB2312" w:cs="仿宋_GB2312"/>
          <w:kern w:val="0"/>
          <w:sz w:val="32"/>
          <w:szCs w:val="32"/>
          <w:u w:val="none"/>
          <w:lang w:val="en-US" w:eastAsia="zh-CN"/>
        </w:rPr>
        <w:t>法律依据：按照招标文件中评分标准“产品参数性能及要求，打◆的重要技术参数指标出现负偏离每项扣5分”因此，此条4.21◆参数不符合招标要求，重药控股（浙江）有限公司在商务技术评分里应扣除5分。</w:t>
      </w:r>
    </w:p>
    <w:p>
      <w:pPr>
        <w:autoSpaceDE/>
        <w:autoSpaceDN/>
        <w:adjustRightInd/>
        <w:spacing w:line="520" w:lineRule="exact"/>
        <w:ind w:firstLine="640" w:firstLineChars="0"/>
        <w:rPr>
          <w:rFonts w:hint="eastAsia" w:ascii="楷体_GB2312" w:hAnsi="楷体_GB2312" w:eastAsia="楷体_GB2312" w:cs="楷体_GB2312"/>
          <w:b w:val="0"/>
          <w:bCs w:val="0"/>
          <w:color w:val="000000"/>
          <w:kern w:val="0"/>
          <w:sz w:val="32"/>
          <w:szCs w:val="32"/>
          <w:lang w:eastAsia="zh-CN" w:bidi="ar"/>
        </w:rPr>
      </w:pPr>
      <w:r>
        <w:rPr>
          <w:rFonts w:hint="eastAsia" w:ascii="楷体_GB2312" w:hAnsi="楷体_GB2312" w:eastAsia="楷体_GB2312" w:cs="楷体_GB2312"/>
          <w:b w:val="0"/>
          <w:bCs w:val="0"/>
          <w:color w:val="000000"/>
          <w:kern w:val="0"/>
          <w:sz w:val="32"/>
          <w:szCs w:val="32"/>
          <w:lang w:val="en-US" w:eastAsia="zh-CN" w:bidi="ar"/>
        </w:rPr>
        <w:t>二、与投诉事项相关的投诉请求</w:t>
      </w:r>
      <w:r>
        <w:rPr>
          <w:rFonts w:hint="eastAsia" w:ascii="楷体_GB2312" w:hAnsi="楷体_GB2312" w:eastAsia="楷体_GB2312" w:cs="楷体_GB2312"/>
          <w:b w:val="0"/>
          <w:bCs w:val="0"/>
          <w:color w:val="000000"/>
          <w:kern w:val="0"/>
          <w:sz w:val="32"/>
          <w:szCs w:val="32"/>
          <w:lang w:eastAsia="zh-CN" w:bidi="ar"/>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snapToGrid/>
          <w:kern w:val="2"/>
          <w:sz w:val="32"/>
          <w:szCs w:val="32"/>
          <w:lang w:val="en-US" w:eastAsia="zh-CN" w:bidi="ar"/>
        </w:rPr>
        <w:t xml:space="preserve">根据2024年8月1日浙江省政府采购网上公布的此次中标结果中，对于此标段的5位专家针对重药控股（浙江）有限公司给出商务技术评分分别是65分、65.2分、61分、66.3分以及60.05分，但是整个商务技术分一共才70分，扣除上述4项负偏离总共16分外，实际应得的分数应该是49分、49.2分、45分、50.3分以及44.05分，很明显重药控股（浙江）有限公司存在虚假应标。请求：扣除重药控股（浙江）有限公司上述4条虚假应标的得分，取消重药控股（浙江）有限公司的中标资格，按照最终的得分结果判定中标人为浙江匠普医疗科技有限公司。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2024年8月22日，本机关依法向被投诉人</w:t>
      </w:r>
      <w:bookmarkStart w:id="10" w:name="OLE_LINK5"/>
      <w:r>
        <w:rPr>
          <w:rFonts w:hint="eastAsia" w:ascii="仿宋_GB2312" w:hAnsi="仿宋_GB2312" w:eastAsia="仿宋_GB2312" w:cs="仿宋_GB2312"/>
          <w:color w:val="000000" w:themeColor="text1"/>
          <w:sz w:val="32"/>
          <w:szCs w:val="32"/>
          <w:lang w:eastAsia="zh-CN"/>
          <w14:textFill>
            <w14:solidFill>
              <w14:schemeClr w14:val="tx1"/>
            </w14:solidFill>
          </w14:textFill>
        </w:rPr>
        <w:t>绍兴第二医院医共体总院</w:t>
      </w:r>
      <w:bookmarkEnd w:id="10"/>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w:t>
      </w:r>
      <w:bookmarkStart w:id="11" w:name="OLE_LINK6"/>
      <w:r>
        <w:rPr>
          <w:rFonts w:hint="eastAsia" w:ascii="仿宋_GB2312" w:hAnsi="仿宋_GB2312" w:eastAsia="仿宋_GB2312" w:cs="仿宋_GB2312"/>
          <w:color w:val="000000" w:themeColor="text1"/>
          <w:sz w:val="32"/>
          <w:szCs w:val="32"/>
          <w:lang w:eastAsia="zh-CN"/>
          <w14:textFill>
            <w14:solidFill>
              <w14:schemeClr w14:val="tx1"/>
            </w14:solidFill>
          </w14:textFill>
        </w:rPr>
        <w:t>浙江越锋项目管理有限公司</w:t>
      </w:r>
      <w:bookmarkEnd w:id="11"/>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r>
        <w:rPr>
          <w:rFonts w:hint="eastAsia" w:ascii="仿宋_GB2312" w:hAnsi="仿宋_GB2312" w:eastAsia="仿宋_GB2312" w:cs="仿宋_GB2312"/>
          <w:color w:val="000000" w:themeColor="text1"/>
          <w:sz w:val="32"/>
          <w:szCs w:val="32"/>
          <w14:textFill>
            <w14:solidFill>
              <w14:schemeClr w14:val="tx1"/>
            </w14:solidFill>
          </w14:textFill>
        </w:rPr>
        <w:t>相关供应商</w:t>
      </w:r>
      <w:bookmarkStart w:id="12" w:name="OLE_LINK4"/>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重药控股（浙江）有限公司</w:t>
      </w:r>
      <w:bookmarkEnd w:id="12"/>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送达了《政府采购供应商投诉副本发送通知书》。2024年8月29日，本机关收到被投诉人</w:t>
      </w:r>
      <w:bookmarkStart w:id="13" w:name="OLE_LINK7"/>
      <w:r>
        <w:rPr>
          <w:rFonts w:hint="eastAsia" w:ascii="仿宋_GB2312" w:hAnsi="仿宋_GB2312" w:eastAsia="仿宋_GB2312" w:cs="仿宋_GB2312"/>
          <w:color w:val="000000" w:themeColor="text1"/>
          <w:sz w:val="32"/>
          <w:szCs w:val="32"/>
          <w:lang w:eastAsia="zh-CN"/>
          <w14:textFill>
            <w14:solidFill>
              <w14:schemeClr w14:val="tx1"/>
            </w14:solidFill>
          </w14:textFill>
        </w:rPr>
        <w:t>绍兴第二医院医共体总院</w:t>
      </w:r>
      <w:bookmarkEnd w:id="13"/>
      <w:r>
        <w:rPr>
          <w:rFonts w:hint="eastAsia" w:ascii="仿宋_GB2312" w:hAnsi="仿宋_GB2312" w:eastAsia="仿宋_GB2312" w:cs="仿宋_GB2312"/>
          <w:color w:val="000000" w:themeColor="text1"/>
          <w:sz w:val="32"/>
          <w:szCs w:val="32"/>
          <w:lang w:eastAsia="zh-CN"/>
          <w14:textFill>
            <w14:solidFill>
              <w14:schemeClr w14:val="tx1"/>
            </w14:solidFill>
          </w14:textFill>
        </w:rPr>
        <w:t>和</w:t>
      </w:r>
      <w:bookmarkStart w:id="14" w:name="OLE_LINK8"/>
      <w:r>
        <w:rPr>
          <w:rFonts w:hint="eastAsia" w:ascii="仿宋_GB2312" w:hAnsi="仿宋_GB2312" w:eastAsia="仿宋_GB2312" w:cs="仿宋_GB2312"/>
          <w:color w:val="000000" w:themeColor="text1"/>
          <w:sz w:val="32"/>
          <w:szCs w:val="32"/>
          <w:lang w:eastAsia="zh-CN"/>
          <w14:textFill>
            <w14:solidFill>
              <w14:schemeClr w14:val="tx1"/>
            </w14:solidFill>
          </w14:textFill>
        </w:rPr>
        <w:t>浙江越锋项目管理有限公司</w:t>
      </w:r>
      <w:bookmarkEnd w:id="14"/>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的答辩书。</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lang w:val="en-US" w:eastAsia="zh-CN"/>
        </w:rPr>
      </w:pPr>
      <w:bookmarkStart w:id="15" w:name="OLE_LINK12"/>
      <w:r>
        <w:rPr>
          <w:rFonts w:hint="eastAsia" w:ascii="黑体" w:hAnsi="黑体" w:eastAsia="黑体" w:cs="黑体"/>
          <w:b w:val="0"/>
          <w:bCs/>
          <w:sz w:val="32"/>
          <w:szCs w:val="32"/>
          <w:lang w:val="en-US" w:eastAsia="zh-CN"/>
        </w:rPr>
        <w:t>被投诉人</w:t>
      </w:r>
      <w:r>
        <w:rPr>
          <w:rFonts w:hint="eastAsia" w:ascii="黑体" w:hAnsi="黑体" w:eastAsia="黑体" w:cs="黑体"/>
          <w:bCs/>
          <w:sz w:val="32"/>
          <w:szCs w:val="32"/>
          <w:lang w:eastAsia="zh-CN"/>
        </w:rPr>
        <w:t>绍兴第二医院医共体总院</w:t>
      </w:r>
      <w:r>
        <w:rPr>
          <w:rFonts w:hint="eastAsia" w:ascii="黑体" w:hAnsi="黑体" w:eastAsia="黑体" w:cs="黑体"/>
          <w:b w:val="0"/>
          <w:bCs/>
          <w:sz w:val="32"/>
          <w:szCs w:val="32"/>
          <w:lang w:val="en-US" w:eastAsia="zh-CN"/>
        </w:rPr>
        <w:t>、</w:t>
      </w:r>
      <w:r>
        <w:rPr>
          <w:rFonts w:hint="eastAsia" w:ascii="黑体" w:hAnsi="黑体" w:eastAsia="黑体" w:cs="黑体"/>
          <w:bCs/>
          <w:sz w:val="32"/>
          <w:szCs w:val="32"/>
          <w:lang w:eastAsia="zh-CN"/>
        </w:rPr>
        <w:t>浙江越锋项目管理有限公司</w:t>
      </w:r>
      <w:r>
        <w:rPr>
          <w:rFonts w:hint="eastAsia" w:ascii="黑体" w:hAnsi="黑体" w:eastAsia="黑体" w:cs="黑体"/>
          <w:b w:val="0"/>
          <w:bCs/>
          <w:sz w:val="32"/>
          <w:szCs w:val="32"/>
          <w:lang w:val="en-US" w:eastAsia="zh-CN"/>
        </w:rPr>
        <w:t>辩称：</w:t>
      </w:r>
    </w:p>
    <w:bookmarkEnd w:id="15"/>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z w:val="32"/>
          <w:szCs w:val="32"/>
        </w:rPr>
        <w:t>、我单位于2024年8月2日收到浙江匠普医疗科技有限公司的关于绍兴第二医院兰亭院区医疗设备采购（第八批）3标（项目编号：</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"https://pay.zcygov.cn/purchaseplan_front/" \l "/plan/list/view?id=1000000000011700196&amp;_app_=zcy.procurement" \t "https://www.zcygov.cn/project-center/_procurement_/purchasePlans/_blank"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绍柯采[2024]956号</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）的质疑函，并在规定时间内作出了答复。</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二</w:t>
      </w:r>
      <w:r>
        <w:rPr>
          <w:rFonts w:hint="eastAsia" w:ascii="仿宋_GB2312" w:hAnsi="仿宋_GB2312" w:eastAsia="仿宋_GB2312" w:cs="仿宋_GB2312"/>
          <w:sz w:val="32"/>
          <w:szCs w:val="32"/>
        </w:rPr>
        <w:t>、浙江匠普医疗科技有限公司在投诉书提起的5条投诉内容，和质疑函所质疑的5条质疑事项一致。</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、因质疑事项涉及中标单位重药控股（浙江）有限公司，我单位根据《浙江省政府采购供应商质疑处理办法》（浙财采监</w:t>
      </w:r>
      <w:r>
        <w:rPr>
          <w:rFonts w:hint="eastAsia" w:ascii="宋体" w:hAnsi="宋体" w:eastAsia="宋体" w:cs="宋体"/>
          <w:sz w:val="32"/>
          <w:szCs w:val="32"/>
        </w:rPr>
        <w:t>〔</w:t>
      </w:r>
      <w:r>
        <w:rPr>
          <w:rFonts w:hint="eastAsia" w:ascii="仿宋_GB2312" w:hAnsi="仿宋_GB2312" w:eastAsia="仿宋_GB2312" w:cs="仿宋_GB2312"/>
          <w:sz w:val="32"/>
          <w:szCs w:val="32"/>
        </w:rPr>
        <w:t>2012</w:t>
      </w:r>
      <w:r>
        <w:rPr>
          <w:rFonts w:hint="eastAsia" w:ascii="宋体" w:hAnsi="宋体" w:eastAsia="宋体" w:cs="宋体"/>
          <w:sz w:val="32"/>
          <w:szCs w:val="32"/>
        </w:rPr>
        <w:t>〕</w:t>
      </w:r>
      <w:r>
        <w:rPr>
          <w:rFonts w:hint="eastAsia" w:ascii="仿宋_GB2312" w:hAnsi="仿宋_GB2312" w:eastAsia="仿宋_GB2312" w:cs="仿宋_GB2312"/>
          <w:sz w:val="32"/>
          <w:szCs w:val="32"/>
        </w:rPr>
        <w:t>8号）第二十条内容，将质疑书复印件送达至重药控股（浙江）有限公司，并要求其就质疑事项向我单位作出书面说明及提交相关材料。</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、我单位根据重药控股（浙江）有限公司提交的相关材料判定，质疑事项不成立。相关资料详见附件。</w:t>
      </w:r>
    </w:p>
    <w:p>
      <w:pPr>
        <w:pStyle w:val="2"/>
        <w:rPr>
          <w:rFonts w:hint="eastAsia"/>
        </w:rPr>
      </w:pPr>
    </w:p>
    <w:tbl>
      <w:tblPr>
        <w:tblStyle w:val="11"/>
        <w:tblW w:w="10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03"/>
        <w:gridCol w:w="3614"/>
        <w:gridCol w:w="3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jc w:val="center"/>
        </w:trPr>
        <w:tc>
          <w:tcPr>
            <w:tcW w:w="320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ind w:firstLine="480"/>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招标文件要求</w:t>
            </w:r>
          </w:p>
        </w:tc>
        <w:tc>
          <w:tcPr>
            <w:tcW w:w="3614" w:type="dxa"/>
            <w:tcBorders>
              <w:top w:val="single" w:color="auto" w:sz="4" w:space="0"/>
              <w:left w:val="single" w:color="auto" w:sz="4" w:space="0"/>
              <w:bottom w:val="single" w:color="auto" w:sz="4" w:space="0"/>
              <w:right w:val="single" w:color="auto" w:sz="4" w:space="0"/>
            </w:tcBorders>
            <w:vAlign w:val="center"/>
          </w:tcPr>
          <w:p>
            <w:pPr>
              <w:ind w:firstLine="1024" w:firstLineChars="427"/>
              <w:rPr>
                <w:rFonts w:ascii="仿宋" w:hAnsi="仿宋" w:eastAsia="仿宋" w:cs="Times New Roman"/>
                <w:sz w:val="24"/>
                <w:szCs w:val="28"/>
                <w:highlight w:val="none"/>
              </w:rPr>
            </w:pPr>
            <w:r>
              <w:rPr>
                <w:rFonts w:hint="eastAsia" w:ascii="仿宋" w:hAnsi="仿宋" w:eastAsia="仿宋" w:cs="Times New Roman"/>
                <w:sz w:val="24"/>
                <w:szCs w:val="28"/>
                <w:highlight w:val="none"/>
              </w:rPr>
              <w:t>质疑事项</w:t>
            </w:r>
          </w:p>
        </w:tc>
        <w:tc>
          <w:tcPr>
            <w:tcW w:w="3258" w:type="dxa"/>
            <w:tcBorders>
              <w:top w:val="single" w:color="auto" w:sz="4" w:space="0"/>
              <w:left w:val="single" w:color="auto" w:sz="4" w:space="0"/>
              <w:bottom w:val="single" w:color="auto" w:sz="4" w:space="0"/>
              <w:right w:val="single" w:color="auto" w:sz="4" w:space="0"/>
            </w:tcBorders>
            <w:vAlign w:val="center"/>
          </w:tcPr>
          <w:p>
            <w:pPr>
              <w:ind w:firstLine="1024" w:firstLineChars="427"/>
              <w:rPr>
                <w:rFonts w:ascii="仿宋" w:hAnsi="仿宋" w:eastAsia="仿宋" w:cs="Times New Roman"/>
                <w:sz w:val="24"/>
                <w:szCs w:val="28"/>
                <w:highlight w:val="none"/>
              </w:rPr>
            </w:pPr>
            <w:r>
              <w:rPr>
                <w:rFonts w:hint="eastAsia" w:ascii="仿宋" w:hAnsi="仿宋" w:eastAsia="仿宋" w:cs="Times New Roman"/>
                <w:sz w:val="24"/>
                <w:szCs w:val="28"/>
                <w:highlight w:val="none"/>
              </w:rPr>
              <w:t>资料显示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20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招标文件第“3.2.2 2D探测器像素≤48μm，灰阶≥16bit”</w:t>
            </w:r>
          </w:p>
        </w:tc>
        <w:tc>
          <w:tcPr>
            <w:tcW w:w="36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Times New Roman"/>
                <w:sz w:val="24"/>
                <w:szCs w:val="28"/>
                <w:highlight w:val="none"/>
              </w:rPr>
            </w:pPr>
            <w:r>
              <w:rPr>
                <w:rFonts w:hint="eastAsia" w:ascii="仿宋" w:hAnsi="仿宋" w:eastAsia="仿宋" w:cs="Times New Roman"/>
                <w:sz w:val="24"/>
                <w:szCs w:val="28"/>
                <w:highlight w:val="none"/>
              </w:rPr>
              <w:t>根据Newtom GiANO HR的产品技术白皮书第10.7.2D专用全景传感器的特点(PAN)说明中，第四行像素尺寸明确标明为100μm、第八行灰度14bit，此条明显不符合招标要求属于负偏离</w:t>
            </w:r>
          </w:p>
        </w:tc>
        <w:tc>
          <w:tcPr>
            <w:tcW w:w="32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仿宋"/>
                <w:sz w:val="24"/>
                <w:highlight w:val="none"/>
              </w:rPr>
            </w:pPr>
            <w:r>
              <w:rPr>
                <w:rFonts w:hint="eastAsia" w:ascii="仿宋" w:hAnsi="仿宋" w:eastAsia="仿宋" w:cs="仿宋"/>
                <w:sz w:val="24"/>
                <w:highlight w:val="none"/>
              </w:rPr>
              <w:t>根据制造商</w:t>
            </w:r>
            <w:r>
              <w:rPr>
                <w:rFonts w:ascii="仿宋" w:hAnsi="仿宋" w:eastAsia="仿宋" w:cs="仿宋"/>
                <w:sz w:val="24"/>
                <w:highlight w:val="none"/>
              </w:rPr>
              <w:t>CEFLA S.C.</w:t>
            </w:r>
            <w:r>
              <w:rPr>
                <w:rFonts w:hint="eastAsia" w:ascii="仿宋" w:hAnsi="仿宋" w:eastAsia="仿宋" w:cs="仿宋"/>
                <w:sz w:val="24"/>
                <w:highlight w:val="none"/>
              </w:rPr>
              <w:t>提供的最新版产品彩页第</w:t>
            </w:r>
            <w:r>
              <w:rPr>
                <w:rFonts w:ascii="仿宋" w:hAnsi="仿宋" w:eastAsia="仿宋" w:cs="仿宋"/>
                <w:sz w:val="24"/>
                <w:highlight w:val="none"/>
              </w:rPr>
              <w:t>29</w:t>
            </w:r>
            <w:r>
              <w:rPr>
                <w:rFonts w:hint="eastAsia" w:ascii="仿宋" w:hAnsi="仿宋" w:eastAsia="仿宋" w:cs="仿宋"/>
                <w:sz w:val="24"/>
                <w:highlight w:val="none"/>
              </w:rPr>
              <w:t>页、第</w:t>
            </w:r>
            <w:r>
              <w:rPr>
                <w:rFonts w:ascii="仿宋" w:hAnsi="仿宋" w:eastAsia="仿宋" w:cs="仿宋"/>
                <w:sz w:val="24"/>
                <w:highlight w:val="none"/>
              </w:rPr>
              <w:t>30</w:t>
            </w:r>
            <w:r>
              <w:rPr>
                <w:rFonts w:hint="eastAsia" w:ascii="仿宋" w:hAnsi="仿宋" w:eastAsia="仿宋" w:cs="仿宋"/>
                <w:sz w:val="24"/>
                <w:highlight w:val="none"/>
              </w:rPr>
              <w:t>页；以及最新版技术白皮书(用户手册）第</w:t>
            </w:r>
            <w:r>
              <w:rPr>
                <w:rFonts w:ascii="仿宋" w:hAnsi="仿宋" w:eastAsia="仿宋" w:cs="仿宋"/>
                <w:sz w:val="24"/>
                <w:highlight w:val="none"/>
              </w:rPr>
              <w:t>69</w:t>
            </w:r>
            <w:r>
              <w:rPr>
                <w:rFonts w:hint="eastAsia" w:ascii="仿宋" w:hAnsi="仿宋" w:eastAsia="仿宋" w:cs="仿宋"/>
                <w:sz w:val="24"/>
                <w:highlight w:val="none"/>
              </w:rPr>
              <w:t>页</w:t>
            </w:r>
            <w:r>
              <w:rPr>
                <w:rFonts w:ascii="仿宋" w:hAnsi="仿宋" w:eastAsia="仿宋" w:cs="仿宋"/>
                <w:sz w:val="24"/>
                <w:highlight w:val="none"/>
              </w:rPr>
              <w:t>10.7</w:t>
            </w:r>
            <w:r>
              <w:rPr>
                <w:rFonts w:hint="eastAsia" w:ascii="仿宋" w:hAnsi="仿宋" w:eastAsia="仿宋" w:cs="仿宋"/>
                <w:sz w:val="24"/>
                <w:highlight w:val="none"/>
              </w:rPr>
              <w:t>以及产品注册证附件技术要求中第1</w:t>
            </w:r>
            <w:r>
              <w:rPr>
                <w:rFonts w:ascii="仿宋" w:hAnsi="仿宋" w:eastAsia="仿宋" w:cs="仿宋"/>
                <w:sz w:val="24"/>
                <w:highlight w:val="none"/>
              </w:rPr>
              <w:t>6</w:t>
            </w:r>
            <w:r>
              <w:rPr>
                <w:rFonts w:hint="eastAsia" w:ascii="仿宋" w:hAnsi="仿宋" w:eastAsia="仿宋" w:cs="仿宋"/>
                <w:sz w:val="24"/>
                <w:highlight w:val="none"/>
              </w:rPr>
              <w:t>页相关数据显示，探测器像素为</w:t>
            </w:r>
            <w:r>
              <w:rPr>
                <w:rFonts w:ascii="仿宋" w:hAnsi="仿宋" w:eastAsia="仿宋" w:cs="仿宋"/>
                <w:sz w:val="24"/>
                <w:highlight w:val="none"/>
              </w:rPr>
              <w:t>35μm</w:t>
            </w:r>
            <w:r>
              <w:rPr>
                <w:rFonts w:hint="eastAsia" w:ascii="仿宋" w:hAnsi="仿宋" w:eastAsia="仿宋" w:cs="仿宋"/>
                <w:sz w:val="24"/>
                <w:highlight w:val="none"/>
              </w:rPr>
              <w:t>，灰阶均为</w:t>
            </w:r>
            <w:r>
              <w:rPr>
                <w:rFonts w:ascii="仿宋" w:hAnsi="仿宋" w:eastAsia="仿宋" w:cs="仿宋"/>
                <w:sz w:val="24"/>
                <w:highlight w:val="none"/>
              </w:rPr>
              <w:t>16bit</w:t>
            </w:r>
            <w:r>
              <w:rPr>
                <w:rFonts w:hint="eastAsia" w:ascii="仿宋" w:hAnsi="仿宋" w:eastAsia="仿宋" w:cs="仿宋"/>
                <w:sz w:val="24"/>
                <w:highlight w:val="none"/>
              </w:rPr>
              <w:t>，与招标参数无偏离。故本条投诉不成立，详见附图1。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20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招标文件第“3.4.7◆ 头颅正畸模块，可拍摄正位，侧位，可设定大小，可拍摄范围≥30x27cm（宽x高），最高精度≤48μm”</w:t>
            </w:r>
          </w:p>
        </w:tc>
        <w:tc>
          <w:tcPr>
            <w:tcW w:w="36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Times New Roman"/>
                <w:sz w:val="24"/>
                <w:szCs w:val="28"/>
                <w:highlight w:val="none"/>
              </w:rPr>
            </w:pPr>
            <w:r>
              <w:rPr>
                <w:rFonts w:hint="eastAsia" w:ascii="仿宋" w:hAnsi="仿宋" w:eastAsia="仿宋" w:cs="Times New Roman"/>
                <w:sz w:val="24"/>
                <w:szCs w:val="28"/>
                <w:highlight w:val="none"/>
              </w:rPr>
              <w:t>根据Newtom GiANO HR的产品彩页第33页技术参数下第三行明确标注，头侧最大视野为30（长度）：22（高度）、以及产品技术白皮书第10.8.远距射线照相（ceph）的传感器特性说明中第三行，明确标明像素尺寸为100um，属于负偏离</w:t>
            </w:r>
          </w:p>
        </w:tc>
        <w:tc>
          <w:tcPr>
            <w:tcW w:w="32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仿宋"/>
                <w:sz w:val="24"/>
                <w:highlight w:val="none"/>
              </w:rPr>
            </w:pPr>
            <w:r>
              <w:rPr>
                <w:rFonts w:hint="eastAsia" w:ascii="仿宋" w:hAnsi="仿宋" w:eastAsia="仿宋" w:cs="仿宋"/>
                <w:sz w:val="24"/>
                <w:highlight w:val="none"/>
              </w:rPr>
              <w:t>根据制造商C</w:t>
            </w:r>
            <w:r>
              <w:rPr>
                <w:rFonts w:ascii="仿宋" w:hAnsi="仿宋" w:eastAsia="仿宋" w:cs="仿宋"/>
                <w:sz w:val="24"/>
                <w:highlight w:val="none"/>
              </w:rPr>
              <w:t>EFLA S.C.</w:t>
            </w:r>
            <w:r>
              <w:rPr>
                <w:rFonts w:hint="eastAsia" w:ascii="仿宋" w:hAnsi="仿宋" w:eastAsia="仿宋" w:cs="仿宋"/>
                <w:sz w:val="24"/>
                <w:highlight w:val="none"/>
              </w:rPr>
              <w:t>提供的最新版产品彩页第2</w:t>
            </w:r>
            <w:r>
              <w:rPr>
                <w:rFonts w:ascii="仿宋" w:hAnsi="仿宋" w:eastAsia="仿宋" w:cs="仿宋"/>
                <w:sz w:val="24"/>
                <w:highlight w:val="none"/>
              </w:rPr>
              <w:t>9</w:t>
            </w:r>
            <w:r>
              <w:rPr>
                <w:rFonts w:hint="eastAsia" w:ascii="仿宋" w:hAnsi="仿宋" w:eastAsia="仿宋" w:cs="仿宋"/>
                <w:sz w:val="24"/>
                <w:highlight w:val="none"/>
              </w:rPr>
              <w:t>页、第3</w:t>
            </w:r>
            <w:r>
              <w:rPr>
                <w:rFonts w:ascii="仿宋" w:hAnsi="仿宋" w:eastAsia="仿宋" w:cs="仿宋"/>
                <w:sz w:val="24"/>
                <w:highlight w:val="none"/>
              </w:rPr>
              <w:t>0</w:t>
            </w:r>
            <w:r>
              <w:rPr>
                <w:rFonts w:hint="eastAsia" w:ascii="仿宋" w:hAnsi="仿宋" w:eastAsia="仿宋" w:cs="仿宋"/>
                <w:sz w:val="24"/>
                <w:highlight w:val="none"/>
              </w:rPr>
              <w:t>页显示以及最新版的产品技术白皮书（操作手册）第69页10.8，头侧最大视野为3</w:t>
            </w:r>
            <w:r>
              <w:rPr>
                <w:rFonts w:ascii="仿宋" w:hAnsi="仿宋" w:eastAsia="仿宋" w:cs="仿宋"/>
                <w:sz w:val="24"/>
                <w:highlight w:val="none"/>
              </w:rPr>
              <w:t>0X27</w:t>
            </w:r>
            <w:r>
              <w:rPr>
                <w:rFonts w:hint="eastAsia" w:ascii="仿宋" w:hAnsi="仿宋" w:eastAsia="仿宋" w:cs="仿宋"/>
                <w:sz w:val="24"/>
                <w:highlight w:val="none"/>
              </w:rPr>
              <w:t>cm，精度为3</w:t>
            </w:r>
            <w:r>
              <w:rPr>
                <w:rFonts w:ascii="仿宋" w:hAnsi="仿宋" w:eastAsia="仿宋" w:cs="仿宋"/>
                <w:sz w:val="24"/>
                <w:highlight w:val="none"/>
              </w:rPr>
              <w:t>5</w:t>
            </w:r>
            <w:r>
              <w:rPr>
                <w:rFonts w:hint="eastAsia" w:ascii="仿宋" w:hAnsi="仿宋" w:eastAsia="仿宋" w:cs="仿宋"/>
                <w:sz w:val="24"/>
                <w:highlight w:val="none"/>
              </w:rPr>
              <w:t>μm，与招标参数无偏离。此项投诉不成立，详见附图2。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20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招标文件第“4.12. 独立原厂高速重建服务器”</w:t>
            </w:r>
          </w:p>
        </w:tc>
        <w:tc>
          <w:tcPr>
            <w:tcW w:w="36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Times New Roman"/>
                <w:sz w:val="24"/>
                <w:szCs w:val="28"/>
                <w:highlight w:val="none"/>
              </w:rPr>
            </w:pPr>
            <w:r>
              <w:rPr>
                <w:rFonts w:ascii="仿宋" w:hAnsi="仿宋" w:eastAsia="仿宋" w:cs="Times New Roman"/>
                <w:sz w:val="24"/>
                <w:szCs w:val="28"/>
                <w:highlight w:val="none"/>
              </w:rPr>
              <w:t>根据Newtom GiANO HR的产品在各医院的装机电脑中，可以明显的看到其使用的是一体式工作电脑，并非是招标文件中所要求的独立原厂重建服务器。此条明显不符招标要求属于负偏离。</w:t>
            </w:r>
          </w:p>
        </w:tc>
        <w:tc>
          <w:tcPr>
            <w:tcW w:w="32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仿宋"/>
                <w:sz w:val="24"/>
                <w:highlight w:val="none"/>
              </w:rPr>
            </w:pPr>
            <w:r>
              <w:rPr>
                <w:rFonts w:hint="eastAsia" w:ascii="仿宋" w:hAnsi="仿宋" w:eastAsia="仿宋" w:cs="仿宋"/>
                <w:sz w:val="24"/>
                <w:highlight w:val="none"/>
              </w:rPr>
              <w:t>New</w:t>
            </w:r>
            <w:r>
              <w:rPr>
                <w:rFonts w:ascii="仿宋" w:hAnsi="仿宋" w:eastAsia="仿宋" w:cs="仿宋"/>
                <w:sz w:val="24"/>
                <w:highlight w:val="none"/>
              </w:rPr>
              <w:t>Tom</w:t>
            </w:r>
            <w:r>
              <w:rPr>
                <w:rFonts w:hint="eastAsia" w:ascii="仿宋" w:hAnsi="仿宋" w:eastAsia="仿宋" w:cs="仿宋"/>
                <w:sz w:val="24"/>
                <w:highlight w:val="none"/>
              </w:rPr>
              <w:t>全系列产品标配提供一套企业服务器级别的工作站，并按照招标要求4.12，单独提供一套独立原厂高速重建服务器，与招标参数无偏离（到货安装时可以看到该</w:t>
            </w:r>
            <w:r>
              <w:rPr>
                <w:rFonts w:ascii="仿宋" w:hAnsi="仿宋" w:eastAsia="仿宋" w:cs="仿宋"/>
                <w:sz w:val="24"/>
                <w:highlight w:val="none"/>
              </w:rPr>
              <w:t>独立原厂重建服务器</w:t>
            </w:r>
            <w:r>
              <w:rPr>
                <w:rFonts w:hint="eastAsia" w:ascii="仿宋" w:hAnsi="仿宋" w:eastAsia="仿宋" w:cs="仿宋"/>
                <w:sz w:val="24"/>
                <w:highlight w:val="none"/>
              </w:rPr>
              <w:t>）。此项投诉不成立，详见附件：中标人提供的配置单。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招标文件第“4.16.微软SQL数据库软件，用于储存病人信息等拍摄信息”</w:t>
            </w:r>
          </w:p>
        </w:tc>
        <w:tc>
          <w:tcPr>
            <w:tcW w:w="36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2"/>
              <w:rPr>
                <w:rFonts w:ascii="仿宋" w:hAnsi="仿宋" w:eastAsia="仿宋" w:cs="Times New Roman"/>
                <w:sz w:val="24"/>
                <w:szCs w:val="28"/>
                <w:highlight w:val="none"/>
              </w:rPr>
            </w:pPr>
            <w:r>
              <w:rPr>
                <w:rFonts w:hint="eastAsia" w:ascii="仿宋" w:hAnsi="仿宋" w:eastAsia="仿宋" w:cs="Times New Roman"/>
                <w:sz w:val="24"/>
                <w:szCs w:val="28"/>
                <w:highlight w:val="none"/>
              </w:rPr>
              <w:t>根据Newtom GiANO HR的产品在各医院的装机电脑中，可以明显的看到其使用的是AccessDatabase的数据库，与招标文件中要求的微软SQL数据库软件完全不同。此条明显不符招标要求属于负偏离</w:t>
            </w:r>
          </w:p>
        </w:tc>
        <w:tc>
          <w:tcPr>
            <w:tcW w:w="32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2"/>
              <w:rPr>
                <w:rFonts w:ascii="仿宋" w:hAnsi="仿宋" w:eastAsia="仿宋" w:cs="Times New Roman"/>
                <w:sz w:val="24"/>
                <w:szCs w:val="28"/>
                <w:highlight w:val="none"/>
              </w:rPr>
            </w:pPr>
            <w:r>
              <w:rPr>
                <w:rFonts w:hint="eastAsia" w:ascii="仿宋" w:hAnsi="仿宋" w:eastAsia="仿宋" w:cs="仿宋"/>
                <w:sz w:val="24"/>
                <w:highlight w:val="none"/>
              </w:rPr>
              <w:t>New</w:t>
            </w:r>
            <w:r>
              <w:rPr>
                <w:rFonts w:ascii="仿宋" w:hAnsi="仿宋" w:eastAsia="仿宋" w:cs="仿宋"/>
                <w:sz w:val="24"/>
                <w:highlight w:val="none"/>
              </w:rPr>
              <w:t>Tom</w:t>
            </w:r>
            <w:r>
              <w:rPr>
                <w:rFonts w:hint="eastAsia" w:ascii="仿宋" w:hAnsi="仿宋" w:eastAsia="仿宋" w:cs="仿宋"/>
                <w:sz w:val="24"/>
                <w:highlight w:val="none"/>
              </w:rPr>
              <w:t>全系列产品标配的最新版N</w:t>
            </w:r>
            <w:r>
              <w:rPr>
                <w:rFonts w:ascii="仿宋" w:hAnsi="仿宋" w:eastAsia="仿宋" w:cs="仿宋"/>
                <w:sz w:val="24"/>
                <w:highlight w:val="none"/>
              </w:rPr>
              <w:t>NT</w:t>
            </w:r>
            <w:r>
              <w:rPr>
                <w:rFonts w:hint="eastAsia" w:ascii="仿宋" w:hAnsi="仿宋" w:eastAsia="仿宋" w:cs="仿宋"/>
                <w:sz w:val="24"/>
                <w:highlight w:val="none"/>
              </w:rPr>
              <w:t>软件，均使用微软S</w:t>
            </w:r>
            <w:r>
              <w:rPr>
                <w:rFonts w:ascii="仿宋" w:hAnsi="仿宋" w:eastAsia="仿宋" w:cs="仿宋"/>
                <w:sz w:val="24"/>
                <w:highlight w:val="none"/>
              </w:rPr>
              <w:t>QL</w:t>
            </w:r>
            <w:r>
              <w:rPr>
                <w:rFonts w:hint="eastAsia" w:ascii="仿宋" w:hAnsi="仿宋" w:eastAsia="仿宋" w:cs="仿宋"/>
                <w:sz w:val="24"/>
                <w:highlight w:val="none"/>
              </w:rPr>
              <w:t>数据库，与招标参数无偏离。此项投诉不成立，详见附图3。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203" w:type="dxa"/>
            <w:tcBorders>
              <w:top w:val="single" w:color="auto" w:sz="4" w:space="0"/>
              <w:left w:val="single" w:color="auto" w:sz="4" w:space="0"/>
              <w:bottom w:val="single" w:color="auto" w:sz="4" w:space="0"/>
              <w:right w:val="single" w:color="auto" w:sz="4" w:space="0"/>
            </w:tcBorders>
            <w:vAlign w:val="center"/>
          </w:tcPr>
          <w:p>
            <w:pPr>
              <w:spacing w:line="320" w:lineRule="exact"/>
              <w:rPr>
                <w:rFonts w:ascii="仿宋" w:hAnsi="仿宋" w:eastAsia="仿宋" w:cs="Times New Roman"/>
                <w:sz w:val="24"/>
                <w:szCs w:val="28"/>
                <w:highlight w:val="none"/>
              </w:rPr>
            </w:pPr>
            <w:r>
              <w:rPr>
                <w:rFonts w:hint="eastAsia" w:ascii="仿宋" w:hAnsi="仿宋" w:eastAsia="仿宋" w:cs="Times New Roman"/>
                <w:sz w:val="24"/>
                <w:szCs w:val="28"/>
                <w:highlight w:val="none"/>
              </w:rPr>
              <w:t>招标文件第“4.21.◆ 3D数据整合，CT影像可与三维口内扫描仪数据整合，软件模块中包含设计模块，并可通过3D打印机打印种植导板等”，</w:t>
            </w:r>
          </w:p>
        </w:tc>
        <w:tc>
          <w:tcPr>
            <w:tcW w:w="3614"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Times New Roman"/>
                <w:sz w:val="24"/>
                <w:szCs w:val="28"/>
                <w:highlight w:val="none"/>
              </w:rPr>
            </w:pPr>
            <w:r>
              <w:rPr>
                <w:rFonts w:hint="eastAsia" w:ascii="仿宋" w:hAnsi="仿宋" w:eastAsia="仿宋" w:cs="Times New Roman"/>
                <w:sz w:val="24"/>
                <w:szCs w:val="28"/>
                <w:highlight w:val="none"/>
              </w:rPr>
              <w:t>：根据Newtom GiANO HR的产品在各医院的装机电脑中，可以明显的看到其使用的NTT软件中并不包含口扫设计模块，而且NewTOM GiANO HR制造商赛福徕也无口扫产品，根本就不存在口扫设计模块。此条明显不符招标要求属于负偏离。</w:t>
            </w:r>
          </w:p>
        </w:tc>
        <w:tc>
          <w:tcPr>
            <w:tcW w:w="3258" w:type="dxa"/>
            <w:tcBorders>
              <w:top w:val="single" w:color="auto" w:sz="4" w:space="0"/>
              <w:left w:val="single" w:color="auto" w:sz="4" w:space="0"/>
              <w:bottom w:val="single" w:color="auto" w:sz="4" w:space="0"/>
              <w:right w:val="single" w:color="auto" w:sz="4" w:space="0"/>
            </w:tcBorders>
            <w:vAlign w:val="center"/>
          </w:tcPr>
          <w:p>
            <w:pPr>
              <w:spacing w:line="320" w:lineRule="exact"/>
              <w:ind w:firstLine="480"/>
              <w:rPr>
                <w:rFonts w:ascii="仿宋" w:hAnsi="仿宋" w:eastAsia="仿宋" w:cs="Times New Roman"/>
                <w:sz w:val="24"/>
                <w:szCs w:val="28"/>
                <w:highlight w:val="none"/>
              </w:rPr>
            </w:pPr>
            <w:r>
              <w:rPr>
                <w:rFonts w:hint="eastAsia" w:ascii="仿宋" w:hAnsi="仿宋" w:eastAsia="仿宋" w:cs="仿宋"/>
                <w:sz w:val="24"/>
                <w:highlight w:val="none"/>
              </w:rPr>
              <w:t>根据C</w:t>
            </w:r>
            <w:r>
              <w:rPr>
                <w:rFonts w:ascii="仿宋" w:hAnsi="仿宋" w:eastAsia="仿宋" w:cs="仿宋"/>
                <w:sz w:val="24"/>
                <w:highlight w:val="none"/>
              </w:rPr>
              <w:t>EFLA S.C.</w:t>
            </w:r>
            <w:r>
              <w:rPr>
                <w:rFonts w:hint="eastAsia" w:ascii="仿宋" w:hAnsi="仿宋" w:eastAsia="仿宋" w:cs="仿宋"/>
                <w:sz w:val="24"/>
                <w:highlight w:val="none"/>
              </w:rPr>
              <w:t>提供的最新版彩页第2</w:t>
            </w:r>
            <w:r>
              <w:rPr>
                <w:rFonts w:ascii="仿宋" w:hAnsi="仿宋" w:eastAsia="仿宋" w:cs="仿宋"/>
                <w:sz w:val="24"/>
                <w:highlight w:val="none"/>
              </w:rPr>
              <w:t>7</w:t>
            </w:r>
            <w:r>
              <w:rPr>
                <w:rFonts w:hint="eastAsia" w:ascii="仿宋" w:hAnsi="仿宋" w:eastAsia="仿宋" w:cs="仿宋"/>
                <w:sz w:val="24"/>
                <w:highlight w:val="none"/>
              </w:rPr>
              <w:t>页、第2</w:t>
            </w:r>
            <w:r>
              <w:rPr>
                <w:rFonts w:ascii="仿宋" w:hAnsi="仿宋" w:eastAsia="仿宋" w:cs="仿宋"/>
                <w:sz w:val="24"/>
                <w:highlight w:val="none"/>
              </w:rPr>
              <w:t>8</w:t>
            </w:r>
            <w:r>
              <w:rPr>
                <w:rFonts w:hint="eastAsia" w:ascii="仿宋" w:hAnsi="仿宋" w:eastAsia="仿宋" w:cs="仿宋"/>
                <w:sz w:val="24"/>
                <w:highlight w:val="none"/>
              </w:rPr>
              <w:t>页显示，在三维数字化应用中，New</w:t>
            </w:r>
            <w:r>
              <w:rPr>
                <w:rFonts w:ascii="仿宋" w:hAnsi="仿宋" w:eastAsia="仿宋" w:cs="仿宋"/>
                <w:sz w:val="24"/>
                <w:highlight w:val="none"/>
              </w:rPr>
              <w:t>T</w:t>
            </w:r>
            <w:r>
              <w:rPr>
                <w:rFonts w:hint="eastAsia" w:ascii="仿宋" w:hAnsi="仿宋" w:eastAsia="仿宋" w:cs="仿宋"/>
                <w:sz w:val="24"/>
                <w:highlight w:val="none"/>
              </w:rPr>
              <w:t>om</w:t>
            </w:r>
            <w:r>
              <w:rPr>
                <w:rFonts w:ascii="仿宋" w:hAnsi="仿宋" w:eastAsia="仿宋" w:cs="仿宋"/>
                <w:sz w:val="24"/>
                <w:highlight w:val="none"/>
              </w:rPr>
              <w:t xml:space="preserve"> NNT</w:t>
            </w:r>
            <w:r>
              <w:rPr>
                <w:rFonts w:hint="eastAsia" w:ascii="仿宋" w:hAnsi="仿宋" w:eastAsia="仿宋" w:cs="仿宋"/>
                <w:sz w:val="24"/>
                <w:highlight w:val="none"/>
              </w:rPr>
              <w:t>软件可以各类第三方软件相连接并进行数据整合，包含口扫、3</w:t>
            </w:r>
            <w:r>
              <w:rPr>
                <w:rFonts w:ascii="仿宋" w:hAnsi="仿宋" w:eastAsia="仿宋" w:cs="仿宋"/>
                <w:sz w:val="24"/>
                <w:highlight w:val="none"/>
              </w:rPr>
              <w:t>D</w:t>
            </w:r>
            <w:r>
              <w:rPr>
                <w:rFonts w:hint="eastAsia" w:ascii="仿宋" w:hAnsi="仿宋" w:eastAsia="仿宋" w:cs="仿宋"/>
                <w:sz w:val="24"/>
                <w:highlight w:val="none"/>
              </w:rPr>
              <w:t>打印机等，并且具备各种手术管理、手术规划等模块，与招标参数无偏离。此项投诉不成立，详见附图4。</w:t>
            </w:r>
          </w:p>
        </w:tc>
      </w:tr>
    </w:tbl>
    <w:p>
      <w:pPr>
        <w:keepNext w:val="0"/>
        <w:keepLines w:val="0"/>
        <w:pageBreakBefore w:val="0"/>
        <w:widowControl/>
        <w:numPr>
          <w:ilvl w:val="-1"/>
          <w:numId w:val="0"/>
        </w:numPr>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我单位组织原评标委员会就质疑事项进行复核，评标委员会就现有资料判定质疑不成立，复核报告详见附件。</w:t>
      </w:r>
    </w:p>
    <w:p>
      <w:pPr>
        <w:rPr>
          <w:rFonts w:hint="eastAsia"/>
          <w:lang w:eastAsia="zh-CN"/>
        </w:rPr>
      </w:pPr>
      <w:r>
        <w:rPr>
          <w:rFonts w:hint="eastAsia"/>
          <w:sz w:val="28"/>
          <w:szCs w:val="28"/>
        </w:rPr>
        <w:t>附图1</w:t>
      </w:r>
    </w:p>
    <w:p>
      <w:pPr>
        <w:rPr>
          <w:rFonts w:hint="eastAsia"/>
          <w:sz w:val="28"/>
          <w:szCs w:val="28"/>
        </w:rPr>
      </w:pPr>
      <w:r>
        <w:drawing>
          <wp:anchor distT="0" distB="0" distL="0" distR="0" simplePos="0" relativeHeight="251661312" behindDoc="0" locked="0" layoutInCell="1" allowOverlap="1">
            <wp:simplePos x="0" y="0"/>
            <wp:positionH relativeFrom="column">
              <wp:posOffset>98425</wp:posOffset>
            </wp:positionH>
            <wp:positionV relativeFrom="paragraph">
              <wp:posOffset>211455</wp:posOffset>
            </wp:positionV>
            <wp:extent cx="4709795" cy="2776220"/>
            <wp:effectExtent l="0" t="0" r="14605" b="5080"/>
            <wp:wrapSquare wrapText="bothSides"/>
            <wp:docPr id="1" name="图片 1" descr="G:\Tencent\WeChat Files\wxid_dvw54i90srea22\FileStorage\Temp\172317381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Tencent\WeChat Files\wxid_dvw54i90srea22\FileStorage\Temp\1723173814857.png"/>
                    <pic:cNvPicPr>
                      <a:picLocks noChangeAspect="1" noChangeArrowheads="1"/>
                    </pic:cNvPicPr>
                  </pic:nvPicPr>
                  <pic:blipFill>
                    <a:blip r:embed="rId7" cstate="print"/>
                    <a:srcRect/>
                    <a:stretch>
                      <a:fillRect/>
                    </a:stretch>
                  </pic:blipFill>
                  <pic:spPr>
                    <a:xfrm>
                      <a:off x="0" y="0"/>
                      <a:ext cx="4709795" cy="2776220"/>
                    </a:xfrm>
                    <a:prstGeom prst="rect">
                      <a:avLst/>
                    </a:prstGeom>
                    <a:noFill/>
                    <a:ln w="9525">
                      <a:noFill/>
                      <a:miter lim="800000"/>
                      <a:headEnd/>
                      <a:tailEnd/>
                    </a:ln>
                  </pic:spPr>
                </pic:pic>
              </a:graphicData>
            </a:graphic>
          </wp:anchor>
        </w:drawing>
      </w:r>
    </w:p>
    <w:p>
      <w:pPr>
        <w:rPr>
          <w:rFonts w:hint="eastAsia"/>
          <w:sz w:val="28"/>
          <w:szCs w:val="28"/>
        </w:rPr>
      </w:pPr>
    </w:p>
    <w:p>
      <w:pPr>
        <w:pStyle w:val="2"/>
        <w:rPr>
          <w:rFonts w:hint="eastAsia"/>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楷体_GB2312" w:hAnsi="楷体_GB2312" w:eastAsia="楷体_GB2312" w:cs="楷体_GB2312"/>
          <w:sz w:val="32"/>
          <w:szCs w:val="32"/>
          <w:lang w:eastAsia="zh-CN"/>
        </w:rPr>
      </w:pPr>
      <w:r>
        <w:drawing>
          <wp:anchor distT="0" distB="0" distL="0" distR="0" simplePos="0" relativeHeight="251662336" behindDoc="0" locked="0" layoutInCell="1" allowOverlap="1">
            <wp:simplePos x="0" y="0"/>
            <wp:positionH relativeFrom="column">
              <wp:posOffset>-4528820</wp:posOffset>
            </wp:positionH>
            <wp:positionV relativeFrom="paragraph">
              <wp:posOffset>334010</wp:posOffset>
            </wp:positionV>
            <wp:extent cx="5274310" cy="2930525"/>
            <wp:effectExtent l="0" t="0" r="2540" b="3175"/>
            <wp:wrapSquare wrapText="bothSides"/>
            <wp:docPr id="4" name="图片 4" descr="G:\Tencent\WeChat Files\wxid_dvw54i90srea22\FileStorage\Temp\17231738715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Tencent\WeChat Files\wxid_dvw54i90srea22\FileStorage\Temp\1723173871560.png"/>
                    <pic:cNvPicPr>
                      <a:picLocks noChangeAspect="1" noChangeArrowheads="1"/>
                    </pic:cNvPicPr>
                  </pic:nvPicPr>
                  <pic:blipFill>
                    <a:blip r:embed="rId8" cstate="print"/>
                    <a:srcRect/>
                    <a:stretch>
                      <a:fillRect/>
                    </a:stretch>
                  </pic:blipFill>
                  <pic:spPr>
                    <a:xfrm>
                      <a:off x="0" y="0"/>
                      <a:ext cx="5274310" cy="293052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黑体" w:hAnsi="黑体" w:eastAsia="黑体" w:cs="黑体"/>
          <w:b w:val="0"/>
          <w:bCs/>
          <w:sz w:val="32"/>
          <w:szCs w:val="32"/>
        </w:rPr>
      </w:pPr>
      <w:r>
        <w:drawing>
          <wp:anchor distT="0" distB="0" distL="0" distR="0" simplePos="0" relativeHeight="251663360" behindDoc="0" locked="0" layoutInCell="1" allowOverlap="1">
            <wp:simplePos x="0" y="0"/>
            <wp:positionH relativeFrom="column">
              <wp:posOffset>-57150</wp:posOffset>
            </wp:positionH>
            <wp:positionV relativeFrom="paragraph">
              <wp:posOffset>182245</wp:posOffset>
            </wp:positionV>
            <wp:extent cx="5274310" cy="5410200"/>
            <wp:effectExtent l="0" t="0" r="2540" b="0"/>
            <wp:wrapSquare wrapText="bothSides"/>
            <wp:docPr id="5" name="图片 5" descr="G:\Tencent\WeChat Files\wxid_dvw54i90srea22\FileStorage\Temp\172317401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G:\Tencent\WeChat Files\wxid_dvw54i90srea22\FileStorage\Temp\1723174011969.png"/>
                    <pic:cNvPicPr>
                      <a:picLocks noChangeAspect="1" noChangeArrowheads="1"/>
                    </pic:cNvPicPr>
                  </pic:nvPicPr>
                  <pic:blipFill>
                    <a:blip r:embed="rId9" cstate="print"/>
                    <a:srcRect/>
                    <a:stretch>
                      <a:fillRect/>
                    </a:stretch>
                  </pic:blipFill>
                  <pic:spPr>
                    <a:xfrm>
                      <a:off x="0" y="0"/>
                      <a:ext cx="5274310" cy="541020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黑体" w:hAnsi="黑体" w:eastAsia="黑体" w:cs="黑体"/>
          <w:b w:val="0"/>
          <w:bCs/>
          <w:sz w:val="32"/>
          <w:szCs w:val="32"/>
        </w:rPr>
      </w:pPr>
      <w:r>
        <w:drawing>
          <wp:anchor distT="0" distB="0" distL="0" distR="0" simplePos="0" relativeHeight="251681792" behindDoc="0" locked="0" layoutInCell="1" allowOverlap="1">
            <wp:simplePos x="0" y="0"/>
            <wp:positionH relativeFrom="column">
              <wp:posOffset>104775</wp:posOffset>
            </wp:positionH>
            <wp:positionV relativeFrom="paragraph">
              <wp:posOffset>63500</wp:posOffset>
            </wp:positionV>
            <wp:extent cx="5143500" cy="6141720"/>
            <wp:effectExtent l="0" t="0" r="0" b="11430"/>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143500" cy="61417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rFonts w:hint="eastAsia"/>
          <w:sz w:val="28"/>
          <w:szCs w:val="28"/>
        </w:rPr>
      </w:pPr>
    </w:p>
    <w:p>
      <w:pPr>
        <w:rPr>
          <w:sz w:val="28"/>
          <w:szCs w:val="28"/>
        </w:rPr>
      </w:pPr>
      <w:r>
        <w:rPr>
          <w:rFonts w:hint="eastAsia"/>
          <w:sz w:val="28"/>
          <w:szCs w:val="28"/>
        </w:rPr>
        <w:t>附图2</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黑体" w:hAnsi="黑体" w:eastAsia="黑体" w:cs="黑体"/>
          <w:b w:val="0"/>
          <w:bCs/>
          <w:sz w:val="32"/>
          <w:szCs w:val="32"/>
        </w:rPr>
      </w:pPr>
      <w:r>
        <w:drawing>
          <wp:anchor distT="0" distB="0" distL="0" distR="0" simplePos="0" relativeHeight="251664384" behindDoc="0" locked="0" layoutInCell="1" allowOverlap="1">
            <wp:simplePos x="0" y="0"/>
            <wp:positionH relativeFrom="column">
              <wp:posOffset>151130</wp:posOffset>
            </wp:positionH>
            <wp:positionV relativeFrom="paragraph">
              <wp:posOffset>-45085</wp:posOffset>
            </wp:positionV>
            <wp:extent cx="5132705" cy="3025775"/>
            <wp:effectExtent l="0" t="0" r="10795" b="3175"/>
            <wp:wrapSquare wrapText="bothSides"/>
            <wp:docPr id="6" name="图片 2" descr="G:\Tencent\WeChat Files\wxid_dvw54i90srea22\FileStorage\Temp\172317381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G:\Tencent\WeChat Files\wxid_dvw54i90srea22\FileStorage\Temp\1723173814857.png"/>
                    <pic:cNvPicPr>
                      <a:picLocks noChangeAspect="1" noChangeArrowheads="1"/>
                    </pic:cNvPicPr>
                  </pic:nvPicPr>
                  <pic:blipFill>
                    <a:blip r:embed="rId7" cstate="print"/>
                    <a:srcRect/>
                    <a:stretch>
                      <a:fillRect/>
                    </a:stretch>
                  </pic:blipFill>
                  <pic:spPr>
                    <a:xfrm>
                      <a:off x="0" y="0"/>
                      <a:ext cx="5132607" cy="3026117"/>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pStyle w:val="2"/>
        <w:rPr>
          <w:rFonts w:hint="eastAsia"/>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r>
        <w:drawing>
          <wp:anchor distT="0" distB="0" distL="0" distR="0" simplePos="0" relativeHeight="251665408" behindDoc="0" locked="0" layoutInCell="1" allowOverlap="1">
            <wp:simplePos x="0" y="0"/>
            <wp:positionH relativeFrom="column">
              <wp:posOffset>247650</wp:posOffset>
            </wp:positionH>
            <wp:positionV relativeFrom="paragraph">
              <wp:posOffset>79375</wp:posOffset>
            </wp:positionV>
            <wp:extent cx="4358005" cy="2966720"/>
            <wp:effectExtent l="0" t="0" r="4445" b="5080"/>
            <wp:wrapSquare wrapText="bothSides"/>
            <wp:docPr id="7" name="图片 4" descr="G:\Tencent\WeChat Files\wxid_dvw54i90srea22\FileStorage\Temp\172317401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G:\Tencent\WeChat Files\wxid_dvw54i90srea22\FileStorage\Temp\1723174011969.png"/>
                    <pic:cNvPicPr>
                      <a:picLocks noChangeAspect="1" noChangeArrowheads="1"/>
                    </pic:cNvPicPr>
                  </pic:nvPicPr>
                  <pic:blipFill>
                    <a:blip r:embed="rId9" cstate="print"/>
                    <a:srcRect/>
                    <a:stretch>
                      <a:fillRect/>
                    </a:stretch>
                  </pic:blipFill>
                  <pic:spPr>
                    <a:xfrm>
                      <a:off x="0" y="0"/>
                      <a:ext cx="4357688" cy="2966821"/>
                    </a:xfrm>
                    <a:prstGeom prst="rect">
                      <a:avLst/>
                    </a:prstGeom>
                    <a:noFill/>
                    <a:ln w="9525">
                      <a:noFill/>
                      <a:miter lim="800000"/>
                      <a:headEnd/>
                      <a:tailEnd/>
                    </a:ln>
                  </pic:spPr>
                </pic:pic>
              </a:graphicData>
            </a:graphic>
          </wp:anchor>
        </w:drawing>
      </w: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Calibri" w:hAnsi="Calibri" w:eastAsia="宋体" w:cs="Times New Roman"/>
          <w:sz w:val="21"/>
          <w:szCs w:val="22"/>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rPr>
        <w:t>附件：中标人提供的配置单</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黑体" w:hAnsi="黑体" w:eastAsia="黑体" w:cs="黑体"/>
          <w:b w:val="0"/>
          <w:bCs/>
          <w:sz w:val="32"/>
          <w:szCs w:val="32"/>
        </w:rPr>
      </w:pPr>
      <w:r>
        <w:rPr>
          <w:rFonts w:ascii="仿宋" w:hAnsi="仿宋" w:eastAsia="仿宋" w:cs="仿宋"/>
          <w:sz w:val="24"/>
        </w:rPr>
        <w:drawing>
          <wp:anchor distT="0" distB="0" distL="0" distR="0" simplePos="0" relativeHeight="251666432" behindDoc="0" locked="0" layoutInCell="1" allowOverlap="1">
            <wp:simplePos x="0" y="0"/>
            <wp:positionH relativeFrom="column">
              <wp:posOffset>19050</wp:posOffset>
            </wp:positionH>
            <wp:positionV relativeFrom="paragraph">
              <wp:posOffset>194945</wp:posOffset>
            </wp:positionV>
            <wp:extent cx="5274310" cy="2093595"/>
            <wp:effectExtent l="0" t="0" r="2540" b="1905"/>
            <wp:wrapSquare wrapText="bothSides"/>
            <wp:docPr id="8" name="图片 8" descr="G:\Tencent\WeChat Files\wxid_dvw54i90srea22\FileStorage\Temp\1724900947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Tencent\WeChat Files\wxid_dvw54i90srea22\FileStorage\Temp\1724900947228.png"/>
                    <pic:cNvPicPr>
                      <a:picLocks noChangeAspect="1" noChangeArrowheads="1"/>
                    </pic:cNvPicPr>
                  </pic:nvPicPr>
                  <pic:blipFill>
                    <a:blip r:embed="rId11" cstate="print"/>
                    <a:srcRect/>
                    <a:stretch>
                      <a:fillRect/>
                    </a:stretch>
                  </pic:blipFill>
                  <pic:spPr>
                    <a:xfrm>
                      <a:off x="0" y="0"/>
                      <a:ext cx="5274310" cy="2093859"/>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widowControl/>
        <w:spacing w:line="520" w:lineRule="exact"/>
        <w:ind w:firstLine="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附图3：</w:t>
      </w:r>
    </w:p>
    <w:p>
      <w:pPr>
        <w:keepNext w:val="0"/>
        <w:keepLines w:val="0"/>
        <w:pageBreakBefore w:val="0"/>
        <w:widowControl w:val="0"/>
        <w:kinsoku/>
        <w:wordWrap/>
        <w:overflowPunct/>
        <w:topLinePunct w:val="0"/>
        <w:autoSpaceDE/>
        <w:autoSpaceDN/>
        <w:bidi w:val="0"/>
        <w:adjustRightInd/>
        <w:snapToGrid/>
        <w:spacing w:line="520" w:lineRule="exact"/>
        <w:ind w:firstLine="420" w:firstLineChars="200"/>
        <w:textAlignment w:val="auto"/>
        <w:rPr>
          <w:rFonts w:hint="eastAsia" w:ascii="黑体" w:hAnsi="黑体" w:eastAsia="黑体" w:cs="黑体"/>
          <w:b w:val="0"/>
          <w:bCs/>
          <w:sz w:val="32"/>
          <w:szCs w:val="32"/>
        </w:rPr>
      </w:pPr>
      <w:r>
        <w:drawing>
          <wp:anchor distT="0" distB="0" distL="0" distR="0" simplePos="0" relativeHeight="251667456" behindDoc="0" locked="0" layoutInCell="1" allowOverlap="1">
            <wp:simplePos x="0" y="0"/>
            <wp:positionH relativeFrom="column">
              <wp:posOffset>123825</wp:posOffset>
            </wp:positionH>
            <wp:positionV relativeFrom="paragraph">
              <wp:posOffset>92710</wp:posOffset>
            </wp:positionV>
            <wp:extent cx="4886325" cy="3423920"/>
            <wp:effectExtent l="0" t="0" r="9525" b="5080"/>
            <wp:wrapSquare wrapText="bothSides"/>
            <wp:docPr id="10" name="图片 8" descr="G:\Tencent\WeChat Files\wxid_dvw54i90srea22\FileStorage\Temp\1723176556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G:\Tencent\WeChat Files\wxid_dvw54i90srea22\FileStorage\Temp\1723176556335.png"/>
                    <pic:cNvPicPr>
                      <a:picLocks noChangeAspect="1" noChangeArrowheads="1"/>
                    </pic:cNvPicPr>
                  </pic:nvPicPr>
                  <pic:blipFill>
                    <a:blip r:embed="rId12" cstate="print"/>
                    <a:srcRect/>
                    <a:stretch>
                      <a:fillRect/>
                    </a:stretch>
                  </pic:blipFill>
                  <pic:spPr>
                    <a:xfrm>
                      <a:off x="0" y="0"/>
                      <a:ext cx="4887585" cy="3425121"/>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黑体" w:hAnsi="黑体" w:eastAsia="黑体" w:cs="黑体"/>
          <w:b w:val="0"/>
          <w:bCs/>
          <w:sz w:val="32"/>
          <w:szCs w:val="32"/>
        </w:rPr>
      </w:pPr>
    </w:p>
    <w:p>
      <w:pPr>
        <w:widowControl/>
        <w:spacing w:line="520" w:lineRule="exact"/>
        <w:ind w:firstLine="560" w:firstLineChars="200"/>
        <w:rPr>
          <w:rFonts w:hint="eastAsia" w:ascii="仿宋_GB2312" w:hAnsi="仿宋_GB2312" w:eastAsia="仿宋_GB2312" w:cs="仿宋_GB2312"/>
          <w:sz w:val="32"/>
          <w:szCs w:val="32"/>
        </w:rPr>
      </w:pPr>
      <w:r>
        <w:rPr>
          <w:rFonts w:hint="eastAsia"/>
          <w:sz w:val="28"/>
          <w:szCs w:val="28"/>
          <w:highlight w:val="yellow"/>
        </w:rPr>
        <w:drawing>
          <wp:anchor distT="0" distB="0" distL="114300" distR="114300" simplePos="0" relativeHeight="251669504" behindDoc="1" locked="0" layoutInCell="1" allowOverlap="1">
            <wp:simplePos x="0" y="0"/>
            <wp:positionH relativeFrom="column">
              <wp:posOffset>2588260</wp:posOffset>
            </wp:positionH>
            <wp:positionV relativeFrom="paragraph">
              <wp:posOffset>274320</wp:posOffset>
            </wp:positionV>
            <wp:extent cx="2849245" cy="4434840"/>
            <wp:effectExtent l="0" t="0" r="8255" b="3810"/>
            <wp:wrapNone/>
            <wp:docPr id="11" name="图片 6" descr="G:\Tencent\WeChat Files\wxid_dvw54i90srea22\FileStorage\Temp\172317590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G:\Tencent\WeChat Files\wxid_dvw54i90srea22\FileStorage\Temp\1723175901614.png"/>
                    <pic:cNvPicPr>
                      <a:picLocks noChangeAspect="1" noChangeArrowheads="1"/>
                    </pic:cNvPicPr>
                  </pic:nvPicPr>
                  <pic:blipFill>
                    <a:blip r:embed="rId13" cstate="print"/>
                    <a:srcRect/>
                    <a:stretch>
                      <a:fillRect/>
                    </a:stretch>
                  </pic:blipFill>
                  <pic:spPr>
                    <a:xfrm>
                      <a:off x="0" y="0"/>
                      <a:ext cx="2849245" cy="4434840"/>
                    </a:xfrm>
                    <a:prstGeom prst="rect">
                      <a:avLst/>
                    </a:prstGeom>
                    <a:noFill/>
                    <a:ln w="9525">
                      <a:noFill/>
                      <a:miter lim="800000"/>
                      <a:headEnd/>
                      <a:tailEnd/>
                    </a:ln>
                  </pic:spPr>
                </pic:pic>
              </a:graphicData>
            </a:graphic>
          </wp:anchor>
        </w:drawing>
      </w:r>
      <w:r>
        <w:rPr>
          <w:rFonts w:hint="eastAsia" w:ascii="仿宋_GB2312" w:hAnsi="仿宋_GB2312" w:eastAsia="仿宋_GB2312" w:cs="仿宋_GB2312"/>
          <w:sz w:val="32"/>
          <w:szCs w:val="32"/>
        </w:rPr>
        <w:t>附图4：</w:t>
      </w:r>
    </w:p>
    <w:p>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黑体" w:hAnsi="黑体" w:eastAsia="黑体" w:cs="黑体"/>
          <w:b w:val="0"/>
          <w:bCs/>
          <w:sz w:val="32"/>
          <w:szCs w:val="32"/>
        </w:rPr>
      </w:pPr>
      <w:r>
        <w:rPr>
          <w:sz w:val="28"/>
          <w:szCs w:val="28"/>
        </w:rPr>
        <w:drawing>
          <wp:anchor distT="0" distB="0" distL="114300" distR="114300" simplePos="0" relativeHeight="251668480" behindDoc="1" locked="0" layoutInCell="1" allowOverlap="1">
            <wp:simplePos x="0" y="0"/>
            <wp:positionH relativeFrom="column">
              <wp:posOffset>-518795</wp:posOffset>
            </wp:positionH>
            <wp:positionV relativeFrom="paragraph">
              <wp:posOffset>45085</wp:posOffset>
            </wp:positionV>
            <wp:extent cx="3101975" cy="4293235"/>
            <wp:effectExtent l="0" t="0" r="3175" b="12065"/>
            <wp:wrapNone/>
            <wp:docPr id="9" name="图片 5" descr="G:\Tencent\WeChat Files\wxid_dvw54i90srea22\FileStorage\Temp\1723175820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G:\Tencent\WeChat Files\wxid_dvw54i90srea22\FileStorage\Temp\1723175820477.png"/>
                    <pic:cNvPicPr>
                      <a:picLocks noChangeAspect="1" noChangeArrowheads="1"/>
                    </pic:cNvPicPr>
                  </pic:nvPicPr>
                  <pic:blipFill>
                    <a:blip r:embed="rId14" cstate="print"/>
                    <a:srcRect/>
                    <a:stretch>
                      <a:fillRect/>
                    </a:stretch>
                  </pic:blipFill>
                  <pic:spPr>
                    <a:xfrm>
                      <a:off x="0" y="0"/>
                      <a:ext cx="3101975" cy="4293235"/>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黑体" w:hAnsi="黑体" w:eastAsia="黑体" w:cs="黑体"/>
          <w:b w:val="0"/>
          <w:bCs/>
          <w:sz w:val="32"/>
          <w:szCs w:val="32"/>
          <w:lang w:val="en-US" w:eastAsia="zh-CN"/>
        </w:rPr>
      </w:pPr>
      <w:r>
        <w:rPr>
          <w:rFonts w:hint="eastAsia" w:ascii="黑体" w:hAnsi="黑体" w:eastAsia="黑体" w:cs="黑体"/>
          <w:bCs/>
          <w:sz w:val="32"/>
          <w:szCs w:val="32"/>
        </w:rPr>
        <w:t>相关供应商</w:t>
      </w:r>
      <w:r>
        <w:rPr>
          <w:rFonts w:hint="eastAsia" w:ascii="黑体" w:hAnsi="黑体" w:eastAsia="黑体" w:cs="黑体"/>
          <w:bCs/>
          <w:kern w:val="2"/>
          <w:sz w:val="32"/>
          <w:szCs w:val="32"/>
          <w:lang w:val="en-US" w:eastAsia="zh-CN" w:bidi="ar"/>
        </w:rPr>
        <w:t>重药控股（浙江）有限公司</w:t>
      </w:r>
      <w:r>
        <w:rPr>
          <w:rFonts w:hint="eastAsia" w:ascii="黑体" w:hAnsi="黑体" w:eastAsia="黑体" w:cs="黑体"/>
          <w:b w:val="0"/>
          <w:bCs/>
          <w:sz w:val="32"/>
          <w:szCs w:val="32"/>
          <w:lang w:val="en-US" w:eastAsia="zh-CN"/>
        </w:rPr>
        <w:t>辩称：</w:t>
      </w:r>
    </w:p>
    <w:p>
      <w:pPr>
        <w:spacing w:before="0" w:line="520" w:lineRule="exact"/>
        <w:ind w:left="0" w:right="0" w:firstLine="640" w:firstLineChars="200"/>
        <w:jc w:val="both"/>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z w:val="32"/>
          <w:szCs w:val="32"/>
          <w:lang w:eastAsia="zh-CN"/>
        </w:rPr>
        <w:t>投诉答复1:</w:t>
      </w:r>
      <w:r>
        <w:rPr>
          <w:rFonts w:hint="eastAsia" w:ascii="仿宋_GB2312" w:hAnsi="仿宋_GB2312" w:eastAsia="仿宋_GB2312" w:cs="仿宋_GB2312"/>
          <w:spacing w:val="-6"/>
          <w:sz w:val="32"/>
          <w:szCs w:val="32"/>
          <w:lang w:eastAsia="zh-CN"/>
        </w:rPr>
        <w:t xml:space="preserve"> 根据制造商CEFLA S.C.提供的最新版产品彩页第29页、第30页；以及最新版技术白皮书第69页10.7以及产品注册证附件技术要求中第16页相关数据显示，探测器像素为35μm，灰阶均为16bit，与招标参数无偏离。故本条投诉不成立。</w:t>
      </w:r>
    </w:p>
    <w:p>
      <w:pPr>
        <w:spacing w:before="0" w:line="520" w:lineRule="exact"/>
        <w:ind w:left="0" w:right="0"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事实依据：制造商CEFLA S.C.提供的最新版产品彩页、技术白皮书及产品注册证附件技术要求。</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r>
        <w:rPr>
          <w:rFonts w:ascii="仿宋" w:hAnsi="仿宋" w:eastAsia="仿宋" w:cs="仿宋"/>
          <w:sz w:val="25"/>
          <w:szCs w:val="25"/>
          <w:lang w:eastAsia="zh-CN"/>
        </w:rPr>
        <w:drawing>
          <wp:anchor distT="0" distB="0" distL="0" distR="0" simplePos="0" relativeHeight="251668480" behindDoc="0" locked="0" layoutInCell="1" allowOverlap="1">
            <wp:simplePos x="0" y="0"/>
            <wp:positionH relativeFrom="column">
              <wp:posOffset>76200</wp:posOffset>
            </wp:positionH>
            <wp:positionV relativeFrom="paragraph">
              <wp:posOffset>57785</wp:posOffset>
            </wp:positionV>
            <wp:extent cx="4712335" cy="2773680"/>
            <wp:effectExtent l="0" t="0" r="12065" b="7620"/>
            <wp:wrapSquare wrapText="bothSides"/>
            <wp:docPr id="1669850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50803"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2335" cy="2773680"/>
                    </a:xfrm>
                    <a:prstGeom prst="rect">
                      <a:avLst/>
                    </a:prstGeom>
                    <a:noFill/>
                  </pic:spPr>
                </pic:pic>
              </a:graphicData>
            </a:graphic>
          </wp:anchor>
        </w:drawing>
      </w: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r>
        <w:rPr>
          <w:rFonts w:ascii="仿宋" w:hAnsi="仿宋" w:eastAsia="仿宋" w:cs="仿宋"/>
          <w:sz w:val="25"/>
          <w:szCs w:val="25"/>
          <w:lang w:eastAsia="zh-CN"/>
        </w:rPr>
        <w:drawing>
          <wp:inline distT="0" distB="0" distL="0" distR="0">
            <wp:extent cx="5273675" cy="2932430"/>
            <wp:effectExtent l="0" t="0" r="3175" b="1270"/>
            <wp:docPr id="899138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38517"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3675" cy="2932430"/>
                    </a:xfrm>
                    <a:prstGeom prst="rect">
                      <a:avLst/>
                    </a:prstGeom>
                    <a:noFill/>
                  </pic:spPr>
                </pic:pic>
              </a:graphicData>
            </a:graphic>
          </wp:inline>
        </w:drawing>
      </w:r>
    </w:p>
    <w:p>
      <w:pPr>
        <w:pStyle w:val="3"/>
        <w:rPr>
          <w:rFonts w:ascii="仿宋" w:hAnsi="仿宋" w:eastAsia="仿宋" w:cs="仿宋"/>
          <w:sz w:val="25"/>
          <w:szCs w:val="25"/>
          <w:lang w:eastAsia="zh-CN"/>
        </w:rPr>
      </w:pPr>
      <w:r>
        <w:rPr>
          <w:rFonts w:ascii="仿宋" w:hAnsi="仿宋" w:eastAsia="仿宋" w:cs="仿宋"/>
          <w:sz w:val="25"/>
          <w:szCs w:val="25"/>
          <w:lang w:eastAsia="zh-CN"/>
        </w:rPr>
        <w:drawing>
          <wp:inline distT="0" distB="0" distL="0" distR="0">
            <wp:extent cx="5273675" cy="4298315"/>
            <wp:effectExtent l="0" t="0" r="3175" b="6985"/>
            <wp:docPr id="3365821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82127"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3675" cy="4298315"/>
                    </a:xfrm>
                    <a:prstGeom prst="rect">
                      <a:avLst/>
                    </a:prstGeom>
                    <a:noFill/>
                  </pic:spPr>
                </pic:pic>
              </a:graphicData>
            </a:graphic>
          </wp:inline>
        </w:drawing>
      </w:r>
    </w:p>
    <w:p>
      <w:pPr>
        <w:pStyle w:val="4"/>
        <w:rPr>
          <w:rFonts w:ascii="仿宋" w:hAnsi="仿宋" w:eastAsia="仿宋" w:cs="仿宋"/>
          <w:sz w:val="25"/>
          <w:szCs w:val="25"/>
          <w:lang w:eastAsia="zh-CN"/>
        </w:rPr>
      </w:pPr>
    </w:p>
    <w:p>
      <w:pPr>
        <w:rPr>
          <w:rFonts w:hint="eastAsia"/>
        </w:rPr>
      </w:pPr>
    </w:p>
    <w:p>
      <w:pPr>
        <w:pStyle w:val="4"/>
        <w:rPr>
          <w:rFonts w:hint="eastAsia" w:ascii="黑体" w:hAnsi="黑体" w:eastAsia="黑体" w:cs="黑体"/>
          <w:b w:val="0"/>
          <w:bCs/>
          <w:sz w:val="32"/>
          <w:szCs w:val="32"/>
        </w:rPr>
      </w:pPr>
      <w:r>
        <w:rPr>
          <w:rFonts w:ascii="仿宋" w:hAnsi="仿宋" w:eastAsia="仿宋" w:cs="仿宋"/>
          <w:sz w:val="25"/>
          <w:szCs w:val="25"/>
          <w:lang w:eastAsia="zh-CN"/>
        </w:rPr>
        <w:drawing>
          <wp:anchor distT="0" distB="0" distL="0" distR="0" simplePos="0" relativeHeight="251669504" behindDoc="0" locked="0" layoutInCell="1" allowOverlap="1">
            <wp:simplePos x="0" y="0"/>
            <wp:positionH relativeFrom="column">
              <wp:posOffset>47625</wp:posOffset>
            </wp:positionH>
            <wp:positionV relativeFrom="paragraph">
              <wp:posOffset>55245</wp:posOffset>
            </wp:positionV>
            <wp:extent cx="5143500" cy="6141720"/>
            <wp:effectExtent l="0" t="0" r="0" b="11430"/>
            <wp:wrapSquare wrapText="bothSides"/>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3500" cy="6141720"/>
                    </a:xfrm>
                    <a:prstGeom prst="rect">
                      <a:avLst/>
                    </a:prstGeom>
                    <a:noFill/>
                    <a:ln>
                      <a:noFill/>
                    </a:ln>
                  </pic:spPr>
                </pic:pic>
              </a:graphicData>
            </a:graphic>
          </wp:anchor>
        </w:drawing>
      </w: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spacing w:line="520" w:lineRule="exact"/>
        <w:ind w:firstLine="640" w:firstLineChars="200"/>
        <w:jc w:val="left"/>
        <w:rPr>
          <w:rFonts w:hint="eastAsia" w:ascii="黑体" w:hAnsi="黑体" w:eastAsia="黑体" w:cs="黑体"/>
          <w:b w:val="0"/>
          <w:bCs/>
          <w:sz w:val="32"/>
          <w:szCs w:val="32"/>
        </w:rPr>
      </w:pPr>
      <w:r>
        <w:rPr>
          <w:rFonts w:hint="eastAsia" w:ascii="仿宋_GB2312" w:hAnsi="仿宋_GB2312" w:eastAsia="仿宋_GB2312" w:cs="仿宋_GB2312"/>
          <w:sz w:val="32"/>
          <w:szCs w:val="32"/>
          <w:lang w:eastAsia="zh-CN"/>
        </w:rPr>
        <w:t>法律依据：招标文件相关评分细则。</w:t>
      </w:r>
    </w:p>
    <w:p>
      <w:pPr>
        <w:spacing w:line="52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投诉答复</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:根据制造商CEFLA S.C.提供的最新版产品彩页第29页、第30页显示以及最新版的产品技术白皮书第69页10.8，头侧最大视野为30X27cm，精度为35</w:t>
      </w:r>
      <w:r>
        <w:rPr>
          <w:rFonts w:hint="eastAsia" w:ascii="仿宋_GB2312" w:hAnsi="仿宋_GB2312" w:eastAsia="仿宋_GB2312" w:cs="仿宋_GB2312"/>
          <w:sz w:val="32"/>
          <w:szCs w:val="32"/>
        </w:rPr>
        <w:t>μ</w:t>
      </w:r>
      <w:r>
        <w:rPr>
          <w:rFonts w:hint="eastAsia" w:ascii="仿宋_GB2312" w:hAnsi="仿宋_GB2312" w:eastAsia="仿宋_GB2312" w:cs="仿宋_GB2312"/>
          <w:sz w:val="32"/>
          <w:szCs w:val="32"/>
          <w:lang w:eastAsia="zh-CN"/>
        </w:rPr>
        <w:t>m，与招标参数无偏离。此项投诉不成立。</w:t>
      </w:r>
    </w:p>
    <w:p>
      <w:pPr>
        <w:spacing w:line="52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事实依据：制造商CEFLA S.C.提供的最新版产品彩页及最新版技术白皮书。</w:t>
      </w:r>
    </w:p>
    <w:p>
      <w:pPr>
        <w:pStyle w:val="3"/>
        <w:rPr>
          <w:rFonts w:hint="eastAsia" w:ascii="黑体" w:hAnsi="黑体" w:eastAsia="黑体" w:cs="黑体"/>
          <w:b w:val="0"/>
          <w:bCs/>
          <w:sz w:val="32"/>
          <w:szCs w:val="32"/>
        </w:rPr>
      </w:pPr>
      <w:r>
        <w:rPr>
          <w:rFonts w:ascii="仿宋" w:hAnsi="仿宋" w:eastAsia="仿宋" w:cs="仿宋"/>
          <w:sz w:val="24"/>
        </w:rPr>
        <w:drawing>
          <wp:anchor distT="0" distB="0" distL="0" distR="0" simplePos="0" relativeHeight="251671552" behindDoc="0" locked="0" layoutInCell="1" allowOverlap="1">
            <wp:simplePos x="0" y="0"/>
            <wp:positionH relativeFrom="column">
              <wp:posOffset>161925</wp:posOffset>
            </wp:positionH>
            <wp:positionV relativeFrom="paragraph">
              <wp:posOffset>126365</wp:posOffset>
            </wp:positionV>
            <wp:extent cx="5132705" cy="3025775"/>
            <wp:effectExtent l="0" t="0" r="10795" b="3175"/>
            <wp:wrapSquare wrapText="bothSides"/>
            <wp:docPr id="13" name="图片 2" descr="G:\Tencent\WeChat Files\wxid_dvw54i90srea22\FileStorage\Temp\1723173814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G:\Tencent\WeChat Files\wxid_dvw54i90srea22\FileStorage\Temp\1723173814857.png"/>
                    <pic:cNvPicPr>
                      <a:picLocks noChangeAspect="1" noChangeArrowheads="1"/>
                    </pic:cNvPicPr>
                  </pic:nvPicPr>
                  <pic:blipFill>
                    <a:blip r:embed="rId7" cstate="print"/>
                    <a:srcRect/>
                    <a:stretch>
                      <a:fillRect/>
                    </a:stretch>
                  </pic:blipFill>
                  <pic:spPr>
                    <a:xfrm>
                      <a:off x="0" y="0"/>
                      <a:ext cx="5132607" cy="3026117"/>
                    </a:xfrm>
                    <a:prstGeom prst="rect">
                      <a:avLst/>
                    </a:prstGeom>
                    <a:noFill/>
                    <a:ln w="9525">
                      <a:noFill/>
                      <a:miter lim="800000"/>
                      <a:headEnd/>
                      <a:tailEnd/>
                    </a:ln>
                  </pic:spPr>
                </pic:pic>
              </a:graphicData>
            </a:graphic>
          </wp:anchor>
        </w:drawing>
      </w: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r>
        <w:rPr>
          <w:rFonts w:ascii="仿宋" w:hAnsi="仿宋" w:eastAsia="仿宋" w:cs="仿宋"/>
          <w:sz w:val="24"/>
        </w:rPr>
        <w:drawing>
          <wp:anchor distT="0" distB="0" distL="0" distR="0" simplePos="0" relativeHeight="251670528" behindDoc="0" locked="0" layoutInCell="1" allowOverlap="1">
            <wp:simplePos x="0" y="0"/>
            <wp:positionH relativeFrom="column">
              <wp:posOffset>408940</wp:posOffset>
            </wp:positionH>
            <wp:positionV relativeFrom="paragraph">
              <wp:posOffset>162560</wp:posOffset>
            </wp:positionV>
            <wp:extent cx="4358005" cy="2966720"/>
            <wp:effectExtent l="0" t="0" r="4445" b="5080"/>
            <wp:wrapSquare wrapText="bothSides"/>
            <wp:docPr id="2136643340" name="图片 4" descr="G:\Tencent\WeChat Files\wxid_dvw54i90srea22\FileStorage\Temp\17231740119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643340" name="图片 4" descr="G:\Tencent\WeChat Files\wxid_dvw54i90srea22\FileStorage\Temp\1723174011969.png"/>
                    <pic:cNvPicPr>
                      <a:picLocks noChangeAspect="1" noChangeArrowheads="1"/>
                    </pic:cNvPicPr>
                  </pic:nvPicPr>
                  <pic:blipFill>
                    <a:blip r:embed="rId9" cstate="print"/>
                    <a:srcRect/>
                    <a:stretch>
                      <a:fillRect/>
                    </a:stretch>
                  </pic:blipFill>
                  <pic:spPr>
                    <a:xfrm>
                      <a:off x="0" y="0"/>
                      <a:ext cx="4357688" cy="2966821"/>
                    </a:xfrm>
                    <a:prstGeom prst="rect">
                      <a:avLst/>
                    </a:prstGeom>
                    <a:noFill/>
                    <a:ln w="9525">
                      <a:noFill/>
                      <a:miter lim="800000"/>
                      <a:headEnd/>
                      <a:tailEnd/>
                    </a:ln>
                  </pic:spPr>
                </pic:pic>
              </a:graphicData>
            </a:graphic>
          </wp:anchor>
        </w:drawing>
      </w:r>
    </w:p>
    <w:p>
      <w:pPr>
        <w:pStyle w:val="2"/>
        <w:rPr>
          <w:rFonts w:hint="eastAsia" w:ascii="黑体" w:hAnsi="黑体" w:eastAsia="黑体" w:cs="黑体"/>
          <w:b w:val="0"/>
          <w:bCs/>
          <w:sz w:val="32"/>
          <w:szCs w:val="32"/>
        </w:rPr>
      </w:pPr>
    </w:p>
    <w:p>
      <w:pPr>
        <w:pStyle w:val="3"/>
        <w:rPr>
          <w:rFonts w:hint="eastAsia"/>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spacing w:before="0" w:line="520" w:lineRule="exact"/>
        <w:ind w:right="0"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法律依据：招标文件相关评分细则。</w:t>
      </w: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投诉答复</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  NewTom全系列产品标配提供一套企业服务器级别的工作站，并按照招标要求4.12，单独提供一套独立原厂高速重建服务器，与招标参数无偏离。此项投诉不成立。</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事实依据：下附配置清单</w:t>
      </w:r>
    </w:p>
    <w:tbl>
      <w:tblPr>
        <w:tblStyle w:val="11"/>
        <w:tblpPr w:leftFromText="180" w:rightFromText="180" w:vertAnchor="text" w:horzAnchor="page" w:tblpX="1515" w:tblpY="335"/>
        <w:tblOverlap w:val="never"/>
        <w:tblW w:w="91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3"/>
        <w:gridCol w:w="1271"/>
        <w:gridCol w:w="1024"/>
        <w:gridCol w:w="1091"/>
        <w:gridCol w:w="1318"/>
        <w:gridCol w:w="1202"/>
        <w:gridCol w:w="795"/>
        <w:gridCol w:w="19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序号</w:t>
            </w:r>
          </w:p>
        </w:tc>
        <w:tc>
          <w:tcPr>
            <w:tcW w:w="1271"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货物名称</w:t>
            </w:r>
          </w:p>
        </w:tc>
        <w:tc>
          <w:tcPr>
            <w:tcW w:w="1024"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品牌</w:t>
            </w:r>
          </w:p>
        </w:tc>
        <w:tc>
          <w:tcPr>
            <w:tcW w:w="1091"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制造商</w:t>
            </w:r>
          </w:p>
        </w:tc>
        <w:tc>
          <w:tcPr>
            <w:tcW w:w="1318"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产地（国产/进口）</w:t>
            </w:r>
          </w:p>
        </w:tc>
        <w:tc>
          <w:tcPr>
            <w:tcW w:w="1202"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规格型号</w:t>
            </w:r>
          </w:p>
        </w:tc>
        <w:tc>
          <w:tcPr>
            <w:tcW w:w="7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数量及单位</w:t>
            </w:r>
          </w:p>
        </w:tc>
        <w:tc>
          <w:tcPr>
            <w:tcW w:w="19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性能及指标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1</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lang w:eastAsia="zh-CN"/>
              </w:rPr>
            </w:pPr>
            <w:r>
              <w:rPr>
                <w:rFonts w:hint="eastAsia" w:ascii="仿宋" w:hAnsi="仿宋" w:eastAsia="仿宋" w:cs="仿宋"/>
                <w:bCs/>
                <w:color w:val="auto"/>
                <w:sz w:val="18"/>
                <w:szCs w:val="18"/>
                <w:lang w:eastAsia="zh-CN"/>
              </w:rPr>
              <w:t>口腔颌面锥形束计算机体层摄影设备</w:t>
            </w:r>
          </w:p>
        </w:tc>
        <w:tc>
          <w:tcPr>
            <w:tcW w:w="1024"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 xml:space="preserve">NewTom </w:t>
            </w:r>
          </w:p>
        </w:tc>
        <w:tc>
          <w:tcPr>
            <w:tcW w:w="109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意大利 CEFLA S.C.</w:t>
            </w:r>
          </w:p>
        </w:tc>
        <w:tc>
          <w:tcPr>
            <w:tcW w:w="1318"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意大利/进口</w:t>
            </w:r>
          </w:p>
        </w:tc>
        <w:tc>
          <w:tcPr>
            <w:tcW w:w="120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NewTom Gi</w:t>
            </w:r>
            <w:r>
              <w:rPr>
                <w:rFonts w:hint="eastAsia" w:ascii="仿宋" w:hAnsi="仿宋" w:eastAsia="仿宋" w:cs="仿宋"/>
                <w:color w:val="auto"/>
                <w:sz w:val="18"/>
                <w:szCs w:val="18"/>
                <w:lang w:eastAsia="zh-CN"/>
              </w:rPr>
              <w:t>ANO HR</w:t>
            </w:r>
          </w:p>
        </w:tc>
        <w:tc>
          <w:tcPr>
            <w:tcW w:w="7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19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供医疗机构作口腔颌面部X射线影像诊断用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2</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影像处理软件</w:t>
            </w:r>
          </w:p>
        </w:tc>
        <w:tc>
          <w:tcPr>
            <w:tcW w:w="1024"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 xml:space="preserve">NewTom </w:t>
            </w:r>
          </w:p>
        </w:tc>
        <w:tc>
          <w:tcPr>
            <w:tcW w:w="109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意大利 CEFLA S.C.</w:t>
            </w:r>
          </w:p>
        </w:tc>
        <w:tc>
          <w:tcPr>
            <w:tcW w:w="1318"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意大利/进口</w:t>
            </w:r>
          </w:p>
        </w:tc>
        <w:tc>
          <w:tcPr>
            <w:tcW w:w="120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NewTom NNT</w:t>
            </w:r>
          </w:p>
        </w:tc>
        <w:tc>
          <w:tcPr>
            <w:tcW w:w="7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19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对图像信息进行‌编辑、修复‌等处理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3</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影像</w:t>
            </w:r>
          </w:p>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工作站</w:t>
            </w:r>
          </w:p>
        </w:tc>
        <w:tc>
          <w:tcPr>
            <w:tcW w:w="1024"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惠普</w:t>
            </w:r>
          </w:p>
        </w:tc>
        <w:tc>
          <w:tcPr>
            <w:tcW w:w="109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美国 惠普公司</w:t>
            </w:r>
          </w:p>
        </w:tc>
        <w:tc>
          <w:tcPr>
            <w:tcW w:w="1318"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美国/</w:t>
            </w:r>
          </w:p>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进口</w:t>
            </w:r>
          </w:p>
        </w:tc>
        <w:tc>
          <w:tcPr>
            <w:tcW w:w="120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惠普Z</w:t>
            </w:r>
            <w:r>
              <w:rPr>
                <w:rFonts w:hint="eastAsia" w:ascii="仿宋" w:hAnsi="仿宋" w:eastAsia="仿宋" w:cs="仿宋"/>
                <w:color w:val="auto"/>
                <w:sz w:val="18"/>
                <w:szCs w:val="18"/>
                <w:lang w:eastAsia="zh-CN"/>
              </w:rPr>
              <w:t>4</w:t>
            </w:r>
            <w:r>
              <w:rPr>
                <w:rFonts w:hint="eastAsia" w:ascii="仿宋" w:hAnsi="仿宋" w:eastAsia="仿宋" w:cs="仿宋"/>
                <w:color w:val="auto"/>
                <w:sz w:val="18"/>
                <w:szCs w:val="18"/>
              </w:rPr>
              <w:t>G4</w:t>
            </w:r>
          </w:p>
        </w:tc>
        <w:tc>
          <w:tcPr>
            <w:tcW w:w="79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19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连接放射设备，提供图像后处理功能，‌支持打印图文报告和科室管理，‌数字化存储胶片信息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lang w:eastAsia="zh-CN"/>
              </w:rPr>
              <w:t>4</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独立原厂高速重建服务器</w:t>
            </w:r>
          </w:p>
        </w:tc>
        <w:tc>
          <w:tcPr>
            <w:tcW w:w="1024"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惠普</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美国 惠普公司</w:t>
            </w:r>
          </w:p>
        </w:tc>
        <w:tc>
          <w:tcPr>
            <w:tcW w:w="1318"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美国/</w:t>
            </w:r>
          </w:p>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进口</w:t>
            </w:r>
          </w:p>
        </w:tc>
        <w:tc>
          <w:tcPr>
            <w:tcW w:w="120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惠普Z</w:t>
            </w:r>
            <w:r>
              <w:rPr>
                <w:rFonts w:hint="eastAsia" w:ascii="仿宋" w:hAnsi="仿宋" w:eastAsia="仿宋" w:cs="仿宋"/>
                <w:color w:val="auto"/>
                <w:sz w:val="18"/>
                <w:szCs w:val="18"/>
                <w:lang w:eastAsia="zh-CN"/>
              </w:rPr>
              <w:t>4</w:t>
            </w:r>
            <w:r>
              <w:rPr>
                <w:rFonts w:hint="eastAsia" w:ascii="仿宋" w:hAnsi="仿宋" w:eastAsia="仿宋" w:cs="仿宋"/>
                <w:color w:val="auto"/>
                <w:sz w:val="18"/>
                <w:szCs w:val="18"/>
              </w:rPr>
              <w:t>G4</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199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连接放射设备，提供图像后处理功能，‌支持打印图文报告和科室管理，‌数字化存储胶片信息</w:t>
            </w:r>
          </w:p>
        </w:tc>
      </w:tr>
    </w:tbl>
    <w:p>
      <w:pPr>
        <w:pStyle w:val="22"/>
      </w:pP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法律依据：招标文件相关评分细则。</w:t>
      </w: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投诉答复4: NewTom全系列产品标配的最新版NNT软件，均使用微软SQL数据库，与招标参数无偏离。此项投诉不成立。</w:t>
      </w: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事实依据：以下附相关截图：</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eastAsia" w:ascii="仿宋_GB2312" w:hAnsi="仿宋_GB2312" w:eastAsia="仿宋_GB2312" w:cs="仿宋_GB2312"/>
          <w:b w:val="0"/>
          <w:bCs w:val="0"/>
          <w:sz w:val="32"/>
          <w:szCs w:val="32"/>
        </w:rPr>
      </w:pPr>
      <w:r>
        <w:rPr>
          <w:rFonts w:ascii="仿宋" w:hAnsi="仿宋" w:eastAsia="仿宋" w:cs="仿宋"/>
          <w:sz w:val="24"/>
        </w:rPr>
        <w:drawing>
          <wp:anchor distT="0" distB="0" distL="0" distR="0" simplePos="0" relativeHeight="251672576" behindDoc="0" locked="0" layoutInCell="1" allowOverlap="1">
            <wp:simplePos x="0" y="0"/>
            <wp:positionH relativeFrom="column">
              <wp:posOffset>156845</wp:posOffset>
            </wp:positionH>
            <wp:positionV relativeFrom="paragraph">
              <wp:posOffset>18415</wp:posOffset>
            </wp:positionV>
            <wp:extent cx="4886325" cy="3423920"/>
            <wp:effectExtent l="0" t="0" r="9525" b="5080"/>
            <wp:wrapSquare wrapText="bothSides"/>
            <wp:docPr id="276267472" name="图片 8" descr="G:\Tencent\WeChat Files\wxid_dvw54i90srea22\FileStorage\Temp\1723176556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67472" name="图片 8" descr="G:\Tencent\WeChat Files\wxid_dvw54i90srea22\FileStorage\Temp\1723176556335.png"/>
                    <pic:cNvPicPr>
                      <a:picLocks noChangeAspect="1" noChangeArrowheads="1"/>
                    </pic:cNvPicPr>
                  </pic:nvPicPr>
                  <pic:blipFill>
                    <a:blip r:embed="rId12" cstate="print"/>
                    <a:srcRect/>
                    <a:stretch>
                      <a:fillRect/>
                    </a:stretch>
                  </pic:blipFill>
                  <pic:spPr>
                    <a:xfrm>
                      <a:off x="0" y="0"/>
                      <a:ext cx="4887585" cy="3425121"/>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sz w:val="32"/>
          <w:szCs w:val="32"/>
        </w:rPr>
      </w:pPr>
      <w:r>
        <w:rPr>
          <w:rFonts w:hint="eastAsia" w:ascii="仿宋_GB2312" w:hAnsi="仿宋_GB2312" w:eastAsia="仿宋_GB2312" w:cs="仿宋_GB2312"/>
          <w:sz w:val="32"/>
          <w:szCs w:val="32"/>
          <w:lang w:eastAsia="zh-CN"/>
        </w:rPr>
        <w:t>法律依据：招标文件相关评分细则。</w:t>
      </w: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投诉答复5: 根据CEFLA S.C.提供的最新版彩页第27页、第28页显示，在三维数字化应用中，NewTom NNT软件可以各类第三方软件相连接并进行数据整合，包含口扫、3D打印机等，并且具备各种手术管理、手术规划等模块，与招标参数无偏离。此项投诉不成立。</w:t>
      </w:r>
    </w:p>
    <w:p>
      <w:pPr>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事实依据：《制造商CEFLA S.C.提供的最新版产品彩页》及如何与第三方设备软件连接的说明书。</w:t>
      </w:r>
    </w:p>
    <w:p>
      <w:pPr>
        <w:keepNext w:val="0"/>
        <w:keepLines w:val="0"/>
        <w:pageBreakBefore w:val="0"/>
        <w:widowControl w:val="0"/>
        <w:kinsoku/>
        <w:wordWrap/>
        <w:overflowPunct/>
        <w:topLinePunct w:val="0"/>
        <w:autoSpaceDE/>
        <w:autoSpaceDN/>
        <w:bidi w:val="0"/>
        <w:adjustRightInd/>
        <w:snapToGrid/>
        <w:spacing w:line="520" w:lineRule="exact"/>
        <w:ind w:firstLine="720" w:firstLineChars="300"/>
        <w:textAlignment w:val="auto"/>
        <w:rPr>
          <w:rFonts w:hint="eastAsia" w:ascii="黑体" w:hAnsi="黑体" w:eastAsia="黑体" w:cs="黑体"/>
          <w:b w:val="0"/>
          <w:bCs/>
          <w:sz w:val="32"/>
          <w:szCs w:val="32"/>
        </w:rPr>
      </w:pPr>
      <w:r>
        <w:rPr>
          <w:rFonts w:hint="eastAsia" w:ascii="仿宋" w:hAnsi="仿宋" w:eastAsia="仿宋" w:cs="仿宋"/>
          <w:sz w:val="24"/>
        </w:rPr>
        <w:drawing>
          <wp:anchor distT="0" distB="0" distL="114300" distR="114300" simplePos="0" relativeHeight="251674624" behindDoc="1" locked="0" layoutInCell="1" allowOverlap="1">
            <wp:simplePos x="0" y="0"/>
            <wp:positionH relativeFrom="column">
              <wp:posOffset>2604135</wp:posOffset>
            </wp:positionH>
            <wp:positionV relativeFrom="paragraph">
              <wp:posOffset>24765</wp:posOffset>
            </wp:positionV>
            <wp:extent cx="2662555" cy="3978910"/>
            <wp:effectExtent l="0" t="0" r="4445" b="2540"/>
            <wp:wrapNone/>
            <wp:docPr id="1332299935" name="图片 6" descr="G:\Tencent\WeChat Files\wxid_dvw54i90srea22\FileStorage\Temp\172317590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99935" name="图片 6" descr="G:\Tencent\WeChat Files\wxid_dvw54i90srea22\FileStorage\Temp\1723175901614.png"/>
                    <pic:cNvPicPr>
                      <a:picLocks noChangeAspect="1" noChangeArrowheads="1"/>
                    </pic:cNvPicPr>
                  </pic:nvPicPr>
                  <pic:blipFill>
                    <a:blip r:embed="rId13" cstate="print"/>
                    <a:srcRect/>
                    <a:stretch>
                      <a:fillRect/>
                    </a:stretch>
                  </pic:blipFill>
                  <pic:spPr>
                    <a:xfrm>
                      <a:off x="0" y="0"/>
                      <a:ext cx="2662555" cy="3978910"/>
                    </a:xfrm>
                    <a:prstGeom prst="rect">
                      <a:avLst/>
                    </a:prstGeom>
                    <a:noFill/>
                    <a:ln w="9525">
                      <a:noFill/>
                      <a:miter lim="800000"/>
                      <a:headEnd/>
                      <a:tailEnd/>
                    </a:ln>
                  </pic:spPr>
                </pic:pic>
              </a:graphicData>
            </a:graphic>
          </wp:anchor>
        </w:drawing>
      </w:r>
      <w:r>
        <w:rPr>
          <w:rFonts w:hint="eastAsia" w:ascii="仿宋" w:hAnsi="仿宋" w:eastAsia="仿宋" w:cs="仿宋"/>
          <w:sz w:val="24"/>
        </w:rPr>
        <w:drawing>
          <wp:anchor distT="0" distB="0" distL="114300" distR="114300" simplePos="0" relativeHeight="251673600" behindDoc="1" locked="0" layoutInCell="1" allowOverlap="1">
            <wp:simplePos x="0" y="0"/>
            <wp:positionH relativeFrom="column">
              <wp:posOffset>-342900</wp:posOffset>
            </wp:positionH>
            <wp:positionV relativeFrom="paragraph">
              <wp:posOffset>89535</wp:posOffset>
            </wp:positionV>
            <wp:extent cx="3001645" cy="3942080"/>
            <wp:effectExtent l="0" t="0" r="8255" b="1270"/>
            <wp:wrapNone/>
            <wp:docPr id="14" name="图片 5" descr="G:\Tencent\WeChat Files\wxid_dvw54i90srea22\FileStorage\Temp\1723175820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descr="G:\Tencent\WeChat Files\wxid_dvw54i90srea22\FileStorage\Temp\1723175820477.png"/>
                    <pic:cNvPicPr>
                      <a:picLocks noChangeAspect="1" noChangeArrowheads="1"/>
                    </pic:cNvPicPr>
                  </pic:nvPicPr>
                  <pic:blipFill>
                    <a:blip r:embed="rId14" cstate="print"/>
                    <a:srcRect/>
                    <a:stretch>
                      <a:fillRect/>
                    </a:stretch>
                  </pic:blipFill>
                  <pic:spPr>
                    <a:xfrm>
                      <a:off x="0" y="0"/>
                      <a:ext cx="3001645" cy="3942080"/>
                    </a:xfrm>
                    <a:prstGeom prst="rect">
                      <a:avLst/>
                    </a:prstGeom>
                    <a:noFill/>
                    <a:ln w="9525">
                      <a:noFill/>
                      <a:miter lim="800000"/>
                      <a:headEnd/>
                      <a:tailEnd/>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eastAsia="zh-CN"/>
        </w:rPr>
        <w:t>法律依据：招标文件相关评分细则。</w:t>
      </w:r>
    </w:p>
    <w:p>
      <w:pPr>
        <w:widowControl/>
        <w:numPr>
          <w:ilvl w:val="0"/>
          <w:numId w:val="1"/>
        </w:numPr>
        <w:spacing w:line="520" w:lineRule="exact"/>
        <w:ind w:firstLine="448" w:firstLineChars="200"/>
        <w:rPr>
          <w:rFonts w:hint="eastAsia"/>
        </w:rPr>
      </w:pPr>
      <w:r>
        <w:rPr>
          <w:rFonts w:hint="eastAsia" w:ascii="仿宋" w:hAnsi="仿宋" w:eastAsia="仿宋" w:cs="仿宋"/>
          <w:spacing w:val="7"/>
          <w:lang w:eastAsia="zh-CN"/>
        </w:rPr>
        <w:drawing>
          <wp:anchor distT="0" distB="0" distL="114300" distR="114300" simplePos="0" relativeHeight="251682816" behindDoc="0" locked="0" layoutInCell="1" allowOverlap="1">
            <wp:simplePos x="0" y="0"/>
            <wp:positionH relativeFrom="column">
              <wp:posOffset>111125</wp:posOffset>
            </wp:positionH>
            <wp:positionV relativeFrom="paragraph">
              <wp:posOffset>3727450</wp:posOffset>
            </wp:positionV>
            <wp:extent cx="5330825" cy="4461510"/>
            <wp:effectExtent l="0" t="0" r="3175" b="15240"/>
            <wp:wrapSquare wrapText="bothSides"/>
            <wp:docPr id="24" name="图片 24" descr="CCF_000857  PDF版本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CF_000857  PDF版本_15"/>
                    <pic:cNvPicPr>
                      <a:picLocks noChangeAspect="1"/>
                    </pic:cNvPicPr>
                  </pic:nvPicPr>
                  <pic:blipFill>
                    <a:blip r:embed="rId18"/>
                    <a:srcRect t="28271"/>
                    <a:stretch>
                      <a:fillRect/>
                    </a:stretch>
                  </pic:blipFill>
                  <pic:spPr>
                    <a:xfrm>
                      <a:off x="0" y="0"/>
                      <a:ext cx="5330825" cy="4461510"/>
                    </a:xfrm>
                    <a:prstGeom prst="rect">
                      <a:avLst/>
                    </a:prstGeom>
                  </pic:spPr>
                </pic:pic>
              </a:graphicData>
            </a:graphic>
          </wp:anchor>
        </w:drawing>
      </w:r>
      <w:r>
        <w:rPr>
          <w:rFonts w:hint="eastAsia" w:ascii="仿宋_GB2312" w:hAnsi="仿宋_GB2312" w:eastAsia="仿宋_GB2312" w:cs="仿宋_GB2312"/>
          <w:b w:val="0"/>
          <w:bCs w:val="0"/>
          <w:spacing w:val="0"/>
          <w:sz w:val="32"/>
          <w:szCs w:val="32"/>
          <w:lang w:eastAsia="zh-CN"/>
        </w:rPr>
        <w:t>根据</w:t>
      </w:r>
      <w:r>
        <w:rPr>
          <w:rFonts w:hint="eastAsia" w:ascii="仿宋_GB2312" w:hAnsi="仿宋_GB2312" w:eastAsia="仿宋_GB2312" w:cs="仿宋_GB2312"/>
          <w:spacing w:val="0"/>
          <w:sz w:val="32"/>
          <w:szCs w:val="32"/>
          <w:lang w:eastAsia="zh-CN"/>
        </w:rPr>
        <w:t xml:space="preserve"> </w:t>
      </w:r>
      <w:r>
        <w:rPr>
          <w:rFonts w:hint="eastAsia" w:ascii="仿宋_GB2312" w:hAnsi="仿宋_GB2312" w:eastAsia="仿宋_GB2312" w:cs="仿宋_GB2312"/>
          <w:b w:val="0"/>
          <w:bCs w:val="0"/>
          <w:spacing w:val="0"/>
          <w:sz w:val="32"/>
          <w:szCs w:val="32"/>
          <w:lang w:eastAsia="zh-CN"/>
        </w:rPr>
        <w:t>202</w:t>
      </w:r>
      <w:r>
        <w:rPr>
          <w:rFonts w:hint="eastAsia" w:ascii="仿宋_GB2312" w:hAnsi="仿宋_GB2312" w:eastAsia="仿宋_GB2312" w:cs="仿宋_GB2312"/>
          <w:b w:val="0"/>
          <w:bCs w:val="0"/>
          <w:spacing w:val="0"/>
          <w:sz w:val="32"/>
          <w:szCs w:val="32"/>
          <w:lang w:val="en-US" w:eastAsia="zh-CN"/>
        </w:rPr>
        <w:t>4</w:t>
      </w:r>
      <w:r>
        <w:rPr>
          <w:rFonts w:hint="eastAsia" w:ascii="仿宋_GB2312" w:hAnsi="仿宋_GB2312" w:eastAsia="仿宋_GB2312" w:cs="仿宋_GB2312"/>
          <w:b w:val="0"/>
          <w:bCs w:val="0"/>
          <w:spacing w:val="0"/>
          <w:sz w:val="32"/>
          <w:szCs w:val="32"/>
          <w:lang w:eastAsia="zh-CN"/>
        </w:rPr>
        <w:t>年8月12日</w:t>
      </w:r>
      <w:r>
        <w:rPr>
          <w:rFonts w:hint="eastAsia" w:ascii="仿宋_GB2312" w:hAnsi="仿宋_GB2312" w:eastAsia="仿宋_GB2312" w:cs="仿宋_GB2312"/>
          <w:spacing w:val="0"/>
          <w:sz w:val="32"/>
          <w:szCs w:val="32"/>
          <w:u w:val="none"/>
          <w:lang w:eastAsia="zh-CN"/>
        </w:rPr>
        <w:t>浙江越锋项目管理有限公司、绍兴第二医院医共体总院</w:t>
      </w:r>
      <w:r>
        <w:rPr>
          <w:rFonts w:hint="eastAsia" w:ascii="仿宋_GB2312" w:hAnsi="仿宋_GB2312" w:eastAsia="仿宋_GB2312" w:cs="仿宋_GB2312"/>
          <w:spacing w:val="0"/>
          <w:sz w:val="32"/>
          <w:szCs w:val="32"/>
          <w:lang w:eastAsia="zh-CN"/>
        </w:rPr>
        <w:t>给出的质疑的答复函文件中针对我司质疑事项1提供的证明文件图片</w:t>
      </w:r>
      <w:r>
        <w:rPr>
          <w:rFonts w:hint="eastAsia" w:ascii="仿宋_GB2312" w:hAnsi="仿宋_GB2312" w:eastAsia="仿宋_GB2312" w:cs="仿宋_GB2312"/>
          <w:sz w:val="32"/>
          <w:szCs w:val="32"/>
          <w:lang w:eastAsia="zh-CN"/>
        </w:rPr>
        <w:t xml:space="preserve">第二页：“技术参数页中2D最高分辨率全景6.3-7.5lp/mm(像素35um)头侧 </w:t>
      </w:r>
      <w:r>
        <w:rPr>
          <w:rFonts w:hint="eastAsia" w:ascii="仿宋_GB2312" w:hAnsi="仿宋_GB2312" w:eastAsia="仿宋_GB2312" w:cs="仿宋_GB2312"/>
          <w:spacing w:val="0"/>
          <w:sz w:val="32"/>
          <w:szCs w:val="32"/>
          <w:lang w:eastAsia="zh-CN"/>
        </w:rPr>
        <w:t>5.6lp/mm (像素35um)”中明显是伪造过的，而且对方造假的水平也实在是一般存在基本的错误，只把后部分“像素”数值做了伪造，其不知道基本的线对和像素的换算关系。根据医学数字成像技术对空间分辨率的解释中，明确了线对和分辨率的计算5÷1p/cm方式，即5÷63 lp/cm 、5÷75lp/cm=像素79.36、像素</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lang w:eastAsia="zh-CN"/>
        </w:rPr>
        <w:t>66.66um。这个才是真实的数据。同时更确定了我们提交的彩页中才是它们真实的数据。</w:t>
      </w:r>
      <w:r>
        <w:rPr>
          <w:rFonts w:hint="eastAsia" w:ascii="仿宋_GB2312" w:hAnsi="仿宋_GB2312" w:eastAsia="仿宋_GB2312" w:cs="仿宋_GB2312"/>
          <w:spacing w:val="0"/>
          <w:sz w:val="32"/>
          <w:szCs w:val="32"/>
        </w:rPr>
        <w:t>(见下图)</w:t>
      </w:r>
    </w:p>
    <w:p>
      <w:pPr>
        <w:widowControl/>
        <w:spacing w:before="0" w:line="520" w:lineRule="exact"/>
        <w:ind w:left="0" w:firstLine="640" w:firstLineChars="200"/>
        <w:rPr>
          <w:rFonts w:hint="eastAsia" w:ascii="仿宋_GB2312" w:hAnsi="仿宋_GB2312" w:eastAsia="仿宋_GB2312" w:cs="仿宋_GB2312"/>
          <w:b w:val="0"/>
          <w:bCs w:val="0"/>
          <w:spacing w:val="-6"/>
          <w:sz w:val="32"/>
          <w:szCs w:val="32"/>
          <w:lang w:eastAsia="zh-CN"/>
        </w:rPr>
      </w:pPr>
      <w:r>
        <w:rPr>
          <w:rFonts w:hint="eastAsia" w:ascii="仿宋_GB2312" w:hAnsi="仿宋_GB2312" w:eastAsia="仿宋_GB2312" w:cs="仿宋_GB2312"/>
          <w:b w:val="0"/>
          <w:bCs w:val="0"/>
          <w:spacing w:val="0"/>
          <w:sz w:val="32"/>
          <w:szCs w:val="32"/>
          <w:lang w:eastAsia="zh-CN"/>
        </w:rPr>
        <w:t>以</w:t>
      </w:r>
      <w:r>
        <w:rPr>
          <w:rFonts w:hint="eastAsia" w:ascii="仿宋_GB2312" w:hAnsi="仿宋_GB2312" w:eastAsia="仿宋_GB2312" w:cs="仿宋_GB2312"/>
          <w:b w:val="0"/>
          <w:bCs w:val="0"/>
          <w:spacing w:val="-6"/>
          <w:sz w:val="32"/>
          <w:szCs w:val="32"/>
          <w:lang w:eastAsia="zh-CN"/>
        </w:rPr>
        <w:t>下图片为对方产品的官方技术参数以及线对和精度的解释</w:t>
      </w:r>
    </w:p>
    <w:p>
      <w:pPr>
        <w:rPr>
          <w:rFonts w:hint="eastAsia" w:ascii="Calibri" w:hAnsi="Calibri" w:eastAsia="宋体" w:cs="Times New Roman"/>
          <w:kern w:val="2"/>
          <w:sz w:val="21"/>
          <w:szCs w:val="22"/>
          <w:lang w:val="en-US" w:eastAsia="zh-CN" w:bidi="ar-SA"/>
        </w:rPr>
      </w:pPr>
      <w:r>
        <w:rPr>
          <w:rFonts w:hint="eastAsia" w:eastAsia="宋体"/>
          <w:sz w:val="15"/>
          <w:szCs w:val="15"/>
          <w:lang w:eastAsia="zh-CN"/>
        </w:rPr>
        <w:drawing>
          <wp:anchor distT="0" distB="0" distL="114300" distR="114300" simplePos="0" relativeHeight="251673600" behindDoc="0" locked="0" layoutInCell="1" allowOverlap="1">
            <wp:simplePos x="0" y="0"/>
            <wp:positionH relativeFrom="column">
              <wp:posOffset>41275</wp:posOffset>
            </wp:positionH>
            <wp:positionV relativeFrom="paragraph">
              <wp:posOffset>64770</wp:posOffset>
            </wp:positionV>
            <wp:extent cx="5213350" cy="4581525"/>
            <wp:effectExtent l="0" t="0" r="6350" b="9525"/>
            <wp:wrapSquare wrapText="bothSides"/>
            <wp:docPr id="25" name="图片 25" descr="CCF_000857  PDF版本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CF_000857  PDF版本_16"/>
                    <pic:cNvPicPr>
                      <a:picLocks noChangeAspect="1"/>
                    </pic:cNvPicPr>
                  </pic:nvPicPr>
                  <pic:blipFill>
                    <a:blip r:embed="rId19"/>
                    <a:srcRect t="11353"/>
                    <a:stretch>
                      <a:fillRect/>
                    </a:stretch>
                  </pic:blipFill>
                  <pic:spPr>
                    <a:xfrm>
                      <a:off x="0" y="0"/>
                      <a:ext cx="5213350" cy="4581525"/>
                    </a:xfrm>
                    <a:prstGeom prst="rect">
                      <a:avLst/>
                    </a:prstGeom>
                  </pic:spPr>
                </pic:pic>
              </a:graphicData>
            </a:graphic>
          </wp:anchor>
        </w:drawing>
      </w:r>
    </w:p>
    <w:p>
      <w:pPr>
        <w:tabs>
          <w:tab w:val="left" w:pos="7373"/>
        </w:tabs>
        <w:jc w:val="lef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r>
        <w:rPr>
          <w:rFonts w:hint="eastAsia" w:ascii="仿宋_GB2312" w:hAnsi="仿宋_GB2312" w:eastAsia="仿宋_GB2312" w:cs="仿宋_GB2312"/>
          <w:b w:val="0"/>
          <w:bCs w:val="0"/>
          <w:spacing w:val="0"/>
          <w:sz w:val="32"/>
          <w:szCs w:val="32"/>
          <w:lang w:eastAsia="zh-CN"/>
        </w:rPr>
        <w:t>关于LP/mm</w:t>
      </w:r>
      <w:r>
        <w:rPr>
          <w:rFonts w:hint="eastAsia" w:ascii="仿宋_GB2312" w:hAnsi="仿宋_GB2312" w:eastAsia="仿宋_GB2312" w:cs="仿宋_GB2312"/>
          <w:spacing w:val="0"/>
          <w:sz w:val="32"/>
          <w:szCs w:val="32"/>
          <w:lang w:eastAsia="zh-CN"/>
        </w:rPr>
        <w:t xml:space="preserve"> </w:t>
      </w:r>
      <w:r>
        <w:rPr>
          <w:rFonts w:hint="eastAsia" w:ascii="仿宋_GB2312" w:hAnsi="仿宋_GB2312" w:eastAsia="仿宋_GB2312" w:cs="仿宋_GB2312"/>
          <w:b w:val="0"/>
          <w:bCs w:val="0"/>
          <w:spacing w:val="0"/>
          <w:sz w:val="32"/>
          <w:szCs w:val="32"/>
          <w:lang w:eastAsia="zh-CN"/>
        </w:rPr>
        <w:t>(线对)和Pixels</w:t>
      </w:r>
      <w:r>
        <w:rPr>
          <w:rFonts w:hint="eastAsia" w:ascii="仿宋_GB2312" w:hAnsi="仿宋_GB2312" w:eastAsia="仿宋_GB2312" w:cs="仿宋_GB2312"/>
          <w:spacing w:val="0"/>
          <w:sz w:val="32"/>
          <w:szCs w:val="32"/>
          <w:lang w:eastAsia="zh-CN"/>
        </w:rPr>
        <w:t xml:space="preserve"> </w:t>
      </w:r>
      <w:r>
        <w:rPr>
          <w:rFonts w:hint="eastAsia" w:ascii="仿宋_GB2312" w:hAnsi="仿宋_GB2312" w:eastAsia="仿宋_GB2312" w:cs="仿宋_GB2312"/>
          <w:b w:val="0"/>
          <w:bCs w:val="0"/>
          <w:spacing w:val="0"/>
          <w:sz w:val="32"/>
          <w:szCs w:val="32"/>
          <w:lang w:eastAsia="zh-CN"/>
        </w:rPr>
        <w:t>(像素)的换算方式，我们提供了中国现有医用影像教材一《医学数字成像技术》中的官方换算公式：像素</w:t>
      </w:r>
      <w:r>
        <w:rPr>
          <w:rFonts w:hint="eastAsia" w:ascii="仿宋_GB2312" w:hAnsi="仿宋_GB2312" w:eastAsia="仿宋_GB2312" w:cs="仿宋_GB2312"/>
          <w:b w:val="0"/>
          <w:bCs w:val="0"/>
          <w:spacing w:val="0"/>
          <w:sz w:val="32"/>
          <w:szCs w:val="32"/>
          <w:lang w:val="en-US" w:eastAsia="zh-CN"/>
        </w:rPr>
        <w:t>=</w:t>
      </w:r>
      <w:r>
        <w:rPr>
          <w:rFonts w:hint="eastAsia" w:ascii="仿宋_GB2312" w:hAnsi="仿宋_GB2312" w:eastAsia="仿宋_GB2312" w:cs="仿宋_GB2312"/>
          <w:b w:val="0"/>
          <w:bCs w:val="0"/>
          <w:spacing w:val="0"/>
          <w:sz w:val="32"/>
          <w:szCs w:val="32"/>
          <w:lang w:eastAsia="zh-CN"/>
        </w:rPr>
        <w:t>5÷Lp/cm,所以NEWTOM官方彩页中的5.6LP/mm, 通过换算为89.29像素，与官方彩页描述的90um</w:t>
      </w:r>
      <w:r>
        <w:rPr>
          <w:rFonts w:hint="eastAsia" w:ascii="仿宋_GB2312" w:hAnsi="仿宋_GB2312" w:eastAsia="仿宋_GB2312" w:cs="仿宋_GB2312"/>
          <w:spacing w:val="0"/>
          <w:sz w:val="32"/>
          <w:szCs w:val="32"/>
          <w:lang w:eastAsia="zh-CN"/>
        </w:rPr>
        <w:t xml:space="preserve"> </w:t>
      </w:r>
      <w:r>
        <w:rPr>
          <w:rFonts w:hint="eastAsia" w:ascii="仿宋_GB2312" w:hAnsi="仿宋_GB2312" w:eastAsia="仿宋_GB2312" w:cs="仿宋_GB2312"/>
          <w:b w:val="0"/>
          <w:bCs w:val="0"/>
          <w:spacing w:val="0"/>
          <w:sz w:val="32"/>
          <w:szCs w:val="32"/>
          <w:lang w:eastAsia="zh-CN"/>
        </w:rPr>
        <w:t>一致，与投标人伪造文件中出现的35um</w:t>
      </w:r>
      <w:r>
        <w:rPr>
          <w:rFonts w:hint="eastAsia" w:ascii="仿宋_GB2312" w:hAnsi="仿宋_GB2312" w:eastAsia="仿宋_GB2312" w:cs="仿宋_GB2312"/>
          <w:spacing w:val="0"/>
          <w:sz w:val="32"/>
          <w:szCs w:val="32"/>
          <w:lang w:eastAsia="zh-CN"/>
        </w:rPr>
        <w:t xml:space="preserve"> </w:t>
      </w:r>
      <w:r>
        <w:rPr>
          <w:rFonts w:hint="eastAsia" w:ascii="仿宋_GB2312" w:hAnsi="仿宋_GB2312" w:eastAsia="仿宋_GB2312" w:cs="仿宋_GB2312"/>
          <w:b w:val="0"/>
          <w:bCs w:val="0"/>
          <w:spacing w:val="0"/>
          <w:sz w:val="32"/>
          <w:szCs w:val="32"/>
          <w:lang w:eastAsia="zh-CN"/>
        </w:rPr>
        <w:t>不一致。</w:t>
      </w:r>
    </w:p>
    <w:p>
      <w:pPr>
        <w:widowControl/>
        <w:spacing w:before="0" w:line="520" w:lineRule="exact"/>
        <w:ind w:left="0" w:right="0" w:firstLine="420" w:firstLineChars="200"/>
        <w:rPr>
          <w:rFonts w:hint="eastAsia" w:ascii="仿宋_GB2312" w:hAnsi="仿宋_GB2312" w:eastAsia="仿宋_GB2312" w:cs="仿宋_GB2312"/>
          <w:b w:val="0"/>
          <w:bCs w:val="0"/>
          <w:spacing w:val="0"/>
          <w:sz w:val="32"/>
          <w:szCs w:val="32"/>
          <w:lang w:eastAsia="zh-CN"/>
        </w:rPr>
      </w:pPr>
      <w:r>
        <w:drawing>
          <wp:anchor distT="0" distB="0" distL="114300" distR="114300" simplePos="0" relativeHeight="251676672" behindDoc="1" locked="0" layoutInCell="1" allowOverlap="1">
            <wp:simplePos x="0" y="0"/>
            <wp:positionH relativeFrom="column">
              <wp:posOffset>2896235</wp:posOffset>
            </wp:positionH>
            <wp:positionV relativeFrom="paragraph">
              <wp:posOffset>132715</wp:posOffset>
            </wp:positionV>
            <wp:extent cx="2094230" cy="1562100"/>
            <wp:effectExtent l="0" t="0" r="1270" b="0"/>
            <wp:wrapNone/>
            <wp:docPr id="28" name="图片 28" descr="CCF_000857  PDF版本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CF_000857  PDF版本_17"/>
                    <pic:cNvPicPr>
                      <a:picLocks noChangeAspect="1"/>
                    </pic:cNvPicPr>
                  </pic:nvPicPr>
                  <pic:blipFill>
                    <a:blip r:embed="rId20"/>
                    <a:srcRect l="51788" t="15411" r="9925" b="64563"/>
                    <a:stretch>
                      <a:fillRect/>
                    </a:stretch>
                  </pic:blipFill>
                  <pic:spPr>
                    <a:xfrm>
                      <a:off x="0" y="0"/>
                      <a:ext cx="2094230" cy="1562100"/>
                    </a:xfrm>
                    <a:prstGeom prst="rect">
                      <a:avLst/>
                    </a:prstGeom>
                  </pic:spPr>
                </pic:pic>
              </a:graphicData>
            </a:graphic>
          </wp:anchor>
        </w:drawing>
      </w:r>
      <w:r>
        <w:drawing>
          <wp:anchor distT="0" distB="0" distL="114300" distR="114300" simplePos="0" relativeHeight="251675648" behindDoc="1" locked="0" layoutInCell="1" allowOverlap="1">
            <wp:simplePos x="0" y="0"/>
            <wp:positionH relativeFrom="column">
              <wp:posOffset>-52070</wp:posOffset>
            </wp:positionH>
            <wp:positionV relativeFrom="paragraph">
              <wp:posOffset>90805</wp:posOffset>
            </wp:positionV>
            <wp:extent cx="2800350" cy="1562100"/>
            <wp:effectExtent l="0" t="0" r="0" b="0"/>
            <wp:wrapNone/>
            <wp:docPr id="26" name="图片 26" descr="CCF_000857  PDF版本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CF_000857  PDF版本_17"/>
                    <pic:cNvPicPr>
                      <a:picLocks noChangeAspect="1"/>
                    </pic:cNvPicPr>
                  </pic:nvPicPr>
                  <pic:blipFill>
                    <a:blip r:embed="rId20"/>
                    <a:srcRect t="16477" r="48804" b="63497"/>
                    <a:stretch>
                      <a:fillRect/>
                    </a:stretch>
                  </pic:blipFill>
                  <pic:spPr>
                    <a:xfrm>
                      <a:off x="0" y="0"/>
                      <a:ext cx="2800350" cy="1562100"/>
                    </a:xfrm>
                    <a:prstGeom prst="rect">
                      <a:avLst/>
                    </a:prstGeom>
                  </pic:spPr>
                </pic:pic>
              </a:graphicData>
            </a:graphic>
          </wp:anchor>
        </w:drawing>
      </w:r>
    </w:p>
    <w:p>
      <w:pPr>
        <w:widowControl/>
        <w:spacing w:before="0" w:line="520" w:lineRule="exact"/>
        <w:ind w:left="0" w:right="0" w:firstLine="640" w:firstLineChars="200"/>
        <w:rPr>
          <w:rFonts w:hint="eastAsia" w:ascii="仿宋_GB2312" w:hAnsi="仿宋_GB2312" w:eastAsia="仿宋_GB2312" w:cs="仿宋_GB2312"/>
          <w:b w:val="0"/>
          <w:bCs w:val="0"/>
          <w:spacing w:val="0"/>
          <w:sz w:val="32"/>
          <w:szCs w:val="32"/>
          <w:lang w:eastAsia="zh-CN"/>
        </w:rPr>
      </w:pP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答复：关于浙江匠普针对质疑回复1的相关投诉事项，我司认为其实属无稽之谈，并有恶意中伤之嫌。原因有以下几点：</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我司已向NewTom GiANO HR的生产厂家CEFLA S.C.，中文名称为赛福徕集团，进行相关求证，其中国区负责人表示我司在答复质疑的过程中所提供的所有资料，包含产品彩页、技术白皮书等皆为最新版本且真实有效。</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浙江匠普所提供的相关资料皆为其恶意伪造，且其所谓线对和像素的换算公式皆为普通教材的一般情况，并不能涵盖市场上各类产品的各项极限数据。</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证明我司所提供材料之真实性，特另附由国家药品监督管理局所批准通过的产品医疗械注册证之附件产品技术要求，其中第16页明确标注曲面体层探测器及头颅探测器的像素大小为35μm，其权威性毋庸置疑，故我司产品完全符合招标技术参数要求（详见附件）。</w:t>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30" w:firstLineChars="300"/>
        <w:textAlignment w:val="auto"/>
        <w:rPr>
          <w:rFonts w:hint="eastAsia" w:ascii="黑体" w:hAnsi="黑体" w:eastAsia="黑体" w:cs="黑体"/>
          <w:b w:val="0"/>
          <w:bCs/>
          <w:sz w:val="32"/>
          <w:szCs w:val="32"/>
        </w:rPr>
      </w:pPr>
      <w:r>
        <w:rPr>
          <w:lang w:eastAsia="zh-CN"/>
        </w:rPr>
        <w:drawing>
          <wp:anchor distT="0" distB="0" distL="0" distR="0" simplePos="0" relativeHeight="251677696" behindDoc="0" locked="0" layoutInCell="1" allowOverlap="1">
            <wp:simplePos x="0" y="0"/>
            <wp:positionH relativeFrom="column">
              <wp:posOffset>257175</wp:posOffset>
            </wp:positionH>
            <wp:positionV relativeFrom="paragraph">
              <wp:posOffset>-93980</wp:posOffset>
            </wp:positionV>
            <wp:extent cx="5143500" cy="6141720"/>
            <wp:effectExtent l="0" t="0" r="0" b="11430"/>
            <wp:wrapSquare wrapText="bothSides"/>
            <wp:docPr id="13501387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38772"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43500" cy="614172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0"/>
          <w:sz w:val="32"/>
          <w:szCs w:val="32"/>
          <w:lang w:val="en-US" w:eastAsia="zh-CN"/>
        </w:rPr>
        <w:t>二、</w:t>
      </w:r>
      <w:r>
        <w:rPr>
          <w:rFonts w:hint="eastAsia" w:ascii="仿宋_GB2312" w:hAnsi="仿宋_GB2312" w:eastAsia="仿宋_GB2312" w:cs="仿宋_GB2312"/>
          <w:spacing w:val="0"/>
          <w:sz w:val="32"/>
          <w:szCs w:val="32"/>
          <w:lang w:eastAsia="zh-CN"/>
        </w:rPr>
        <w:t>同理，质疑函中质疑事项2也是同样伪造技术数据。原招标文件要求“3.4.7</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lang w:eastAsia="zh-CN"/>
        </w:rPr>
        <w:t>◆头颅正畸模块，可拍摄正位，侧位，可设定大小，可拍摄范围≥30x27cm(宽 x高),最高精度≤48</w:t>
      </w:r>
      <w:r>
        <w:rPr>
          <w:rFonts w:hint="eastAsia" w:ascii="仿宋_GB2312" w:hAnsi="仿宋_GB2312" w:eastAsia="仿宋_GB2312" w:cs="仿宋_GB2312"/>
          <w:spacing w:val="0"/>
          <w:sz w:val="32"/>
          <w:szCs w:val="32"/>
        </w:rPr>
        <w:t>μ</w:t>
      </w:r>
      <w:r>
        <w:rPr>
          <w:rFonts w:hint="eastAsia" w:ascii="仿宋_GB2312" w:hAnsi="仿宋_GB2312" w:eastAsia="仿宋_GB2312" w:cs="仿宋_GB2312"/>
          <w:spacing w:val="0"/>
          <w:sz w:val="32"/>
          <w:szCs w:val="32"/>
          <w:lang w:eastAsia="zh-CN"/>
        </w:rPr>
        <w:t>m”, 对方也是同样伪造了视野大小一项数据即“30(长</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lang w:eastAsia="zh-CN"/>
        </w:rPr>
        <w:t>度)*27(高度)”,而视野模式具体数据中明确写明了三种模式即“20*22(成人)、30*18(儿童)、20*18(儿童)”,最高精度35</w:t>
      </w:r>
      <w:r>
        <w:rPr>
          <w:rFonts w:hint="eastAsia" w:ascii="仿宋_GB2312" w:hAnsi="仿宋_GB2312" w:eastAsia="仿宋_GB2312" w:cs="仿宋_GB2312"/>
          <w:spacing w:val="0"/>
          <w:sz w:val="32"/>
          <w:szCs w:val="32"/>
        </w:rPr>
        <w:t>μ</w:t>
      </w:r>
      <w:r>
        <w:rPr>
          <w:rFonts w:hint="eastAsia" w:ascii="仿宋_GB2312" w:hAnsi="仿宋_GB2312" w:eastAsia="仿宋_GB2312" w:cs="仿宋_GB2312"/>
          <w:spacing w:val="0"/>
          <w:sz w:val="32"/>
          <w:szCs w:val="32"/>
          <w:lang w:eastAsia="zh-CN"/>
        </w:rPr>
        <w:t>m也同样为质疑事项1中所提供的伪造说明，如此低劣的造假手法一眼明见。</w:t>
      </w:r>
    </w:p>
    <w:p>
      <w:pPr>
        <w:widowControl/>
        <w:spacing w:before="0" w:line="520" w:lineRule="exact"/>
        <w:ind w:left="0" w:right="0" w:firstLine="640" w:firstLineChars="200"/>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b w:val="0"/>
          <w:bCs w:val="0"/>
          <w:spacing w:val="0"/>
          <w:sz w:val="32"/>
          <w:szCs w:val="32"/>
          <w:lang w:eastAsia="zh-CN"/>
        </w:rPr>
        <w:t>此图为对方投标文件中提供的证明文件</w:t>
      </w:r>
      <w:r>
        <w:rPr>
          <w:rFonts w:hint="eastAsia" w:ascii="仿宋_GB2312" w:hAnsi="仿宋_GB2312" w:eastAsia="仿宋_GB2312" w:cs="仿宋_GB2312"/>
          <w:spacing w:val="0"/>
          <w:sz w:val="32"/>
          <w:szCs w:val="32"/>
          <w:lang w:eastAsia="zh-CN"/>
        </w:rPr>
        <w:t xml:space="preserve"> </w:t>
      </w:r>
    </w:p>
    <w:p>
      <w:pPr>
        <w:pStyle w:val="3"/>
        <w:rPr>
          <w:rFonts w:hint="eastAsia" w:ascii="黑体" w:hAnsi="黑体" w:eastAsia="黑体" w:cs="黑体"/>
          <w:b w:val="0"/>
          <w:bCs/>
          <w:sz w:val="32"/>
          <w:szCs w:val="32"/>
        </w:rPr>
      </w:pPr>
      <w:r>
        <w:drawing>
          <wp:anchor distT="0" distB="0" distL="114300" distR="114300" simplePos="0" relativeHeight="251679744" behindDoc="1" locked="0" layoutInCell="1" allowOverlap="1">
            <wp:simplePos x="0" y="0"/>
            <wp:positionH relativeFrom="column">
              <wp:posOffset>-53340</wp:posOffset>
            </wp:positionH>
            <wp:positionV relativeFrom="paragraph">
              <wp:posOffset>24130</wp:posOffset>
            </wp:positionV>
            <wp:extent cx="5939790" cy="2743835"/>
            <wp:effectExtent l="0" t="0" r="3810" b="18415"/>
            <wp:wrapNone/>
            <wp:docPr id="29" name="图片 29" descr="CCF_000857  PDF版本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CF_000857  PDF版本_17"/>
                    <pic:cNvPicPr>
                      <a:picLocks noChangeAspect="1"/>
                    </pic:cNvPicPr>
                  </pic:nvPicPr>
                  <pic:blipFill>
                    <a:blip r:embed="rId20"/>
                    <a:srcRect l="12040" t="61413" r="10041" b="13351"/>
                    <a:stretch>
                      <a:fillRect/>
                    </a:stretch>
                  </pic:blipFill>
                  <pic:spPr>
                    <a:xfrm>
                      <a:off x="0" y="0"/>
                      <a:ext cx="5939790" cy="2743835"/>
                    </a:xfrm>
                    <a:prstGeom prst="rect">
                      <a:avLst/>
                    </a:prstGeom>
                  </pic:spPr>
                </pic:pic>
              </a:graphicData>
            </a:graphic>
          </wp:anchor>
        </w:drawing>
      </w: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答复：关于浙江匠普针对质疑回复2的相关投诉事项，我司认为其实属无稽之谈，并有恶意中伤之嫌。原因有以下几点：</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我司已向NewTom GiANO HR的生产厂家CEFLA S.C.，中文名称为赛福徕集团，进行相关求证，其中国区负责人表示我司在答复质疑的过程中所提供的所有资料，包含产品彩页、技术白皮书等皆为最新版本且真实有效。</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根据制造商CEFLA S.C.提供的最新版产品彩页第29页显示，头侧的最大投照视野高度为27，此为最大极限值，至于下述视野模式只选取了部分视野模式表达，并非全部视野模式。</w:t>
      </w: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证明我司所提供材料之真实性，特另附由国家药品监督管理局所批准通过的产品医疗械注册证之附件产品技术要求，其中第16页明确标注曲面体层探测器及头颅探测器的像素大小为35μm，且头侧探测器有效视野尺寸为60X280mm，280mm的视野高度明显能够覆盖27cm的视野高度，其权威性毋庸置疑，故我司产品完全符合招标技术参数要求（详见附件）。</w:t>
      </w:r>
    </w:p>
    <w:p>
      <w:pPr>
        <w:pStyle w:val="3"/>
        <w:rPr>
          <w:rFonts w:hint="eastAsia" w:ascii="黑体" w:hAnsi="黑体" w:eastAsia="黑体" w:cs="黑体"/>
          <w:b w:val="0"/>
          <w:bCs/>
          <w:sz w:val="32"/>
          <w:szCs w:val="32"/>
        </w:rPr>
      </w:pPr>
      <w:r>
        <w:rPr>
          <w:rFonts w:ascii="宋体" w:hAnsi="宋体" w:eastAsia="宋体" w:cs="宋体"/>
          <w:lang w:eastAsia="zh-CN"/>
        </w:rPr>
        <w:drawing>
          <wp:inline distT="0" distB="0" distL="0" distR="0">
            <wp:extent cx="5133340" cy="3023870"/>
            <wp:effectExtent l="0" t="0" r="10160" b="5080"/>
            <wp:docPr id="18101704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70464"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33340" cy="3023870"/>
                    </a:xfrm>
                    <a:prstGeom prst="rect">
                      <a:avLst/>
                    </a:prstGeom>
                    <a:noFill/>
                  </pic:spPr>
                </pic:pic>
              </a:graphicData>
            </a:graphic>
          </wp:inline>
        </w:drawing>
      </w: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r>
        <w:rPr>
          <w:rFonts w:ascii="宋体" w:hAnsi="宋体" w:eastAsia="宋体" w:cs="宋体"/>
          <w:lang w:eastAsia="zh-CN"/>
        </w:rPr>
        <w:drawing>
          <wp:inline distT="0" distB="0" distL="0" distR="0">
            <wp:extent cx="5145405" cy="6145530"/>
            <wp:effectExtent l="0" t="0" r="17145" b="7620"/>
            <wp:docPr id="3730613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61322" name="图片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5405" cy="6145530"/>
                    </a:xfrm>
                    <a:prstGeom prst="rect">
                      <a:avLst/>
                    </a:prstGeom>
                    <a:noFill/>
                  </pic:spPr>
                </pic:pic>
              </a:graphicData>
            </a:graphic>
          </wp:inline>
        </w:drawing>
      </w:r>
    </w:p>
    <w:p>
      <w:pPr>
        <w:widowControl/>
        <w:spacing w:before="0" w:line="520" w:lineRule="exact"/>
        <w:ind w:right="0" w:firstLine="640" w:firstLineChars="200"/>
        <w:jc w:val="both"/>
        <w:rPr>
          <w:rFonts w:hint="eastAsia" w:ascii="仿宋_GB2312" w:hAnsi="仿宋_GB2312" w:eastAsia="仿宋_GB2312" w:cs="仿宋_GB2312"/>
          <w:spacing w:val="0"/>
          <w:sz w:val="32"/>
          <w:szCs w:val="32"/>
          <w:lang w:eastAsia="zh-CN"/>
        </w:rPr>
      </w:pPr>
      <w:r>
        <w:rPr>
          <w:rFonts w:hint="eastAsia" w:ascii="仿宋_GB2312" w:hAnsi="仿宋_GB2312" w:eastAsia="仿宋_GB2312" w:cs="仿宋_GB2312"/>
          <w:spacing w:val="0"/>
          <w:sz w:val="32"/>
          <w:szCs w:val="32"/>
          <w:lang w:val="en-US" w:eastAsia="zh-CN"/>
        </w:rPr>
        <w:t>三、</w:t>
      </w:r>
      <w:r>
        <w:rPr>
          <w:rFonts w:hint="eastAsia" w:ascii="仿宋_GB2312" w:hAnsi="仿宋_GB2312" w:eastAsia="仿宋_GB2312" w:cs="仿宋_GB2312"/>
          <w:spacing w:val="0"/>
          <w:sz w:val="32"/>
          <w:szCs w:val="32"/>
          <w:lang w:eastAsia="zh-CN"/>
        </w:rPr>
        <w:t>质疑事项3中，对方给出答复完全是偷换概念，招标文件中要求的是：</w:t>
      </w:r>
      <w:r>
        <w:rPr>
          <w:rFonts w:hint="eastAsia" w:ascii="仿宋_GB2312" w:hAnsi="仿宋_GB2312" w:eastAsia="仿宋_GB2312" w:cs="仿宋_GB2312"/>
          <w:spacing w:val="0"/>
          <w:sz w:val="32"/>
          <w:szCs w:val="32"/>
          <w:u w:val="none"/>
          <w:lang w:eastAsia="zh-CN"/>
        </w:rPr>
        <w:t>“4.12</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u w:val="none"/>
          <w:lang w:eastAsia="zh-CN"/>
        </w:rPr>
        <w:t>独立原厂高速重建服务器”,</w:t>
      </w:r>
      <w:r>
        <w:rPr>
          <w:rFonts w:hint="eastAsia" w:ascii="仿宋_GB2312" w:hAnsi="仿宋_GB2312" w:eastAsia="仿宋_GB2312" w:cs="仿宋_GB2312"/>
          <w:spacing w:val="0"/>
          <w:sz w:val="32"/>
          <w:szCs w:val="32"/>
          <w:lang w:eastAsia="zh-CN"/>
        </w:rPr>
        <w:t>是机器正常运行中必不可少的独立重建服务器，无此服务器机器是无法正常开机运行的，而对方只是偷换概念多增配了一台可有可无的电脑服务器，完全不是作为重建服务器来工作的。</w:t>
      </w:r>
    </w:p>
    <w:p>
      <w:pPr>
        <w:widowControl/>
        <w:spacing w:before="0" w:line="520" w:lineRule="exact"/>
        <w:ind w:right="0"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答复：浙江匠普的投诉说法明显自我矛盾。其所言“无独立重建服务器则机器无法正常开机运行”，那么难道全国各大省市级专业口腔医院、综合性医院所使用的NewTom全系列产品都是无法正常开机运行的吗？目前，全世界的口腔CBCT生产厂家所使用的拍片服务器工作站、重建服务器工作站都是向专业计算机生产商采购的，其工作原理没有任何差别，我司所提供的相关配置完全符合招标参数要求（详见配置清单），浙江匠普的说法才是明显的偷换概念。</w:t>
      </w:r>
    </w:p>
    <w:tbl>
      <w:tblPr>
        <w:tblStyle w:val="11"/>
        <w:tblpPr w:leftFromText="180" w:rightFromText="180" w:vertAnchor="text" w:horzAnchor="page" w:tblpX="1515" w:tblpY="335"/>
        <w:tblOverlap w:val="never"/>
        <w:tblW w:w="957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3"/>
        <w:gridCol w:w="1181"/>
        <w:gridCol w:w="885"/>
        <w:gridCol w:w="1155"/>
        <w:gridCol w:w="1483"/>
        <w:gridCol w:w="1271"/>
        <w:gridCol w:w="732"/>
        <w:gridCol w:w="24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序号</w:t>
            </w:r>
          </w:p>
        </w:tc>
        <w:tc>
          <w:tcPr>
            <w:tcW w:w="1181"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货物名称</w:t>
            </w:r>
          </w:p>
        </w:tc>
        <w:tc>
          <w:tcPr>
            <w:tcW w:w="88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品牌</w:t>
            </w:r>
          </w:p>
        </w:tc>
        <w:tc>
          <w:tcPr>
            <w:tcW w:w="115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制造商</w:t>
            </w:r>
          </w:p>
        </w:tc>
        <w:tc>
          <w:tcPr>
            <w:tcW w:w="148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产地（国产/进口）</w:t>
            </w:r>
          </w:p>
        </w:tc>
        <w:tc>
          <w:tcPr>
            <w:tcW w:w="1271"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规格型号</w:t>
            </w:r>
          </w:p>
        </w:tc>
        <w:tc>
          <w:tcPr>
            <w:tcW w:w="732"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数量及单位</w:t>
            </w:r>
          </w:p>
        </w:tc>
        <w:tc>
          <w:tcPr>
            <w:tcW w:w="2426"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性能及指标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1</w:t>
            </w:r>
          </w:p>
        </w:tc>
        <w:tc>
          <w:tcPr>
            <w:tcW w:w="118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lang w:eastAsia="zh-CN"/>
              </w:rPr>
            </w:pPr>
            <w:r>
              <w:rPr>
                <w:rFonts w:hint="eastAsia" w:ascii="仿宋" w:hAnsi="仿宋" w:eastAsia="仿宋" w:cs="仿宋"/>
                <w:bCs/>
                <w:color w:val="auto"/>
                <w:sz w:val="18"/>
                <w:szCs w:val="18"/>
                <w:lang w:eastAsia="zh-CN"/>
              </w:rPr>
              <w:t>口腔颌面锥形束计算机体层摄影设备</w:t>
            </w:r>
          </w:p>
        </w:tc>
        <w:tc>
          <w:tcPr>
            <w:tcW w:w="88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 xml:space="preserve">NewTom </w:t>
            </w:r>
          </w:p>
        </w:tc>
        <w:tc>
          <w:tcPr>
            <w:tcW w:w="115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意大利 CEFLA S.C.</w:t>
            </w:r>
          </w:p>
        </w:tc>
        <w:tc>
          <w:tcPr>
            <w:tcW w:w="148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意大利/进口</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NewTom Gi</w:t>
            </w:r>
            <w:r>
              <w:rPr>
                <w:rFonts w:hint="eastAsia" w:ascii="仿宋" w:hAnsi="仿宋" w:eastAsia="仿宋" w:cs="仿宋"/>
                <w:color w:val="auto"/>
                <w:sz w:val="18"/>
                <w:szCs w:val="18"/>
                <w:lang w:eastAsia="zh-CN"/>
              </w:rPr>
              <w:t>ANO HR</w:t>
            </w:r>
          </w:p>
        </w:tc>
        <w:tc>
          <w:tcPr>
            <w:tcW w:w="73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2426"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供医疗机构作口腔颌面部X射线影像诊断用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2"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2</w:t>
            </w:r>
          </w:p>
        </w:tc>
        <w:tc>
          <w:tcPr>
            <w:tcW w:w="118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影像处理软件</w:t>
            </w:r>
          </w:p>
        </w:tc>
        <w:tc>
          <w:tcPr>
            <w:tcW w:w="88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 xml:space="preserve">NewTom </w:t>
            </w:r>
          </w:p>
        </w:tc>
        <w:tc>
          <w:tcPr>
            <w:tcW w:w="115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意大利 CEFLA S.C.</w:t>
            </w:r>
          </w:p>
        </w:tc>
        <w:tc>
          <w:tcPr>
            <w:tcW w:w="148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意大利/进口</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NewTom NNT</w:t>
            </w:r>
          </w:p>
        </w:tc>
        <w:tc>
          <w:tcPr>
            <w:tcW w:w="73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2426"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对图像信息进行‌编辑、修复‌等处理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r>
              <w:rPr>
                <w:rFonts w:hint="eastAsia" w:ascii="仿宋" w:hAnsi="仿宋" w:eastAsia="仿宋" w:cs="仿宋"/>
                <w:b/>
                <w:bCs/>
                <w:color w:val="auto"/>
                <w:sz w:val="18"/>
                <w:szCs w:val="18"/>
              </w:rPr>
              <w:t>3</w:t>
            </w:r>
          </w:p>
        </w:tc>
        <w:tc>
          <w:tcPr>
            <w:tcW w:w="118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影像</w:t>
            </w:r>
          </w:p>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工作站</w:t>
            </w:r>
          </w:p>
        </w:tc>
        <w:tc>
          <w:tcPr>
            <w:tcW w:w="885"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惠普</w:t>
            </w:r>
          </w:p>
        </w:tc>
        <w:tc>
          <w:tcPr>
            <w:tcW w:w="1155"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美国 惠普公司</w:t>
            </w:r>
          </w:p>
        </w:tc>
        <w:tc>
          <w:tcPr>
            <w:tcW w:w="148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美国/</w:t>
            </w:r>
          </w:p>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进口</w:t>
            </w:r>
          </w:p>
        </w:tc>
        <w:tc>
          <w:tcPr>
            <w:tcW w:w="1271"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惠普Z</w:t>
            </w:r>
            <w:r>
              <w:rPr>
                <w:rFonts w:hint="eastAsia" w:ascii="仿宋" w:hAnsi="仿宋" w:eastAsia="仿宋" w:cs="仿宋"/>
                <w:color w:val="auto"/>
                <w:sz w:val="18"/>
                <w:szCs w:val="18"/>
                <w:lang w:eastAsia="zh-CN"/>
              </w:rPr>
              <w:t>4</w:t>
            </w:r>
            <w:r>
              <w:rPr>
                <w:rFonts w:hint="eastAsia" w:ascii="仿宋" w:hAnsi="仿宋" w:eastAsia="仿宋" w:cs="仿宋"/>
                <w:color w:val="auto"/>
                <w:sz w:val="18"/>
                <w:szCs w:val="18"/>
              </w:rPr>
              <w:t>G4</w:t>
            </w:r>
          </w:p>
        </w:tc>
        <w:tc>
          <w:tcPr>
            <w:tcW w:w="732" w:type="dxa"/>
            <w:tcBorders>
              <w:top w:val="single" w:color="auto" w:sz="4" w:space="0"/>
              <w:left w:val="single" w:color="auto" w:sz="4" w:space="0"/>
              <w:bottom w:val="single" w:color="auto" w:sz="4" w:space="0"/>
              <w:right w:val="single" w:color="auto" w:sz="4" w:space="0"/>
            </w:tcBorders>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2426"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连接放射设备，提供图像后处理功能，‌支持打印图文报告和科室管理，‌数字化存储胶片信息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443"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b/>
                <w:bCs/>
                <w:sz w:val="18"/>
                <w:szCs w:val="18"/>
              </w:rPr>
            </w:pPr>
            <w:bookmarkStart w:id="16" w:name="OLE_LINK15" w:colFirst="0" w:colLast="7"/>
            <w:r>
              <w:rPr>
                <w:rFonts w:hint="eastAsia" w:ascii="仿宋" w:hAnsi="仿宋" w:eastAsia="仿宋" w:cs="仿宋"/>
                <w:b/>
                <w:bCs/>
                <w:color w:val="auto"/>
                <w:sz w:val="18"/>
                <w:szCs w:val="18"/>
                <w:lang w:eastAsia="zh-CN"/>
              </w:rPr>
              <w:t>4</w:t>
            </w:r>
          </w:p>
        </w:tc>
        <w:tc>
          <w:tcPr>
            <w:tcW w:w="118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独立原厂高速重建服务器</w:t>
            </w:r>
          </w:p>
        </w:tc>
        <w:tc>
          <w:tcPr>
            <w:tcW w:w="885"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rPr>
              <w:t>惠普</w:t>
            </w:r>
          </w:p>
        </w:tc>
        <w:tc>
          <w:tcPr>
            <w:tcW w:w="115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美国 惠普公司</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美国/</w:t>
            </w:r>
          </w:p>
          <w:p>
            <w:pPr>
              <w:spacing w:before="50" w:after="50" w:line="200" w:lineRule="exact"/>
              <w:jc w:val="center"/>
              <w:rPr>
                <w:rFonts w:ascii="仿宋" w:hAnsi="仿宋" w:eastAsia="仿宋" w:cs="仿宋"/>
                <w:sz w:val="18"/>
                <w:szCs w:val="18"/>
              </w:rPr>
            </w:pPr>
            <w:r>
              <w:rPr>
                <w:rFonts w:hint="eastAsia" w:ascii="仿宋" w:hAnsi="仿宋" w:eastAsia="仿宋" w:cs="仿宋"/>
                <w:color w:val="auto"/>
                <w:sz w:val="18"/>
                <w:szCs w:val="18"/>
                <w:lang w:eastAsia="zh-CN"/>
              </w:rPr>
              <w:t>进口</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惠普Z</w:t>
            </w:r>
            <w:r>
              <w:rPr>
                <w:rFonts w:hint="eastAsia" w:ascii="仿宋" w:hAnsi="仿宋" w:eastAsia="仿宋" w:cs="仿宋"/>
                <w:color w:val="auto"/>
                <w:sz w:val="18"/>
                <w:szCs w:val="18"/>
                <w:lang w:eastAsia="zh-CN"/>
              </w:rPr>
              <w:t>4</w:t>
            </w:r>
            <w:r>
              <w:rPr>
                <w:rFonts w:hint="eastAsia" w:ascii="仿宋" w:hAnsi="仿宋" w:eastAsia="仿宋" w:cs="仿宋"/>
                <w:color w:val="auto"/>
                <w:sz w:val="18"/>
                <w:szCs w:val="18"/>
              </w:rPr>
              <w:t>G4</w:t>
            </w:r>
          </w:p>
        </w:tc>
        <w:tc>
          <w:tcPr>
            <w:tcW w:w="73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00" w:lineRule="exact"/>
              <w:jc w:val="center"/>
              <w:rPr>
                <w:rFonts w:ascii="仿宋" w:hAnsi="仿宋" w:eastAsia="仿宋" w:cs="仿宋"/>
                <w:sz w:val="18"/>
                <w:szCs w:val="18"/>
              </w:rPr>
            </w:pPr>
            <w:r>
              <w:rPr>
                <w:rFonts w:hint="eastAsia" w:ascii="仿宋" w:hAnsi="仿宋" w:eastAsia="仿宋" w:cs="仿宋"/>
                <w:color w:val="auto"/>
                <w:sz w:val="18"/>
                <w:szCs w:val="18"/>
              </w:rPr>
              <w:t>1套</w:t>
            </w:r>
          </w:p>
        </w:tc>
        <w:tc>
          <w:tcPr>
            <w:tcW w:w="2426" w:type="dxa"/>
            <w:tcBorders>
              <w:top w:val="single" w:color="auto" w:sz="4" w:space="0"/>
              <w:left w:val="single" w:color="auto" w:sz="4" w:space="0"/>
              <w:bottom w:val="single" w:color="auto" w:sz="4" w:space="0"/>
              <w:right w:val="single" w:color="auto" w:sz="4" w:space="0"/>
            </w:tcBorders>
            <w:vAlign w:val="center"/>
          </w:tcPr>
          <w:p>
            <w:pPr>
              <w:spacing w:before="50" w:after="50" w:line="200" w:lineRule="exact"/>
              <w:jc w:val="center"/>
              <w:rPr>
                <w:rFonts w:ascii="仿宋" w:hAnsi="仿宋" w:eastAsia="仿宋" w:cs="仿宋"/>
                <w:sz w:val="18"/>
                <w:szCs w:val="18"/>
                <w:lang w:eastAsia="zh-CN"/>
              </w:rPr>
            </w:pPr>
            <w:r>
              <w:rPr>
                <w:rFonts w:hint="eastAsia" w:ascii="仿宋" w:hAnsi="仿宋" w:eastAsia="仿宋" w:cs="仿宋"/>
                <w:color w:val="auto"/>
                <w:sz w:val="18"/>
                <w:szCs w:val="18"/>
                <w:lang w:eastAsia="zh-CN"/>
              </w:rPr>
              <w:t>连接放射设备，提供图像后处理功能，‌支持打印图文报告和科室管理，‌数字化存储胶片信息</w:t>
            </w:r>
          </w:p>
        </w:tc>
      </w:tr>
      <w:bookmarkEnd w:id="16"/>
    </w:tbl>
    <w:p>
      <w:pPr>
        <w:rPr>
          <w:rFonts w:hint="eastAsia" w:ascii="黑体" w:hAnsi="黑体" w:eastAsia="黑体" w:cs="黑体"/>
          <w:b w:val="0"/>
          <w:bCs/>
          <w:sz w:val="32"/>
          <w:szCs w:val="32"/>
        </w:rPr>
      </w:pPr>
    </w:p>
    <w:p>
      <w:pPr>
        <w:widowControl/>
        <w:spacing w:line="52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pacing w:val="0"/>
          <w:sz w:val="32"/>
          <w:szCs w:val="32"/>
          <w:lang w:val="en-US" w:eastAsia="zh-CN"/>
        </w:rPr>
        <w:t>四、</w:t>
      </w:r>
      <w:r>
        <w:rPr>
          <w:rFonts w:hint="eastAsia" w:ascii="仿宋_GB2312" w:hAnsi="仿宋_GB2312" w:eastAsia="仿宋_GB2312" w:cs="仿宋_GB2312"/>
          <w:spacing w:val="0"/>
          <w:sz w:val="32"/>
          <w:szCs w:val="32"/>
          <w:lang w:eastAsia="zh-CN"/>
        </w:rPr>
        <w:t>质疑事项4中</w:t>
      </w:r>
      <w:r>
        <w:rPr>
          <w:rFonts w:hint="eastAsia" w:ascii="仿宋_GB2312" w:hAnsi="仿宋_GB2312" w:eastAsia="仿宋_GB2312" w:cs="仿宋_GB2312"/>
          <w:spacing w:val="0"/>
          <w:sz w:val="32"/>
          <w:szCs w:val="32"/>
          <w:u w:val="none"/>
          <w:lang w:eastAsia="zh-CN"/>
        </w:rPr>
        <w:t>4.16.微软SQL数据库软件，用于储存病人信息等拍摄信息”,</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lang w:eastAsia="zh-CN"/>
        </w:rPr>
        <w:t>对方答复最新版的NTT软件是使用最新版微软SQL数据库软件，实际情况我们在提交的质疑文件中到了实际使用医院拍摄取证，对方明显还是伪造文件虚假响应。</w:t>
      </w:r>
    </w:p>
    <w:p>
      <w:pPr>
        <w:widowControl/>
        <w:spacing w:line="520" w:lineRule="exact"/>
        <w:ind w:firstLine="640" w:firstLineChars="200"/>
        <w:rPr>
          <w:rFonts w:hint="eastAsia" w:ascii="仿宋_GB2312" w:hAnsi="仿宋_GB2312" w:eastAsia="仿宋_GB2312" w:cs="仿宋_GB2312"/>
          <w:sz w:val="32"/>
          <w:szCs w:val="32"/>
          <w:lang w:eastAsia="zh-CN"/>
        </w:rPr>
      </w:pPr>
      <w:bookmarkStart w:id="17" w:name="_Hlk175762812"/>
      <w:r>
        <w:rPr>
          <w:rFonts w:hint="eastAsia" w:ascii="仿宋_GB2312" w:hAnsi="仿宋_GB2312" w:eastAsia="仿宋_GB2312" w:cs="仿宋_GB2312"/>
          <w:sz w:val="32"/>
          <w:szCs w:val="32"/>
          <w:lang w:eastAsia="zh-CN"/>
        </w:rPr>
        <w:t>答复：经查，浙江匠普提供的所谓浙江省中医院实际软件使用截屏图片，无任何真实性可言。我司经与赛福徕集团求证，其在浙江省中医院登记装机的实际型号为NewTom GiANO 10X8的机型，与我司本次招标中提供的16X18的机型根本不是同一款，且赛福徕集团经过调查，发现，该院的机器已经经过人为暴力破解，软件本身已经遭遇了严重破坏，根本不能体现真实的数据库。而我司所提供的的软件界面截图为华中某医院实际拍摄，真实性毋庸置疑。</w:t>
      </w:r>
    </w:p>
    <w:bookmarkEnd w:id="17"/>
    <w:p>
      <w:pPr>
        <w:pStyle w:val="2"/>
        <w:rPr>
          <w:rFonts w:hint="eastAsia" w:ascii="黑体" w:hAnsi="黑体" w:eastAsia="黑体" w:cs="黑体"/>
          <w:b w:val="0"/>
          <w:bCs/>
          <w:sz w:val="32"/>
          <w:szCs w:val="32"/>
        </w:rPr>
      </w:pPr>
      <w:r>
        <w:rPr>
          <w:rFonts w:ascii="仿宋" w:hAnsi="仿宋" w:eastAsia="仿宋" w:cs="仿宋"/>
          <w:sz w:val="25"/>
          <w:szCs w:val="25"/>
          <w:highlight w:val="yellow"/>
          <w:lang w:eastAsia="zh-CN"/>
        </w:rPr>
        <w:drawing>
          <wp:anchor distT="0" distB="0" distL="0" distR="0" simplePos="0" relativeHeight="251678720" behindDoc="0" locked="0" layoutInCell="1" allowOverlap="1">
            <wp:simplePos x="0" y="0"/>
            <wp:positionH relativeFrom="column">
              <wp:posOffset>238125</wp:posOffset>
            </wp:positionH>
            <wp:positionV relativeFrom="paragraph">
              <wp:posOffset>102235</wp:posOffset>
            </wp:positionV>
            <wp:extent cx="4889500" cy="3426460"/>
            <wp:effectExtent l="0" t="0" r="6350" b="2540"/>
            <wp:wrapSquare wrapText="bothSides"/>
            <wp:docPr id="4010624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62445"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889500" cy="3426460"/>
                    </a:xfrm>
                    <a:prstGeom prst="rect">
                      <a:avLst/>
                    </a:prstGeom>
                    <a:noFill/>
                  </pic:spPr>
                </pic:pic>
              </a:graphicData>
            </a:graphic>
          </wp:anchor>
        </w:drawing>
      </w:r>
    </w:p>
    <w:p>
      <w:pPr>
        <w:pStyle w:val="3"/>
        <w:rPr>
          <w:rFonts w:hint="eastAsia" w:ascii="黑体" w:hAnsi="黑体" w:eastAsia="黑体" w:cs="黑体"/>
          <w:b w:val="0"/>
          <w:bCs/>
          <w:sz w:val="32"/>
          <w:szCs w:val="32"/>
        </w:rPr>
      </w:pPr>
    </w:p>
    <w:p>
      <w:pPr>
        <w:widowControl/>
        <w:spacing w:line="520" w:lineRule="exact"/>
        <w:ind w:firstLine="640" w:firstLineChars="200"/>
        <w:rPr>
          <w:rFonts w:ascii="仿宋" w:hAnsi="仿宋" w:eastAsia="仿宋" w:cs="仿宋"/>
          <w:spacing w:val="-12"/>
          <w:lang w:eastAsia="zh-CN"/>
        </w:rPr>
      </w:pPr>
      <w:r>
        <w:rPr>
          <w:rFonts w:hint="eastAsia" w:ascii="仿宋_GB2312" w:hAnsi="仿宋_GB2312" w:eastAsia="仿宋_GB2312" w:cs="仿宋_GB2312"/>
          <w:sz w:val="32"/>
          <w:szCs w:val="32"/>
          <w:lang w:eastAsia="zh-CN"/>
        </w:rPr>
        <w:t>五、</w:t>
      </w:r>
      <w:r>
        <w:rPr>
          <w:rFonts w:hint="eastAsia" w:ascii="仿宋_GB2312" w:hAnsi="仿宋_GB2312" w:eastAsia="仿宋_GB2312" w:cs="仿宋_GB2312"/>
          <w:spacing w:val="0"/>
          <w:sz w:val="32"/>
          <w:szCs w:val="32"/>
          <w:lang w:eastAsia="zh-CN"/>
        </w:rPr>
        <w:t xml:space="preserve">质疑事项5 </w:t>
      </w:r>
      <w:r>
        <w:rPr>
          <w:rFonts w:hint="eastAsia" w:ascii="仿宋_GB2312" w:hAnsi="仿宋_GB2312" w:eastAsia="仿宋_GB2312" w:cs="仿宋_GB2312"/>
          <w:spacing w:val="0"/>
          <w:sz w:val="32"/>
          <w:szCs w:val="32"/>
          <w:u w:val="none"/>
          <w:lang w:eastAsia="zh-CN"/>
        </w:rPr>
        <w:t>:招标文件第“4.21.◆ 3D数据整合，CT影像可与三维口内扫描仪数据整合，软件模块中包含设计模块，并可通过3D打印机打印种植导板等”</w:t>
      </w:r>
      <w:r>
        <w:rPr>
          <w:rFonts w:hint="eastAsia" w:ascii="仿宋_GB2312" w:hAnsi="仿宋_GB2312" w:eastAsia="仿宋_GB2312" w:cs="仿宋_GB2312"/>
          <w:spacing w:val="0"/>
          <w:sz w:val="32"/>
          <w:szCs w:val="32"/>
          <w:lang w:eastAsia="zh-CN"/>
        </w:rPr>
        <w:t>此条招标文件中，对方在答复函中也是偷换概念，断章取义。招标文件中要求的是在3D数据整合，整合的意思就是一套软件中集成了CT影像处理、三维扫描、</w:t>
      </w:r>
      <w:r>
        <w:rPr>
          <w:rFonts w:hint="eastAsia" w:ascii="仿宋_GB2312" w:hAnsi="仿宋_GB2312" w:eastAsia="仿宋_GB2312" w:cs="仿宋_GB2312"/>
          <w:sz w:val="32"/>
          <w:szCs w:val="32"/>
          <w:lang w:eastAsia="zh-CN"/>
        </w:rPr>
        <w:t xml:space="preserve"> </w:t>
      </w:r>
      <w:r>
        <w:rPr>
          <w:rFonts w:hint="eastAsia" w:ascii="仿宋_GB2312" w:hAnsi="仿宋_GB2312" w:eastAsia="仿宋_GB2312" w:cs="仿宋_GB2312"/>
          <w:spacing w:val="0"/>
          <w:sz w:val="32"/>
          <w:szCs w:val="32"/>
          <w:lang w:eastAsia="zh-CN"/>
        </w:rPr>
        <w:t>3D 打印，而对方只是说可以各类第三方相连并进行数据整合，跟招标条款中整合完全是两个概念。而对于后面部分要求“软件模块包含设计模块”中对方只是勉强说具备各种手术管理、手术规划等模块，跟招标文件要求的CT影像与三维口内扫描仪包含的设计模块完全不同，并且对方公司无三维口内扫描产品，更无法提供包含的此模块功能。</w:t>
      </w:r>
    </w:p>
    <w:p>
      <w:pPr>
        <w:widowControl/>
        <w:spacing w:line="520" w:lineRule="exact"/>
        <w:ind w:firstLine="640" w:firstLineChars="200"/>
        <w:rPr>
          <w:rFonts w:hint="eastAsia" w:ascii="仿宋_GB2312" w:hAnsi="仿宋_GB2312" w:eastAsia="仿宋_GB2312" w:cs="仿宋_GB2312"/>
          <w:b w:val="0"/>
          <w:bCs w:val="0"/>
          <w:sz w:val="32"/>
          <w:szCs w:val="32"/>
        </w:rPr>
      </w:pPr>
      <w:r>
        <w:rPr>
          <w:rFonts w:hint="eastAsia" w:ascii="仿宋_GB2312" w:hAnsi="仿宋_GB2312" w:eastAsia="仿宋_GB2312" w:cs="仿宋_GB2312"/>
          <w:sz w:val="32"/>
          <w:szCs w:val="32"/>
          <w:lang w:eastAsia="zh-CN"/>
        </w:rPr>
        <w:t xml:space="preserve">答复：根据CEFLA S.C.提供的最新版彩页第27页、第28页显示，在三维数字化应用中，NewTom NNT软件可以各类第三方软件相连接并进行数据整合，包含口扫、3D打印机等，并且具备各种手术管理、手术规划等模块，以上描述的含义即NNT软件本身就集成相关软件模块，与招标技术要求并无出入。根据浙江匠普的说法，一家公司必须要同时生产口腔CBCT以及三维口扫，方能具有口扫设计模块，那么请问，市场上所有的口腔CBCT生产商都必须同时生产三维口扫吗？如果不生产三维口扫，他们的软件就不能拥有口扫设计模块吗？这纯属无稽之谈，浙江匠普的投诉才是偷换概念、断章取义。以下附相关彩页截图： </w:t>
      </w:r>
    </w:p>
    <w:p>
      <w:pPr>
        <w:rPr>
          <w:rFonts w:hint="eastAsia" w:ascii="黑体" w:hAnsi="黑体" w:eastAsia="黑体" w:cs="黑体"/>
          <w:b w:val="0"/>
          <w:bCs/>
          <w:sz w:val="32"/>
          <w:szCs w:val="32"/>
        </w:rPr>
      </w:pPr>
      <w:r>
        <w:rPr>
          <w:rFonts w:hint="eastAsia" w:ascii="仿宋_GB2312" w:hAnsi="仿宋_GB2312" w:eastAsia="仿宋_GB2312" w:cs="仿宋_GB2312"/>
          <w:sz w:val="32"/>
          <w:szCs w:val="32"/>
        </w:rPr>
        <w:drawing>
          <wp:anchor distT="0" distB="0" distL="114300" distR="114300" simplePos="0" relativeHeight="251680768" behindDoc="0" locked="0" layoutInCell="1" allowOverlap="1">
            <wp:simplePos x="0" y="0"/>
            <wp:positionH relativeFrom="column">
              <wp:posOffset>2406015</wp:posOffset>
            </wp:positionH>
            <wp:positionV relativeFrom="paragraph">
              <wp:posOffset>318770</wp:posOffset>
            </wp:positionV>
            <wp:extent cx="2852420" cy="4436110"/>
            <wp:effectExtent l="0" t="0" r="5080" b="2540"/>
            <wp:wrapSquare wrapText="bothSides"/>
            <wp:docPr id="15" name="图片 6" descr="G:\Tencent\WeChat Files\wxid_dvw54i90srea22\FileStorage\Temp\1723175901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G:\Tencent\WeChat Files\wxid_dvw54i90srea22\FileStorage\Temp\1723175901614.png"/>
                    <pic:cNvPicPr>
                      <a:picLocks noChangeAspect="1" noChangeArrowheads="1"/>
                    </pic:cNvPicPr>
                  </pic:nvPicPr>
                  <pic:blipFill>
                    <a:blip r:embed="rId13" cstate="print"/>
                    <a:srcRect/>
                    <a:stretch>
                      <a:fillRect/>
                    </a:stretch>
                  </pic:blipFill>
                  <pic:spPr>
                    <a:xfrm>
                      <a:off x="0" y="0"/>
                      <a:ext cx="2852420" cy="4436110"/>
                    </a:xfrm>
                    <a:prstGeom prst="rect">
                      <a:avLst/>
                    </a:prstGeom>
                    <a:noFill/>
                    <a:ln w="9525">
                      <a:noFill/>
                      <a:miter lim="800000"/>
                      <a:headEnd/>
                      <a:tailEnd/>
                    </a:ln>
                  </pic:spPr>
                </pic:pic>
              </a:graphicData>
            </a:graphic>
          </wp:anchor>
        </w:drawing>
      </w:r>
      <w:r>
        <w:rPr>
          <w:rFonts w:ascii="仿宋" w:hAnsi="仿宋" w:eastAsia="仿宋" w:cs="仿宋"/>
          <w:sz w:val="25"/>
          <w:szCs w:val="25"/>
          <w:highlight w:val="yellow"/>
          <w:lang w:eastAsia="zh-CN"/>
        </w:rPr>
        <w:drawing>
          <wp:anchor distT="0" distB="0" distL="0" distR="0" simplePos="0" relativeHeight="251679744" behindDoc="0" locked="0" layoutInCell="1" allowOverlap="1">
            <wp:simplePos x="0" y="0"/>
            <wp:positionH relativeFrom="column">
              <wp:posOffset>-731520</wp:posOffset>
            </wp:positionH>
            <wp:positionV relativeFrom="paragraph">
              <wp:posOffset>417195</wp:posOffset>
            </wp:positionV>
            <wp:extent cx="3152140" cy="4322445"/>
            <wp:effectExtent l="0" t="0" r="10160" b="1905"/>
            <wp:wrapSquare wrapText="bothSides"/>
            <wp:docPr id="4982943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94384" name="图片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52140" cy="4322445"/>
                    </a:xfrm>
                    <a:prstGeom prst="rect">
                      <a:avLst/>
                    </a:prstGeom>
                    <a:noFill/>
                  </pic:spPr>
                </pic:pic>
              </a:graphicData>
            </a:graphic>
          </wp:anchor>
        </w:drawing>
      </w: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ascii="黑体" w:hAnsi="黑体" w:eastAsia="黑体" w:cs="黑体"/>
          <w:b w:val="0"/>
          <w:bCs/>
          <w:sz w:val="32"/>
          <w:szCs w:val="32"/>
        </w:rPr>
      </w:pPr>
    </w:p>
    <w:p>
      <w:pPr>
        <w:pStyle w:val="2"/>
        <w:rPr>
          <w:rFonts w:hint="eastAsia" w:ascii="黑体" w:hAnsi="黑体" w:eastAsia="黑体" w:cs="黑体"/>
          <w:b w:val="0"/>
          <w:bCs/>
          <w:sz w:val="32"/>
          <w:szCs w:val="32"/>
        </w:rPr>
      </w:pPr>
    </w:p>
    <w:p>
      <w:pPr>
        <w:pStyle w:val="3"/>
        <w:rPr>
          <w:rFonts w:hint="eastAsia" w:ascii="黑体" w:hAnsi="黑体" w:eastAsia="黑体" w:cs="黑体"/>
          <w:b w:val="0"/>
          <w:bCs/>
          <w:sz w:val="32"/>
          <w:szCs w:val="32"/>
        </w:rPr>
      </w:pPr>
    </w:p>
    <w:p>
      <w:pPr>
        <w:pStyle w:val="4"/>
        <w:rPr>
          <w:rFonts w:hint="eastAsia" w:ascii="黑体" w:hAnsi="黑体" w:eastAsia="黑体" w:cs="黑体"/>
          <w:b w:val="0"/>
          <w:bCs/>
          <w:sz w:val="32"/>
          <w:szCs w:val="32"/>
        </w:rPr>
      </w:pPr>
    </w:p>
    <w:p>
      <w:pPr>
        <w:rPr>
          <w:rFonts w:hint="eastAsia"/>
        </w:rPr>
      </w:pPr>
    </w:p>
    <w:p>
      <w:pPr>
        <w:pStyle w:val="2"/>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0" w:firstLineChars="0"/>
        <w:textAlignment w:val="auto"/>
        <w:rPr>
          <w:rFonts w:hint="eastAsia" w:ascii="黑体" w:hAnsi="黑体" w:eastAsia="黑体" w:cs="黑体"/>
          <w:b w:val="0"/>
          <w:bCs/>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960" w:firstLineChars="300"/>
        <w:textAlignment w:val="auto"/>
        <w:rPr>
          <w:rFonts w:hint="eastAsia" w:ascii="黑体" w:hAnsi="黑体" w:eastAsia="黑体" w:cs="黑体"/>
          <w:b w:val="0"/>
          <w:bCs/>
          <w:sz w:val="32"/>
          <w:szCs w:val="32"/>
          <w:lang w:eastAsia="zh-CN"/>
        </w:rPr>
      </w:pPr>
      <w:r>
        <w:rPr>
          <w:rFonts w:hint="eastAsia" w:ascii="黑体" w:hAnsi="黑体" w:eastAsia="黑体" w:cs="黑体"/>
          <w:b w:val="0"/>
          <w:bCs/>
          <w:sz w:val="32"/>
          <w:szCs w:val="32"/>
        </w:rPr>
        <w:t>本机关审查查明</w:t>
      </w:r>
      <w:r>
        <w:rPr>
          <w:rFonts w:hint="eastAsia" w:ascii="黑体" w:hAnsi="黑体" w:eastAsia="黑体" w:cs="黑体"/>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本项目采购方式为公开招标（项目编号：绍柯采〔202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rPr>
        <w:t>〕</w:t>
      </w:r>
      <w:r>
        <w:rPr>
          <w:rFonts w:hint="eastAsia" w:ascii="仿宋_GB2312" w:hAnsi="仿宋_GB2312" w:eastAsia="仿宋_GB2312" w:cs="仿宋_GB2312"/>
          <w:sz w:val="32"/>
          <w:szCs w:val="32"/>
          <w:lang w:val="en-US" w:eastAsia="zh-CN"/>
        </w:rPr>
        <w:t>956</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eastAsia="zh-CN"/>
        </w:rPr>
        <w:t>采购预算金额</w:t>
      </w:r>
      <w:r>
        <w:rPr>
          <w:rFonts w:hint="eastAsia" w:ascii="仿宋_GB2312" w:hAnsi="仿宋_GB2312" w:eastAsia="仿宋_GB2312" w:cs="仿宋_GB2312"/>
          <w:sz w:val="32"/>
          <w:szCs w:val="32"/>
          <w:lang w:val="en-US" w:eastAsia="zh-CN"/>
        </w:rPr>
        <w:t>610万元（其中标项三为100万元，采购标的为口腔CT机），采购人为绍兴第二医院医共体总院。</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日</w:t>
      </w:r>
      <w:r>
        <w:rPr>
          <w:rFonts w:hint="eastAsia" w:ascii="仿宋_GB2312" w:hAnsi="仿宋_GB2312" w:eastAsia="仿宋_GB2312" w:cs="仿宋_GB2312"/>
          <w:sz w:val="32"/>
          <w:szCs w:val="32"/>
          <w:lang w:eastAsia="zh-CN"/>
        </w:rPr>
        <w:t>在浙江政府采购网</w:t>
      </w:r>
      <w:r>
        <w:rPr>
          <w:rFonts w:hint="eastAsia" w:ascii="仿宋_GB2312" w:hAnsi="仿宋_GB2312" w:eastAsia="仿宋_GB2312" w:cs="仿宋_GB2312"/>
          <w:sz w:val="32"/>
          <w:szCs w:val="32"/>
        </w:rPr>
        <w:t>发布采购公告</w:t>
      </w:r>
      <w:r>
        <w:rPr>
          <w:rFonts w:hint="eastAsia" w:ascii="仿宋_GB2312" w:hAnsi="仿宋_GB2312" w:eastAsia="仿宋_GB2312" w:cs="仿宋_GB2312"/>
          <w:sz w:val="32"/>
          <w:szCs w:val="32"/>
          <w:lang w:val="en-US" w:eastAsia="zh-CN"/>
        </w:rPr>
        <w:t>,2024年8月1日开标并发布采购结果，共有五家供应商投标，中标单位为</w:t>
      </w:r>
      <w:r>
        <w:rPr>
          <w:rFonts w:hint="eastAsia" w:ascii="仿宋_GB2312" w:hAnsi="仿宋_GB2312" w:eastAsia="仿宋_GB2312" w:cs="仿宋_GB2312"/>
          <w:kern w:val="2"/>
          <w:sz w:val="32"/>
          <w:szCs w:val="32"/>
          <w:lang w:val="en-US" w:eastAsia="zh-CN" w:bidi="ar"/>
        </w:rPr>
        <w:t>重药控股（浙江）有限公司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2024年8月2日，</w:t>
      </w:r>
      <w:r>
        <w:rPr>
          <w:rFonts w:hint="eastAsia" w:ascii="仿宋_GB2312" w:hAnsi="仿宋_GB2312" w:eastAsia="仿宋_GB2312" w:cs="仿宋_GB2312"/>
          <w:sz w:val="32"/>
          <w:szCs w:val="32"/>
        </w:rPr>
        <w:t>投诉人向被投诉人及采购代理机构递交了《质疑函》；</w:t>
      </w:r>
      <w:r>
        <w:rPr>
          <w:rFonts w:hint="eastAsia" w:ascii="仿宋_GB2312" w:hAnsi="仿宋_GB2312" w:eastAsia="仿宋_GB2312" w:cs="仿宋_GB2312"/>
          <w:sz w:val="32"/>
          <w:szCs w:val="32"/>
          <w:lang w:val="en-US" w:eastAsia="zh-CN"/>
        </w:rPr>
        <w:t>2024年8月12日</w:t>
      </w:r>
      <w:r>
        <w:rPr>
          <w:rFonts w:hint="eastAsia" w:ascii="仿宋_GB2312" w:hAnsi="仿宋_GB2312" w:eastAsia="仿宋_GB2312" w:cs="仿宋_GB2312"/>
          <w:sz w:val="32"/>
          <w:szCs w:val="32"/>
        </w:rPr>
        <w:t>，被投诉人</w:t>
      </w:r>
      <w:r>
        <w:rPr>
          <w:rFonts w:hint="eastAsia" w:ascii="仿宋_GB2312" w:hAnsi="仿宋_GB2312" w:eastAsia="仿宋_GB2312" w:cs="仿宋_GB2312"/>
          <w:sz w:val="32"/>
          <w:szCs w:val="32"/>
          <w:lang w:eastAsia="zh-CN"/>
        </w:rPr>
        <w:t>绍兴第二医院医共体总院和浙江越锋项目管理有限公司</w:t>
      </w:r>
      <w:r>
        <w:rPr>
          <w:rFonts w:hint="eastAsia" w:ascii="仿宋_GB2312" w:hAnsi="仿宋_GB2312" w:eastAsia="仿宋_GB2312" w:cs="仿宋_GB2312"/>
          <w:sz w:val="32"/>
          <w:szCs w:val="32"/>
        </w:rPr>
        <w:t>对《质疑函》做出了回复</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both"/>
        <w:textAlignment w:val="auto"/>
        <w:rPr>
          <w:rFonts w:hint="eastAsia" w:ascii="黑体" w:hAnsi="黑体" w:eastAsia="黑体" w:cs="黑体"/>
          <w:b w:val="0"/>
          <w:bCs w:val="0"/>
          <w:sz w:val="32"/>
          <w:szCs w:val="32"/>
          <w:lang w:eastAsia="zh-CN"/>
        </w:rPr>
      </w:pP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二、投诉调查处理阶段，本机关向国家药品监督管理部门、中标产品制造商中国办事处、中标产品代理人和中标供应商等发送了《政府采购投诉调查函》，同时发函</w:t>
      </w:r>
      <w:r>
        <w:rPr>
          <w:rFonts w:hint="default" w:ascii="仿宋_GB2312" w:hAnsi="仿宋_GB2312" w:eastAsia="仿宋_GB2312" w:cs="仿宋_GB2312"/>
          <w:color w:val="000000" w:themeColor="text1"/>
          <w:kern w:val="2"/>
          <w:sz w:val="32"/>
          <w:szCs w:val="32"/>
          <w:lang w:eastAsia="zh-CN" w:bidi="ar"/>
          <w14:textFill>
            <w14:solidFill>
              <w14:schemeClr w14:val="tx1"/>
            </w14:solidFill>
          </w14:textFill>
        </w:rPr>
        <w:t>要求</w:t>
      </w:r>
      <w:r>
        <w:rPr>
          <w:rFonts w:hint="eastAsia" w:ascii="仿宋_GB2312" w:hAnsi="仿宋_GB2312" w:eastAsia="仿宋_GB2312" w:cs="仿宋_GB2312"/>
          <w:color w:val="000000" w:themeColor="text1"/>
          <w:kern w:val="2"/>
          <w:sz w:val="32"/>
          <w:szCs w:val="32"/>
          <w:lang w:eastAsia="zh-CN" w:bidi="ar"/>
          <w14:textFill>
            <w14:solidFill>
              <w14:schemeClr w14:val="tx1"/>
            </w14:solidFill>
          </w14:textFill>
        </w:rPr>
        <w:t>被投诉人</w:t>
      </w: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组织原评审专家</w:t>
      </w:r>
      <w:r>
        <w:rPr>
          <w:rFonts w:hint="default" w:ascii="仿宋_GB2312" w:hAnsi="仿宋_GB2312" w:eastAsia="仿宋_GB2312" w:cs="仿宋_GB2312"/>
          <w:color w:val="000000" w:themeColor="text1"/>
          <w:kern w:val="2"/>
          <w:sz w:val="32"/>
          <w:szCs w:val="32"/>
          <w:lang w:eastAsia="zh-CN" w:bidi="ar"/>
          <w14:textFill>
            <w14:solidFill>
              <w14:schemeClr w14:val="tx1"/>
            </w14:solidFill>
          </w14:textFill>
        </w:rPr>
        <w:t>协助调查，评审专家</w:t>
      </w:r>
      <w:r>
        <w:rPr>
          <w:rFonts w:hint="eastAsia" w:ascii="仿宋_GB2312" w:hAnsi="仿宋_GB2312" w:eastAsia="仿宋_GB2312" w:cs="仿宋_GB2312"/>
          <w:color w:val="000000" w:themeColor="text1"/>
          <w:kern w:val="2"/>
          <w:sz w:val="32"/>
          <w:szCs w:val="32"/>
          <w:lang w:val="en-US" w:eastAsia="zh-CN" w:bidi="ar"/>
          <w14:textFill>
            <w14:solidFill>
              <w14:schemeClr w14:val="tx1"/>
            </w14:solidFill>
          </w14:textFill>
        </w:rPr>
        <w:t>依据本机关调查处理阶段收集的证据材料开展复核并出具了《复核报告》。</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本机关认为：</w:t>
      </w:r>
    </w:p>
    <w:p>
      <w:pPr>
        <w:keepNext w:val="0"/>
        <w:keepLines w:val="0"/>
        <w:widowControl w:val="0"/>
        <w:suppressLineNumbers w:val="0"/>
        <w:spacing w:line="520" w:lineRule="exact"/>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关于投诉事项1</w:t>
      </w:r>
    </w:p>
    <w:p>
      <w:pPr>
        <w:keepNext w:val="0"/>
        <w:keepLines w:val="0"/>
        <w:widowControl w:val="0"/>
        <w:numPr>
          <w:ilvl w:val="-1"/>
          <w:numId w:val="0"/>
        </w:numPr>
        <w:suppressLineNumbers w:val="0"/>
        <w:spacing w:line="520" w:lineRule="exact"/>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0"/>
          <w:sz w:val="32"/>
          <w:szCs w:val="32"/>
          <w:lang w:val="en-US" w:eastAsia="zh-CN"/>
        </w:rPr>
        <w:t>投诉人认为招标文件“1.3标项3：口腔CT机”中的采购需求为“3.2.2  2D探测器像素≤48μm，灰阶≥16bit”，中标单位重药控股（浙江）有限公司所投产品NewTom GiANO HR不符合招标要求，属于负偏离。</w:t>
      </w:r>
      <w:r>
        <w:rPr>
          <w:rFonts w:hint="eastAsia" w:ascii="仿宋_GB2312" w:hAnsi="仿宋_GB2312" w:eastAsia="仿宋_GB2312" w:cs="仿宋_GB2312"/>
          <w:kern w:val="0"/>
          <w:sz w:val="32"/>
          <w:szCs w:val="32"/>
        </w:rPr>
        <w:t>投诉调查处理阶段，被投诉人进行了解释说明，提供了原评标委员会复核报告等证据。经查，</w:t>
      </w:r>
      <w:r>
        <w:rPr>
          <w:rFonts w:hint="eastAsia" w:ascii="仿宋_GB2312" w:hAnsi="仿宋_GB2312" w:eastAsia="仿宋_GB2312" w:cs="仿宋_GB2312"/>
          <w:sz w:val="32"/>
          <w:szCs w:val="32"/>
          <w:lang w:val="en-US" w:eastAsia="zh-CN"/>
        </w:rPr>
        <w:t>《中华人民共和国医疗器械注册证》（注册证编号：国械注进20213060494）所载产品名称口腔颌面锥形束计算机体层摄影设备（型号：</w:t>
      </w:r>
      <w:r>
        <w:rPr>
          <w:rFonts w:hint="eastAsia" w:ascii="仿宋_GB2312" w:hAnsi="仿宋_GB2312" w:eastAsia="仿宋_GB2312" w:cs="仿宋_GB2312"/>
          <w:kern w:val="0"/>
          <w:sz w:val="32"/>
          <w:szCs w:val="32"/>
          <w:u w:val="none"/>
          <w:lang w:val="en-US" w:eastAsia="zh-CN"/>
        </w:rPr>
        <w:t>Newtom GiANO HR</w:t>
      </w:r>
      <w:r>
        <w:rPr>
          <w:rFonts w:hint="eastAsia" w:ascii="仿宋_GB2312" w:hAnsi="仿宋_GB2312" w:eastAsia="仿宋_GB2312" w:cs="仿宋_GB2312"/>
          <w:sz w:val="32"/>
          <w:szCs w:val="32"/>
          <w:lang w:val="en-US" w:eastAsia="zh-CN"/>
        </w:rPr>
        <w:t>）探测器（头颅探测器）的像素为</w:t>
      </w:r>
      <w:r>
        <w:rPr>
          <w:rFonts w:hint="eastAsia" w:ascii="仿宋_GB2312" w:hAnsi="仿宋_GB2312" w:eastAsia="仿宋_GB2312" w:cs="仿宋_GB2312"/>
          <w:kern w:val="0"/>
          <w:sz w:val="32"/>
          <w:szCs w:val="32"/>
          <w:lang w:val="en-US" w:eastAsia="zh-CN"/>
        </w:rPr>
        <w:t>35μm，符合“2D探测器像素≤48μm”的要求。同时</w:t>
      </w:r>
      <w:r>
        <w:rPr>
          <w:rFonts w:hint="eastAsia" w:ascii="仿宋_GB2312" w:hAnsi="仿宋_GB2312" w:eastAsia="仿宋_GB2312" w:cs="仿宋_GB2312"/>
          <w:sz w:val="32"/>
          <w:szCs w:val="32"/>
          <w:lang w:val="en-US" w:eastAsia="zh-CN"/>
        </w:rPr>
        <w:t>根据制造商赛福徕集团(CEFLA S.C.)提供的新版</w:t>
      </w:r>
      <w:r>
        <w:rPr>
          <w:rFonts w:hint="eastAsia" w:ascii="仿宋_GB2312" w:hAnsi="仿宋_GB2312" w:eastAsia="仿宋_GB2312" w:cs="仿宋_GB2312"/>
          <w:kern w:val="0"/>
          <w:sz w:val="32"/>
          <w:szCs w:val="32"/>
          <w:u w:val="none"/>
          <w:lang w:val="en-US" w:eastAsia="zh-CN"/>
        </w:rPr>
        <w:t>Newtom GiANO HR彩色产品宣传册和最新版技术白皮书显示，探</w:t>
      </w:r>
      <w:r>
        <w:rPr>
          <w:rFonts w:hint="eastAsia" w:ascii="仿宋_GB2312" w:hAnsi="仿宋_GB2312" w:eastAsia="仿宋_GB2312" w:cs="仿宋_GB2312"/>
          <w:kern w:val="2"/>
          <w:sz w:val="32"/>
          <w:szCs w:val="32"/>
          <w:u w:val="none"/>
          <w:lang w:val="en-US" w:eastAsia="zh-CN"/>
        </w:rPr>
        <w:t>测器灰阶范围为“3D：16bit;2D:16bit”,</w:t>
      </w:r>
      <w:r>
        <w:rPr>
          <w:rFonts w:hint="eastAsia" w:ascii="仿宋_GB2312" w:hAnsi="仿宋_GB2312" w:eastAsia="仿宋_GB2312" w:cs="仿宋_GB2312"/>
          <w:kern w:val="0"/>
          <w:sz w:val="32"/>
          <w:szCs w:val="32"/>
          <w:lang w:val="en-US" w:eastAsia="zh-CN"/>
        </w:rPr>
        <w:t>符合“2D探测器灰阶≥16bit”的要求。</w:t>
      </w:r>
      <w:r>
        <w:rPr>
          <w:rFonts w:hint="eastAsia" w:ascii="仿宋_GB2312" w:hAnsi="仿宋_GB2312" w:eastAsia="仿宋_GB2312" w:cs="仿宋_GB2312"/>
          <w:b w:val="0"/>
          <w:bCs w:val="0"/>
          <w:sz w:val="32"/>
          <w:szCs w:val="32"/>
          <w:lang w:val="en-US" w:eastAsia="zh-CN" w:bidi="ar"/>
        </w:rPr>
        <w:t>故，根据现有证据材料，</w:t>
      </w:r>
      <w:r>
        <w:rPr>
          <w:rFonts w:hint="eastAsia" w:ascii="仿宋_GB2312" w:hAnsi="仿宋_GB2312" w:eastAsia="仿宋_GB2312" w:cs="仿宋_GB2312"/>
          <w:sz w:val="32"/>
          <w:szCs w:val="32"/>
          <w:lang w:val="en-US" w:eastAsia="zh-CN"/>
        </w:rPr>
        <w:t>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2</w:t>
      </w:r>
    </w:p>
    <w:p>
      <w:pPr>
        <w:keepNext w:val="0"/>
        <w:keepLines w:val="0"/>
        <w:widowControl w:val="0"/>
        <w:numPr>
          <w:ilvl w:val="-1"/>
          <w:numId w:val="0"/>
        </w:numPr>
        <w:suppressLineNumbers w:val="0"/>
        <w:spacing w:line="520" w:lineRule="exact"/>
        <w:ind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kern w:val="0"/>
          <w:sz w:val="32"/>
          <w:szCs w:val="32"/>
          <w:lang w:val="en-US" w:eastAsia="zh-CN"/>
        </w:rPr>
        <w:t>投诉人认为招标文件“1.3标项3：口腔CT机”中的采购需求为</w:t>
      </w:r>
      <w:r>
        <w:rPr>
          <w:rFonts w:hint="eastAsia" w:ascii="仿宋_GB2312" w:hAnsi="仿宋_GB2312" w:eastAsia="仿宋_GB2312" w:cs="仿宋_GB2312"/>
          <w:kern w:val="0"/>
          <w:sz w:val="32"/>
          <w:szCs w:val="32"/>
          <w:u w:val="none"/>
          <w:lang w:val="en-US"/>
        </w:rPr>
        <w:t>“3.4.7◆ 头颅正畸模块，可拍摄正位，侧位，可设定大小，可拍摄范围≥30x27cm（宽x高），最高精度≤48μm”，</w:t>
      </w:r>
      <w:r>
        <w:rPr>
          <w:rFonts w:hint="eastAsia" w:ascii="仿宋_GB2312" w:hAnsi="仿宋_GB2312" w:eastAsia="仿宋_GB2312" w:cs="仿宋_GB2312"/>
          <w:kern w:val="0"/>
          <w:sz w:val="32"/>
          <w:szCs w:val="32"/>
          <w:lang w:val="en-US" w:eastAsia="zh-CN"/>
        </w:rPr>
        <w:t>中标单位</w:t>
      </w:r>
      <w:bookmarkStart w:id="18" w:name="OLE_LINK16"/>
      <w:r>
        <w:rPr>
          <w:rFonts w:hint="eastAsia" w:ascii="仿宋_GB2312" w:hAnsi="仿宋_GB2312" w:eastAsia="仿宋_GB2312" w:cs="仿宋_GB2312"/>
          <w:kern w:val="0"/>
          <w:sz w:val="32"/>
          <w:szCs w:val="32"/>
          <w:lang w:val="en-US" w:eastAsia="zh-CN"/>
        </w:rPr>
        <w:t>重药控股（浙江）有限公司</w:t>
      </w:r>
      <w:bookmarkEnd w:id="18"/>
      <w:r>
        <w:rPr>
          <w:rFonts w:hint="eastAsia" w:ascii="仿宋_GB2312" w:hAnsi="仿宋_GB2312" w:eastAsia="仿宋_GB2312" w:cs="仿宋_GB2312"/>
          <w:kern w:val="0"/>
          <w:sz w:val="32"/>
          <w:szCs w:val="32"/>
          <w:lang w:val="en-US" w:eastAsia="zh-CN"/>
        </w:rPr>
        <w:t>所投产品NewTom GiANO HR不符合招标要求，属于负偏离。</w:t>
      </w:r>
      <w:r>
        <w:rPr>
          <w:rFonts w:hint="eastAsia" w:ascii="仿宋_GB2312" w:hAnsi="仿宋_GB2312" w:eastAsia="仿宋_GB2312" w:cs="仿宋_GB2312"/>
          <w:kern w:val="0"/>
          <w:sz w:val="32"/>
          <w:szCs w:val="32"/>
        </w:rPr>
        <w:t>投诉调查处理阶段，被投诉人进行了解释说明，提供了原评标委员会复核报告等证据。经查，</w:t>
      </w:r>
      <w:r>
        <w:rPr>
          <w:rFonts w:hint="eastAsia" w:ascii="仿宋_GB2312" w:hAnsi="仿宋_GB2312" w:eastAsia="仿宋_GB2312" w:cs="仿宋_GB2312"/>
          <w:sz w:val="32"/>
          <w:szCs w:val="32"/>
          <w:lang w:val="en-US" w:eastAsia="zh-CN"/>
        </w:rPr>
        <w:t>《中华人民共和国医疗器械注册证》（注册证编号：国械注进20213060494）所载产品名称口腔颌面锥形束计算机体层摄影设备（型号：</w:t>
      </w:r>
      <w:r>
        <w:rPr>
          <w:rFonts w:hint="eastAsia" w:ascii="仿宋_GB2312" w:hAnsi="仿宋_GB2312" w:eastAsia="仿宋_GB2312" w:cs="仿宋_GB2312"/>
          <w:kern w:val="0"/>
          <w:sz w:val="32"/>
          <w:szCs w:val="32"/>
          <w:u w:val="none"/>
          <w:lang w:val="en-US" w:eastAsia="zh-CN"/>
        </w:rPr>
        <w:t>Newtom GiANO HR</w:t>
      </w:r>
      <w:r>
        <w:rPr>
          <w:rFonts w:hint="eastAsia" w:ascii="仿宋_GB2312" w:hAnsi="仿宋_GB2312" w:eastAsia="仿宋_GB2312" w:cs="仿宋_GB2312"/>
          <w:sz w:val="32"/>
          <w:szCs w:val="32"/>
          <w:lang w:val="en-US" w:eastAsia="zh-CN"/>
        </w:rPr>
        <w:t>）探测器（头颅探测器）的像素为</w:t>
      </w:r>
      <w:r>
        <w:rPr>
          <w:rFonts w:hint="eastAsia" w:ascii="仿宋_GB2312" w:hAnsi="仿宋_GB2312" w:eastAsia="仿宋_GB2312" w:cs="仿宋_GB2312"/>
          <w:kern w:val="0"/>
          <w:sz w:val="32"/>
          <w:szCs w:val="32"/>
          <w:lang w:val="en-US" w:eastAsia="zh-CN"/>
        </w:rPr>
        <w:t>35μm，符合“最高精度≤48μm”的要求。同时</w:t>
      </w:r>
      <w:r>
        <w:rPr>
          <w:rFonts w:hint="eastAsia" w:ascii="仿宋_GB2312" w:hAnsi="仿宋_GB2312" w:eastAsia="仿宋_GB2312" w:cs="仿宋_GB2312"/>
          <w:sz w:val="32"/>
          <w:szCs w:val="32"/>
          <w:lang w:val="en-US" w:eastAsia="zh-CN"/>
        </w:rPr>
        <w:t>根据制造商赛福徕集团</w:t>
      </w:r>
      <w:r>
        <w:rPr>
          <w:rFonts w:hint="eastAsia" w:ascii="仿宋_GB2312" w:hAnsi="仿宋_GB2312" w:eastAsia="仿宋_GB2312" w:cs="仿宋_GB2312"/>
          <w:sz w:val="32"/>
          <w:szCs w:val="32"/>
        </w:rPr>
        <w:t>(CEFLA S.C.)</w:t>
      </w:r>
      <w:bookmarkStart w:id="19" w:name="OLE_LINK28"/>
      <w:r>
        <w:rPr>
          <w:rFonts w:hint="eastAsia" w:ascii="仿宋_GB2312" w:hAnsi="仿宋_GB2312" w:eastAsia="仿宋_GB2312" w:cs="仿宋_GB2312"/>
          <w:sz w:val="32"/>
          <w:szCs w:val="32"/>
          <w:lang w:val="en-US" w:eastAsia="zh-CN"/>
        </w:rPr>
        <w:t>提供的新版</w:t>
      </w:r>
      <w:r>
        <w:rPr>
          <w:rFonts w:hint="eastAsia" w:ascii="仿宋_GB2312" w:hAnsi="仿宋_GB2312" w:eastAsia="仿宋_GB2312" w:cs="仿宋_GB2312"/>
          <w:kern w:val="0"/>
          <w:sz w:val="32"/>
          <w:szCs w:val="32"/>
          <w:u w:val="none"/>
          <w:lang w:val="en-US" w:eastAsia="zh-CN"/>
        </w:rPr>
        <w:t>Newtom GiANO HR彩色产品宣传册和最新版技术白皮书显示，</w:t>
      </w:r>
      <w:bookmarkEnd w:id="19"/>
      <w:r>
        <w:rPr>
          <w:rFonts w:hint="eastAsia" w:ascii="仿宋_GB2312" w:hAnsi="仿宋_GB2312" w:eastAsia="仿宋_GB2312" w:cs="仿宋_GB2312"/>
          <w:kern w:val="0"/>
          <w:sz w:val="32"/>
          <w:szCs w:val="32"/>
          <w:u w:val="none"/>
          <w:lang w:val="en-US" w:eastAsia="zh-CN"/>
        </w:rPr>
        <w:t>“最大视野：头侧为</w:t>
      </w:r>
      <w:r>
        <w:rPr>
          <w:rFonts w:hint="eastAsia" w:ascii="微软雅黑" w:hAnsi="微软雅黑" w:eastAsia="微软雅黑" w:cs="微软雅黑"/>
          <w:kern w:val="0"/>
          <w:sz w:val="32"/>
          <w:szCs w:val="32"/>
          <w:u w:val="none"/>
          <w:lang w:val="en-US" w:eastAsia="zh-CN"/>
        </w:rPr>
        <w:t>＇</w:t>
      </w:r>
      <w:r>
        <w:rPr>
          <w:rFonts w:hint="eastAsia" w:ascii="仿宋_GB2312" w:hAnsi="仿宋_GB2312" w:eastAsia="仿宋_GB2312" w:cs="仿宋_GB2312"/>
          <w:kern w:val="0"/>
          <w:sz w:val="32"/>
          <w:szCs w:val="32"/>
          <w:u w:val="none"/>
          <w:lang w:val="en-US" w:eastAsia="zh-CN"/>
        </w:rPr>
        <w:t>30（长度）</w:t>
      </w:r>
      <w:r>
        <w:rPr>
          <w:rFonts w:hint="eastAsia" w:ascii="仿宋_GB2312" w:hAnsi="仿宋_GB2312" w:eastAsia="仿宋_GB2312" w:cs="仿宋_GB2312"/>
          <w:kern w:val="2"/>
          <w:sz w:val="32"/>
          <w:szCs w:val="32"/>
          <w:u w:val="none"/>
          <w:lang w:val="en-US" w:eastAsia="zh-CN"/>
        </w:rPr>
        <w:t>；27（高度）</w:t>
      </w:r>
      <w:r>
        <w:rPr>
          <w:rFonts w:hint="eastAsia" w:ascii="微软雅黑" w:hAnsi="微软雅黑" w:eastAsia="微软雅黑" w:cs="微软雅黑"/>
          <w:kern w:val="0"/>
          <w:sz w:val="32"/>
          <w:szCs w:val="32"/>
          <w:u w:val="none"/>
          <w:lang w:val="en-US" w:eastAsia="zh-CN"/>
        </w:rPr>
        <w:t>＇</w:t>
      </w:r>
      <w:r>
        <w:rPr>
          <w:rFonts w:hint="eastAsia" w:ascii="仿宋_GB2312" w:hAnsi="仿宋_GB2312" w:eastAsia="仿宋_GB2312" w:cs="仿宋_GB2312"/>
          <w:kern w:val="2"/>
          <w:sz w:val="32"/>
          <w:szCs w:val="32"/>
          <w:u w:val="none"/>
          <w:lang w:val="en-US" w:eastAsia="zh-CN"/>
        </w:rPr>
        <w:t>”，符合“</w:t>
      </w:r>
      <w:r>
        <w:rPr>
          <w:rFonts w:hint="eastAsia" w:ascii="仿宋_GB2312" w:hAnsi="仿宋_GB2312" w:eastAsia="仿宋_GB2312" w:cs="仿宋_GB2312"/>
          <w:kern w:val="0"/>
          <w:sz w:val="32"/>
          <w:szCs w:val="32"/>
          <w:u w:val="none"/>
          <w:lang w:val="en-US"/>
        </w:rPr>
        <w:t>可拍摄范围≥30x27cm（宽x高）</w:t>
      </w:r>
      <w:r>
        <w:rPr>
          <w:rFonts w:hint="eastAsia" w:ascii="仿宋_GB2312" w:hAnsi="仿宋_GB2312" w:eastAsia="仿宋_GB2312" w:cs="仿宋_GB2312"/>
          <w:kern w:val="2"/>
          <w:sz w:val="32"/>
          <w:szCs w:val="32"/>
          <w:u w:val="none"/>
          <w:lang w:val="en-US" w:eastAsia="zh-CN"/>
        </w:rPr>
        <w:t>”的要求。</w:t>
      </w:r>
      <w:r>
        <w:rPr>
          <w:rFonts w:hint="eastAsia" w:ascii="仿宋_GB2312" w:hAnsi="仿宋_GB2312" w:eastAsia="仿宋_GB2312" w:cs="仿宋_GB2312"/>
          <w:b w:val="0"/>
          <w:bCs w:val="0"/>
          <w:sz w:val="32"/>
          <w:szCs w:val="32"/>
          <w:lang w:val="en-US" w:eastAsia="zh-CN" w:bidi="ar"/>
        </w:rPr>
        <w:t>故，根据现有证据材料，</w:t>
      </w:r>
      <w:r>
        <w:rPr>
          <w:rFonts w:hint="eastAsia" w:ascii="仿宋_GB2312" w:hAnsi="仿宋_GB2312" w:eastAsia="仿宋_GB2312" w:cs="仿宋_GB2312"/>
          <w:sz w:val="32"/>
          <w:szCs w:val="32"/>
          <w:lang w:val="en-US" w:eastAsia="zh-CN"/>
        </w:rPr>
        <w:t>该投诉事项不成立。</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0" w:firstLineChars="200"/>
        <w:jc w:val="left"/>
        <w:textAlignment w:val="auto"/>
        <w:rPr>
          <w:rFonts w:hint="eastAsia" w:ascii="楷体_GB2312" w:hAnsi="楷体_GB2312" w:eastAsia="楷体_GB2312" w:cs="楷体_GB2312"/>
          <w:sz w:val="32"/>
          <w:szCs w:val="32"/>
          <w:lang w:val="en-US" w:eastAsia="zh-CN"/>
        </w:rPr>
      </w:pPr>
      <w:bookmarkStart w:id="20" w:name="OLE_LINK18"/>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3</w:t>
      </w:r>
    </w:p>
    <w:bookmarkEnd w:id="20"/>
    <w:p>
      <w:pPr>
        <w:autoSpaceDE/>
        <w:autoSpaceDN/>
        <w:adjustRightInd/>
        <w:spacing w:line="520" w:lineRule="exact"/>
        <w:ind w:firstLine="640" w:firstLineChars="200"/>
        <w:rPr>
          <w:rFonts w:hint="eastAsia" w:ascii="仿宋_GB2312" w:hAnsi="仿宋_GB2312" w:eastAsia="仿宋_GB2312" w:cs="仿宋_GB2312"/>
          <w:kern w:val="2"/>
          <w:sz w:val="32"/>
          <w:szCs w:val="32"/>
          <w:lang w:val="en-US" w:eastAsia="zh-CN" w:bidi="ar"/>
        </w:rPr>
      </w:pPr>
      <w:bookmarkStart w:id="21" w:name="OLE_LINK19"/>
      <w:r>
        <w:rPr>
          <w:rFonts w:hint="eastAsia" w:ascii="仿宋_GB2312" w:hAnsi="仿宋_GB2312" w:eastAsia="仿宋_GB2312" w:cs="仿宋_GB2312"/>
          <w:kern w:val="2"/>
          <w:sz w:val="32"/>
          <w:szCs w:val="32"/>
          <w:lang w:val="en-US" w:eastAsia="zh-CN" w:bidi="ar"/>
        </w:rPr>
        <w:t>《公开招标文件》第三部分“采购需求”的“1.3标项3：口腔CT机1套”中的采购需求为“4.12.独立原厂高速重建服务器”，中标供应商</w:t>
      </w:r>
      <w:r>
        <w:rPr>
          <w:rFonts w:hint="eastAsia" w:ascii="仿宋_GB2312" w:hAnsi="仿宋_GB2312" w:eastAsia="仿宋_GB2312" w:cs="仿宋_GB2312"/>
          <w:kern w:val="0"/>
          <w:sz w:val="32"/>
          <w:szCs w:val="32"/>
          <w:lang w:val="en-US" w:eastAsia="zh-CN"/>
        </w:rPr>
        <w:t>重药控股（浙江）有限公司提供的“</w:t>
      </w:r>
      <w:r>
        <w:rPr>
          <w:rFonts w:hint="eastAsia" w:ascii="仿宋_GB2312" w:hAnsi="仿宋_GB2312" w:eastAsia="仿宋_GB2312" w:cs="仿宋_GB2312"/>
          <w:kern w:val="2"/>
          <w:sz w:val="32"/>
          <w:szCs w:val="32"/>
          <w:lang w:val="en-US" w:eastAsia="zh-CN" w:bidi="ar"/>
        </w:rPr>
        <w:t>独立原厂高速重建服务器”为美国惠普公司生产的惠普Z4G4，符合采购要求</w:t>
      </w:r>
      <w:bookmarkEnd w:id="21"/>
      <w:bookmarkStart w:id="22" w:name="OLE_LINK22"/>
      <w:r>
        <w:rPr>
          <w:rFonts w:hint="eastAsia" w:ascii="仿宋_GB2312" w:hAnsi="仿宋_GB2312" w:eastAsia="仿宋_GB2312" w:cs="仿宋_GB2312"/>
          <w:i w:val="0"/>
          <w:iCs w:val="0"/>
          <w:caps w:val="0"/>
          <w:color w:val="000000"/>
          <w:spacing w:val="0"/>
          <w:sz w:val="32"/>
          <w:szCs w:val="32"/>
          <w:shd w:val="clear" w:fill="auto"/>
          <w:lang w:eastAsia="zh-CN" w:bidi="ar"/>
        </w:rPr>
        <w:t>。</w:t>
      </w:r>
      <w:r>
        <w:rPr>
          <w:rFonts w:hint="eastAsia" w:ascii="仿宋_GB2312" w:hAnsi="仿宋_GB2312" w:eastAsia="仿宋_GB2312" w:cs="仿宋_GB2312"/>
          <w:kern w:val="0"/>
          <w:sz w:val="32"/>
          <w:szCs w:val="32"/>
        </w:rPr>
        <w:t>投诉调查处理阶段，被投诉人</w:t>
      </w:r>
      <w:r>
        <w:rPr>
          <w:rFonts w:hint="eastAsia" w:ascii="仿宋_GB2312" w:hAnsi="仿宋_GB2312" w:eastAsia="仿宋_GB2312" w:cs="仿宋_GB2312"/>
          <w:kern w:val="0"/>
          <w:sz w:val="32"/>
          <w:szCs w:val="32"/>
          <w:lang w:eastAsia="zh-CN"/>
        </w:rPr>
        <w:t>提供了中标供应商参数</w:t>
      </w:r>
      <w:r>
        <w:rPr>
          <w:rFonts w:hint="eastAsia" w:ascii="仿宋_GB2312" w:hAnsi="仿宋_GB2312" w:eastAsia="仿宋_GB2312" w:cs="仿宋_GB2312"/>
          <w:kern w:val="0"/>
          <w:sz w:val="32"/>
          <w:szCs w:val="32"/>
        </w:rPr>
        <w:t>与招标参数无偏离</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解释说明</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i w:val="0"/>
          <w:iCs w:val="0"/>
          <w:caps w:val="0"/>
          <w:color w:val="000000"/>
          <w:spacing w:val="0"/>
          <w:sz w:val="32"/>
          <w:szCs w:val="32"/>
          <w:shd w:val="clear" w:fill="auto"/>
          <w:lang w:eastAsia="zh-CN" w:bidi="ar"/>
        </w:rPr>
        <w:t>此外，</w:t>
      </w:r>
      <w:r>
        <w:rPr>
          <w:rFonts w:hint="eastAsia" w:ascii="仿宋_GB2312" w:hAnsi="仿宋_GB2312" w:eastAsia="仿宋_GB2312" w:cs="仿宋_GB2312"/>
          <w:kern w:val="2"/>
          <w:sz w:val="32"/>
          <w:szCs w:val="32"/>
          <w:lang w:val="en-US" w:eastAsia="zh-CN" w:bidi="ar"/>
        </w:rPr>
        <w:t>《政府采购货物和服务招标投标管理办法》（财政部令第87号）</w:t>
      </w:r>
      <w:r>
        <w:rPr>
          <w:rFonts w:hint="eastAsia" w:ascii="仿宋_GB2312" w:hAnsi="仿宋_GB2312" w:eastAsia="仿宋_GB2312" w:cs="仿宋_GB2312"/>
          <w:b w:val="0"/>
          <w:bCs w:val="0"/>
          <w:sz w:val="32"/>
          <w:szCs w:val="32"/>
          <w:lang w:bidi="ar"/>
        </w:rPr>
        <w:t>第七十四</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eastAsia="zh-CN"/>
        </w:rPr>
        <w:t>规定：“</w:t>
      </w:r>
      <w:r>
        <w:rPr>
          <w:rFonts w:hint="eastAsia" w:ascii="仿宋_GB2312" w:hAnsi="仿宋_GB2312" w:eastAsia="仿宋_GB2312" w:cs="仿宋_GB2312"/>
          <w:b w:val="0"/>
          <w:bCs w:val="0"/>
          <w:sz w:val="32"/>
          <w:szCs w:val="32"/>
        </w:rPr>
        <w:t>采购人应当及时对采购项目进行验收。</w:t>
      </w:r>
      <w:bookmarkStart w:id="23" w:name="OLE_LINK17"/>
      <w:r>
        <w:rPr>
          <w:rFonts w:hint="eastAsia" w:ascii="仿宋_GB2312" w:hAnsi="仿宋_GB2312" w:eastAsia="仿宋_GB2312" w:cs="仿宋_GB2312"/>
          <w:b w:val="0"/>
          <w:bCs w:val="0"/>
          <w:sz w:val="32"/>
          <w:szCs w:val="32"/>
        </w:rPr>
        <w:t>采购人可以邀请参加本项目的其他投标人或者第三方机构参与验收。</w:t>
      </w:r>
      <w:bookmarkEnd w:id="23"/>
      <w:r>
        <w:rPr>
          <w:rFonts w:hint="eastAsia" w:ascii="仿宋_GB2312" w:hAnsi="仿宋_GB2312" w:eastAsia="仿宋_GB2312" w:cs="仿宋_GB2312"/>
          <w:b w:val="0"/>
          <w:bCs w:val="0"/>
          <w:sz w:val="32"/>
          <w:szCs w:val="32"/>
        </w:rPr>
        <w:t>参与验收的投标人或者第三方机构的意见作为验收书的参考资料一并存档。</w:t>
      </w:r>
      <w:r>
        <w:rPr>
          <w:rFonts w:hint="eastAsia" w:ascii="仿宋_GB2312" w:hAnsi="仿宋_GB2312" w:eastAsia="仿宋_GB2312" w:cs="仿宋_GB2312"/>
          <w:b w:val="0"/>
          <w:bCs w:val="0"/>
          <w:sz w:val="32"/>
          <w:szCs w:val="32"/>
          <w:lang w:eastAsia="zh-CN"/>
        </w:rPr>
        <w:t>”故</w:t>
      </w:r>
      <w:r>
        <w:rPr>
          <w:rFonts w:hint="eastAsia" w:ascii="仿宋_GB2312" w:hAnsi="仿宋_GB2312" w:eastAsia="仿宋_GB2312" w:cs="仿宋_GB2312"/>
          <w:b w:val="0"/>
          <w:bCs w:val="0"/>
          <w:sz w:val="32"/>
          <w:szCs w:val="32"/>
        </w:rPr>
        <w:t>采购人可以邀请参加本项目的其他投标人</w:t>
      </w:r>
      <w:r>
        <w:rPr>
          <w:rFonts w:hint="eastAsia" w:ascii="仿宋_GB2312" w:hAnsi="仿宋_GB2312" w:eastAsia="仿宋_GB2312" w:cs="仿宋_GB2312"/>
          <w:b w:val="0"/>
          <w:bCs w:val="0"/>
          <w:sz w:val="32"/>
          <w:szCs w:val="32"/>
          <w:lang w:eastAsia="zh-CN"/>
        </w:rPr>
        <w:t>（包括投诉人）</w:t>
      </w:r>
      <w:r>
        <w:rPr>
          <w:rFonts w:hint="eastAsia" w:ascii="仿宋_GB2312" w:hAnsi="仿宋_GB2312" w:eastAsia="仿宋_GB2312" w:cs="仿宋_GB2312"/>
          <w:b w:val="0"/>
          <w:bCs w:val="0"/>
          <w:sz w:val="32"/>
          <w:szCs w:val="32"/>
        </w:rPr>
        <w:t>或者第三方机构参与验收</w:t>
      </w:r>
      <w:r>
        <w:rPr>
          <w:rFonts w:hint="eastAsia" w:ascii="仿宋_GB2312" w:hAnsi="仿宋_GB2312" w:eastAsia="仿宋_GB2312" w:cs="仿宋_GB2312"/>
          <w:b w:val="0"/>
          <w:bCs w:val="0"/>
          <w:sz w:val="32"/>
          <w:szCs w:val="32"/>
          <w:lang w:eastAsia="zh-CN"/>
        </w:rPr>
        <w:t>，在验收阶段监督中标供应商提供的产品是否符合采购要求</w:t>
      </w:r>
      <w:r>
        <w:rPr>
          <w:rFonts w:hint="eastAsia" w:ascii="仿宋_GB2312" w:hAnsi="仿宋_GB2312" w:eastAsia="仿宋_GB2312" w:cs="仿宋_GB2312"/>
          <w:b w:val="0"/>
          <w:bCs w:val="0"/>
          <w:sz w:val="32"/>
          <w:szCs w:val="32"/>
        </w:rPr>
        <w:t>。故，根据现有证据材料，该投诉事项不成立。</w:t>
      </w:r>
    </w:p>
    <w:bookmarkEnd w:id="22"/>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楷体_GB2312" w:hAnsi="楷体_GB2312" w:eastAsia="楷体_GB2312" w:cs="楷体_GB2312"/>
          <w:sz w:val="32"/>
          <w:szCs w:val="32"/>
          <w:lang w:val="en-US" w:eastAsia="zh-CN"/>
        </w:rPr>
      </w:pPr>
      <w:bookmarkStart w:id="24" w:name="OLE_LINK23"/>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4</w:t>
      </w:r>
    </w:p>
    <w:bookmarkEnd w:id="24"/>
    <w:p>
      <w:pPr>
        <w:autoSpaceDE/>
        <w:autoSpaceDN/>
        <w:adjustRightInd/>
        <w:spacing w:line="520" w:lineRule="exact"/>
        <w:ind w:firstLine="640" w:firstLineChars="200"/>
        <w:rPr>
          <w:rFonts w:hint="eastAsia" w:ascii="仿宋_GB2312" w:hAnsi="仿宋_GB2312" w:eastAsia="仿宋_GB2312" w:cs="仿宋_GB2312"/>
          <w:kern w:val="2"/>
          <w:sz w:val="32"/>
          <w:szCs w:val="32"/>
          <w:lang w:val="en-US" w:eastAsia="zh-CN" w:bidi="ar"/>
        </w:rPr>
      </w:pPr>
      <w:bookmarkStart w:id="25" w:name="OLE_LINK24"/>
      <w:r>
        <w:rPr>
          <w:rFonts w:hint="eastAsia" w:ascii="仿宋_GB2312" w:hAnsi="仿宋_GB2312" w:eastAsia="仿宋_GB2312" w:cs="仿宋_GB2312"/>
          <w:kern w:val="2"/>
          <w:sz w:val="32"/>
          <w:szCs w:val="32"/>
          <w:lang w:val="en-US" w:eastAsia="zh-CN" w:bidi="ar"/>
        </w:rPr>
        <w:t>《公开招标文件》第三部分“采购需求”的“1.3标项3：口腔CT机1套”中的采购需求为</w:t>
      </w:r>
      <w:bookmarkEnd w:id="25"/>
      <w:r>
        <w:rPr>
          <w:rFonts w:hint="eastAsia" w:ascii="仿宋_GB2312" w:hAnsi="仿宋_GB2312" w:eastAsia="仿宋_GB2312" w:cs="仿宋_GB2312"/>
          <w:kern w:val="2"/>
          <w:sz w:val="32"/>
          <w:szCs w:val="32"/>
          <w:lang w:val="en-US" w:eastAsia="zh-CN" w:bidi="ar"/>
        </w:rPr>
        <w:t>“4.16.</w:t>
      </w:r>
      <w:bookmarkStart w:id="26" w:name="OLE_LINK21"/>
      <w:r>
        <w:rPr>
          <w:rFonts w:hint="eastAsia" w:ascii="仿宋_GB2312" w:hAnsi="仿宋_GB2312" w:eastAsia="仿宋_GB2312" w:cs="仿宋_GB2312"/>
          <w:kern w:val="2"/>
          <w:sz w:val="32"/>
          <w:szCs w:val="32"/>
          <w:lang w:val="en-US" w:eastAsia="zh-CN" w:bidi="ar"/>
        </w:rPr>
        <w:t>微软SQL数据库软件</w:t>
      </w:r>
      <w:bookmarkEnd w:id="26"/>
      <w:r>
        <w:rPr>
          <w:rFonts w:hint="eastAsia" w:ascii="仿宋_GB2312" w:hAnsi="仿宋_GB2312" w:eastAsia="仿宋_GB2312" w:cs="仿宋_GB2312"/>
          <w:kern w:val="2"/>
          <w:sz w:val="32"/>
          <w:szCs w:val="32"/>
          <w:lang w:val="en-US" w:eastAsia="zh-CN" w:bidi="ar"/>
        </w:rPr>
        <w:t>，用于储存病人信息等拍摄信息”，</w:t>
      </w:r>
      <w:bookmarkStart w:id="27" w:name="OLE_LINK20"/>
      <w:bookmarkStart w:id="28" w:name="OLE_LINK26"/>
      <w:r>
        <w:rPr>
          <w:rFonts w:hint="eastAsia" w:ascii="仿宋_GB2312" w:hAnsi="仿宋_GB2312" w:eastAsia="仿宋_GB2312" w:cs="仿宋_GB2312"/>
          <w:kern w:val="2"/>
          <w:sz w:val="32"/>
          <w:szCs w:val="32"/>
          <w:lang w:val="en-US" w:eastAsia="zh-CN" w:bidi="ar"/>
        </w:rPr>
        <w:t>中标供应商</w:t>
      </w:r>
      <w:r>
        <w:rPr>
          <w:rFonts w:hint="eastAsia" w:ascii="仿宋_GB2312" w:hAnsi="仿宋_GB2312" w:eastAsia="仿宋_GB2312" w:cs="仿宋_GB2312"/>
          <w:kern w:val="0"/>
          <w:sz w:val="32"/>
          <w:szCs w:val="32"/>
          <w:lang w:val="en-US" w:eastAsia="zh-CN"/>
        </w:rPr>
        <w:t>重药控股（浙江）有限公</w:t>
      </w:r>
      <w:r>
        <w:rPr>
          <w:rFonts w:hint="eastAsia" w:ascii="仿宋_GB2312" w:hAnsi="仿宋_GB2312" w:eastAsia="仿宋_GB2312" w:cs="仿宋_GB2312"/>
          <w:kern w:val="2"/>
          <w:sz w:val="32"/>
          <w:szCs w:val="32"/>
          <w:lang w:val="en-US" w:eastAsia="zh-CN" w:bidi="ar"/>
        </w:rPr>
        <w:t>司</w:t>
      </w:r>
      <w:bookmarkEnd w:id="27"/>
      <w:r>
        <w:rPr>
          <w:rFonts w:hint="eastAsia" w:ascii="仿宋_GB2312" w:hAnsi="仿宋_GB2312" w:eastAsia="仿宋_GB2312" w:cs="仿宋_GB2312"/>
          <w:kern w:val="2"/>
          <w:sz w:val="32"/>
          <w:szCs w:val="32"/>
          <w:lang w:val="en-US" w:eastAsia="zh-CN" w:bidi="ar"/>
        </w:rPr>
        <w:t>在投标文件“技术响应表”中针对“</w:t>
      </w:r>
      <w:r>
        <w:rPr>
          <w:rFonts w:hint="eastAsia" w:ascii="仿宋_GB2312" w:hAnsi="仿宋_GB2312" w:eastAsia="仿宋_GB2312" w:cs="仿宋_GB2312"/>
          <w:b w:val="0"/>
          <w:bCs w:val="0"/>
          <w:sz w:val="32"/>
          <w:szCs w:val="32"/>
          <w:lang w:bidi="ar"/>
        </w:rPr>
        <w:t>微软SQL数据库软件，用于储存病人信息等拍摄信息</w:t>
      </w:r>
      <w:r>
        <w:rPr>
          <w:rFonts w:hint="eastAsia" w:ascii="仿宋_GB2312" w:hAnsi="仿宋_GB2312" w:eastAsia="仿宋_GB2312" w:cs="仿宋_GB2312"/>
          <w:kern w:val="2"/>
          <w:sz w:val="32"/>
          <w:szCs w:val="32"/>
          <w:lang w:val="en-US" w:eastAsia="zh-CN" w:bidi="ar"/>
        </w:rPr>
        <w:t>”写的是“无偏离”，符合</w:t>
      </w:r>
      <w:r>
        <w:rPr>
          <w:rFonts w:hint="eastAsia" w:ascii="仿宋_GB2312" w:hAnsi="仿宋_GB2312" w:eastAsia="仿宋_GB2312" w:cs="仿宋_GB2312"/>
          <w:kern w:val="0"/>
          <w:sz w:val="32"/>
          <w:szCs w:val="32"/>
          <w:lang w:val="en-US" w:eastAsia="zh-CN"/>
        </w:rPr>
        <w:t>采购要求。</w:t>
      </w:r>
      <w:bookmarkEnd w:id="28"/>
      <w:r>
        <w:rPr>
          <w:rFonts w:hint="eastAsia" w:ascii="仿宋_GB2312" w:hAnsi="仿宋_GB2312" w:eastAsia="仿宋_GB2312" w:cs="仿宋_GB2312"/>
          <w:kern w:val="0"/>
          <w:sz w:val="32"/>
          <w:szCs w:val="32"/>
          <w:lang w:val="en-US" w:eastAsia="zh-CN"/>
        </w:rPr>
        <w:t>同时</w:t>
      </w:r>
      <w:r>
        <w:rPr>
          <w:rFonts w:hint="eastAsia" w:ascii="仿宋_GB2312" w:hAnsi="仿宋_GB2312" w:eastAsia="仿宋_GB2312" w:cs="仿宋_GB2312"/>
          <w:kern w:val="2"/>
          <w:sz w:val="32"/>
          <w:szCs w:val="32"/>
          <w:lang w:val="en-US" w:eastAsia="zh-CN" w:bidi="ar"/>
        </w:rPr>
        <w:t>中标供应商</w:t>
      </w:r>
      <w:r>
        <w:rPr>
          <w:rFonts w:hint="eastAsia" w:ascii="仿宋_GB2312" w:hAnsi="仿宋_GB2312" w:eastAsia="仿宋_GB2312" w:cs="仿宋_GB2312"/>
          <w:kern w:val="0"/>
          <w:sz w:val="32"/>
          <w:szCs w:val="32"/>
          <w:lang w:val="en-US" w:eastAsia="zh-CN"/>
        </w:rPr>
        <w:t>重药控股</w:t>
      </w:r>
      <w:r>
        <w:rPr>
          <w:rFonts w:hint="eastAsia" w:ascii="仿宋_GB2312" w:hAnsi="仿宋_GB2312" w:eastAsia="仿宋_GB2312" w:cs="仿宋_GB2312"/>
          <w:kern w:val="2"/>
          <w:sz w:val="32"/>
          <w:szCs w:val="32"/>
          <w:lang w:val="en-US" w:eastAsia="zh-CN" w:bidi="ar"/>
        </w:rPr>
        <w:t>（浙江）有限公司提供了实际使用中为微软SQL数据库软件的证据。</w:t>
      </w:r>
      <w:r>
        <w:rPr>
          <w:rFonts w:hint="eastAsia" w:ascii="仿宋_GB2312" w:hAnsi="仿宋_GB2312" w:eastAsia="仿宋_GB2312" w:cs="仿宋_GB2312"/>
          <w:kern w:val="0"/>
          <w:sz w:val="32"/>
          <w:szCs w:val="32"/>
        </w:rPr>
        <w:t>投诉调查处理阶段，被投诉人</w:t>
      </w:r>
      <w:r>
        <w:rPr>
          <w:rFonts w:hint="eastAsia" w:ascii="仿宋_GB2312" w:hAnsi="仿宋_GB2312" w:eastAsia="仿宋_GB2312" w:cs="仿宋_GB2312"/>
          <w:kern w:val="0"/>
          <w:sz w:val="32"/>
          <w:szCs w:val="32"/>
          <w:lang w:eastAsia="zh-CN"/>
        </w:rPr>
        <w:t>提供了中标供应商参数</w:t>
      </w:r>
      <w:r>
        <w:rPr>
          <w:rFonts w:hint="eastAsia" w:ascii="仿宋_GB2312" w:hAnsi="仿宋_GB2312" w:eastAsia="仿宋_GB2312" w:cs="仿宋_GB2312"/>
          <w:kern w:val="0"/>
          <w:sz w:val="32"/>
          <w:szCs w:val="32"/>
        </w:rPr>
        <w:t>与招标参数无偏离</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解释说明</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i w:val="0"/>
          <w:iCs w:val="0"/>
          <w:caps w:val="0"/>
          <w:color w:val="000000"/>
          <w:spacing w:val="0"/>
          <w:sz w:val="32"/>
          <w:szCs w:val="32"/>
          <w:shd w:val="clear" w:fill="auto"/>
          <w:lang w:eastAsia="zh-CN" w:bidi="ar"/>
        </w:rPr>
        <w:t>此外，</w:t>
      </w:r>
      <w:r>
        <w:rPr>
          <w:rFonts w:hint="eastAsia" w:ascii="仿宋_GB2312" w:hAnsi="仿宋_GB2312" w:eastAsia="仿宋_GB2312" w:cs="仿宋_GB2312"/>
          <w:kern w:val="2"/>
          <w:sz w:val="32"/>
          <w:szCs w:val="32"/>
          <w:lang w:val="en-US" w:eastAsia="zh-CN" w:bidi="ar"/>
        </w:rPr>
        <w:t>《政府采购货物和服务招标投标管理办法》（财政部令第87号）</w:t>
      </w:r>
      <w:r>
        <w:rPr>
          <w:rFonts w:hint="eastAsia" w:ascii="仿宋_GB2312" w:hAnsi="仿宋_GB2312" w:eastAsia="仿宋_GB2312" w:cs="仿宋_GB2312"/>
          <w:b w:val="0"/>
          <w:bCs w:val="0"/>
          <w:sz w:val="32"/>
          <w:szCs w:val="32"/>
          <w:lang w:bidi="ar"/>
        </w:rPr>
        <w:t>第七十四条</w:t>
      </w:r>
      <w:r>
        <w:rPr>
          <w:rFonts w:hint="eastAsia" w:ascii="仿宋_GB2312" w:hAnsi="仿宋_GB2312" w:eastAsia="仿宋_GB2312" w:cs="仿宋_GB2312"/>
          <w:b w:val="0"/>
          <w:bCs w:val="0"/>
          <w:sz w:val="32"/>
          <w:szCs w:val="32"/>
          <w:lang w:eastAsia="zh-CN" w:bidi="ar"/>
        </w:rPr>
        <w:t>规定：“</w:t>
      </w:r>
      <w:r>
        <w:rPr>
          <w:rFonts w:hint="eastAsia" w:ascii="仿宋_GB2312" w:hAnsi="仿宋_GB2312" w:eastAsia="仿宋_GB2312" w:cs="仿宋_GB2312"/>
          <w:b w:val="0"/>
          <w:bCs w:val="0"/>
          <w:sz w:val="32"/>
          <w:szCs w:val="32"/>
          <w:lang w:bidi="ar"/>
        </w:rPr>
        <w:t>采购人应当及时对采购项目进行验收。采购人可以邀请参加本项目</w:t>
      </w:r>
      <w:r>
        <w:rPr>
          <w:rFonts w:hint="eastAsia" w:ascii="仿宋_GB2312" w:hAnsi="仿宋_GB2312" w:eastAsia="仿宋_GB2312" w:cs="仿宋_GB2312"/>
          <w:b w:val="0"/>
          <w:bCs w:val="0"/>
          <w:sz w:val="32"/>
          <w:szCs w:val="32"/>
        </w:rPr>
        <w:t>的其他投标人或者第三方机构参与验收。参与验收的投标人或者第三方机构的意见作为验收书的参考资料一并存档。</w:t>
      </w:r>
      <w:r>
        <w:rPr>
          <w:rFonts w:hint="eastAsia" w:ascii="仿宋_GB2312" w:hAnsi="仿宋_GB2312" w:eastAsia="仿宋_GB2312" w:cs="仿宋_GB2312"/>
          <w:b w:val="0"/>
          <w:bCs w:val="0"/>
          <w:sz w:val="32"/>
          <w:szCs w:val="32"/>
          <w:lang w:eastAsia="zh-CN"/>
        </w:rPr>
        <w:t>”故</w:t>
      </w:r>
      <w:r>
        <w:rPr>
          <w:rFonts w:hint="eastAsia" w:ascii="仿宋_GB2312" w:hAnsi="仿宋_GB2312" w:eastAsia="仿宋_GB2312" w:cs="仿宋_GB2312"/>
          <w:b w:val="0"/>
          <w:bCs w:val="0"/>
          <w:sz w:val="32"/>
          <w:szCs w:val="32"/>
        </w:rPr>
        <w:t>采购人可以邀请参加本项目的其他投标人</w:t>
      </w:r>
      <w:r>
        <w:rPr>
          <w:rFonts w:hint="eastAsia" w:ascii="仿宋_GB2312" w:hAnsi="仿宋_GB2312" w:eastAsia="仿宋_GB2312" w:cs="仿宋_GB2312"/>
          <w:b w:val="0"/>
          <w:bCs w:val="0"/>
          <w:sz w:val="32"/>
          <w:szCs w:val="32"/>
          <w:lang w:eastAsia="zh-CN"/>
        </w:rPr>
        <w:t>（包括投诉人）</w:t>
      </w:r>
      <w:r>
        <w:rPr>
          <w:rFonts w:hint="eastAsia" w:ascii="仿宋_GB2312" w:hAnsi="仿宋_GB2312" w:eastAsia="仿宋_GB2312" w:cs="仿宋_GB2312"/>
          <w:b w:val="0"/>
          <w:bCs w:val="0"/>
          <w:sz w:val="32"/>
          <w:szCs w:val="32"/>
        </w:rPr>
        <w:t>或者第三方机构参与验收</w:t>
      </w:r>
      <w:r>
        <w:rPr>
          <w:rFonts w:hint="eastAsia" w:ascii="仿宋_GB2312" w:hAnsi="仿宋_GB2312" w:eastAsia="仿宋_GB2312" w:cs="仿宋_GB2312"/>
          <w:b w:val="0"/>
          <w:bCs w:val="0"/>
          <w:sz w:val="32"/>
          <w:szCs w:val="32"/>
          <w:lang w:eastAsia="zh-CN"/>
        </w:rPr>
        <w:t>，在验收阶段监督中标供应商提供的产品是否符合采购要求</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故，根据现有证据材料，该投诉事项不成立。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关于投诉事项</w:t>
      </w:r>
      <w:r>
        <w:rPr>
          <w:rFonts w:hint="eastAsia" w:ascii="楷体_GB2312" w:hAnsi="楷体_GB2312" w:eastAsia="楷体_GB2312" w:cs="楷体_GB2312"/>
          <w:sz w:val="32"/>
          <w:szCs w:val="32"/>
          <w:lang w:val="en-US" w:eastAsia="zh-CN"/>
        </w:rPr>
        <w:t>5</w:t>
      </w:r>
    </w:p>
    <w:p>
      <w:pPr>
        <w:autoSpaceDE/>
        <w:autoSpaceDN/>
        <w:adjustRightInd/>
        <w:spacing w:line="520" w:lineRule="exact"/>
        <w:ind w:firstLine="640" w:firstLineChars="200"/>
        <w:rPr>
          <w:rFonts w:hint="eastAsia"/>
          <w:lang w:val="en-US" w:eastAsia="zh-CN"/>
        </w:rPr>
      </w:pPr>
      <w:r>
        <w:rPr>
          <w:rFonts w:hint="eastAsia" w:ascii="仿宋_GB2312" w:hAnsi="仿宋_GB2312" w:eastAsia="仿宋_GB2312" w:cs="仿宋_GB2312"/>
          <w:kern w:val="2"/>
          <w:sz w:val="32"/>
          <w:szCs w:val="32"/>
          <w:lang w:val="en-US" w:eastAsia="zh-CN" w:bidi="ar"/>
        </w:rPr>
        <w:t>《公开招标文件》第三部分“采购需求”的“4.21.标项3：口腔CT机1套”中的采购需求为“</w:t>
      </w:r>
      <w:bookmarkStart w:id="29" w:name="OLE_LINK27"/>
      <w:r>
        <w:rPr>
          <w:rFonts w:hint="eastAsia" w:ascii="仿宋_GB2312" w:hAnsi="仿宋_GB2312" w:eastAsia="仿宋_GB2312" w:cs="仿宋_GB2312"/>
          <w:kern w:val="0"/>
          <w:sz w:val="32"/>
          <w:szCs w:val="32"/>
          <w:u w:val="none"/>
          <w:lang w:val="en-US" w:eastAsia="zh-CN"/>
        </w:rPr>
        <w:t>4.21.◆ 3D数据整合，CT影像可与三维口内扫描仪数据整合，软件模块中包含设计模块，并可通过3D打印机打印种植导板等</w:t>
      </w:r>
      <w:bookmarkEnd w:id="29"/>
      <w:r>
        <w:rPr>
          <w:rFonts w:hint="eastAsia" w:ascii="仿宋_GB2312" w:hAnsi="仿宋_GB2312" w:eastAsia="仿宋_GB2312" w:cs="仿宋_GB2312"/>
          <w:kern w:val="2"/>
          <w:sz w:val="32"/>
          <w:szCs w:val="32"/>
          <w:lang w:val="en-US" w:eastAsia="zh-CN" w:bidi="ar"/>
        </w:rPr>
        <w:t>”，中标供应商</w:t>
      </w:r>
      <w:r>
        <w:rPr>
          <w:rFonts w:hint="eastAsia" w:ascii="仿宋_GB2312" w:hAnsi="仿宋_GB2312" w:eastAsia="仿宋_GB2312" w:cs="仿宋_GB2312"/>
          <w:kern w:val="0"/>
          <w:sz w:val="32"/>
          <w:szCs w:val="32"/>
          <w:lang w:val="en-US" w:eastAsia="zh-CN"/>
        </w:rPr>
        <w:t>重药控股（浙江）有限公</w:t>
      </w:r>
      <w:r>
        <w:rPr>
          <w:rFonts w:hint="eastAsia" w:ascii="仿宋_GB2312" w:hAnsi="仿宋_GB2312" w:eastAsia="仿宋_GB2312" w:cs="仿宋_GB2312"/>
          <w:kern w:val="2"/>
          <w:sz w:val="32"/>
          <w:szCs w:val="32"/>
          <w:lang w:val="en-US" w:eastAsia="zh-CN" w:bidi="ar"/>
        </w:rPr>
        <w:t>司在投标文件“技术响应表”中针对“</w:t>
      </w:r>
      <w:r>
        <w:rPr>
          <w:rFonts w:hint="eastAsia" w:ascii="仿宋_GB2312" w:hAnsi="仿宋_GB2312" w:eastAsia="仿宋_GB2312" w:cs="仿宋_GB2312"/>
          <w:kern w:val="0"/>
          <w:sz w:val="32"/>
          <w:szCs w:val="32"/>
          <w:u w:val="none"/>
          <w:lang w:val="en-US" w:eastAsia="zh-CN"/>
        </w:rPr>
        <w:t>4.21.◆ 3D数据整合，CT影像可与三维口内扫描仪数据整合，软件模块中包含设计模块，并可通过3D打印机打印种植导板等</w:t>
      </w:r>
      <w:r>
        <w:rPr>
          <w:rFonts w:hint="eastAsia" w:ascii="仿宋_GB2312" w:hAnsi="仿宋_GB2312" w:eastAsia="仿宋_GB2312" w:cs="仿宋_GB2312"/>
          <w:kern w:val="2"/>
          <w:sz w:val="32"/>
          <w:szCs w:val="32"/>
          <w:lang w:val="en-US" w:eastAsia="zh-CN" w:bidi="ar"/>
        </w:rPr>
        <w:t>”写的是“无偏离”；</w:t>
      </w:r>
      <w:r>
        <w:rPr>
          <w:rFonts w:hint="eastAsia" w:ascii="仿宋_GB2312" w:hAnsi="仿宋_GB2312" w:eastAsia="仿宋_GB2312" w:cs="仿宋_GB2312"/>
          <w:sz w:val="32"/>
          <w:szCs w:val="32"/>
          <w:lang w:val="en-US" w:eastAsia="zh-CN"/>
        </w:rPr>
        <w:t>制造商提供的新版</w:t>
      </w:r>
      <w:r>
        <w:rPr>
          <w:rFonts w:hint="eastAsia" w:ascii="仿宋_GB2312" w:hAnsi="仿宋_GB2312" w:eastAsia="仿宋_GB2312" w:cs="仿宋_GB2312"/>
          <w:kern w:val="0"/>
          <w:sz w:val="32"/>
          <w:szCs w:val="32"/>
          <w:u w:val="none"/>
          <w:lang w:val="en-US" w:eastAsia="zh-CN"/>
        </w:rPr>
        <w:t>Newtom GiANO HR彩色产品宣传册显示，该产品的三维数字化应用具有下列功能：其他设备（与</w:t>
      </w:r>
      <w:bookmarkStart w:id="30" w:name="OLE_LINK30"/>
      <w:r>
        <w:rPr>
          <w:rFonts w:hint="eastAsia" w:ascii="仿宋_GB2312" w:hAnsi="仿宋_GB2312" w:eastAsia="仿宋_GB2312" w:cs="仿宋_GB2312"/>
          <w:kern w:val="0"/>
          <w:sz w:val="32"/>
          <w:szCs w:val="32"/>
          <w:u w:val="none"/>
          <w:lang w:val="en-US" w:eastAsia="zh-CN"/>
        </w:rPr>
        <w:t>TWAIN</w:t>
      </w:r>
      <w:bookmarkEnd w:id="30"/>
      <w:r>
        <w:rPr>
          <w:rFonts w:hint="eastAsia" w:ascii="仿宋_GB2312" w:hAnsi="仿宋_GB2312" w:eastAsia="仿宋_GB2312" w:cs="仿宋_GB2312"/>
          <w:kern w:val="0"/>
          <w:sz w:val="32"/>
          <w:szCs w:val="32"/>
          <w:u w:val="none"/>
          <w:lang w:val="en-US" w:eastAsia="zh-CN"/>
        </w:rPr>
        <w:t>和</w:t>
      </w:r>
      <w:bookmarkStart w:id="31" w:name="OLE_LINK29"/>
      <w:r>
        <w:rPr>
          <w:rFonts w:hint="eastAsia" w:ascii="仿宋_GB2312" w:hAnsi="仿宋_GB2312" w:eastAsia="仿宋_GB2312" w:cs="仿宋_GB2312"/>
          <w:kern w:val="0"/>
          <w:sz w:val="32"/>
          <w:szCs w:val="32"/>
          <w:u w:val="none"/>
          <w:lang w:val="en-US" w:eastAsia="zh-CN"/>
        </w:rPr>
        <w:t>DICOM</w:t>
      </w:r>
      <w:bookmarkEnd w:id="31"/>
      <w:r>
        <w:rPr>
          <w:rFonts w:hint="eastAsia" w:ascii="仿宋_GB2312" w:hAnsi="仿宋_GB2312" w:eastAsia="仿宋_GB2312" w:cs="仿宋_GB2312"/>
          <w:kern w:val="0"/>
          <w:sz w:val="32"/>
          <w:szCs w:val="32"/>
          <w:u w:val="none"/>
          <w:lang w:val="en-US" w:eastAsia="zh-CN"/>
        </w:rPr>
        <w:t>的兼容性，</w:t>
      </w:r>
      <w:bookmarkStart w:id="32" w:name="OLE_LINK31"/>
      <w:r>
        <w:rPr>
          <w:rFonts w:hint="eastAsia" w:ascii="仿宋_GB2312" w:hAnsi="仿宋_GB2312" w:eastAsia="仿宋_GB2312" w:cs="仿宋_GB2312"/>
          <w:kern w:val="0"/>
          <w:sz w:val="32"/>
          <w:szCs w:val="32"/>
          <w:u w:val="none"/>
          <w:lang w:val="en-US" w:eastAsia="zh-CN"/>
        </w:rPr>
        <w:t>DICOM3.0</w:t>
      </w:r>
      <w:bookmarkEnd w:id="32"/>
      <w:r>
        <w:rPr>
          <w:rFonts w:hint="eastAsia" w:ascii="仿宋_GB2312" w:hAnsi="仿宋_GB2312" w:eastAsia="仿宋_GB2312" w:cs="仿宋_GB2312"/>
          <w:kern w:val="0"/>
          <w:sz w:val="32"/>
          <w:szCs w:val="32"/>
          <w:u w:val="none"/>
          <w:lang w:val="en-US" w:eastAsia="zh-CN"/>
        </w:rPr>
        <w:t>标准保证了NNT软件可以管理通过其他设备采集的2D/3D图像（例如：口内扫描仪、传感器、PSP和CBCT扫描仪）），手术管理软件（开放性系统旨在通过各种标准VDDS、TWAIN和/或专有的NNTBridge模式为主要的牙科手术管理软件提供快速、高效的接口），专家手术规划软件（以DICOM3.0格式导出到专业规划软件，可进行正畸、修复、种植、正颌和颌面外科手术的规划和治疗），3D打印机（该软件模块可用于对重建的体积进行分割，并以STL格式导出创建3D模型，以改善手术规划和治疗），3D扫描仪（通过STL的格式，整合（通过专用软件模块）来自光学、口内或实验室扫描仪的各种数据，并进行修复指导规划），</w:t>
      </w:r>
      <w:r>
        <w:rPr>
          <w:rFonts w:hint="eastAsia" w:ascii="仿宋_GB2312" w:hAnsi="仿宋_GB2312" w:eastAsia="仿宋_GB2312" w:cs="仿宋_GB2312"/>
          <w:kern w:val="0"/>
          <w:sz w:val="32"/>
          <w:szCs w:val="32"/>
          <w:u w:val="none"/>
          <w:lang w:val="en-US" w:eastAsia="zh-CN" w:bidi="ar"/>
        </w:rPr>
        <w:t>符合</w:t>
      </w:r>
      <w:r>
        <w:rPr>
          <w:rFonts w:hint="eastAsia" w:ascii="仿宋_GB2312" w:hAnsi="仿宋_GB2312" w:eastAsia="仿宋_GB2312" w:cs="仿宋_GB2312"/>
          <w:kern w:val="0"/>
          <w:sz w:val="32"/>
          <w:szCs w:val="32"/>
          <w:u w:val="none"/>
          <w:lang w:val="en-US" w:eastAsia="zh-CN"/>
        </w:rPr>
        <w:t>采购要求</w:t>
      </w:r>
      <w:r>
        <w:rPr>
          <w:rFonts w:hint="eastAsia" w:ascii="仿宋_GB2312" w:hAnsi="仿宋_GB2312" w:eastAsia="仿宋_GB2312" w:cs="仿宋_GB2312"/>
          <w:i w:val="0"/>
          <w:iCs w:val="0"/>
          <w:caps w:val="0"/>
          <w:color w:val="000000"/>
          <w:spacing w:val="0"/>
          <w:kern w:val="0"/>
          <w:sz w:val="32"/>
          <w:szCs w:val="32"/>
          <w:u w:val="none"/>
          <w:shd w:val="clear" w:fill="auto"/>
          <w:lang w:eastAsia="zh-CN"/>
        </w:rPr>
        <w:t>。</w:t>
      </w:r>
      <w:r>
        <w:rPr>
          <w:rFonts w:hint="eastAsia" w:ascii="仿宋_GB2312" w:hAnsi="仿宋_GB2312" w:eastAsia="仿宋_GB2312" w:cs="仿宋_GB2312"/>
          <w:kern w:val="0"/>
          <w:sz w:val="32"/>
          <w:szCs w:val="32"/>
        </w:rPr>
        <w:t>投诉调查处理阶段，被投诉人</w:t>
      </w:r>
      <w:r>
        <w:rPr>
          <w:rFonts w:hint="eastAsia" w:ascii="仿宋_GB2312" w:hAnsi="仿宋_GB2312" w:eastAsia="仿宋_GB2312" w:cs="仿宋_GB2312"/>
          <w:kern w:val="0"/>
          <w:sz w:val="32"/>
          <w:szCs w:val="32"/>
          <w:lang w:eastAsia="zh-CN"/>
        </w:rPr>
        <w:t>提供了中标供应商参数</w:t>
      </w:r>
      <w:r>
        <w:rPr>
          <w:rFonts w:hint="eastAsia" w:ascii="仿宋_GB2312" w:hAnsi="仿宋_GB2312" w:eastAsia="仿宋_GB2312" w:cs="仿宋_GB2312"/>
          <w:kern w:val="0"/>
          <w:sz w:val="32"/>
          <w:szCs w:val="32"/>
        </w:rPr>
        <w:t>与招标参数无偏离</w:t>
      </w:r>
      <w:r>
        <w:rPr>
          <w:rFonts w:hint="eastAsia" w:ascii="仿宋_GB2312" w:hAnsi="仿宋_GB2312" w:eastAsia="仿宋_GB2312" w:cs="仿宋_GB2312"/>
          <w:kern w:val="0"/>
          <w:sz w:val="32"/>
          <w:szCs w:val="32"/>
          <w:lang w:eastAsia="zh-CN"/>
        </w:rPr>
        <w:t>的</w:t>
      </w:r>
      <w:r>
        <w:rPr>
          <w:rFonts w:hint="eastAsia" w:ascii="仿宋_GB2312" w:hAnsi="仿宋_GB2312" w:eastAsia="仿宋_GB2312" w:cs="仿宋_GB2312"/>
          <w:kern w:val="0"/>
          <w:sz w:val="32"/>
          <w:szCs w:val="32"/>
        </w:rPr>
        <w:t>解释说明</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i w:val="0"/>
          <w:iCs w:val="0"/>
          <w:caps w:val="0"/>
          <w:color w:val="000000"/>
          <w:spacing w:val="0"/>
          <w:kern w:val="0"/>
          <w:sz w:val="32"/>
          <w:szCs w:val="32"/>
          <w:u w:val="none"/>
          <w:shd w:val="clear" w:fill="auto"/>
          <w:lang w:eastAsia="zh-CN"/>
        </w:rPr>
        <w:t>此外，</w:t>
      </w:r>
      <w:r>
        <w:rPr>
          <w:rFonts w:hint="eastAsia" w:ascii="仿宋_GB2312" w:hAnsi="仿宋_GB2312" w:eastAsia="仿宋_GB2312" w:cs="仿宋_GB2312"/>
          <w:kern w:val="0"/>
          <w:sz w:val="32"/>
          <w:szCs w:val="32"/>
          <w:u w:val="none"/>
          <w:lang w:val="en-US" w:eastAsia="zh-CN" w:bidi="ar"/>
        </w:rPr>
        <w:t>《政府采购货物和服务招标投标管理办法》（财政部令第87号）</w:t>
      </w:r>
      <w:r>
        <w:rPr>
          <w:rFonts w:hint="eastAsia" w:ascii="仿宋_GB2312" w:hAnsi="仿宋_GB2312" w:eastAsia="仿宋_GB2312" w:cs="仿宋_GB2312"/>
          <w:b w:val="0"/>
          <w:bCs w:val="0"/>
          <w:kern w:val="0"/>
          <w:sz w:val="32"/>
          <w:szCs w:val="32"/>
          <w:u w:val="none"/>
        </w:rPr>
        <w:t>第七十四条</w:t>
      </w:r>
      <w:r>
        <w:rPr>
          <w:rFonts w:hint="eastAsia" w:ascii="仿宋_GB2312" w:hAnsi="仿宋_GB2312" w:eastAsia="仿宋_GB2312" w:cs="仿宋_GB2312"/>
          <w:b w:val="0"/>
          <w:bCs w:val="0"/>
          <w:kern w:val="0"/>
          <w:sz w:val="32"/>
          <w:szCs w:val="32"/>
          <w:u w:val="none"/>
          <w:lang w:eastAsia="zh-CN"/>
        </w:rPr>
        <w:t>规定：“</w:t>
      </w:r>
      <w:r>
        <w:rPr>
          <w:rFonts w:hint="eastAsia" w:ascii="仿宋_GB2312" w:hAnsi="仿宋_GB2312" w:eastAsia="仿宋_GB2312" w:cs="仿宋_GB2312"/>
          <w:b w:val="0"/>
          <w:bCs w:val="0"/>
          <w:kern w:val="0"/>
          <w:sz w:val="32"/>
          <w:szCs w:val="32"/>
          <w:u w:val="none"/>
        </w:rPr>
        <w:t>采购人应当及时对采购项目进行验收。采购人可</w:t>
      </w:r>
      <w:r>
        <w:rPr>
          <w:rFonts w:hint="eastAsia" w:ascii="仿宋_GB2312" w:hAnsi="仿宋_GB2312" w:eastAsia="仿宋_GB2312" w:cs="仿宋_GB2312"/>
          <w:b w:val="0"/>
          <w:bCs w:val="0"/>
          <w:sz w:val="32"/>
          <w:szCs w:val="32"/>
        </w:rPr>
        <w:t>以邀请参加本项目的其他投标人或者第三方机构参与验收。参与验收的投标人或者第三方机构的意见作为验收书的参考资料一并存档。</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采购人可以邀请参加本项目的其他投标人</w:t>
      </w:r>
      <w:r>
        <w:rPr>
          <w:rFonts w:hint="eastAsia" w:ascii="仿宋_GB2312" w:hAnsi="仿宋_GB2312" w:eastAsia="仿宋_GB2312" w:cs="仿宋_GB2312"/>
          <w:b w:val="0"/>
          <w:bCs w:val="0"/>
          <w:sz w:val="32"/>
          <w:szCs w:val="32"/>
          <w:lang w:eastAsia="zh-CN"/>
        </w:rPr>
        <w:t>（包括投诉人）</w:t>
      </w:r>
      <w:r>
        <w:rPr>
          <w:rFonts w:hint="eastAsia" w:ascii="仿宋_GB2312" w:hAnsi="仿宋_GB2312" w:eastAsia="仿宋_GB2312" w:cs="仿宋_GB2312"/>
          <w:b w:val="0"/>
          <w:bCs w:val="0"/>
          <w:sz w:val="32"/>
          <w:szCs w:val="32"/>
        </w:rPr>
        <w:t>或者第三方机构参与验收</w:t>
      </w:r>
      <w:r>
        <w:rPr>
          <w:rFonts w:hint="eastAsia" w:ascii="仿宋_GB2312" w:hAnsi="仿宋_GB2312" w:eastAsia="仿宋_GB2312" w:cs="仿宋_GB2312"/>
          <w:b w:val="0"/>
          <w:bCs w:val="0"/>
          <w:sz w:val="32"/>
          <w:szCs w:val="32"/>
          <w:lang w:eastAsia="zh-CN"/>
        </w:rPr>
        <w:t>，在验收阶段监督中标供应商提供的产品是否符合采购要求</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eastAsia="zh-CN"/>
        </w:rPr>
        <w:t>故，根据现有证据材料，该投诉事项不成立。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综上，本机关认为</w:t>
      </w:r>
      <w:r>
        <w:rPr>
          <w:rFonts w:hint="eastAsia" w:ascii="仿宋_GB2312" w:hAnsi="仿宋_GB2312" w:eastAsia="仿宋_GB2312" w:cs="仿宋_GB2312"/>
          <w:sz w:val="32"/>
          <w:szCs w:val="32"/>
        </w:rPr>
        <w:t>投诉人对被投诉人关于</w:t>
      </w:r>
      <w:r>
        <w:rPr>
          <w:rFonts w:hint="eastAsia" w:ascii="仿宋_GB2312" w:hAnsi="仿宋_GB2312" w:eastAsia="仿宋_GB2312" w:cs="仿宋_GB2312"/>
          <w:kern w:val="0"/>
          <w:sz w:val="32"/>
          <w:szCs w:val="32"/>
          <w:lang w:val="en-US" w:eastAsia="zh-CN"/>
        </w:rPr>
        <w:t>绍兴第二医院兰亭院区医疗设备采购（第八批）（绍柯采〔2024〕956号-标项三）</w:t>
      </w:r>
      <w:r>
        <w:rPr>
          <w:rFonts w:hint="eastAsia" w:ascii="仿宋_GB2312" w:hAnsi="仿宋_GB2312" w:eastAsia="仿宋_GB2312" w:cs="仿宋_GB2312"/>
          <w:kern w:val="0"/>
          <w:sz w:val="32"/>
          <w:szCs w:val="32"/>
          <w:lang w:eastAsia="zh-CN"/>
        </w:rPr>
        <w:t>的投诉事项不</w:t>
      </w:r>
      <w:r>
        <w:rPr>
          <w:rFonts w:hint="eastAsia" w:ascii="仿宋_GB2312" w:hAnsi="仿宋_GB2312" w:eastAsia="仿宋_GB2312" w:cs="仿宋_GB2312"/>
          <w:sz w:val="32"/>
          <w:szCs w:val="32"/>
          <w:lang w:val="en-US" w:eastAsia="zh-CN"/>
        </w:rPr>
        <w:t>成立</w:t>
      </w:r>
      <w:r>
        <w:rPr>
          <w:rFonts w:hint="eastAsia" w:ascii="仿宋_GB2312" w:hAnsi="仿宋_GB2312" w:eastAsia="仿宋_GB2312" w:cs="仿宋_GB2312"/>
          <w:kern w:val="0"/>
          <w:sz w:val="32"/>
          <w:szCs w:val="32"/>
          <w:lang w:eastAsia="zh-CN"/>
        </w:rPr>
        <w:t>，根据《政府采购质疑和投诉办法》（财政部令第94号）第二十九条第（二）项规定，本机关决定：驳回投诉。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如不服本决定，可在本决定书送达之日起60日内向绍兴市柯桥区</w:t>
      </w:r>
      <w:r>
        <w:rPr>
          <w:rFonts w:hint="eastAsia" w:ascii="仿宋_GB2312" w:hAnsi="仿宋_GB2312" w:eastAsia="仿宋_GB2312" w:cs="仿宋_GB2312"/>
          <w:color w:val="000000" w:themeColor="text1"/>
          <w:kern w:val="0"/>
          <w:sz w:val="32"/>
          <w:szCs w:val="32"/>
          <w14:textFill>
            <w14:solidFill>
              <w14:schemeClr w14:val="tx1"/>
            </w14:solidFill>
          </w14:textFill>
        </w:rPr>
        <w:t>人民政府</w:t>
      </w:r>
      <w:r>
        <w:rPr>
          <w:rFonts w:hint="eastAsia" w:ascii="仿宋_GB2312" w:hAnsi="仿宋_GB2312" w:eastAsia="仿宋_GB2312" w:cs="仿宋_GB2312"/>
          <w:kern w:val="0"/>
          <w:sz w:val="32"/>
          <w:szCs w:val="32"/>
        </w:rPr>
        <w:t>申请行政复议，也可以在本决定书送达之日起6个月内向柯桥区人民法院提起行政诉讼。</w:t>
      </w:r>
    </w:p>
    <w:p>
      <w:pPr>
        <w:pStyle w:val="2"/>
        <w:rPr>
          <w:rFonts w:hint="eastAsia"/>
        </w:rPr>
      </w:pPr>
    </w:p>
    <w:p>
      <w:pPr>
        <w:pStyle w:val="3"/>
        <w:rPr>
          <w:rFonts w:hint="eastAsia"/>
        </w:rPr>
      </w:pPr>
    </w:p>
    <w:p>
      <w:pPr>
        <w:pStyle w:val="4"/>
        <w:rPr>
          <w:rFonts w:hint="eastAsia"/>
        </w:rPr>
      </w:pPr>
      <w:bookmarkStart w:id="33" w:name="_GoBack"/>
      <w:bookmarkEnd w:id="33"/>
    </w:p>
    <w:p>
      <w:pPr>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4960" w:firstLineChars="155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绍兴市柯桥区财政局</w:t>
      </w:r>
    </w:p>
    <w:p>
      <w:pPr>
        <w:spacing w:line="560" w:lineRule="exact"/>
        <w:ind w:firstLine="5120" w:firstLineChars="16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11</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日</w:t>
      </w:r>
    </w:p>
    <w:p>
      <w:pPr>
        <w:pStyle w:val="4"/>
        <w:ind w:left="0" w:leftChars="0"/>
        <w:rPr>
          <w:rFonts w:hint="eastAsia"/>
        </w:rPr>
      </w:pPr>
    </w:p>
    <w:sectPr>
      <w:footerReference r:id="rId5" w:type="default"/>
      <w:pgSz w:w="11906" w:h="16838"/>
      <w:pgMar w:top="2098" w:right="1531" w:bottom="1984" w:left="1531" w:header="851" w:footer="850"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E26A42"/>
    <w:multiLevelType w:val="singleLevel"/>
    <w:tmpl w:val="97E26A42"/>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1YjYzMzZjZjJhZmE0NDUxMGIwMjc1YjZjM2RiNDQifQ=="/>
  </w:docVars>
  <w:rsids>
    <w:rsidRoot w:val="0037144B"/>
    <w:rsid w:val="00001203"/>
    <w:rsid w:val="00007A02"/>
    <w:rsid w:val="00022A0B"/>
    <w:rsid w:val="0002787B"/>
    <w:rsid w:val="000315BC"/>
    <w:rsid w:val="00032493"/>
    <w:rsid w:val="00033C8C"/>
    <w:rsid w:val="00037713"/>
    <w:rsid w:val="000406FE"/>
    <w:rsid w:val="00054A08"/>
    <w:rsid w:val="00057CFD"/>
    <w:rsid w:val="000625B7"/>
    <w:rsid w:val="00081B1A"/>
    <w:rsid w:val="000A7D63"/>
    <w:rsid w:val="000B51FF"/>
    <w:rsid w:val="000C29D5"/>
    <w:rsid w:val="000E6EE9"/>
    <w:rsid w:val="0011239C"/>
    <w:rsid w:val="00115185"/>
    <w:rsid w:val="0013004F"/>
    <w:rsid w:val="00154D4B"/>
    <w:rsid w:val="00160147"/>
    <w:rsid w:val="001731C4"/>
    <w:rsid w:val="00177C38"/>
    <w:rsid w:val="00193D1E"/>
    <w:rsid w:val="001B120B"/>
    <w:rsid w:val="001B16F1"/>
    <w:rsid w:val="001C364E"/>
    <w:rsid w:val="001C3C0A"/>
    <w:rsid w:val="001C405F"/>
    <w:rsid w:val="001C5253"/>
    <w:rsid w:val="001D2A39"/>
    <w:rsid w:val="001D518C"/>
    <w:rsid w:val="001E0EFE"/>
    <w:rsid w:val="0020346A"/>
    <w:rsid w:val="00205430"/>
    <w:rsid w:val="00206ABE"/>
    <w:rsid w:val="00207502"/>
    <w:rsid w:val="00215830"/>
    <w:rsid w:val="002304E6"/>
    <w:rsid w:val="002325FE"/>
    <w:rsid w:val="002478EB"/>
    <w:rsid w:val="00257AA3"/>
    <w:rsid w:val="00260E79"/>
    <w:rsid w:val="00292AC5"/>
    <w:rsid w:val="002A4074"/>
    <w:rsid w:val="002A4ECB"/>
    <w:rsid w:val="002A5D92"/>
    <w:rsid w:val="002B3C65"/>
    <w:rsid w:val="002B4890"/>
    <w:rsid w:val="002B68C1"/>
    <w:rsid w:val="002C0E77"/>
    <w:rsid w:val="002F706A"/>
    <w:rsid w:val="00303939"/>
    <w:rsid w:val="003074E4"/>
    <w:rsid w:val="00325883"/>
    <w:rsid w:val="00340E15"/>
    <w:rsid w:val="0034685A"/>
    <w:rsid w:val="0037144B"/>
    <w:rsid w:val="00372219"/>
    <w:rsid w:val="0038448D"/>
    <w:rsid w:val="00386F51"/>
    <w:rsid w:val="003A22BD"/>
    <w:rsid w:val="003A7325"/>
    <w:rsid w:val="003B2F66"/>
    <w:rsid w:val="003B4060"/>
    <w:rsid w:val="003C1FDC"/>
    <w:rsid w:val="003E42CC"/>
    <w:rsid w:val="003E7C8D"/>
    <w:rsid w:val="003F4611"/>
    <w:rsid w:val="00402D34"/>
    <w:rsid w:val="004250AC"/>
    <w:rsid w:val="0043189C"/>
    <w:rsid w:val="00431A02"/>
    <w:rsid w:val="004327DF"/>
    <w:rsid w:val="00451127"/>
    <w:rsid w:val="004515A2"/>
    <w:rsid w:val="0047014B"/>
    <w:rsid w:val="00470B83"/>
    <w:rsid w:val="00480B91"/>
    <w:rsid w:val="0048124A"/>
    <w:rsid w:val="00493DA3"/>
    <w:rsid w:val="004B43E9"/>
    <w:rsid w:val="004D6158"/>
    <w:rsid w:val="004E14C7"/>
    <w:rsid w:val="004E3EAB"/>
    <w:rsid w:val="004F2EAA"/>
    <w:rsid w:val="004F7D61"/>
    <w:rsid w:val="0050005F"/>
    <w:rsid w:val="0050143D"/>
    <w:rsid w:val="005250F7"/>
    <w:rsid w:val="005319AA"/>
    <w:rsid w:val="00544119"/>
    <w:rsid w:val="005442D7"/>
    <w:rsid w:val="00545C15"/>
    <w:rsid w:val="00551A16"/>
    <w:rsid w:val="0056422E"/>
    <w:rsid w:val="00565DEA"/>
    <w:rsid w:val="00577AED"/>
    <w:rsid w:val="00585BD5"/>
    <w:rsid w:val="00593785"/>
    <w:rsid w:val="005950FA"/>
    <w:rsid w:val="00596FD3"/>
    <w:rsid w:val="005B0720"/>
    <w:rsid w:val="005C3585"/>
    <w:rsid w:val="005C4605"/>
    <w:rsid w:val="005D0C7B"/>
    <w:rsid w:val="005D7BC3"/>
    <w:rsid w:val="005E0617"/>
    <w:rsid w:val="005E2208"/>
    <w:rsid w:val="005E509D"/>
    <w:rsid w:val="005E5137"/>
    <w:rsid w:val="005F45DF"/>
    <w:rsid w:val="0060237C"/>
    <w:rsid w:val="0060350C"/>
    <w:rsid w:val="006164DB"/>
    <w:rsid w:val="00622C57"/>
    <w:rsid w:val="006610FB"/>
    <w:rsid w:val="006659A6"/>
    <w:rsid w:val="00673AD6"/>
    <w:rsid w:val="00683045"/>
    <w:rsid w:val="006A04DF"/>
    <w:rsid w:val="006A2DC9"/>
    <w:rsid w:val="006C1E72"/>
    <w:rsid w:val="006D06D4"/>
    <w:rsid w:val="006E367B"/>
    <w:rsid w:val="006E3FD2"/>
    <w:rsid w:val="006E4A4A"/>
    <w:rsid w:val="006F09D1"/>
    <w:rsid w:val="006F2E8D"/>
    <w:rsid w:val="006F51C8"/>
    <w:rsid w:val="00700670"/>
    <w:rsid w:val="007037B1"/>
    <w:rsid w:val="0070644D"/>
    <w:rsid w:val="00706EB4"/>
    <w:rsid w:val="007159AE"/>
    <w:rsid w:val="00724254"/>
    <w:rsid w:val="0072512B"/>
    <w:rsid w:val="00731539"/>
    <w:rsid w:val="00733171"/>
    <w:rsid w:val="0075056E"/>
    <w:rsid w:val="00756A37"/>
    <w:rsid w:val="007673BF"/>
    <w:rsid w:val="0077199B"/>
    <w:rsid w:val="00773DAF"/>
    <w:rsid w:val="0077503E"/>
    <w:rsid w:val="007A0C6E"/>
    <w:rsid w:val="007A4729"/>
    <w:rsid w:val="007A6C08"/>
    <w:rsid w:val="007D5303"/>
    <w:rsid w:val="007D73E8"/>
    <w:rsid w:val="007E039B"/>
    <w:rsid w:val="007E1562"/>
    <w:rsid w:val="0080096A"/>
    <w:rsid w:val="00805FB4"/>
    <w:rsid w:val="00812B4C"/>
    <w:rsid w:val="00815B43"/>
    <w:rsid w:val="0082460E"/>
    <w:rsid w:val="00834C27"/>
    <w:rsid w:val="008400C3"/>
    <w:rsid w:val="00840279"/>
    <w:rsid w:val="00840C84"/>
    <w:rsid w:val="00841496"/>
    <w:rsid w:val="00850F38"/>
    <w:rsid w:val="0085603D"/>
    <w:rsid w:val="0085616C"/>
    <w:rsid w:val="00877660"/>
    <w:rsid w:val="00881BC3"/>
    <w:rsid w:val="00886AB0"/>
    <w:rsid w:val="00896D98"/>
    <w:rsid w:val="008A0A42"/>
    <w:rsid w:val="008B599D"/>
    <w:rsid w:val="008B5B54"/>
    <w:rsid w:val="008D1A1F"/>
    <w:rsid w:val="008E308D"/>
    <w:rsid w:val="008F1811"/>
    <w:rsid w:val="0091473E"/>
    <w:rsid w:val="009166F4"/>
    <w:rsid w:val="00917AC5"/>
    <w:rsid w:val="00953CA7"/>
    <w:rsid w:val="00957690"/>
    <w:rsid w:val="00957DDF"/>
    <w:rsid w:val="00960BAB"/>
    <w:rsid w:val="0096510A"/>
    <w:rsid w:val="00987AD4"/>
    <w:rsid w:val="00993943"/>
    <w:rsid w:val="00995AB4"/>
    <w:rsid w:val="009A3334"/>
    <w:rsid w:val="009A3844"/>
    <w:rsid w:val="009B3493"/>
    <w:rsid w:val="009C1E2E"/>
    <w:rsid w:val="009C6AD0"/>
    <w:rsid w:val="009C6B3B"/>
    <w:rsid w:val="009D2184"/>
    <w:rsid w:val="009D7AE4"/>
    <w:rsid w:val="009F010F"/>
    <w:rsid w:val="009F2B96"/>
    <w:rsid w:val="009F6C60"/>
    <w:rsid w:val="009F7F1B"/>
    <w:rsid w:val="00A01B98"/>
    <w:rsid w:val="00A22B3C"/>
    <w:rsid w:val="00A26E1C"/>
    <w:rsid w:val="00A27FA8"/>
    <w:rsid w:val="00A348F0"/>
    <w:rsid w:val="00A43374"/>
    <w:rsid w:val="00A44F92"/>
    <w:rsid w:val="00A54426"/>
    <w:rsid w:val="00A62967"/>
    <w:rsid w:val="00A7564C"/>
    <w:rsid w:val="00A91092"/>
    <w:rsid w:val="00AB309E"/>
    <w:rsid w:val="00AB5BA5"/>
    <w:rsid w:val="00AB6297"/>
    <w:rsid w:val="00AD1198"/>
    <w:rsid w:val="00AE1DD8"/>
    <w:rsid w:val="00AF3BE7"/>
    <w:rsid w:val="00AF788B"/>
    <w:rsid w:val="00B04E83"/>
    <w:rsid w:val="00B065A3"/>
    <w:rsid w:val="00B168BD"/>
    <w:rsid w:val="00B177B2"/>
    <w:rsid w:val="00B379CC"/>
    <w:rsid w:val="00B404F1"/>
    <w:rsid w:val="00B5101A"/>
    <w:rsid w:val="00B51303"/>
    <w:rsid w:val="00B65E41"/>
    <w:rsid w:val="00B67D0C"/>
    <w:rsid w:val="00B761F3"/>
    <w:rsid w:val="00B80D47"/>
    <w:rsid w:val="00B841EF"/>
    <w:rsid w:val="00B8483E"/>
    <w:rsid w:val="00BA1530"/>
    <w:rsid w:val="00BB44D1"/>
    <w:rsid w:val="00BB70A3"/>
    <w:rsid w:val="00BE09E7"/>
    <w:rsid w:val="00BF585E"/>
    <w:rsid w:val="00C072BB"/>
    <w:rsid w:val="00C11AFC"/>
    <w:rsid w:val="00C25452"/>
    <w:rsid w:val="00C4303D"/>
    <w:rsid w:val="00C66A3C"/>
    <w:rsid w:val="00C85D37"/>
    <w:rsid w:val="00C9063F"/>
    <w:rsid w:val="00C966DE"/>
    <w:rsid w:val="00CC0C2B"/>
    <w:rsid w:val="00CE4B57"/>
    <w:rsid w:val="00CF5D7B"/>
    <w:rsid w:val="00CF5EFC"/>
    <w:rsid w:val="00D063DE"/>
    <w:rsid w:val="00D12718"/>
    <w:rsid w:val="00D139A6"/>
    <w:rsid w:val="00D23BE7"/>
    <w:rsid w:val="00D33FBF"/>
    <w:rsid w:val="00D345A4"/>
    <w:rsid w:val="00D404B6"/>
    <w:rsid w:val="00D44BD4"/>
    <w:rsid w:val="00D543C2"/>
    <w:rsid w:val="00D705A9"/>
    <w:rsid w:val="00D705F8"/>
    <w:rsid w:val="00D77626"/>
    <w:rsid w:val="00D925C7"/>
    <w:rsid w:val="00D956C3"/>
    <w:rsid w:val="00DA1D26"/>
    <w:rsid w:val="00DB31CB"/>
    <w:rsid w:val="00DD25A5"/>
    <w:rsid w:val="00DE01DB"/>
    <w:rsid w:val="00DF42DF"/>
    <w:rsid w:val="00DF45C8"/>
    <w:rsid w:val="00E27A3B"/>
    <w:rsid w:val="00E31952"/>
    <w:rsid w:val="00E50B3F"/>
    <w:rsid w:val="00E5170C"/>
    <w:rsid w:val="00E5696C"/>
    <w:rsid w:val="00E86F61"/>
    <w:rsid w:val="00E87231"/>
    <w:rsid w:val="00E9235E"/>
    <w:rsid w:val="00E96F14"/>
    <w:rsid w:val="00EA7B41"/>
    <w:rsid w:val="00EB5EA0"/>
    <w:rsid w:val="00EC2CBF"/>
    <w:rsid w:val="00EC6AEC"/>
    <w:rsid w:val="00EE102F"/>
    <w:rsid w:val="00EF7214"/>
    <w:rsid w:val="00F16F44"/>
    <w:rsid w:val="00F33F88"/>
    <w:rsid w:val="00F37A13"/>
    <w:rsid w:val="00F41CC2"/>
    <w:rsid w:val="00F42767"/>
    <w:rsid w:val="00F526EE"/>
    <w:rsid w:val="00F531B6"/>
    <w:rsid w:val="00F57271"/>
    <w:rsid w:val="00F721D6"/>
    <w:rsid w:val="00F7230D"/>
    <w:rsid w:val="00F73444"/>
    <w:rsid w:val="00F81FA6"/>
    <w:rsid w:val="00FA5505"/>
    <w:rsid w:val="00FB117A"/>
    <w:rsid w:val="00FC17AF"/>
    <w:rsid w:val="00FD4200"/>
    <w:rsid w:val="00FD76D4"/>
    <w:rsid w:val="016908DE"/>
    <w:rsid w:val="018C16C6"/>
    <w:rsid w:val="01EC329E"/>
    <w:rsid w:val="0255228A"/>
    <w:rsid w:val="02A9706C"/>
    <w:rsid w:val="02E35574"/>
    <w:rsid w:val="03152088"/>
    <w:rsid w:val="03D6728D"/>
    <w:rsid w:val="03ED0505"/>
    <w:rsid w:val="043575EE"/>
    <w:rsid w:val="05E44182"/>
    <w:rsid w:val="064117C8"/>
    <w:rsid w:val="069E3529"/>
    <w:rsid w:val="06E9177F"/>
    <w:rsid w:val="07350345"/>
    <w:rsid w:val="079A3597"/>
    <w:rsid w:val="079B257F"/>
    <w:rsid w:val="07E2277C"/>
    <w:rsid w:val="083F2397"/>
    <w:rsid w:val="08937CF8"/>
    <w:rsid w:val="08BE3F93"/>
    <w:rsid w:val="08E418C5"/>
    <w:rsid w:val="09095DE2"/>
    <w:rsid w:val="0A160057"/>
    <w:rsid w:val="0AAB518D"/>
    <w:rsid w:val="0ACE0DD7"/>
    <w:rsid w:val="0C0254AB"/>
    <w:rsid w:val="0C0C4617"/>
    <w:rsid w:val="0C2C1E71"/>
    <w:rsid w:val="0D9672E7"/>
    <w:rsid w:val="0DF45C3E"/>
    <w:rsid w:val="0FC7369D"/>
    <w:rsid w:val="138A301D"/>
    <w:rsid w:val="138D33E5"/>
    <w:rsid w:val="13CE1860"/>
    <w:rsid w:val="13D8531B"/>
    <w:rsid w:val="153E5B6A"/>
    <w:rsid w:val="158E72E0"/>
    <w:rsid w:val="15A46B04"/>
    <w:rsid w:val="177A1A64"/>
    <w:rsid w:val="17F60E6F"/>
    <w:rsid w:val="1971212D"/>
    <w:rsid w:val="19EC0D92"/>
    <w:rsid w:val="1A9E283F"/>
    <w:rsid w:val="1C3222BF"/>
    <w:rsid w:val="1C582F28"/>
    <w:rsid w:val="1D163F0A"/>
    <w:rsid w:val="202D3756"/>
    <w:rsid w:val="20E804E3"/>
    <w:rsid w:val="21497662"/>
    <w:rsid w:val="2326326D"/>
    <w:rsid w:val="23775621"/>
    <w:rsid w:val="23B5301F"/>
    <w:rsid w:val="240A1809"/>
    <w:rsid w:val="243045CB"/>
    <w:rsid w:val="250A3EE6"/>
    <w:rsid w:val="253C324B"/>
    <w:rsid w:val="253D6D60"/>
    <w:rsid w:val="25CE0065"/>
    <w:rsid w:val="26065D51"/>
    <w:rsid w:val="26686419"/>
    <w:rsid w:val="26FB1AA1"/>
    <w:rsid w:val="27011418"/>
    <w:rsid w:val="27210534"/>
    <w:rsid w:val="27BD3EC2"/>
    <w:rsid w:val="282527D0"/>
    <w:rsid w:val="283E1043"/>
    <w:rsid w:val="28B3147A"/>
    <w:rsid w:val="28DD75F0"/>
    <w:rsid w:val="292A4721"/>
    <w:rsid w:val="29AD3D11"/>
    <w:rsid w:val="29B63734"/>
    <w:rsid w:val="2A41684A"/>
    <w:rsid w:val="2AE16FD0"/>
    <w:rsid w:val="2BDD0892"/>
    <w:rsid w:val="2C30547C"/>
    <w:rsid w:val="2C606728"/>
    <w:rsid w:val="2CA17BF5"/>
    <w:rsid w:val="2D8114A4"/>
    <w:rsid w:val="2DBB2B93"/>
    <w:rsid w:val="2DFF06D6"/>
    <w:rsid w:val="2F381D44"/>
    <w:rsid w:val="2F622CDF"/>
    <w:rsid w:val="2FAC3343"/>
    <w:rsid w:val="30183CF7"/>
    <w:rsid w:val="30A52554"/>
    <w:rsid w:val="316A3890"/>
    <w:rsid w:val="31877A1A"/>
    <w:rsid w:val="320D5FDF"/>
    <w:rsid w:val="328624F4"/>
    <w:rsid w:val="32EF1141"/>
    <w:rsid w:val="330A3B0F"/>
    <w:rsid w:val="332A0F75"/>
    <w:rsid w:val="33C70F19"/>
    <w:rsid w:val="345A54DE"/>
    <w:rsid w:val="36271525"/>
    <w:rsid w:val="36C77A18"/>
    <w:rsid w:val="378570A2"/>
    <w:rsid w:val="38C1747A"/>
    <w:rsid w:val="39546979"/>
    <w:rsid w:val="39686A21"/>
    <w:rsid w:val="39DC4BD2"/>
    <w:rsid w:val="3A6A053F"/>
    <w:rsid w:val="3A9F2E3C"/>
    <w:rsid w:val="3B5A356F"/>
    <w:rsid w:val="3BCB3334"/>
    <w:rsid w:val="3C2E4FEE"/>
    <w:rsid w:val="3C5F1D83"/>
    <w:rsid w:val="3C975E10"/>
    <w:rsid w:val="3DA43282"/>
    <w:rsid w:val="3F482E17"/>
    <w:rsid w:val="3FBB1912"/>
    <w:rsid w:val="407619B8"/>
    <w:rsid w:val="4078727F"/>
    <w:rsid w:val="40E86709"/>
    <w:rsid w:val="4172329D"/>
    <w:rsid w:val="41A81226"/>
    <w:rsid w:val="43374CD4"/>
    <w:rsid w:val="43484F6E"/>
    <w:rsid w:val="450A3CD3"/>
    <w:rsid w:val="45155B32"/>
    <w:rsid w:val="459B1F40"/>
    <w:rsid w:val="45DD5418"/>
    <w:rsid w:val="45EC2933"/>
    <w:rsid w:val="46C60E54"/>
    <w:rsid w:val="46F05FD5"/>
    <w:rsid w:val="47427ED9"/>
    <w:rsid w:val="48D100C5"/>
    <w:rsid w:val="48DF68D3"/>
    <w:rsid w:val="499252DB"/>
    <w:rsid w:val="49B579BB"/>
    <w:rsid w:val="4A176D27"/>
    <w:rsid w:val="4BA501C0"/>
    <w:rsid w:val="4F162E9D"/>
    <w:rsid w:val="4F8A2359"/>
    <w:rsid w:val="508A77AF"/>
    <w:rsid w:val="519C2EF3"/>
    <w:rsid w:val="51EE0B2B"/>
    <w:rsid w:val="51F31300"/>
    <w:rsid w:val="520B3144"/>
    <w:rsid w:val="52CF52A5"/>
    <w:rsid w:val="5428215C"/>
    <w:rsid w:val="5457656B"/>
    <w:rsid w:val="5464168E"/>
    <w:rsid w:val="5475058F"/>
    <w:rsid w:val="55AD1680"/>
    <w:rsid w:val="56017E2F"/>
    <w:rsid w:val="5645161A"/>
    <w:rsid w:val="56812FE3"/>
    <w:rsid w:val="57311475"/>
    <w:rsid w:val="579B04F6"/>
    <w:rsid w:val="579FA5B5"/>
    <w:rsid w:val="57A96DBF"/>
    <w:rsid w:val="57AB6853"/>
    <w:rsid w:val="57DA23AF"/>
    <w:rsid w:val="587C23FD"/>
    <w:rsid w:val="592E0DDE"/>
    <w:rsid w:val="59BA7E13"/>
    <w:rsid w:val="59FE5B32"/>
    <w:rsid w:val="5AF1053E"/>
    <w:rsid w:val="5B86390C"/>
    <w:rsid w:val="5B900847"/>
    <w:rsid w:val="5BCB524C"/>
    <w:rsid w:val="5D2D45EB"/>
    <w:rsid w:val="5D563534"/>
    <w:rsid w:val="5D9048B0"/>
    <w:rsid w:val="5DB8404E"/>
    <w:rsid w:val="5E2F61D3"/>
    <w:rsid w:val="5F5A060F"/>
    <w:rsid w:val="5F9A3865"/>
    <w:rsid w:val="62C2795F"/>
    <w:rsid w:val="638A735E"/>
    <w:rsid w:val="638D24E1"/>
    <w:rsid w:val="63986B53"/>
    <w:rsid w:val="660F3410"/>
    <w:rsid w:val="6655195D"/>
    <w:rsid w:val="66592016"/>
    <w:rsid w:val="66712F3B"/>
    <w:rsid w:val="67F35C18"/>
    <w:rsid w:val="69393DAD"/>
    <w:rsid w:val="698015D9"/>
    <w:rsid w:val="698044A5"/>
    <w:rsid w:val="698718B2"/>
    <w:rsid w:val="6A643428"/>
    <w:rsid w:val="6A9740B9"/>
    <w:rsid w:val="6AC130F1"/>
    <w:rsid w:val="6B1E2C4D"/>
    <w:rsid w:val="6BAD3D3D"/>
    <w:rsid w:val="6BF33FA5"/>
    <w:rsid w:val="6C320D70"/>
    <w:rsid w:val="6C725AA4"/>
    <w:rsid w:val="6CA42514"/>
    <w:rsid w:val="6CCE5798"/>
    <w:rsid w:val="6CE400C8"/>
    <w:rsid w:val="6CFE1756"/>
    <w:rsid w:val="6DDC477E"/>
    <w:rsid w:val="6EB75544"/>
    <w:rsid w:val="6F5775FB"/>
    <w:rsid w:val="6F7E7E1E"/>
    <w:rsid w:val="6FD119F2"/>
    <w:rsid w:val="71185FB7"/>
    <w:rsid w:val="713805AF"/>
    <w:rsid w:val="71947B6C"/>
    <w:rsid w:val="72A66EA6"/>
    <w:rsid w:val="742E621B"/>
    <w:rsid w:val="755A595C"/>
    <w:rsid w:val="761D2555"/>
    <w:rsid w:val="76815DCD"/>
    <w:rsid w:val="76C81AA0"/>
    <w:rsid w:val="774435BE"/>
    <w:rsid w:val="77D36B23"/>
    <w:rsid w:val="781000B2"/>
    <w:rsid w:val="78580267"/>
    <w:rsid w:val="78BF73D0"/>
    <w:rsid w:val="790E3028"/>
    <w:rsid w:val="79645FB5"/>
    <w:rsid w:val="797A39DC"/>
    <w:rsid w:val="79B074B2"/>
    <w:rsid w:val="79D91BE3"/>
    <w:rsid w:val="7A5E2539"/>
    <w:rsid w:val="7A9C1DE1"/>
    <w:rsid w:val="7AEB7110"/>
    <w:rsid w:val="7B0C506C"/>
    <w:rsid w:val="7B7A1617"/>
    <w:rsid w:val="7BFE61B2"/>
    <w:rsid w:val="7D83641A"/>
    <w:rsid w:val="7D867CFE"/>
    <w:rsid w:val="7DDC070D"/>
    <w:rsid w:val="7E1B4393"/>
    <w:rsid w:val="7E5F012A"/>
    <w:rsid w:val="7F842FA2"/>
    <w:rsid w:val="7FB807A0"/>
    <w:rsid w:val="7FDF4619"/>
    <w:rsid w:val="B75F37A9"/>
    <w:rsid w:val="C5BEB65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nhideWhenUsed="0" w:uiPriority="0" w:semiHidden="0"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440" w:lineRule="exact"/>
      <w:jc w:val="both"/>
    </w:pPr>
    <w:rPr>
      <w:rFonts w:ascii="Calibri" w:hAnsi="Calibri" w:eastAsia="宋体" w:cs="Times New Roman"/>
      <w:kern w:val="2"/>
      <w:sz w:val="21"/>
      <w:szCs w:val="22"/>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spacing w:line="360" w:lineRule="auto"/>
    </w:pPr>
    <w:rPr>
      <w:rFonts w:ascii="宋体" w:hAnsi="Arial" w:cs="Arial"/>
      <w:snapToGrid w:val="0"/>
      <w:sz w:val="24"/>
      <w:szCs w:val="21"/>
      <w:lang w:val="zh-CN"/>
    </w:rPr>
  </w:style>
  <w:style w:type="paragraph" w:styleId="3">
    <w:name w:val="Body Text First Indent"/>
    <w:basedOn w:val="2"/>
    <w:next w:val="4"/>
    <w:qFormat/>
    <w:uiPriority w:val="0"/>
    <w:pPr>
      <w:ind w:firstLine="420"/>
    </w:pPr>
    <w:rPr>
      <w:rFonts w:hAnsi="Times New Roman" w:cs="Times New Roman"/>
      <w:snapToGrid/>
      <w:szCs w:val="20"/>
    </w:rPr>
  </w:style>
  <w:style w:type="paragraph" w:styleId="4">
    <w:name w:val="toc 6"/>
    <w:basedOn w:val="1"/>
    <w:next w:val="1"/>
    <w:qFormat/>
    <w:uiPriority w:val="0"/>
    <w:pPr>
      <w:ind w:left="2100" w:leftChars="1000"/>
    </w:pPr>
  </w:style>
  <w:style w:type="paragraph" w:styleId="5">
    <w:name w:val="annotation text"/>
    <w:basedOn w:val="1"/>
    <w:semiHidden/>
    <w:unhideWhenUsed/>
    <w:qFormat/>
    <w:uiPriority w:val="99"/>
    <w:pPr>
      <w:jc w:val="left"/>
    </w:pPr>
  </w:style>
  <w:style w:type="paragraph" w:styleId="6">
    <w:name w:val="Body Text Indent"/>
    <w:basedOn w:val="1"/>
    <w:qFormat/>
    <w:uiPriority w:val="99"/>
    <w:pPr>
      <w:adjustRightInd w:val="0"/>
      <w:spacing w:line="360" w:lineRule="auto"/>
      <w:ind w:firstLine="490"/>
      <w:jc w:val="left"/>
    </w:pPr>
    <w:rPr>
      <w:rFonts w:ascii="宋体" w:hAnsi="宋体" w:cs="宋体"/>
      <w:sz w:val="24"/>
      <w:szCs w:val="24"/>
    </w:rPr>
  </w:style>
  <w:style w:type="paragraph" w:styleId="7">
    <w:name w:val="footer"/>
    <w:basedOn w:val="1"/>
    <w:link w:val="18"/>
    <w:semiHidden/>
    <w:unhideWhenUsed/>
    <w:qFormat/>
    <w:uiPriority w:val="99"/>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8">
    <w:name w:val="header"/>
    <w:basedOn w:val="1"/>
    <w:link w:val="17"/>
    <w:semiHidden/>
    <w:unhideWhenUsed/>
    <w:qFormat/>
    <w:uiPriority w:val="99"/>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9">
    <w:name w:val="List"/>
    <w:basedOn w:val="1"/>
    <w:qFormat/>
    <w:uiPriority w:val="0"/>
    <w:pPr>
      <w:ind w:left="200" w:hanging="200" w:hangingChars="200"/>
    </w:pPr>
  </w:style>
  <w:style w:type="paragraph" w:styleId="10">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4">
    <w:name w:val="Strong"/>
    <w:basedOn w:val="13"/>
    <w:qFormat/>
    <w:uiPriority w:val="0"/>
    <w:rPr>
      <w:b/>
      <w:bCs/>
    </w:rPr>
  </w:style>
  <w:style w:type="character" w:styleId="15">
    <w:name w:val="Hyperlink"/>
    <w:basedOn w:val="13"/>
    <w:qFormat/>
    <w:uiPriority w:val="0"/>
    <w:rPr>
      <w:color w:val="0000FF"/>
      <w:u w:val="single"/>
    </w:rPr>
  </w:style>
  <w:style w:type="character" w:styleId="16">
    <w:name w:val="HTML Sample"/>
    <w:basedOn w:val="13"/>
    <w:qFormat/>
    <w:uiPriority w:val="0"/>
    <w:rPr>
      <w:rFonts w:ascii="Courier New" w:hAnsi="Courier New"/>
    </w:rPr>
  </w:style>
  <w:style w:type="character" w:customStyle="1" w:styleId="17">
    <w:name w:val="页眉 Char"/>
    <w:basedOn w:val="13"/>
    <w:link w:val="8"/>
    <w:semiHidden/>
    <w:qFormat/>
    <w:uiPriority w:val="99"/>
    <w:rPr>
      <w:sz w:val="18"/>
      <w:szCs w:val="18"/>
    </w:rPr>
  </w:style>
  <w:style w:type="character" w:customStyle="1" w:styleId="18">
    <w:name w:val="页脚 Char"/>
    <w:basedOn w:val="13"/>
    <w:link w:val="7"/>
    <w:semiHidden/>
    <w:qFormat/>
    <w:uiPriority w:val="99"/>
    <w:rPr>
      <w:sz w:val="18"/>
      <w:szCs w:val="18"/>
    </w:rPr>
  </w:style>
  <w:style w:type="paragraph" w:styleId="19">
    <w:name w:val="List Paragraph"/>
    <w:basedOn w:val="1"/>
    <w:qFormat/>
    <w:uiPriority w:val="34"/>
    <w:pPr>
      <w:ind w:firstLine="420" w:firstLineChars="200"/>
    </w:pPr>
  </w:style>
  <w:style w:type="paragraph" w:customStyle="1" w:styleId="20">
    <w:name w:val="Default"/>
    <w:next w:val="21"/>
    <w:qFormat/>
    <w:uiPriority w:val="99"/>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1">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2">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35</Pages>
  <Words>1745</Words>
  <Characters>1993</Characters>
  <Lines>1</Lines>
  <Paragraphs>1</Paragraphs>
  <TotalTime>129</TotalTime>
  <ScaleCrop>false</ScaleCrop>
  <LinksUpToDate>false</LinksUpToDate>
  <CharactersWithSpaces>2023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2021-10-02T00:45:00Z</dcterms:created>
  <dc:creator>cz</dc:creator>
  <cp:lastModifiedBy>王晖</cp:lastModifiedBy>
  <cp:lastPrinted>2024-11-22T04:01:00Z</cp:lastPrinted>
  <dcterms:modified xsi:type="dcterms:W3CDTF">2024-11-22T08:25:55Z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5EBEA18B2ADB47A7AD943F5CC0ED4A8C</vt:lpwstr>
  </property>
</Properties>
</file>