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E4B2">
      <w:pPr>
        <w:spacing w:line="360" w:lineRule="auto"/>
        <w:jc w:val="center"/>
        <w:rPr>
          <w:rFonts w:ascii="仿宋" w:hAnsi="仿宋" w:eastAsia="仿宋" w:cs="仿宋_GB2312"/>
          <w:b/>
          <w:sz w:val="44"/>
          <w:szCs w:val="44"/>
        </w:rPr>
      </w:pPr>
      <w:bookmarkStart w:id="0" w:name="第四部分"/>
    </w:p>
    <w:p w14:paraId="45B372CD">
      <w:pPr>
        <w:spacing w:line="360" w:lineRule="auto"/>
        <w:jc w:val="center"/>
        <w:rPr>
          <w:rFonts w:ascii="仿宋" w:hAnsi="仿宋" w:eastAsia="仿宋" w:cs="仿宋_GB2312"/>
          <w:b/>
          <w:color w:val="auto"/>
          <w:sz w:val="44"/>
          <w:szCs w:val="44"/>
          <w:highlight w:val="none"/>
        </w:rPr>
      </w:pPr>
      <w:bookmarkStart w:id="445" w:name="_GoBack"/>
      <w:r>
        <w:rPr>
          <w:rFonts w:ascii="仿宋" w:hAnsi="仿宋" w:eastAsia="仿宋" w:cs="黑体"/>
          <w:b/>
          <w:color w:val="auto"/>
          <w:sz w:val="44"/>
          <w:szCs w:val="44"/>
          <w:highlight w:val="none"/>
        </w:rPr>
        <w:t>2025年柯桥区农村集体经济审计</w:t>
      </w:r>
      <w:r>
        <w:rPr>
          <w:rFonts w:hint="eastAsia" w:ascii="仿宋" w:hAnsi="仿宋" w:eastAsia="仿宋" w:cs="黑体"/>
          <w:b/>
          <w:color w:val="auto"/>
          <w:sz w:val="44"/>
          <w:szCs w:val="44"/>
          <w:highlight w:val="none"/>
        </w:rPr>
        <w:t>项目</w:t>
      </w:r>
    </w:p>
    <w:p w14:paraId="013AF3EF">
      <w:pPr>
        <w:snapToGrid w:val="0"/>
        <w:spacing w:line="360" w:lineRule="auto"/>
        <w:jc w:val="center"/>
        <w:rPr>
          <w:rFonts w:ascii="仿宋" w:hAnsi="仿宋" w:eastAsia="仿宋" w:cs="仿宋_GB2312"/>
          <w:color w:val="auto"/>
          <w:sz w:val="30"/>
          <w:szCs w:val="30"/>
          <w:highlight w:val="none"/>
        </w:rPr>
      </w:pPr>
    </w:p>
    <w:p w14:paraId="379E4BDE">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项目编号:绍柯采[2025]***号</w:t>
      </w:r>
    </w:p>
    <w:p w14:paraId="30E85018">
      <w:pPr>
        <w:spacing w:line="360" w:lineRule="auto"/>
        <w:jc w:val="center"/>
        <w:rPr>
          <w:rFonts w:ascii="仿宋" w:hAnsi="仿宋" w:eastAsia="仿宋" w:cs="仿宋_GB2312"/>
          <w:b/>
          <w:color w:val="auto"/>
          <w:sz w:val="44"/>
          <w:szCs w:val="44"/>
          <w:highlight w:val="none"/>
        </w:rPr>
      </w:pPr>
    </w:p>
    <w:p w14:paraId="55A34396">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14:paraId="244BB355">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14:paraId="3FE73D65">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14:paraId="1D08B802">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14:paraId="1F541512">
      <w:pP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14:paraId="1418629C">
      <w:pPr>
        <w:adjustRightInd/>
        <w:spacing w:line="360" w:lineRule="auto"/>
        <w:jc w:val="center"/>
        <w:rPr>
          <w:rFonts w:ascii="仿宋" w:hAnsi="仿宋" w:eastAsia="仿宋"/>
          <w:b/>
          <w:color w:val="auto"/>
          <w:sz w:val="56"/>
          <w:szCs w:val="56"/>
          <w:highlight w:val="none"/>
        </w:rPr>
      </w:pPr>
      <w:r>
        <w:rPr>
          <w:rFonts w:hint="eastAsia" w:ascii="仿宋" w:hAnsi="仿宋" w:eastAsia="仿宋"/>
          <w:b/>
          <w:color w:val="auto"/>
          <w:sz w:val="56"/>
          <w:szCs w:val="56"/>
          <w:highlight w:val="none"/>
        </w:rPr>
        <w:t>件</w:t>
      </w:r>
    </w:p>
    <w:p w14:paraId="1A630CF3">
      <w:pPr>
        <w:spacing w:line="360" w:lineRule="auto"/>
        <w:jc w:val="center"/>
        <w:rPr>
          <w:rFonts w:ascii="仿宋" w:hAnsi="仿宋" w:eastAsia="仿宋" w:cs="仿宋_GB2312"/>
          <w:b/>
          <w:color w:val="auto"/>
          <w:sz w:val="24"/>
          <w:highlight w:val="none"/>
        </w:rPr>
      </w:pPr>
    </w:p>
    <w:p w14:paraId="146C9445">
      <w:pPr>
        <w:spacing w:line="360" w:lineRule="auto"/>
        <w:jc w:val="center"/>
        <w:rPr>
          <w:rFonts w:ascii="仿宋" w:hAnsi="仿宋" w:eastAsia="仿宋" w:cs="仿宋_GB2312"/>
          <w:b/>
          <w:color w:val="auto"/>
          <w:sz w:val="24"/>
          <w:highlight w:val="none"/>
        </w:rPr>
      </w:pPr>
    </w:p>
    <w:p w14:paraId="443018BE">
      <w:pPr>
        <w:spacing w:line="360" w:lineRule="auto"/>
        <w:jc w:val="center"/>
        <w:rPr>
          <w:rFonts w:ascii="仿宋" w:hAnsi="仿宋" w:eastAsia="仿宋" w:cs="仿宋_GB2312"/>
          <w:b/>
          <w:color w:val="auto"/>
          <w:sz w:val="24"/>
          <w:highlight w:val="none"/>
        </w:rPr>
      </w:pPr>
    </w:p>
    <w:p w14:paraId="6FB5FC55">
      <w:pPr>
        <w:spacing w:line="360" w:lineRule="auto"/>
        <w:jc w:val="center"/>
        <w:rPr>
          <w:rFonts w:ascii="仿宋" w:hAnsi="仿宋" w:eastAsia="仿宋" w:cs="仿宋_GB2312"/>
          <w:b/>
          <w:color w:val="auto"/>
          <w:sz w:val="24"/>
          <w:highlight w:val="none"/>
        </w:rPr>
      </w:pPr>
    </w:p>
    <w:p w14:paraId="5683A048">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采购单位：绍兴市柯桥区</w:t>
      </w:r>
      <w:r>
        <w:rPr>
          <w:rFonts w:ascii="仿宋" w:hAnsi="仿宋" w:eastAsia="仿宋" w:cs="仿宋"/>
          <w:color w:val="auto"/>
          <w:sz w:val="32"/>
          <w:szCs w:val="32"/>
          <w:highlight w:val="none"/>
        </w:rPr>
        <w:t>农业农村局</w:t>
      </w:r>
    </w:p>
    <w:p w14:paraId="0A78B90C">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采购代理机构：绍兴市柯桥区公共资源交易中心</w:t>
      </w:r>
    </w:p>
    <w:p w14:paraId="64C8A676">
      <w:pPr>
        <w:snapToGrid w:val="0"/>
        <w:spacing w:line="360" w:lineRule="auto"/>
        <w:jc w:val="center"/>
        <w:rPr>
          <w:rFonts w:ascii="仿宋_GB2312" w:hAnsi="仿宋_GB2312" w:eastAsia="仿宋_GB2312" w:cs="仿宋_GB2312"/>
          <w:bCs/>
          <w:color w:val="auto"/>
          <w:sz w:val="40"/>
          <w:szCs w:val="40"/>
          <w:highlight w:val="none"/>
        </w:rPr>
      </w:pPr>
      <w:r>
        <w:rPr>
          <w:rFonts w:hint="eastAsia" w:ascii="仿宋" w:hAnsi="仿宋" w:eastAsia="仿宋" w:cs="仿宋"/>
          <w:color w:val="auto"/>
          <w:sz w:val="32"/>
          <w:szCs w:val="32"/>
          <w:highlight w:val="none"/>
        </w:rPr>
        <w:t>2025年</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月</w:t>
      </w:r>
    </w:p>
    <w:p w14:paraId="1D3BC039">
      <w:pPr>
        <w:spacing w:line="360" w:lineRule="auto"/>
        <w:jc w:val="center"/>
        <w:rPr>
          <w:rFonts w:ascii="仿宋" w:hAnsi="仿宋" w:eastAsia="仿宋" w:cs="仿宋_GB2312"/>
          <w:bCs/>
          <w:color w:val="auto"/>
          <w:sz w:val="32"/>
          <w:szCs w:val="32"/>
          <w:highlight w:val="none"/>
        </w:rPr>
      </w:pPr>
    </w:p>
    <w:p w14:paraId="712F7D95">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1" w:name="_Hlt67893495"/>
      <w:bookmarkEnd w:id="1"/>
      <w:r>
        <w:rPr>
          <w:rFonts w:hint="eastAsia" w:ascii="仿宋" w:hAnsi="仿宋" w:eastAsia="仿宋" w:cs="仿宋_GB2312"/>
          <w:b/>
          <w:color w:val="auto"/>
          <w:sz w:val="48"/>
          <w:szCs w:val="48"/>
          <w:highlight w:val="none"/>
        </w:rPr>
        <w:t>目录</w:t>
      </w:r>
    </w:p>
    <w:p w14:paraId="78FC8281">
      <w:pPr>
        <w:spacing w:line="360" w:lineRule="auto"/>
        <w:rPr>
          <w:rFonts w:ascii="仿宋" w:hAnsi="仿宋" w:eastAsia="仿宋" w:cs="仿宋_GB2312"/>
          <w:color w:val="auto"/>
          <w:sz w:val="32"/>
          <w:szCs w:val="32"/>
          <w:highlight w:val="none"/>
        </w:rPr>
      </w:pPr>
    </w:p>
    <w:p w14:paraId="2A0F5682">
      <w:pPr>
        <w:spacing w:line="360" w:lineRule="auto"/>
        <w:rPr>
          <w:rFonts w:ascii="仿宋" w:hAnsi="仿宋" w:eastAsia="仿宋" w:cs="仿宋_GB2312"/>
          <w:color w:val="auto"/>
          <w:sz w:val="32"/>
          <w:szCs w:val="32"/>
          <w:highlight w:val="none"/>
        </w:rPr>
      </w:pPr>
    </w:p>
    <w:p w14:paraId="1E31BE5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14:paraId="792163B5">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14:paraId="65C5602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14:paraId="5A4BFE3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第四部分评标方法及评分标准</w:t>
      </w:r>
    </w:p>
    <w:p w14:paraId="6AF5ACD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14:paraId="1FC8A28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14:paraId="4CFDF175">
      <w:pPr>
        <w:spacing w:line="360" w:lineRule="auto"/>
        <w:ind w:firstLine="549" w:firstLineChars="229"/>
        <w:rPr>
          <w:rFonts w:ascii="仿宋" w:hAnsi="仿宋" w:eastAsia="仿宋" w:cs="仿宋_GB2312"/>
          <w:color w:val="auto"/>
          <w:sz w:val="24"/>
          <w:highlight w:val="none"/>
        </w:rPr>
      </w:pPr>
      <w:bookmarkStart w:id="2" w:name="_Hlt91233176"/>
      <w:bookmarkEnd w:id="2"/>
      <w:bookmarkStart w:id="3" w:name="_Toc91899869"/>
    </w:p>
    <w:p w14:paraId="02500BD0">
      <w:pPr>
        <w:spacing w:line="360" w:lineRule="auto"/>
        <w:ind w:firstLine="549" w:firstLineChars="229"/>
        <w:rPr>
          <w:rFonts w:ascii="仿宋" w:hAnsi="仿宋" w:eastAsia="仿宋" w:cs="仿宋_GB2312"/>
          <w:color w:val="auto"/>
          <w:sz w:val="24"/>
          <w:highlight w:val="none"/>
        </w:rPr>
      </w:pPr>
    </w:p>
    <w:p w14:paraId="3C19B1DE">
      <w:pPr>
        <w:spacing w:line="360" w:lineRule="auto"/>
        <w:ind w:firstLine="549" w:firstLineChars="229"/>
        <w:rPr>
          <w:rFonts w:ascii="仿宋" w:hAnsi="仿宋" w:eastAsia="仿宋" w:cs="仿宋_GB2312"/>
          <w:color w:val="auto"/>
          <w:sz w:val="24"/>
          <w:highlight w:val="none"/>
        </w:rPr>
      </w:pPr>
    </w:p>
    <w:p w14:paraId="64985C9B">
      <w:pPr>
        <w:spacing w:line="360" w:lineRule="auto"/>
        <w:ind w:firstLine="549" w:firstLineChars="229"/>
        <w:rPr>
          <w:rFonts w:ascii="仿宋" w:hAnsi="仿宋" w:eastAsia="仿宋" w:cs="仿宋_GB2312"/>
          <w:color w:val="auto"/>
          <w:sz w:val="24"/>
          <w:highlight w:val="none"/>
        </w:rPr>
      </w:pPr>
    </w:p>
    <w:p w14:paraId="124531A5">
      <w:pPr>
        <w:spacing w:line="360" w:lineRule="auto"/>
        <w:ind w:firstLine="549" w:firstLineChars="229"/>
        <w:rPr>
          <w:rFonts w:ascii="仿宋" w:hAnsi="仿宋" w:eastAsia="仿宋" w:cs="仿宋_GB2312"/>
          <w:color w:val="auto"/>
          <w:sz w:val="24"/>
          <w:highlight w:val="none"/>
        </w:rPr>
      </w:pPr>
    </w:p>
    <w:p w14:paraId="76338257">
      <w:pPr>
        <w:spacing w:line="360" w:lineRule="auto"/>
        <w:ind w:firstLine="549" w:firstLineChars="229"/>
        <w:rPr>
          <w:rFonts w:ascii="仿宋" w:hAnsi="仿宋" w:eastAsia="仿宋" w:cs="仿宋_GB2312"/>
          <w:color w:val="auto"/>
          <w:sz w:val="24"/>
          <w:highlight w:val="none"/>
        </w:rPr>
      </w:pPr>
    </w:p>
    <w:p w14:paraId="4D6F4C4D">
      <w:pPr>
        <w:spacing w:line="360" w:lineRule="auto"/>
        <w:ind w:firstLine="549" w:firstLineChars="229"/>
        <w:rPr>
          <w:rFonts w:ascii="仿宋" w:hAnsi="仿宋" w:eastAsia="仿宋" w:cs="仿宋_GB2312"/>
          <w:color w:val="auto"/>
          <w:sz w:val="24"/>
          <w:highlight w:val="none"/>
        </w:rPr>
      </w:pPr>
    </w:p>
    <w:p w14:paraId="4A5D20B5">
      <w:pPr>
        <w:spacing w:line="360" w:lineRule="auto"/>
        <w:ind w:firstLine="549" w:firstLineChars="229"/>
        <w:rPr>
          <w:rFonts w:ascii="仿宋" w:hAnsi="仿宋" w:eastAsia="仿宋" w:cs="仿宋_GB2312"/>
          <w:color w:val="auto"/>
          <w:sz w:val="24"/>
          <w:highlight w:val="none"/>
        </w:rPr>
      </w:pPr>
    </w:p>
    <w:p w14:paraId="0F186CE5">
      <w:pPr>
        <w:spacing w:line="360" w:lineRule="auto"/>
        <w:ind w:firstLine="549" w:firstLineChars="229"/>
        <w:rPr>
          <w:rFonts w:ascii="仿宋" w:hAnsi="仿宋" w:eastAsia="仿宋" w:cs="仿宋_GB2312"/>
          <w:color w:val="auto"/>
          <w:sz w:val="24"/>
          <w:highlight w:val="none"/>
        </w:rPr>
      </w:pPr>
    </w:p>
    <w:p w14:paraId="68CF930E">
      <w:pPr>
        <w:spacing w:line="360" w:lineRule="auto"/>
        <w:ind w:firstLine="549" w:firstLineChars="229"/>
        <w:rPr>
          <w:rFonts w:ascii="仿宋" w:hAnsi="仿宋" w:eastAsia="仿宋" w:cs="仿宋_GB2312"/>
          <w:color w:val="auto"/>
          <w:sz w:val="24"/>
          <w:highlight w:val="none"/>
        </w:rPr>
      </w:pPr>
    </w:p>
    <w:p w14:paraId="78F23CD3">
      <w:pPr>
        <w:spacing w:line="360" w:lineRule="auto"/>
        <w:ind w:firstLine="549" w:firstLineChars="229"/>
        <w:rPr>
          <w:rFonts w:ascii="仿宋" w:hAnsi="仿宋" w:eastAsia="仿宋" w:cs="仿宋_GB2312"/>
          <w:color w:val="auto"/>
          <w:sz w:val="24"/>
          <w:highlight w:val="none"/>
        </w:rPr>
      </w:pPr>
    </w:p>
    <w:p w14:paraId="1A4BBB8C">
      <w:pPr>
        <w:spacing w:line="360" w:lineRule="auto"/>
        <w:ind w:firstLine="549" w:firstLineChars="229"/>
        <w:rPr>
          <w:rFonts w:ascii="仿宋" w:hAnsi="仿宋" w:eastAsia="仿宋" w:cs="仿宋_GB2312"/>
          <w:color w:val="auto"/>
          <w:sz w:val="24"/>
          <w:highlight w:val="none"/>
        </w:rPr>
      </w:pPr>
    </w:p>
    <w:p w14:paraId="37B1A343">
      <w:pPr>
        <w:spacing w:line="360" w:lineRule="auto"/>
        <w:ind w:firstLine="549" w:firstLineChars="229"/>
        <w:rPr>
          <w:rFonts w:ascii="仿宋" w:hAnsi="仿宋" w:eastAsia="仿宋" w:cs="仿宋_GB2312"/>
          <w:color w:val="auto"/>
          <w:sz w:val="24"/>
          <w:highlight w:val="none"/>
        </w:rPr>
      </w:pPr>
    </w:p>
    <w:p w14:paraId="0ABFACEC">
      <w:pPr>
        <w:spacing w:line="360" w:lineRule="auto"/>
        <w:rPr>
          <w:rFonts w:ascii="仿宋" w:hAnsi="仿宋" w:eastAsia="仿宋" w:cs="仿宋_GB2312"/>
          <w:color w:val="auto"/>
          <w:sz w:val="24"/>
          <w:highlight w:val="none"/>
        </w:rPr>
      </w:pPr>
    </w:p>
    <w:p w14:paraId="2E4A37D8">
      <w:pPr>
        <w:adjustRightInd/>
        <w:spacing w:line="360" w:lineRule="auto"/>
        <w:jc w:val="center"/>
        <w:outlineLvl w:val="0"/>
        <w:rPr>
          <w:rFonts w:ascii="仿宋" w:hAnsi="仿宋" w:eastAsia="仿宋" w:cs="仿宋_GB2312"/>
          <w:b/>
          <w:color w:val="auto"/>
          <w:sz w:val="36"/>
          <w:szCs w:val="20"/>
          <w:highlight w:val="none"/>
        </w:rPr>
      </w:pPr>
      <w:bookmarkStart w:id="4" w:name="第一部分"/>
      <w:r>
        <w:rPr>
          <w:rFonts w:hint="eastAsia" w:ascii="仿宋" w:hAnsi="仿宋" w:eastAsia="仿宋" w:cs="仿宋_GB2312"/>
          <w:b/>
          <w:color w:val="auto"/>
          <w:sz w:val="36"/>
          <w:szCs w:val="36"/>
          <w:highlight w:val="none"/>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第一部分招标公告</w:t>
      </w:r>
    </w:p>
    <w:p w14:paraId="00EC6692">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5F558B7A">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s="黑体"/>
          <w:color w:val="auto"/>
          <w:sz w:val="24"/>
          <w:highlight w:val="none"/>
        </w:rPr>
        <w:t>2025</w:t>
      </w:r>
      <w:r>
        <w:rPr>
          <w:rFonts w:ascii="仿宋" w:hAnsi="仿宋" w:eastAsia="仿宋" w:cs="黑体"/>
          <w:color w:val="auto"/>
          <w:sz w:val="24"/>
          <w:highlight w:val="none"/>
        </w:rPr>
        <w:t>年柯桥区农村</w:t>
      </w:r>
      <w:r>
        <w:rPr>
          <w:rFonts w:hint="eastAsia" w:ascii="仿宋" w:hAnsi="仿宋" w:eastAsia="仿宋" w:cs="黑体"/>
          <w:color w:val="auto"/>
          <w:sz w:val="24"/>
          <w:highlight w:val="none"/>
        </w:rPr>
        <w:t>集体经济审计项目</w:t>
      </w:r>
      <w:r>
        <w:rPr>
          <w:rFonts w:hint="eastAsia" w:ascii="仿宋" w:hAnsi="仿宋" w:eastAsia="仿宋"/>
          <w:color w:val="auto"/>
          <w:sz w:val="24"/>
          <w:szCs w:val="28"/>
          <w:highlight w:val="none"/>
        </w:rPr>
        <w:t>的潜在投标人应在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rPr>
        <w:t>2025</w:t>
      </w:r>
      <w:r>
        <w:rPr>
          <w:rFonts w:hint="eastAsia" w:ascii="仿宋" w:hAnsi="仿宋" w:eastAsia="仿宋"/>
          <w:bCs/>
          <w:color w:val="auto"/>
          <w:sz w:val="24"/>
          <w:szCs w:val="28"/>
          <w:highlight w:val="none"/>
          <w:u w:val="single"/>
        </w:rPr>
        <w:t>年  月  日 9点 30分（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17E8B7CF">
      <w:pPr>
        <w:rPr>
          <w:color w:val="auto"/>
          <w:sz w:val="24"/>
          <w:szCs w:val="28"/>
          <w:highlight w:val="none"/>
        </w:rPr>
      </w:pPr>
    </w:p>
    <w:p w14:paraId="5E5639ED">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bookmarkStart w:id="12" w:name="_Toc28359079"/>
      <w:bookmarkStart w:id="13" w:name="_Toc28359002"/>
      <w:bookmarkStart w:id="14" w:name="_Toc35393621"/>
      <w:bookmarkStart w:id="15" w:name="_Toc35393790"/>
      <w:bookmarkStart w:id="16" w:name="_Hlk24379207"/>
      <w:r>
        <w:rPr>
          <w:rFonts w:hint="eastAsia" w:ascii="黑体" w:hAnsi="黑体" w:eastAsia="仿宋_GB2312" w:cs="宋体"/>
          <w:b/>
          <w:bCs/>
          <w:color w:val="auto"/>
          <w:sz w:val="24"/>
          <w:szCs w:val="28"/>
          <w:highlight w:val="none"/>
          <w:lang w:val="zh-CN"/>
        </w:rPr>
        <w:t>一、项目基本情况</w:t>
      </w:r>
      <w:bookmarkEnd w:id="12"/>
      <w:bookmarkEnd w:id="13"/>
      <w:bookmarkEnd w:id="14"/>
      <w:bookmarkEnd w:id="15"/>
    </w:p>
    <w:bookmarkEnd w:id="16"/>
    <w:p w14:paraId="0A449D19">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项目编号：**********</w:t>
      </w:r>
    </w:p>
    <w:p w14:paraId="77157E39">
      <w:pPr>
        <w:spacing w:line="360" w:lineRule="auto"/>
        <w:ind w:left="420" w:leftChars="200"/>
        <w:jc w:val="left"/>
        <w:rPr>
          <w:rFonts w:ascii="仿宋" w:hAnsi="仿宋" w:eastAsia="仿宋"/>
          <w:color w:val="auto"/>
          <w:sz w:val="24"/>
          <w:highlight w:val="none"/>
        </w:rPr>
      </w:pPr>
      <w:r>
        <w:rPr>
          <w:rFonts w:hint="eastAsia" w:ascii="仿宋" w:hAnsi="仿宋" w:eastAsia="仿宋"/>
          <w:color w:val="auto"/>
          <w:sz w:val="24"/>
          <w:szCs w:val="28"/>
          <w:highlight w:val="none"/>
        </w:rPr>
        <w:t>项目名称</w:t>
      </w:r>
      <w:r>
        <w:rPr>
          <w:rFonts w:hint="eastAsia" w:ascii="仿宋" w:hAnsi="仿宋" w:eastAsia="仿宋"/>
          <w:color w:val="auto"/>
          <w:sz w:val="24"/>
          <w:highlight w:val="none"/>
        </w:rPr>
        <w:t>：2025年</w:t>
      </w:r>
      <w:r>
        <w:rPr>
          <w:rFonts w:ascii="仿宋" w:hAnsi="仿宋" w:eastAsia="仿宋"/>
          <w:color w:val="auto"/>
          <w:sz w:val="24"/>
          <w:highlight w:val="none"/>
        </w:rPr>
        <w:t>柯桥区农村</w:t>
      </w:r>
      <w:r>
        <w:rPr>
          <w:rFonts w:hint="eastAsia" w:ascii="仿宋" w:hAnsi="仿宋" w:eastAsia="仿宋"/>
          <w:color w:val="auto"/>
          <w:sz w:val="24"/>
          <w:highlight w:val="none"/>
        </w:rPr>
        <w:t>集体经济审计项目</w:t>
      </w:r>
    </w:p>
    <w:p w14:paraId="5A8B6633">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预算金额（元）：</w:t>
      </w:r>
      <w:r>
        <w:rPr>
          <w:rFonts w:ascii="仿宋" w:hAnsi="仿宋" w:eastAsia="仿宋"/>
          <w:color w:val="auto"/>
          <w:sz w:val="24"/>
          <w:szCs w:val="28"/>
          <w:highlight w:val="none"/>
        </w:rPr>
        <w:t>14</w:t>
      </w:r>
      <w:r>
        <w:rPr>
          <w:rFonts w:hint="eastAsia" w:ascii="仿宋" w:hAnsi="仿宋" w:eastAsia="仿宋"/>
          <w:color w:val="auto"/>
          <w:sz w:val="24"/>
          <w:szCs w:val="28"/>
          <w:highlight w:val="none"/>
        </w:rPr>
        <w:t>00000</w:t>
      </w:r>
    </w:p>
    <w:p w14:paraId="2571E4AC">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最高限价（元）：标段一</w:t>
      </w:r>
      <w:r>
        <w:rPr>
          <w:rFonts w:hint="eastAsia" w:ascii="仿宋" w:hAnsi="仿宋" w:eastAsia="仿宋"/>
          <w:b/>
          <w:color w:val="auto"/>
          <w:sz w:val="24"/>
          <w:szCs w:val="28"/>
          <w:highlight w:val="none"/>
        </w:rPr>
        <w:t>383950</w:t>
      </w:r>
      <w:r>
        <w:rPr>
          <w:rFonts w:hint="eastAsia" w:ascii="仿宋" w:hAnsi="仿宋" w:eastAsia="仿宋" w:cs="仿宋"/>
          <w:color w:val="auto"/>
          <w:sz w:val="24"/>
          <w:szCs w:val="28"/>
          <w:highlight w:val="none"/>
        </w:rPr>
        <w:t>元、标段二</w:t>
      </w:r>
      <w:r>
        <w:rPr>
          <w:rFonts w:hint="eastAsia" w:ascii="仿宋" w:hAnsi="仿宋" w:eastAsia="仿宋" w:cs="仿宋"/>
          <w:b/>
          <w:color w:val="auto"/>
          <w:sz w:val="24"/>
          <w:szCs w:val="28"/>
          <w:highlight w:val="none"/>
        </w:rPr>
        <w:t>314750</w:t>
      </w:r>
      <w:r>
        <w:rPr>
          <w:rFonts w:hint="eastAsia" w:ascii="仿宋" w:hAnsi="仿宋" w:eastAsia="仿宋" w:cs="仿宋"/>
          <w:color w:val="auto"/>
          <w:sz w:val="24"/>
          <w:szCs w:val="28"/>
          <w:highlight w:val="none"/>
        </w:rPr>
        <w:t>元、标段三</w:t>
      </w:r>
      <w:r>
        <w:rPr>
          <w:rFonts w:hint="eastAsia" w:ascii="仿宋" w:hAnsi="仿宋" w:eastAsia="仿宋" w:cs="仿宋"/>
          <w:b/>
          <w:color w:val="auto"/>
          <w:sz w:val="24"/>
          <w:szCs w:val="28"/>
          <w:highlight w:val="none"/>
        </w:rPr>
        <w:t>312150</w:t>
      </w:r>
      <w:r>
        <w:rPr>
          <w:rFonts w:hint="eastAsia" w:ascii="仿宋" w:hAnsi="仿宋" w:eastAsia="仿宋" w:cs="仿宋"/>
          <w:color w:val="auto"/>
          <w:sz w:val="24"/>
          <w:szCs w:val="28"/>
          <w:highlight w:val="none"/>
        </w:rPr>
        <w:t>元、标段四</w:t>
      </w:r>
      <w:r>
        <w:rPr>
          <w:rFonts w:hint="eastAsia" w:ascii="仿宋" w:hAnsi="仿宋" w:eastAsia="仿宋" w:cs="仿宋"/>
          <w:b/>
          <w:color w:val="auto"/>
          <w:sz w:val="24"/>
          <w:szCs w:val="28"/>
          <w:highlight w:val="none"/>
        </w:rPr>
        <w:t>385</w:t>
      </w:r>
      <w:r>
        <w:rPr>
          <w:rFonts w:ascii="仿宋" w:hAnsi="仿宋" w:eastAsia="仿宋" w:cs="仿宋"/>
          <w:b/>
          <w:color w:val="auto"/>
          <w:sz w:val="24"/>
          <w:szCs w:val="28"/>
          <w:highlight w:val="none"/>
        </w:rPr>
        <w:t>00</w:t>
      </w:r>
      <w:r>
        <w:rPr>
          <w:rFonts w:hint="eastAsia" w:ascii="仿宋" w:hAnsi="仿宋" w:eastAsia="仿宋" w:cs="仿宋"/>
          <w:b/>
          <w:color w:val="auto"/>
          <w:sz w:val="24"/>
          <w:szCs w:val="28"/>
          <w:highlight w:val="none"/>
        </w:rPr>
        <w:t>0</w:t>
      </w:r>
      <w:r>
        <w:rPr>
          <w:rFonts w:hint="eastAsia" w:ascii="仿宋" w:hAnsi="仿宋" w:eastAsia="仿宋" w:cs="仿宋"/>
          <w:color w:val="auto"/>
          <w:sz w:val="24"/>
          <w:szCs w:val="28"/>
          <w:highlight w:val="none"/>
        </w:rPr>
        <w:t>元</w:t>
      </w:r>
    </w:p>
    <w:p w14:paraId="0EC64811">
      <w:pPr>
        <w:spacing w:line="360" w:lineRule="auto"/>
        <w:ind w:left="420" w:leftChars="200"/>
        <w:jc w:val="left"/>
        <w:rPr>
          <w:rFonts w:ascii="仿宋" w:hAnsi="仿宋" w:eastAsia="仿宋"/>
          <w:b/>
          <w:color w:val="auto"/>
          <w:sz w:val="24"/>
          <w:szCs w:val="28"/>
          <w:highlight w:val="none"/>
        </w:rPr>
      </w:pPr>
      <w:r>
        <w:rPr>
          <w:rFonts w:hint="eastAsia" w:ascii="仿宋" w:hAnsi="仿宋" w:eastAsia="仿宋"/>
          <w:color w:val="auto"/>
          <w:sz w:val="24"/>
          <w:szCs w:val="28"/>
          <w:highlight w:val="none"/>
        </w:rPr>
        <w:t>采购需求：按“三年轮审”的要求，完成每年农村集体经济审计目标任务。全区分为4个区块，对166个农村集体经济组织的332个审计年度和43个村集体控股强村公司的183个审计年度开展审计。详见招标文件。</w:t>
      </w:r>
    </w:p>
    <w:p w14:paraId="6EFC64BA">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634157CD">
      <w:pPr>
        <w:spacing w:line="360" w:lineRule="auto"/>
        <w:ind w:left="420" w:leftChars="200"/>
        <w:jc w:val="left"/>
        <w:rPr>
          <w:rFonts w:ascii="仿宋" w:hAnsi="仿宋" w:eastAsia="仿宋" w:cs="仿宋"/>
          <w:color w:val="auto"/>
          <w:sz w:val="24"/>
          <w:highlight w:val="none"/>
        </w:rPr>
      </w:pPr>
      <w:r>
        <w:rPr>
          <w:rFonts w:hint="eastAsia" w:ascii="仿宋" w:hAnsi="仿宋" w:eastAsia="仿宋"/>
          <w:color w:val="auto"/>
          <w:sz w:val="24"/>
          <w:szCs w:val="28"/>
          <w:highlight w:val="none"/>
        </w:rPr>
        <w:t>标项名称</w:t>
      </w:r>
      <w:r>
        <w:rPr>
          <w:rFonts w:hint="eastAsia" w:ascii="仿宋" w:hAnsi="仿宋" w:eastAsia="仿宋" w:cs="仿宋"/>
          <w:color w:val="auto"/>
          <w:sz w:val="24"/>
          <w:szCs w:val="28"/>
          <w:highlight w:val="none"/>
        </w:rPr>
        <w:t>：</w:t>
      </w:r>
      <w:r>
        <w:rPr>
          <w:rFonts w:hint="eastAsia" w:ascii="仿宋" w:hAnsi="仿宋" w:eastAsia="仿宋" w:cs="仿宋"/>
          <w:color w:val="auto"/>
          <w:sz w:val="24"/>
          <w:highlight w:val="none"/>
        </w:rPr>
        <w:t>安昌、福全、兰亭、稽东2025年</w:t>
      </w:r>
      <w:r>
        <w:rPr>
          <w:rFonts w:ascii="仿宋" w:hAnsi="仿宋" w:eastAsia="仿宋" w:cs="仿宋"/>
          <w:color w:val="auto"/>
          <w:sz w:val="24"/>
          <w:highlight w:val="none"/>
        </w:rPr>
        <w:t>农村</w:t>
      </w:r>
      <w:r>
        <w:rPr>
          <w:rFonts w:hint="eastAsia" w:ascii="仿宋" w:hAnsi="仿宋" w:eastAsia="仿宋" w:cs="仿宋"/>
          <w:color w:val="auto"/>
          <w:sz w:val="24"/>
          <w:highlight w:val="none"/>
        </w:rPr>
        <w:t>集体经济审计项目</w:t>
      </w:r>
    </w:p>
    <w:p w14:paraId="42018F39">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数量：1</w:t>
      </w:r>
    </w:p>
    <w:p w14:paraId="2978C504">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预算金额（元）:38</w:t>
      </w:r>
      <w:r>
        <w:rPr>
          <w:rFonts w:ascii="仿宋" w:hAnsi="仿宋" w:eastAsia="仿宋" w:cs="仿宋"/>
          <w:color w:val="auto"/>
          <w:sz w:val="24"/>
          <w:szCs w:val="28"/>
          <w:highlight w:val="none"/>
        </w:rPr>
        <w:t>4</w:t>
      </w:r>
      <w:r>
        <w:rPr>
          <w:rFonts w:hint="eastAsia" w:ascii="仿宋" w:hAnsi="仿宋" w:eastAsia="仿宋" w:cs="仿宋"/>
          <w:color w:val="auto"/>
          <w:sz w:val="24"/>
          <w:szCs w:val="28"/>
          <w:highlight w:val="none"/>
        </w:rPr>
        <w:t>000</w:t>
      </w:r>
    </w:p>
    <w:p w14:paraId="6BBD16EA">
      <w:pPr>
        <w:spacing w:line="360" w:lineRule="auto"/>
        <w:ind w:left="420" w:left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主要内容：审计4个镇（街道），涉及33个股份经济合作社85个审计年度</w:t>
      </w:r>
      <w:r>
        <w:rPr>
          <w:rFonts w:ascii="仿宋" w:hAnsi="仿宋" w:eastAsia="仿宋" w:cs="仿宋"/>
          <w:color w:val="auto"/>
          <w:sz w:val="24"/>
          <w:highlight w:val="none"/>
        </w:rPr>
        <w:t>和14个村集体控股强村公司64个审计年度</w:t>
      </w:r>
      <w:r>
        <w:rPr>
          <w:rFonts w:hint="eastAsia" w:ascii="仿宋" w:hAnsi="仿宋" w:eastAsia="仿宋" w:cs="仿宋"/>
          <w:color w:val="auto"/>
          <w:sz w:val="24"/>
          <w:highlight w:val="none"/>
        </w:rPr>
        <w:t>，详见采购文件。</w:t>
      </w:r>
    </w:p>
    <w:p w14:paraId="18B210FD">
      <w:pPr>
        <w:pStyle w:val="45"/>
        <w:spacing w:afterLines="0" w:line="440" w:lineRule="exact"/>
        <w:ind w:firstLine="482"/>
        <w:rPr>
          <w:rFonts w:ascii="仿宋_GB2312" w:hAnsi="新宋体" w:eastAsia="仿宋_GB2312"/>
          <w:color w:val="auto"/>
          <w:szCs w:val="24"/>
          <w:highlight w:val="none"/>
        </w:rPr>
      </w:pPr>
      <w:r>
        <w:rPr>
          <w:rFonts w:hint="eastAsia" w:ascii="仿宋_GB2312" w:hAnsi="新宋体" w:eastAsia="仿宋_GB2312"/>
          <w:b/>
          <w:color w:val="auto"/>
          <w:szCs w:val="24"/>
          <w:highlight w:val="none"/>
        </w:rPr>
        <w:t>合同履约期限：</w:t>
      </w:r>
      <w:r>
        <w:rPr>
          <w:rFonts w:hint="eastAsia" w:ascii="仿宋_GB2312" w:hAnsi="新宋体" w:eastAsia="仿宋_GB2312"/>
          <w:color w:val="auto"/>
          <w:szCs w:val="24"/>
          <w:highlight w:val="none"/>
        </w:rPr>
        <w:t>按双方合同约定条款执行。</w:t>
      </w:r>
    </w:p>
    <w:p w14:paraId="594F911A">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标项二：</w:t>
      </w:r>
    </w:p>
    <w:p w14:paraId="5A669F36">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标项名称：</w:t>
      </w:r>
      <w:r>
        <w:rPr>
          <w:rFonts w:ascii="仿宋" w:hAnsi="仿宋" w:eastAsia="仿宋" w:cs="仿宋"/>
          <w:color w:val="auto"/>
          <w:sz w:val="24"/>
          <w:szCs w:val="28"/>
          <w:highlight w:val="none"/>
        </w:rPr>
        <w:t>柯桥</w:t>
      </w:r>
      <w:r>
        <w:rPr>
          <w:rFonts w:hint="eastAsia" w:ascii="仿宋" w:hAnsi="仿宋" w:eastAsia="仿宋" w:cs="仿宋"/>
          <w:color w:val="auto"/>
          <w:sz w:val="24"/>
          <w:highlight w:val="none"/>
        </w:rPr>
        <w:t>、王坛、夏履、平水2025年</w:t>
      </w:r>
      <w:r>
        <w:rPr>
          <w:rFonts w:ascii="仿宋" w:hAnsi="仿宋" w:eastAsia="仿宋" w:cs="仿宋"/>
          <w:color w:val="auto"/>
          <w:sz w:val="24"/>
          <w:highlight w:val="none"/>
        </w:rPr>
        <w:t>农村</w:t>
      </w:r>
      <w:r>
        <w:rPr>
          <w:rFonts w:hint="eastAsia" w:ascii="仿宋" w:hAnsi="仿宋" w:eastAsia="仿宋" w:cs="仿宋"/>
          <w:color w:val="auto"/>
          <w:sz w:val="24"/>
          <w:highlight w:val="none"/>
        </w:rPr>
        <w:t>集体经济审计项目</w:t>
      </w:r>
    </w:p>
    <w:p w14:paraId="370B84FE">
      <w:pPr>
        <w:spacing w:line="360" w:lineRule="auto"/>
        <w:ind w:left="420" w:left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数量：</w:t>
      </w:r>
      <w:r>
        <w:rPr>
          <w:rFonts w:hint="eastAsia" w:ascii="仿宋" w:hAnsi="仿宋" w:eastAsia="仿宋" w:cs="仿宋"/>
          <w:color w:val="auto"/>
          <w:sz w:val="24"/>
          <w:highlight w:val="none"/>
          <w:u w:val="single"/>
        </w:rPr>
        <w:t>1</w:t>
      </w:r>
    </w:p>
    <w:p w14:paraId="703155F1">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预算金额（元）:</w:t>
      </w:r>
      <w:r>
        <w:rPr>
          <w:rFonts w:ascii="仿宋" w:hAnsi="仿宋" w:eastAsia="仿宋" w:cs="仿宋"/>
          <w:color w:val="auto"/>
          <w:sz w:val="24"/>
          <w:szCs w:val="28"/>
          <w:highlight w:val="none"/>
        </w:rPr>
        <w:t>3</w:t>
      </w:r>
      <w:r>
        <w:rPr>
          <w:rFonts w:hint="eastAsia" w:ascii="仿宋" w:hAnsi="仿宋" w:eastAsia="仿宋" w:cs="仿宋"/>
          <w:color w:val="auto"/>
          <w:sz w:val="24"/>
          <w:szCs w:val="28"/>
          <w:highlight w:val="none"/>
        </w:rPr>
        <w:t>1</w:t>
      </w:r>
      <w:r>
        <w:rPr>
          <w:rFonts w:ascii="仿宋" w:hAnsi="仿宋" w:eastAsia="仿宋" w:cs="仿宋"/>
          <w:color w:val="auto"/>
          <w:sz w:val="24"/>
          <w:szCs w:val="28"/>
          <w:highlight w:val="none"/>
        </w:rPr>
        <w:t>6</w:t>
      </w:r>
      <w:r>
        <w:rPr>
          <w:rFonts w:hint="eastAsia" w:ascii="仿宋" w:hAnsi="仿宋" w:eastAsia="仿宋" w:cs="仿宋"/>
          <w:color w:val="auto"/>
          <w:sz w:val="24"/>
          <w:szCs w:val="28"/>
          <w:highlight w:val="none"/>
        </w:rPr>
        <w:t>000</w:t>
      </w:r>
    </w:p>
    <w:p w14:paraId="3F84B525">
      <w:pPr>
        <w:pStyle w:val="45"/>
        <w:spacing w:afterLines="0" w:line="440" w:lineRule="exact"/>
        <w:ind w:firstLine="480"/>
        <w:rPr>
          <w:rFonts w:ascii="仿宋_GB2312" w:hAnsi="新宋体" w:eastAsia="仿宋_GB2312"/>
          <w:b/>
          <w:color w:val="auto"/>
          <w:highlight w:val="none"/>
        </w:rPr>
      </w:pPr>
      <w:r>
        <w:rPr>
          <w:rFonts w:hint="eastAsia" w:ascii="仿宋" w:hAnsi="仿宋" w:eastAsia="仿宋" w:cs="仿宋"/>
          <w:color w:val="auto"/>
          <w:szCs w:val="28"/>
          <w:highlight w:val="none"/>
        </w:rPr>
        <w:t>主要内容：审计4个镇（街道），涉及</w:t>
      </w:r>
      <w:r>
        <w:rPr>
          <w:rFonts w:ascii="仿宋" w:hAnsi="仿宋" w:eastAsia="仿宋" w:cs="仿宋"/>
          <w:color w:val="auto"/>
          <w:szCs w:val="28"/>
          <w:highlight w:val="none"/>
        </w:rPr>
        <w:t>44</w:t>
      </w:r>
      <w:r>
        <w:rPr>
          <w:rFonts w:hint="eastAsia" w:ascii="仿宋" w:hAnsi="仿宋" w:eastAsia="仿宋" w:cs="仿宋"/>
          <w:color w:val="auto"/>
          <w:szCs w:val="28"/>
          <w:highlight w:val="none"/>
        </w:rPr>
        <w:t>个股份经济合作社</w:t>
      </w:r>
      <w:r>
        <w:rPr>
          <w:rFonts w:ascii="仿宋" w:hAnsi="仿宋" w:eastAsia="仿宋" w:cs="仿宋"/>
          <w:color w:val="auto"/>
          <w:szCs w:val="28"/>
          <w:highlight w:val="none"/>
        </w:rPr>
        <w:t>81</w:t>
      </w:r>
      <w:r>
        <w:rPr>
          <w:rFonts w:hint="eastAsia" w:ascii="仿宋" w:hAnsi="仿宋" w:eastAsia="仿宋" w:cs="仿宋"/>
          <w:color w:val="auto"/>
          <w:szCs w:val="28"/>
          <w:highlight w:val="none"/>
        </w:rPr>
        <w:t>个审计年度</w:t>
      </w:r>
      <w:r>
        <w:rPr>
          <w:rFonts w:ascii="仿宋" w:hAnsi="仿宋" w:eastAsia="仿宋" w:cs="仿宋"/>
          <w:color w:val="auto"/>
          <w:szCs w:val="28"/>
          <w:highlight w:val="none"/>
        </w:rPr>
        <w:t>和15个村集体控股强村公司28个审计年度</w:t>
      </w:r>
      <w:r>
        <w:rPr>
          <w:rFonts w:hint="eastAsia" w:ascii="仿宋" w:hAnsi="仿宋" w:eastAsia="仿宋" w:cs="仿宋"/>
          <w:color w:val="auto"/>
          <w:szCs w:val="28"/>
          <w:highlight w:val="none"/>
        </w:rPr>
        <w:t>，详见采购文件。</w:t>
      </w:r>
      <w:r>
        <w:rPr>
          <w:rFonts w:ascii="仿宋" w:hAnsi="仿宋" w:eastAsia="仿宋" w:cs="仿宋"/>
          <w:color w:val="auto"/>
          <w:szCs w:val="28"/>
          <w:highlight w:val="none"/>
        </w:rPr>
        <w:t> </w:t>
      </w:r>
      <w:r>
        <w:rPr>
          <w:rFonts w:hint="eastAsia" w:ascii="仿宋" w:hAnsi="仿宋" w:eastAsia="仿宋" w:cs="仿宋"/>
          <w:color w:val="auto"/>
          <w:szCs w:val="28"/>
          <w:highlight w:val="none"/>
        </w:rPr>
        <w:br w:type="textWrapping"/>
      </w:r>
      <w:r>
        <w:rPr>
          <w:rFonts w:ascii="仿宋_GB2312" w:hAnsi="新宋体" w:eastAsia="仿宋_GB2312"/>
          <w:b/>
          <w:color w:val="auto"/>
          <w:highlight w:val="none"/>
        </w:rPr>
        <w:t>  </w:t>
      </w:r>
      <w:r>
        <w:rPr>
          <w:rFonts w:hint="eastAsia" w:ascii="仿宋_GB2312" w:hAnsi="新宋体" w:eastAsia="仿宋_GB2312"/>
          <w:b/>
          <w:color w:val="auto"/>
          <w:highlight w:val="none"/>
        </w:rPr>
        <w:t>合同履约期限：</w:t>
      </w:r>
      <w:r>
        <w:rPr>
          <w:rFonts w:hint="eastAsia" w:ascii="仿宋_GB2312" w:hAnsi="新宋体" w:eastAsia="仿宋_GB2312"/>
          <w:color w:val="auto"/>
          <w:highlight w:val="none"/>
        </w:rPr>
        <w:t>按双方合同约定条款执行。</w:t>
      </w:r>
    </w:p>
    <w:p w14:paraId="54FB8841">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标项三：</w:t>
      </w:r>
    </w:p>
    <w:p w14:paraId="2FBDE701">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标项名称：华舍、杨汛桥、马鞍、齐贤2025年</w:t>
      </w:r>
      <w:r>
        <w:rPr>
          <w:rFonts w:ascii="仿宋" w:hAnsi="仿宋" w:eastAsia="仿宋" w:cs="仿宋"/>
          <w:color w:val="auto"/>
          <w:sz w:val="24"/>
          <w:szCs w:val="28"/>
          <w:highlight w:val="none"/>
        </w:rPr>
        <w:t>农村</w:t>
      </w:r>
      <w:r>
        <w:rPr>
          <w:rFonts w:hint="eastAsia" w:ascii="仿宋" w:hAnsi="仿宋" w:eastAsia="仿宋" w:cs="仿宋"/>
          <w:color w:val="auto"/>
          <w:sz w:val="24"/>
          <w:szCs w:val="28"/>
          <w:highlight w:val="none"/>
        </w:rPr>
        <w:t>集体经济审计项目</w:t>
      </w:r>
    </w:p>
    <w:p w14:paraId="2B95BA6F">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数量：1</w:t>
      </w:r>
    </w:p>
    <w:p w14:paraId="54BBCED2">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主要内容：审计4个镇（街道），涉及28个股份经济合作社83个审计年度</w:t>
      </w:r>
      <w:r>
        <w:rPr>
          <w:rFonts w:ascii="仿宋" w:hAnsi="仿宋" w:eastAsia="仿宋" w:cs="仿宋"/>
          <w:color w:val="auto"/>
          <w:sz w:val="24"/>
          <w:szCs w:val="28"/>
          <w:highlight w:val="none"/>
        </w:rPr>
        <w:t>和3个村集体控股强村公司22个审计年度</w:t>
      </w:r>
      <w:r>
        <w:rPr>
          <w:rFonts w:hint="eastAsia" w:ascii="仿宋" w:hAnsi="仿宋" w:eastAsia="仿宋" w:cs="仿宋"/>
          <w:color w:val="auto"/>
          <w:sz w:val="24"/>
          <w:szCs w:val="28"/>
          <w:highlight w:val="none"/>
        </w:rPr>
        <w:t>，详见采购文件。</w:t>
      </w:r>
      <w:r>
        <w:rPr>
          <w:rFonts w:ascii="仿宋" w:hAnsi="仿宋" w:eastAsia="仿宋" w:cs="仿宋"/>
          <w:color w:val="auto"/>
          <w:sz w:val="24"/>
          <w:szCs w:val="28"/>
          <w:highlight w:val="none"/>
        </w:rPr>
        <w:t> </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预算金额（元）:</w:t>
      </w:r>
      <w:r>
        <w:rPr>
          <w:rFonts w:ascii="仿宋" w:hAnsi="仿宋" w:eastAsia="仿宋" w:cs="仿宋"/>
          <w:color w:val="auto"/>
          <w:sz w:val="24"/>
          <w:szCs w:val="28"/>
          <w:highlight w:val="none"/>
        </w:rPr>
        <w:t>3</w:t>
      </w:r>
      <w:r>
        <w:rPr>
          <w:rFonts w:hint="eastAsia" w:ascii="仿宋" w:hAnsi="仿宋" w:eastAsia="仿宋" w:cs="仿宋"/>
          <w:color w:val="auto"/>
          <w:sz w:val="24"/>
          <w:szCs w:val="28"/>
          <w:highlight w:val="none"/>
        </w:rPr>
        <w:t>15000</w:t>
      </w:r>
    </w:p>
    <w:p w14:paraId="6A67AEAB">
      <w:pPr>
        <w:pStyle w:val="45"/>
        <w:spacing w:afterLines="0" w:line="440" w:lineRule="exact"/>
        <w:ind w:firstLine="354" w:firstLineChars="147"/>
        <w:rPr>
          <w:rFonts w:ascii="仿宋_GB2312" w:hAnsi="新宋体" w:eastAsia="仿宋_GB2312"/>
          <w:color w:val="auto"/>
          <w:szCs w:val="24"/>
          <w:highlight w:val="none"/>
        </w:rPr>
      </w:pPr>
      <w:r>
        <w:rPr>
          <w:rFonts w:hint="eastAsia" w:ascii="仿宋_GB2312" w:hAnsi="新宋体" w:eastAsia="仿宋_GB2312"/>
          <w:b/>
          <w:color w:val="auto"/>
          <w:szCs w:val="24"/>
          <w:highlight w:val="none"/>
        </w:rPr>
        <w:t>合同履约期限：</w:t>
      </w:r>
      <w:r>
        <w:rPr>
          <w:rFonts w:hint="eastAsia" w:ascii="仿宋_GB2312" w:hAnsi="新宋体" w:eastAsia="仿宋_GB2312"/>
          <w:color w:val="auto"/>
          <w:szCs w:val="24"/>
          <w:highlight w:val="none"/>
        </w:rPr>
        <w:t>按双方合同约定条款执行。</w:t>
      </w:r>
    </w:p>
    <w:p w14:paraId="42626F65">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标项四：</w:t>
      </w:r>
    </w:p>
    <w:p w14:paraId="2565F5E3">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标项名称：</w:t>
      </w:r>
      <w:r>
        <w:rPr>
          <w:rFonts w:hint="eastAsia" w:ascii="仿宋" w:hAnsi="仿宋" w:eastAsia="仿宋" w:cs="仿宋"/>
          <w:color w:val="auto"/>
          <w:sz w:val="24"/>
          <w:highlight w:val="none"/>
        </w:rPr>
        <w:t>柯岩、</w:t>
      </w:r>
      <w:r>
        <w:rPr>
          <w:rFonts w:ascii="仿宋" w:hAnsi="仿宋" w:eastAsia="仿宋" w:cs="仿宋"/>
          <w:color w:val="auto"/>
          <w:sz w:val="24"/>
          <w:highlight w:val="none"/>
        </w:rPr>
        <w:t>湖塘</w:t>
      </w:r>
      <w:r>
        <w:rPr>
          <w:rFonts w:hint="eastAsia" w:ascii="仿宋" w:hAnsi="仿宋" w:eastAsia="仿宋" w:cs="仿宋"/>
          <w:color w:val="auto"/>
          <w:sz w:val="24"/>
          <w:highlight w:val="none"/>
        </w:rPr>
        <w:t>、钱清、漓渚2025年</w:t>
      </w:r>
      <w:r>
        <w:rPr>
          <w:rFonts w:ascii="仿宋" w:hAnsi="仿宋" w:eastAsia="仿宋" w:cs="仿宋"/>
          <w:color w:val="auto"/>
          <w:sz w:val="24"/>
          <w:highlight w:val="none"/>
        </w:rPr>
        <w:t>农村</w:t>
      </w:r>
      <w:r>
        <w:rPr>
          <w:rFonts w:hint="eastAsia" w:ascii="仿宋" w:hAnsi="仿宋" w:eastAsia="仿宋" w:cs="仿宋"/>
          <w:color w:val="auto"/>
          <w:sz w:val="24"/>
          <w:highlight w:val="none"/>
        </w:rPr>
        <w:t>集体经济审计项目</w:t>
      </w:r>
    </w:p>
    <w:p w14:paraId="1FBF5C35">
      <w:pPr>
        <w:spacing w:line="360" w:lineRule="auto"/>
        <w:ind w:left="420" w:left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数量：1</w:t>
      </w:r>
    </w:p>
    <w:p w14:paraId="20631748">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highlight w:val="none"/>
        </w:rPr>
        <w:t>主要内容：审计4个镇（街道），涉及</w:t>
      </w:r>
      <w:r>
        <w:rPr>
          <w:rFonts w:ascii="仿宋" w:hAnsi="仿宋" w:eastAsia="仿宋" w:cs="仿宋"/>
          <w:color w:val="auto"/>
          <w:sz w:val="24"/>
          <w:highlight w:val="none"/>
        </w:rPr>
        <w:t>61</w:t>
      </w:r>
      <w:r>
        <w:rPr>
          <w:rFonts w:hint="eastAsia" w:ascii="仿宋" w:hAnsi="仿宋" w:eastAsia="仿宋" w:cs="仿宋"/>
          <w:color w:val="auto"/>
          <w:sz w:val="24"/>
          <w:highlight w:val="none"/>
        </w:rPr>
        <w:t>个股份经济合作社</w:t>
      </w:r>
      <w:r>
        <w:rPr>
          <w:rFonts w:ascii="仿宋" w:hAnsi="仿宋" w:eastAsia="仿宋" w:cs="仿宋"/>
          <w:color w:val="auto"/>
          <w:sz w:val="24"/>
          <w:highlight w:val="none"/>
        </w:rPr>
        <w:t>83</w:t>
      </w:r>
      <w:r>
        <w:rPr>
          <w:rFonts w:hint="eastAsia" w:ascii="仿宋" w:hAnsi="仿宋" w:eastAsia="仿宋" w:cs="仿宋"/>
          <w:color w:val="auto"/>
          <w:sz w:val="24"/>
          <w:highlight w:val="none"/>
        </w:rPr>
        <w:t>个审计年度</w:t>
      </w:r>
      <w:r>
        <w:rPr>
          <w:rFonts w:ascii="仿宋" w:hAnsi="仿宋" w:eastAsia="仿宋" w:cs="仿宋"/>
          <w:color w:val="auto"/>
          <w:sz w:val="24"/>
          <w:highlight w:val="none"/>
        </w:rPr>
        <w:t>和11个村集体控股强村公司69个审计年度</w:t>
      </w:r>
      <w:r>
        <w:rPr>
          <w:rFonts w:hint="eastAsia" w:ascii="仿宋" w:hAnsi="仿宋" w:eastAsia="仿宋" w:cs="仿宋"/>
          <w:color w:val="auto"/>
          <w:sz w:val="24"/>
          <w:highlight w:val="none"/>
        </w:rPr>
        <w:t>，详见采购文件。</w:t>
      </w:r>
      <w:r>
        <w:rPr>
          <w:rFonts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szCs w:val="28"/>
          <w:highlight w:val="none"/>
        </w:rPr>
        <w:t>预算金额（元）:385</w:t>
      </w:r>
      <w:r>
        <w:rPr>
          <w:rFonts w:ascii="仿宋" w:hAnsi="仿宋" w:eastAsia="仿宋" w:cs="仿宋"/>
          <w:color w:val="auto"/>
          <w:sz w:val="24"/>
          <w:szCs w:val="28"/>
          <w:highlight w:val="none"/>
        </w:rPr>
        <w:t>00</w:t>
      </w:r>
      <w:r>
        <w:rPr>
          <w:rFonts w:hint="eastAsia" w:ascii="仿宋" w:hAnsi="仿宋" w:eastAsia="仿宋" w:cs="仿宋"/>
          <w:color w:val="auto"/>
          <w:sz w:val="24"/>
          <w:szCs w:val="28"/>
          <w:highlight w:val="none"/>
        </w:rPr>
        <w:t>0</w:t>
      </w:r>
    </w:p>
    <w:p w14:paraId="51A349B6">
      <w:pPr>
        <w:spacing w:line="360" w:lineRule="auto"/>
        <w:ind w:left="420" w:leftChars="200"/>
        <w:jc w:val="left"/>
        <w:rPr>
          <w:rFonts w:ascii="仿宋_GB2312" w:hAnsi="新宋体" w:eastAsia="仿宋_GB2312"/>
          <w:color w:val="auto"/>
          <w:kern w:val="0"/>
          <w:sz w:val="24"/>
          <w:highlight w:val="none"/>
        </w:rPr>
      </w:pPr>
      <w:r>
        <w:rPr>
          <w:rFonts w:hint="eastAsia" w:ascii="仿宋_GB2312" w:hAnsi="新宋体" w:eastAsia="仿宋_GB2312"/>
          <w:b/>
          <w:color w:val="auto"/>
          <w:kern w:val="0"/>
          <w:sz w:val="24"/>
          <w:highlight w:val="none"/>
        </w:rPr>
        <w:t>合同履约期限：</w:t>
      </w:r>
      <w:r>
        <w:rPr>
          <w:rFonts w:hint="eastAsia" w:ascii="仿宋_GB2312" w:hAnsi="新宋体" w:eastAsia="仿宋_GB2312"/>
          <w:color w:val="auto"/>
          <w:kern w:val="0"/>
          <w:sz w:val="24"/>
          <w:highlight w:val="none"/>
        </w:rPr>
        <w:t>按双方合同约定条款执行。</w:t>
      </w:r>
    </w:p>
    <w:p w14:paraId="6E3A5FA1">
      <w:pPr>
        <w:pStyle w:val="45"/>
        <w:spacing w:afterLines="0" w:line="440" w:lineRule="exact"/>
        <w:ind w:firstLine="482"/>
        <w:rPr>
          <w:rFonts w:ascii="仿宋_GB2312" w:hAnsi="新宋体" w:eastAsia="仿宋_GB2312"/>
          <w:color w:val="auto"/>
          <w:szCs w:val="24"/>
          <w:highlight w:val="none"/>
        </w:rPr>
      </w:pPr>
      <w:r>
        <w:rPr>
          <w:rFonts w:hint="eastAsia" w:ascii="仿宋_GB2312" w:hAnsi="新宋体" w:eastAsia="仿宋_GB2312"/>
          <w:b/>
          <w:color w:val="auto"/>
          <w:szCs w:val="24"/>
          <w:highlight w:val="none"/>
        </w:rPr>
        <w:t>本项目接受联合体投标：</w:t>
      </w:r>
      <w:r>
        <w:rPr>
          <w:rFonts w:hint="eastAsia" w:ascii="MS Mincho" w:hAnsi="MS Mincho" w:eastAsia="MS Mincho" w:cs="MS Mincho"/>
          <w:color w:val="auto"/>
          <w:szCs w:val="24"/>
          <w:highlight w:val="none"/>
        </w:rPr>
        <w:t>☐</w:t>
      </w:r>
      <w:r>
        <w:rPr>
          <w:rFonts w:hint="eastAsia" w:ascii="仿宋_GB2312" w:hAnsi="新宋体" w:eastAsia="仿宋_GB2312"/>
          <w:color w:val="auto"/>
          <w:szCs w:val="24"/>
          <w:highlight w:val="none"/>
        </w:rPr>
        <w:t>是，</w:t>
      </w:r>
      <w:r>
        <w:rPr>
          <w:rFonts w:ascii="仿宋_GB2312" w:hAnsi="仿宋" w:eastAsia="仿宋_GB2312" w:cs="Arial"/>
          <w:color w:val="auto"/>
          <w:highlight w:val="none"/>
        </w:rPr>
        <w:sym w:font="Wingdings" w:char="F0FE"/>
      </w:r>
      <w:r>
        <w:rPr>
          <w:rFonts w:hint="eastAsia" w:ascii="仿宋_GB2312" w:hAnsi="新宋体" w:eastAsia="仿宋_GB2312"/>
          <w:color w:val="auto"/>
          <w:szCs w:val="24"/>
          <w:highlight w:val="none"/>
        </w:rPr>
        <w:t>否。</w:t>
      </w:r>
    </w:p>
    <w:p w14:paraId="63F76CB1">
      <w:pPr>
        <w:pStyle w:val="45"/>
        <w:spacing w:afterLines="0" w:line="440" w:lineRule="exact"/>
        <w:ind w:firstLine="482"/>
        <w:rPr>
          <w:rFonts w:ascii="仿宋_GB2312" w:hAnsi="新宋体" w:eastAsia="仿宋_GB2312"/>
          <w:b/>
          <w:color w:val="auto"/>
          <w:szCs w:val="24"/>
          <w:highlight w:val="none"/>
        </w:rPr>
      </w:pPr>
      <w:r>
        <w:rPr>
          <w:rFonts w:hint="eastAsia" w:ascii="仿宋_GB2312" w:hAnsi="新宋体" w:eastAsia="仿宋_GB2312"/>
          <w:b/>
          <w:color w:val="auto"/>
          <w:szCs w:val="24"/>
          <w:highlight w:val="none"/>
        </w:rPr>
        <w:t>本项目供应商可以参加多个标段的投标，但最多只能中1个标段，中标后其他标段投标文件将不再开启。开标顺序按1标、2标、3标、4标顺序开标。</w:t>
      </w:r>
    </w:p>
    <w:p w14:paraId="42DD4D2D">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bookmarkStart w:id="17" w:name="_Toc35393622"/>
      <w:bookmarkStart w:id="18" w:name="_Toc28359003"/>
      <w:bookmarkStart w:id="19" w:name="_Toc28359080"/>
      <w:bookmarkStart w:id="20" w:name="_Toc35393791"/>
      <w:r>
        <w:rPr>
          <w:rFonts w:hint="eastAsia" w:ascii="黑体" w:hAnsi="黑体" w:eastAsia="仿宋_GB2312" w:cs="宋体"/>
          <w:b/>
          <w:bCs/>
          <w:color w:val="auto"/>
          <w:sz w:val="24"/>
          <w:szCs w:val="28"/>
          <w:highlight w:val="none"/>
          <w:lang w:val="zh-CN"/>
        </w:rPr>
        <w:t>二、申请人的资格要求：</w:t>
      </w:r>
      <w:bookmarkEnd w:id="17"/>
      <w:bookmarkEnd w:id="18"/>
      <w:bookmarkEnd w:id="19"/>
      <w:bookmarkEnd w:id="20"/>
    </w:p>
    <w:p w14:paraId="2B876C5D">
      <w:pPr>
        <w:spacing w:line="360" w:lineRule="auto"/>
        <w:ind w:firstLine="480" w:firstLineChars="200"/>
        <w:jc w:val="left"/>
        <w:rPr>
          <w:rFonts w:ascii="仿宋" w:hAnsi="仿宋" w:eastAsia="仿宋"/>
          <w:color w:val="auto"/>
          <w:sz w:val="24"/>
          <w:szCs w:val="28"/>
          <w:highlight w:val="none"/>
        </w:rPr>
      </w:pPr>
      <w:bookmarkStart w:id="21" w:name="_Toc28359004"/>
      <w:bookmarkStart w:id="22" w:name="_Toc28359081"/>
      <w:bookmarkStart w:id="23" w:name="_Toc35393623"/>
      <w:bookmarkStart w:id="24" w:name="_Toc35393792"/>
      <w:r>
        <w:rPr>
          <w:rFonts w:hint="eastAsia" w:ascii="仿宋" w:hAnsi="仿宋" w:eastAsia="仿宋"/>
          <w:color w:val="auto"/>
          <w:sz w:val="24"/>
          <w:szCs w:val="28"/>
          <w:highlight w:val="none"/>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14:paraId="64DFA81A">
      <w:pPr>
        <w:spacing w:line="360" w:lineRule="auto"/>
        <w:ind w:firstLine="480" w:firstLineChars="200"/>
        <w:jc w:val="left"/>
        <w:rPr>
          <w:rFonts w:ascii="仿宋_GB2312" w:hAnsi="新宋体" w:eastAsia="仿宋_GB2312"/>
          <w:color w:val="auto"/>
          <w:highlight w:val="none"/>
        </w:rPr>
      </w:pPr>
      <w:r>
        <w:rPr>
          <w:rFonts w:hint="eastAsia" w:ascii="仿宋" w:hAnsi="仿宋" w:eastAsia="仿宋"/>
          <w:color w:val="auto"/>
          <w:sz w:val="24"/>
          <w:szCs w:val="28"/>
          <w:highlight w:val="none"/>
        </w:rPr>
        <w:t>3、落实政府采购政策需满足的资格要求：</w:t>
      </w:r>
      <w:sdt>
        <w:sdtPr>
          <w:rPr>
            <w:rFonts w:hint="eastAsia" w:ascii="仿宋_GB2312" w:hAnsi="仿宋" w:eastAsia="仿宋_GB2312" w:cs="Arial"/>
            <w:color w:val="auto"/>
            <w:szCs w:val="21"/>
            <w:highlight w:val="none"/>
          </w:rPr>
          <w:id w:val="725337177"/>
          <w:showingPlcHdr/>
        </w:sdtPr>
        <w:sdtEndPr>
          <w:rPr>
            <w:rFonts w:hint="eastAsia" w:ascii="仿宋_GB2312" w:hAnsi="新宋体" w:eastAsia="仿宋_GB2312" w:cs="Times New Roman"/>
            <w:color w:val="auto"/>
            <w:szCs w:val="24"/>
            <w:highlight w:val="none"/>
          </w:rPr>
        </w:sdtEndPr>
        <w:sdtContent>
          <w:r>
            <w:rPr>
              <w:rFonts w:ascii="仿宋_GB2312" w:hAnsi="仿宋" w:eastAsia="仿宋_GB2312" w:cs="Arial"/>
              <w:color w:val="auto"/>
              <w:szCs w:val="21"/>
              <w:highlight w:val="none"/>
            </w:rPr>
            <w:t xml:space="preserve">     </w:t>
          </w:r>
        </w:sdtContent>
      </w:sdt>
    </w:p>
    <w:p w14:paraId="0C8655C3">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53497049"/>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3C9745BE">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货物全部由符合政策要求的中小企业制造，提供中小企业声明函；</w:t>
      </w:r>
    </w:p>
    <w:p w14:paraId="05905213">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09"/>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货物全部由符合政策要求的小微企业制造，提供中小企业声明函；</w:t>
      </w:r>
    </w:p>
    <w:p w14:paraId="6CA5B581">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0690290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53497051"/>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sdtContent>
          </w:sdt>
        </w:sdtContent>
      </w:sdt>
      <w:r>
        <w:rPr>
          <w:rFonts w:hint="eastAsia" w:ascii="仿宋_GB2312" w:hAnsi="仿宋" w:eastAsia="仿宋_GB2312"/>
          <w:color w:val="auto"/>
          <w:sz w:val="24"/>
          <w:highlight w:val="none"/>
        </w:rPr>
        <w:t>服务全部由符合政策要求的中小企业承接，提供中小企业声明函；</w:t>
      </w:r>
    </w:p>
    <w:p w14:paraId="45464C7E">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服务全部由符合政策要求的小微企业承接，提供中小企业声明函；</w:t>
      </w:r>
    </w:p>
    <w:p w14:paraId="6AB51EE7">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0369722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color w:val="auto"/>
          <w:sz w:val="24"/>
          <w:highlight w:val="none"/>
        </w:rPr>
        <w:t>；</w:t>
      </w:r>
    </w:p>
    <w:p w14:paraId="57E6E810">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7"/>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 w:eastAsia="仿宋_GB2312"/>
          <w:color w:val="auto"/>
          <w:sz w:val="24"/>
          <w:highlight w:val="none"/>
        </w:rPr>
        <w:t>；</w:t>
      </w:r>
    </w:p>
    <w:p w14:paraId="52BCD2B5">
      <w:pPr>
        <w:spacing w:line="360" w:lineRule="auto"/>
        <w:ind w:firstLine="482" w:firstLineChars="200"/>
        <w:rPr>
          <w:rFonts w:ascii="仿宋" w:hAnsi="仿宋" w:eastAsia="仿宋"/>
          <w:b/>
          <w:i/>
          <w:iCs/>
          <w:color w:val="auto"/>
          <w:sz w:val="24"/>
          <w:szCs w:val="28"/>
          <w:highlight w:val="none"/>
          <w:u w:val="single"/>
        </w:rPr>
      </w:pPr>
      <w:r>
        <w:rPr>
          <w:rFonts w:hint="eastAsia" w:ascii="仿宋" w:hAnsi="仿宋" w:eastAsia="仿宋" w:cs="宋体"/>
          <w:b/>
          <w:color w:val="auto"/>
          <w:sz w:val="24"/>
          <w:highlight w:val="none"/>
        </w:rPr>
        <w:t xml:space="preserve">本项目的特定资格要求：具有会计师事务所执业许可资格；且同一总公司（总机构）授权参加的分支机构不得超过一家。 </w:t>
      </w:r>
    </w:p>
    <w:p w14:paraId="36EE6CB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B95FC4">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r>
        <w:rPr>
          <w:rFonts w:hint="eastAsia" w:ascii="黑体" w:hAnsi="黑体" w:eastAsia="仿宋_GB2312" w:cs="宋体"/>
          <w:b/>
          <w:bCs/>
          <w:color w:val="auto"/>
          <w:sz w:val="24"/>
          <w:szCs w:val="28"/>
          <w:highlight w:val="none"/>
          <w:lang w:val="zh-CN"/>
        </w:rPr>
        <w:t>三、获取招标文件</w:t>
      </w:r>
      <w:bookmarkEnd w:id="21"/>
      <w:bookmarkEnd w:id="22"/>
      <w:bookmarkEnd w:id="23"/>
      <w:bookmarkEnd w:id="24"/>
    </w:p>
    <w:p w14:paraId="7416EE02">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rPr>
        <w:t>2025年  月  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Calibri" w:hAnsi="Calibri" w:eastAsia="仿宋" w:cs="Calibri"/>
          <w:color w:val="auto"/>
          <w:sz w:val="24"/>
          <w:szCs w:val="28"/>
          <w:highlight w:val="none"/>
        </w:rPr>
        <w:t> </w:t>
      </w:r>
      <w:r>
        <w:rPr>
          <w:rFonts w:ascii="仿宋" w:hAnsi="仿宋" w:eastAsia="仿宋"/>
          <w:color w:val="auto"/>
          <w:sz w:val="24"/>
          <w:szCs w:val="28"/>
          <w:highlight w:val="none"/>
        </w:rPr>
        <w:t>，下午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0476D013">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仿宋" w:hAnsi="仿宋" w:eastAsia="仿宋" w:cs="宋体"/>
          <w:snapToGrid w:val="0"/>
          <w:color w:val="auto"/>
          <w:sz w:val="24"/>
          <w:szCs w:val="28"/>
          <w:highlight w:val="none"/>
        </w:rPr>
        <w:t>http://zfcg.czt.zj.gov.cn/</w:t>
      </w:r>
      <w:r>
        <w:rPr>
          <w:rFonts w:ascii="仿宋" w:hAnsi="仿宋" w:eastAsia="仿宋" w:cs="宋体"/>
          <w:snapToGrid w:val="0"/>
          <w:color w:val="auto"/>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54F2CC1D">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方式：供应商登陆政采云平台http://www.zcygov.cn/，在线申请获取采购文件（进入“项目采购”应用，在获取采购文件菜单中选择项目，申请获取采购文件）。公告页面附件招标文件可以下载，仅供浏览使用；</w:t>
      </w:r>
    </w:p>
    <w:p w14:paraId="436B5D30">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售价：0元。</w:t>
      </w:r>
    </w:p>
    <w:p w14:paraId="2DB29185">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bookmarkStart w:id="25" w:name="_Toc28359005"/>
      <w:bookmarkStart w:id="26" w:name="_Toc28359082"/>
      <w:bookmarkStart w:id="27" w:name="_Toc35393793"/>
      <w:bookmarkStart w:id="28" w:name="_Toc35393624"/>
      <w:r>
        <w:rPr>
          <w:rFonts w:hint="eastAsia" w:ascii="黑体" w:hAnsi="黑体" w:eastAsia="仿宋_GB2312" w:cs="宋体"/>
          <w:b/>
          <w:bCs/>
          <w:color w:val="auto"/>
          <w:sz w:val="24"/>
          <w:szCs w:val="28"/>
          <w:highlight w:val="none"/>
          <w:lang w:val="zh-CN"/>
        </w:rPr>
        <w:t>四、提交投标文件</w:t>
      </w:r>
      <w:bookmarkEnd w:id="25"/>
      <w:bookmarkEnd w:id="26"/>
      <w:r>
        <w:rPr>
          <w:rFonts w:hint="eastAsia" w:ascii="黑体" w:hAnsi="黑体" w:eastAsia="仿宋_GB2312" w:cs="宋体"/>
          <w:b/>
          <w:bCs/>
          <w:color w:val="auto"/>
          <w:sz w:val="24"/>
          <w:szCs w:val="28"/>
          <w:highlight w:val="none"/>
          <w:lang w:val="zh-CN"/>
        </w:rPr>
        <w:t>截止时间、开标时间和地点</w:t>
      </w:r>
      <w:bookmarkEnd w:id="27"/>
      <w:bookmarkEnd w:id="28"/>
    </w:p>
    <w:p w14:paraId="535527F2">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rPr>
        <w:t xml:space="preserve">2025年 月 日9:30 </w:t>
      </w:r>
      <w:r>
        <w:rPr>
          <w:rFonts w:hint="eastAsia" w:ascii="仿宋" w:hAnsi="仿宋" w:eastAsia="仿宋"/>
          <w:bCs/>
          <w:color w:val="auto"/>
          <w:sz w:val="24"/>
          <w:szCs w:val="28"/>
          <w:highlight w:val="none"/>
        </w:rPr>
        <w:t>（北京时间）</w:t>
      </w:r>
    </w:p>
    <w:p w14:paraId="7A356F5B">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14:paraId="1B41B9A7">
      <w:pPr>
        <w:spacing w:line="360" w:lineRule="auto"/>
        <w:ind w:firstLine="480" w:firstLineChars="200"/>
        <w:jc w:val="left"/>
        <w:rPr>
          <w:rFonts w:ascii="仿宋" w:hAnsi="仿宋" w:eastAsia="仿宋"/>
          <w:bCs/>
          <w:color w:val="auto"/>
          <w:sz w:val="24"/>
          <w:szCs w:val="28"/>
          <w:highlight w:val="none"/>
          <w:u w:val="single"/>
        </w:rPr>
      </w:pPr>
      <w:r>
        <w:rPr>
          <w:rFonts w:ascii="仿宋" w:hAnsi="仿宋" w:eastAsia="仿宋" w:cs="宋体"/>
          <w:color w:val="auto"/>
          <w:sz w:val="24"/>
          <w:szCs w:val="28"/>
          <w:highlight w:val="none"/>
        </w:rPr>
        <w:t>开标时间：</w:t>
      </w:r>
      <w:r>
        <w:rPr>
          <w:rFonts w:hint="eastAsia" w:ascii="仿宋" w:hAnsi="仿宋" w:eastAsia="仿宋"/>
          <w:bCs/>
          <w:color w:val="auto"/>
          <w:sz w:val="24"/>
          <w:szCs w:val="28"/>
          <w:highlight w:val="none"/>
          <w:u w:val="single"/>
        </w:rPr>
        <w:t xml:space="preserve">2025年 月 日9:30 </w:t>
      </w:r>
    </w:p>
    <w:p w14:paraId="46F64C8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olor w:val="auto"/>
          <w:sz w:val="24"/>
          <w:szCs w:val="28"/>
          <w:highlight w:val="none"/>
        </w:rPr>
        <w:t xml:space="preserve">开标地点（网址）：绍兴市柯桥区公共资源交易中心3楼 </w:t>
      </w:r>
      <w:r>
        <w:rPr>
          <w:rFonts w:hint="eastAsia" w:ascii="仿宋" w:hAnsi="仿宋" w:eastAsia="仿宋"/>
          <w:color w:val="auto"/>
          <w:sz w:val="24"/>
          <w:szCs w:val="28"/>
          <w:highlight w:val="none"/>
          <w:u w:val="single"/>
        </w:rPr>
        <w:t xml:space="preserve">  </w:t>
      </w:r>
      <w:r>
        <w:rPr>
          <w:rFonts w:hint="eastAsia" w:ascii="仿宋" w:hAnsi="仿宋" w:eastAsia="仿宋" w:cs="宋体"/>
          <w:color w:val="auto"/>
          <w:sz w:val="24"/>
          <w:szCs w:val="28"/>
          <w:highlight w:val="none"/>
        </w:rPr>
        <w:t>号交易室</w:t>
      </w:r>
      <w:r>
        <w:rPr>
          <w:rFonts w:hint="eastAsia" w:ascii="仿宋" w:hAnsi="仿宋" w:eastAsia="仿宋" w:cs="仿宋"/>
          <w:color w:val="auto"/>
          <w:sz w:val="24"/>
          <w:szCs w:val="28"/>
          <w:highlight w:val="none"/>
        </w:rPr>
        <w:t>（绍兴市柯桥区纺都路1066号）通过政府采购云平台（https://www.zcygov.cn）在线开标</w:t>
      </w:r>
    </w:p>
    <w:p w14:paraId="4CE0F1CF">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bookmarkStart w:id="29" w:name="_Toc35393625"/>
      <w:bookmarkStart w:id="30" w:name="_Toc35393794"/>
      <w:bookmarkStart w:id="31" w:name="_Toc28359007"/>
      <w:bookmarkStart w:id="32" w:name="_Toc28359084"/>
      <w:r>
        <w:rPr>
          <w:rFonts w:hint="eastAsia" w:ascii="黑体" w:hAnsi="黑体" w:eastAsia="仿宋_GB2312" w:cs="宋体"/>
          <w:b/>
          <w:bCs/>
          <w:color w:val="auto"/>
          <w:sz w:val="24"/>
          <w:szCs w:val="28"/>
          <w:highlight w:val="none"/>
          <w:lang w:val="zh-CN"/>
        </w:rPr>
        <w:t>五、公告期限</w:t>
      </w:r>
      <w:bookmarkEnd w:id="29"/>
      <w:bookmarkEnd w:id="30"/>
      <w:bookmarkEnd w:id="31"/>
      <w:bookmarkEnd w:id="32"/>
    </w:p>
    <w:p w14:paraId="250280D5">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6C906982">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bookmarkStart w:id="33" w:name="_Toc35393626"/>
      <w:bookmarkStart w:id="34" w:name="_Toc35393795"/>
      <w:r>
        <w:rPr>
          <w:rFonts w:hint="eastAsia" w:ascii="黑体" w:hAnsi="黑体" w:eastAsia="仿宋_GB2312" w:cs="宋体"/>
          <w:b/>
          <w:bCs/>
          <w:color w:val="auto"/>
          <w:sz w:val="24"/>
          <w:szCs w:val="28"/>
          <w:highlight w:val="none"/>
          <w:lang w:val="zh-CN"/>
        </w:rPr>
        <w:t>六、其他补充事宜</w:t>
      </w:r>
      <w:bookmarkEnd w:id="33"/>
      <w:bookmarkEnd w:id="34"/>
    </w:p>
    <w:p w14:paraId="2A3D32FD">
      <w:pPr>
        <w:spacing w:line="360" w:lineRule="auto"/>
        <w:ind w:firstLine="480" w:firstLineChars="200"/>
        <w:rPr>
          <w:rFonts w:ascii="仿宋" w:hAnsi="仿宋" w:eastAsia="仿宋" w:cs="宋体"/>
          <w:color w:val="auto"/>
          <w:sz w:val="24"/>
          <w:highlight w:val="none"/>
        </w:rPr>
      </w:pPr>
      <w:bookmarkStart w:id="35" w:name="_Toc35393627"/>
      <w:bookmarkStart w:id="36" w:name="_Toc28359008"/>
      <w:bookmarkStart w:id="37" w:name="_Toc35393796"/>
      <w:bookmarkStart w:id="38" w:name="_Toc28359085"/>
      <w:r>
        <w:rPr>
          <w:rFonts w:hint="eastAsia" w:ascii="仿宋" w:hAnsi="仿宋" w:eastAsia="仿宋" w:cs="宋体"/>
          <w:color w:val="auto"/>
          <w:sz w:val="24"/>
          <w:highlight w:val="none"/>
        </w:rPr>
        <w:t xml:space="preserve">1. </w:t>
      </w:r>
      <w:r>
        <w:rPr>
          <w:rFonts w:ascii="仿宋" w:hAnsi="仿宋" w:eastAsia="仿宋"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宋体"/>
          <w:color w:val="auto"/>
          <w:sz w:val="24"/>
          <w:highlight w:val="none"/>
        </w:rPr>
        <w:t>22号））、《浙江省财政厅关于进一步加大政府采购支持中小企业力度助力扎实稳住经济的通知》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521A5DD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宋体"/>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B1C411">
      <w:pPr>
        <w:spacing w:line="360" w:lineRule="auto"/>
        <w:ind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82B03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0ECB4B">
      <w:pPr>
        <w:keepNext/>
        <w:keepLines/>
        <w:tabs>
          <w:tab w:val="left" w:pos="432"/>
        </w:tabs>
        <w:adjustRightInd/>
        <w:spacing w:line="360" w:lineRule="auto"/>
        <w:jc w:val="left"/>
        <w:outlineLvl w:val="1"/>
        <w:rPr>
          <w:rFonts w:ascii="黑体" w:hAnsi="黑体" w:eastAsia="仿宋_GB2312" w:cs="宋体"/>
          <w:b/>
          <w:bCs/>
          <w:color w:val="auto"/>
          <w:sz w:val="24"/>
          <w:szCs w:val="28"/>
          <w:highlight w:val="none"/>
          <w:lang w:val="zh-CN"/>
        </w:rPr>
      </w:pPr>
      <w:r>
        <w:rPr>
          <w:rFonts w:hint="eastAsia" w:ascii="黑体" w:hAnsi="黑体" w:eastAsia="仿宋_GB2312" w:cs="宋体"/>
          <w:b/>
          <w:bCs/>
          <w:color w:val="auto"/>
          <w:sz w:val="24"/>
          <w:szCs w:val="28"/>
          <w:highlight w:val="none"/>
          <w:lang w:val="zh-CN"/>
        </w:rPr>
        <w:t>七、对本次采购提出询问、质疑、投诉，请按以下方式联系。</w:t>
      </w:r>
      <w:bookmarkEnd w:id="35"/>
      <w:bookmarkEnd w:id="36"/>
      <w:bookmarkEnd w:id="37"/>
      <w:bookmarkEnd w:id="38"/>
    </w:p>
    <w:p w14:paraId="69F2F36E">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1.采购人信息</w:t>
      </w:r>
    </w:p>
    <w:p w14:paraId="4EF8844F">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名称：绍兴市柯桥区农业农村局</w:t>
      </w:r>
    </w:p>
    <w:p w14:paraId="0479A30C">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s="仿宋"/>
          <w:color w:val="auto"/>
          <w:sz w:val="24"/>
          <w:szCs w:val="28"/>
          <w:highlight w:val="none"/>
        </w:rPr>
        <w:t>绍兴市柯桥区纺都路1066号</w:t>
      </w:r>
    </w:p>
    <w:p w14:paraId="29BAA770">
      <w:pPr>
        <w:widowControl/>
        <w:spacing w:line="360" w:lineRule="auto"/>
        <w:jc w:val="left"/>
        <w:rPr>
          <w:rFonts w:ascii="仿宋" w:hAnsi="仿宋" w:eastAsia="仿宋" w:cs="宋体"/>
          <w:color w:val="auto"/>
          <w:sz w:val="24"/>
          <w:szCs w:val="28"/>
          <w:highlight w:val="none"/>
        </w:rPr>
      </w:pPr>
      <w:r>
        <w:rPr>
          <w:rFonts w:ascii="Calibri" w:hAnsi="Calibri" w:eastAsia="仿宋" w:cs="Calibri"/>
          <w:color w:val="auto"/>
          <w:sz w:val="24"/>
          <w:szCs w:val="28"/>
          <w:highlight w:val="none"/>
        </w:rPr>
        <w:t> </w:t>
      </w:r>
      <w:r>
        <w:rPr>
          <w:rFonts w:hint="eastAsia" w:ascii="Calibri" w:hAnsi="Calibri" w:eastAsia="仿宋" w:cs="Calibri"/>
          <w:color w:val="auto"/>
          <w:sz w:val="24"/>
          <w:szCs w:val="28"/>
          <w:highlight w:val="none"/>
        </w:rPr>
        <w:t xml:space="preserve">  </w:t>
      </w:r>
      <w:r>
        <w:rPr>
          <w:rFonts w:ascii="仿宋" w:hAnsi="仿宋" w:eastAsia="仿宋" w:cs="宋体"/>
          <w:color w:val="auto"/>
          <w:sz w:val="24"/>
          <w:szCs w:val="28"/>
          <w:highlight w:val="none"/>
        </w:rPr>
        <w:t>传真：</w:t>
      </w:r>
      <w:r>
        <w:rPr>
          <w:rFonts w:hint="eastAsia" w:ascii="仿宋" w:hAnsi="仿宋" w:eastAsia="仿宋" w:cs="宋体"/>
          <w:color w:val="auto"/>
          <w:sz w:val="24"/>
          <w:szCs w:val="28"/>
          <w:highlight w:val="none"/>
        </w:rPr>
        <w:t>/</w:t>
      </w:r>
    </w:p>
    <w:p w14:paraId="6BB66D9D">
      <w:pPr>
        <w:widowControl/>
        <w:spacing w:line="360" w:lineRule="auto"/>
        <w:ind w:firstLine="240" w:firstLineChars="100"/>
        <w:jc w:val="left"/>
        <w:rPr>
          <w:rFonts w:ascii="仿宋" w:hAnsi="仿宋" w:eastAsia="仿宋" w:cs="宋体"/>
          <w:color w:val="auto"/>
          <w:sz w:val="24"/>
          <w:szCs w:val="28"/>
          <w:highlight w:val="none"/>
        </w:rPr>
      </w:pPr>
      <w:r>
        <w:rPr>
          <w:rFonts w:ascii="Calibri" w:hAnsi="Calibri" w:eastAsia="仿宋" w:cs="Calibri"/>
          <w:color w:val="auto"/>
          <w:sz w:val="24"/>
          <w:szCs w:val="28"/>
          <w:highlight w:val="none"/>
        </w:rPr>
        <w:t> </w:t>
      </w: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rPr>
        <w:t>：魏子昕</w:t>
      </w:r>
    </w:p>
    <w:p w14:paraId="26973166">
      <w:pPr>
        <w:widowControl/>
        <w:spacing w:line="360" w:lineRule="auto"/>
        <w:jc w:val="left"/>
        <w:rPr>
          <w:rFonts w:ascii="仿宋" w:hAnsi="仿宋" w:eastAsia="仿宋" w:cs="宋体"/>
          <w:color w:val="auto"/>
          <w:sz w:val="24"/>
          <w:szCs w:val="28"/>
          <w:highlight w:val="none"/>
        </w:rPr>
      </w:pPr>
      <w:r>
        <w:rPr>
          <w:rFonts w:ascii="Calibri" w:hAnsi="Calibri" w:eastAsia="仿宋" w:cs="Calibri"/>
          <w:color w:val="auto"/>
          <w:sz w:val="24"/>
          <w:szCs w:val="28"/>
          <w:highlight w:val="none"/>
        </w:rPr>
        <w:t> </w:t>
      </w:r>
      <w:r>
        <w:rPr>
          <w:rFonts w:hint="eastAsia" w:ascii="Calibri" w:hAnsi="Calibri" w:eastAsia="仿宋" w:cs="Calibri"/>
          <w:color w:val="auto"/>
          <w:sz w:val="24"/>
          <w:szCs w:val="28"/>
          <w:highlight w:val="none"/>
        </w:rPr>
        <w:t xml:space="preserve">  </w:t>
      </w:r>
      <w:r>
        <w:rPr>
          <w:rFonts w:ascii="仿宋" w:hAnsi="仿宋" w:eastAsia="仿宋" w:cs="宋体"/>
          <w:color w:val="auto"/>
          <w:sz w:val="24"/>
          <w:szCs w:val="28"/>
          <w:highlight w:val="none"/>
        </w:rPr>
        <w:t>项目联系方式（询问）：</w:t>
      </w:r>
      <w:r>
        <w:rPr>
          <w:rFonts w:hint="eastAsia" w:ascii="仿宋" w:hAnsi="仿宋" w:eastAsia="仿宋"/>
          <w:color w:val="auto"/>
          <w:sz w:val="24"/>
          <w:szCs w:val="28"/>
          <w:highlight w:val="none"/>
        </w:rPr>
        <w:t>0575-841</w:t>
      </w:r>
      <w:r>
        <w:rPr>
          <w:rFonts w:ascii="仿宋" w:hAnsi="仿宋" w:eastAsia="仿宋"/>
          <w:color w:val="auto"/>
          <w:sz w:val="24"/>
          <w:szCs w:val="28"/>
          <w:highlight w:val="none"/>
        </w:rPr>
        <w:t>19044</w:t>
      </w:r>
    </w:p>
    <w:p w14:paraId="409174ED">
      <w:pPr>
        <w:widowControl/>
        <w:spacing w:line="360" w:lineRule="auto"/>
        <w:ind w:firstLine="240" w:firstLineChars="100"/>
        <w:jc w:val="left"/>
        <w:rPr>
          <w:rFonts w:ascii="仿宋" w:hAnsi="仿宋" w:eastAsia="仿宋" w:cs="宋体"/>
          <w:color w:val="auto"/>
          <w:sz w:val="24"/>
          <w:szCs w:val="28"/>
          <w:highlight w:val="none"/>
        </w:rPr>
      </w:pPr>
      <w:r>
        <w:rPr>
          <w:rFonts w:ascii="Calibri" w:hAnsi="Calibri" w:eastAsia="仿宋" w:cs="Calibri"/>
          <w:color w:val="auto"/>
          <w:sz w:val="24"/>
          <w:szCs w:val="28"/>
          <w:highlight w:val="none"/>
        </w:rPr>
        <w:t> </w:t>
      </w:r>
      <w:r>
        <w:rPr>
          <w:rFonts w:ascii="仿宋" w:hAnsi="仿宋" w:eastAsia="仿宋" w:cs="宋体"/>
          <w:color w:val="auto"/>
          <w:sz w:val="24"/>
          <w:szCs w:val="28"/>
          <w:highlight w:val="none"/>
        </w:rPr>
        <w:t>质疑联系人：</w:t>
      </w:r>
      <w:r>
        <w:rPr>
          <w:rFonts w:hint="eastAsia" w:ascii="仿宋" w:hAnsi="仿宋" w:eastAsia="仿宋" w:cs="宋体"/>
          <w:color w:val="auto"/>
          <w:sz w:val="24"/>
          <w:szCs w:val="28"/>
          <w:highlight w:val="none"/>
        </w:rPr>
        <w:t>沈琴</w:t>
      </w:r>
    </w:p>
    <w:p w14:paraId="68FC5ECA">
      <w:pPr>
        <w:widowControl/>
        <w:spacing w:line="360" w:lineRule="auto"/>
        <w:jc w:val="left"/>
        <w:rPr>
          <w:rFonts w:ascii="仿宋" w:hAnsi="仿宋" w:eastAsia="仿宋" w:cs="宋体"/>
          <w:color w:val="auto"/>
          <w:sz w:val="24"/>
          <w:szCs w:val="28"/>
          <w:highlight w:val="none"/>
        </w:rPr>
      </w:pPr>
      <w:r>
        <w:rPr>
          <w:rFonts w:ascii="Calibri" w:hAnsi="Calibri" w:eastAsia="仿宋" w:cs="Calibri"/>
          <w:color w:val="auto"/>
          <w:sz w:val="24"/>
          <w:szCs w:val="28"/>
          <w:highlight w:val="none"/>
        </w:rPr>
        <w:t> </w:t>
      </w:r>
      <w:r>
        <w:rPr>
          <w:rFonts w:hint="eastAsia" w:ascii="Calibri" w:hAnsi="Calibri" w:eastAsia="仿宋" w:cs="Calibri"/>
          <w:color w:val="auto"/>
          <w:sz w:val="24"/>
          <w:szCs w:val="28"/>
          <w:highlight w:val="none"/>
        </w:rPr>
        <w:t xml:space="preserve">  </w:t>
      </w:r>
      <w:r>
        <w:rPr>
          <w:rFonts w:ascii="仿宋" w:hAnsi="仿宋" w:eastAsia="仿宋" w:cs="宋体"/>
          <w:color w:val="auto"/>
          <w:sz w:val="24"/>
          <w:szCs w:val="28"/>
          <w:highlight w:val="none"/>
        </w:rPr>
        <w:t>质疑联系方式</w:t>
      </w:r>
      <w:r>
        <w:rPr>
          <w:rFonts w:hint="eastAsia" w:ascii="仿宋" w:hAnsi="仿宋" w:eastAsia="仿宋" w:cs="宋体"/>
          <w:color w:val="auto"/>
          <w:sz w:val="24"/>
          <w:szCs w:val="28"/>
          <w:highlight w:val="none"/>
        </w:rPr>
        <w:t>：</w:t>
      </w:r>
      <w:r>
        <w:rPr>
          <w:rFonts w:hint="eastAsia" w:ascii="仿宋" w:hAnsi="仿宋" w:eastAsia="仿宋"/>
          <w:color w:val="auto"/>
          <w:sz w:val="24"/>
          <w:szCs w:val="28"/>
          <w:highlight w:val="none"/>
        </w:rPr>
        <w:t>0575-841</w:t>
      </w:r>
      <w:r>
        <w:rPr>
          <w:rFonts w:ascii="仿宋" w:hAnsi="仿宋" w:eastAsia="仿宋"/>
          <w:color w:val="auto"/>
          <w:sz w:val="24"/>
          <w:szCs w:val="28"/>
          <w:highlight w:val="none"/>
        </w:rPr>
        <w:t>19044</w:t>
      </w:r>
    </w:p>
    <w:p w14:paraId="477BCA15">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2.</w:t>
      </w:r>
      <w:r>
        <w:rPr>
          <w:rFonts w:ascii="仿宋" w:hAnsi="仿宋" w:eastAsia="仿宋" w:cs="宋体"/>
          <w:color w:val="auto"/>
          <w:sz w:val="24"/>
          <w:szCs w:val="28"/>
          <w:highlight w:val="none"/>
        </w:rPr>
        <w:t>采购代理机构信息</w:t>
      </w:r>
    </w:p>
    <w:p w14:paraId="7A2D5C36">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rPr>
        <w:t>绍兴市柯桥区公共资源交易中心</w:t>
      </w:r>
    </w:p>
    <w:p w14:paraId="61634436">
      <w:pPr>
        <w:widowControl/>
        <w:spacing w:line="360" w:lineRule="auto"/>
        <w:jc w:val="left"/>
        <w:rPr>
          <w:rFonts w:ascii="仿宋" w:hAnsi="仿宋" w:eastAsia="仿宋" w:cs="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地址：</w:t>
      </w:r>
      <w:r>
        <w:rPr>
          <w:rFonts w:hint="eastAsia" w:ascii="仿宋" w:hAnsi="仿宋" w:eastAsia="仿宋" w:cs="仿宋"/>
          <w:color w:val="auto"/>
          <w:sz w:val="24"/>
          <w:szCs w:val="28"/>
          <w:highlight w:val="none"/>
        </w:rPr>
        <w:t>绍兴市柯桥区纺都路1066号</w:t>
      </w:r>
    </w:p>
    <w:p w14:paraId="2F26E6EA">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传真：</w:t>
      </w:r>
      <w:r>
        <w:rPr>
          <w:rFonts w:hint="eastAsia" w:ascii="仿宋" w:hAnsi="仿宋" w:eastAsia="仿宋"/>
          <w:color w:val="auto"/>
          <w:sz w:val="24"/>
          <w:szCs w:val="28"/>
          <w:highlight w:val="none"/>
        </w:rPr>
        <w:t>0575-84125967</w:t>
      </w:r>
    </w:p>
    <w:p w14:paraId="5C6492FB">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项目联系人（询问）：</w:t>
      </w:r>
      <w:r>
        <w:rPr>
          <w:rFonts w:hint="eastAsia" w:ascii="仿宋" w:hAnsi="仿宋" w:eastAsia="仿宋"/>
          <w:color w:val="auto"/>
          <w:sz w:val="24"/>
          <w:szCs w:val="28"/>
          <w:highlight w:val="none"/>
        </w:rPr>
        <w:t>郑纤芷</w:t>
      </w:r>
    </w:p>
    <w:p w14:paraId="08E4D4C0">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项目联系方式（询问）：</w:t>
      </w:r>
      <w:r>
        <w:rPr>
          <w:rFonts w:hint="eastAsia" w:ascii="仿宋" w:hAnsi="仿宋" w:eastAsia="仿宋"/>
          <w:color w:val="auto"/>
          <w:sz w:val="24"/>
          <w:szCs w:val="28"/>
          <w:highlight w:val="none"/>
        </w:rPr>
        <w:t>0575-84125967</w:t>
      </w:r>
    </w:p>
    <w:p w14:paraId="4D2499BF">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质疑联系人：</w:t>
      </w:r>
      <w:r>
        <w:rPr>
          <w:rFonts w:hint="eastAsia" w:ascii="仿宋" w:hAnsi="仿宋" w:eastAsia="仿宋"/>
          <w:color w:val="auto"/>
          <w:sz w:val="24"/>
          <w:szCs w:val="28"/>
          <w:highlight w:val="none"/>
        </w:rPr>
        <w:t>李刚</w:t>
      </w:r>
    </w:p>
    <w:p w14:paraId="0284C77F">
      <w:pPr>
        <w:widowControl/>
        <w:spacing w:line="360" w:lineRule="auto"/>
        <w:jc w:val="left"/>
        <w:rPr>
          <w:rFonts w:ascii="仿宋" w:hAnsi="仿宋" w:eastAsia="仿宋"/>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质疑联系方式：</w:t>
      </w:r>
      <w:r>
        <w:rPr>
          <w:rFonts w:hint="eastAsia" w:ascii="仿宋" w:hAnsi="仿宋" w:eastAsia="仿宋"/>
          <w:color w:val="auto"/>
          <w:sz w:val="24"/>
          <w:szCs w:val="28"/>
          <w:highlight w:val="none"/>
        </w:rPr>
        <w:t>0575-84138510</w:t>
      </w:r>
    </w:p>
    <w:p w14:paraId="1D6CB693">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3.</w:t>
      </w:r>
      <w:r>
        <w:rPr>
          <w:rFonts w:ascii="仿宋" w:hAnsi="仿宋" w:eastAsia="仿宋" w:cs="宋体"/>
          <w:color w:val="auto"/>
          <w:sz w:val="24"/>
          <w:szCs w:val="28"/>
          <w:highlight w:val="none"/>
        </w:rPr>
        <w:t>同级政府采购监督管理部门</w:t>
      </w:r>
    </w:p>
    <w:p w14:paraId="1091BCCC">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名称：</w:t>
      </w:r>
      <w:r>
        <w:rPr>
          <w:rFonts w:ascii="仿宋" w:hAnsi="仿宋" w:eastAsia="仿宋" w:cs="宋体"/>
          <w:snapToGrid w:val="0"/>
          <w:color w:val="auto"/>
          <w:kern w:val="0"/>
          <w:sz w:val="24"/>
          <w:szCs w:val="28"/>
          <w:highlight w:val="none"/>
        </w:rPr>
        <w:t>绍兴市柯桥区财政局</w:t>
      </w:r>
    </w:p>
    <w:p w14:paraId="084958F7">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地址：</w:t>
      </w:r>
      <w:r>
        <w:rPr>
          <w:rFonts w:hint="eastAsia" w:ascii="仿宋" w:hAnsi="仿宋" w:eastAsia="仿宋"/>
          <w:color w:val="auto"/>
          <w:sz w:val="24"/>
          <w:highlight w:val="none"/>
        </w:rPr>
        <w:t>绍兴市</w:t>
      </w:r>
      <w:r>
        <w:rPr>
          <w:rFonts w:ascii="仿宋" w:hAnsi="仿宋" w:eastAsia="仿宋"/>
          <w:color w:val="auto"/>
          <w:sz w:val="24"/>
          <w:highlight w:val="none"/>
        </w:rPr>
        <w:t>柯桥区育才路财税大楼</w:t>
      </w:r>
    </w:p>
    <w:p w14:paraId="5BDFA81A">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传真：</w:t>
      </w:r>
      <w:r>
        <w:rPr>
          <w:rFonts w:ascii="仿宋" w:hAnsi="仿宋" w:eastAsia="仿宋" w:cs="宋体"/>
          <w:snapToGrid w:val="0"/>
          <w:color w:val="auto"/>
          <w:kern w:val="0"/>
          <w:sz w:val="24"/>
          <w:szCs w:val="28"/>
          <w:highlight w:val="none"/>
        </w:rPr>
        <w:t>/</w:t>
      </w:r>
      <w:r>
        <w:rPr>
          <w:rFonts w:hint="eastAsia" w:ascii="宋体" w:hAnsi="宋体" w:cs="宋体"/>
          <w:color w:val="auto"/>
          <w:sz w:val="24"/>
          <w:szCs w:val="28"/>
          <w:highlight w:val="none"/>
        </w:rPr>
        <w:t> </w:t>
      </w:r>
    </w:p>
    <w:p w14:paraId="4AF9EDCD">
      <w:pPr>
        <w:widowControl/>
        <w:spacing w:line="360" w:lineRule="auto"/>
        <w:jc w:val="left"/>
        <w:rPr>
          <w:rFonts w:ascii="仿宋" w:eastAsia="仿宋" w:cs="宋体"/>
          <w:color w:val="auto"/>
          <w:sz w:val="24"/>
          <w:szCs w:val="28"/>
          <w:highlight w:val="none"/>
        </w:rPr>
      </w:pPr>
      <w:r>
        <w:rPr>
          <w:rFonts w:hint="eastAsia" w:ascii="宋体" w:hAnsi="宋体" w:cs="宋体"/>
          <w:color w:val="auto"/>
          <w:sz w:val="24"/>
          <w:szCs w:val="28"/>
          <w:highlight w:val="none"/>
        </w:rPr>
        <w:t> </w:t>
      </w:r>
      <w:r>
        <w:rPr>
          <w:rFonts w:ascii="仿宋" w:eastAsia="仿宋" w:cs="宋体"/>
          <w:color w:val="auto"/>
          <w:sz w:val="24"/>
          <w:szCs w:val="28"/>
          <w:highlight w:val="none"/>
        </w:rPr>
        <w:t>联系人：</w:t>
      </w:r>
      <w:r>
        <w:rPr>
          <w:rFonts w:hint="eastAsia" w:ascii="仿宋" w:eastAsia="仿宋" w:cs="宋体"/>
          <w:snapToGrid w:val="0"/>
          <w:color w:val="auto"/>
          <w:kern w:val="0"/>
          <w:sz w:val="24"/>
          <w:szCs w:val="28"/>
          <w:highlight w:val="none"/>
        </w:rPr>
        <w:t>王涛</w:t>
      </w:r>
    </w:p>
    <w:p w14:paraId="4B9005DF">
      <w:pPr>
        <w:widowControl/>
        <w:spacing w:line="360" w:lineRule="auto"/>
        <w:jc w:val="left"/>
        <w:rPr>
          <w:rFonts w:ascii="仿宋" w:eastAsia="仿宋" w:cs="宋体"/>
          <w:snapToGrid w:val="0"/>
          <w:color w:val="auto"/>
          <w:kern w:val="0"/>
          <w:sz w:val="24"/>
          <w:szCs w:val="28"/>
          <w:highlight w:val="none"/>
        </w:rPr>
      </w:pPr>
      <w:r>
        <w:rPr>
          <w:rFonts w:hint="eastAsia" w:ascii="宋体" w:hAnsi="宋体" w:eastAsia="仿宋" w:cs="宋体"/>
          <w:color w:val="auto"/>
          <w:sz w:val="24"/>
          <w:szCs w:val="28"/>
          <w:highlight w:val="none"/>
        </w:rPr>
        <w:t> </w:t>
      </w:r>
      <w:r>
        <w:rPr>
          <w:rFonts w:ascii="仿宋" w:eastAsia="仿宋" w:cs="宋体"/>
          <w:color w:val="auto"/>
          <w:sz w:val="24"/>
          <w:szCs w:val="28"/>
          <w:highlight w:val="none"/>
        </w:rPr>
        <w:t>监督投诉电话：</w:t>
      </w:r>
      <w:r>
        <w:rPr>
          <w:rFonts w:hint="eastAsia" w:ascii="仿宋" w:hAnsi="仿宋" w:eastAsia="仿宋" w:cs="仿宋"/>
          <w:color w:val="auto"/>
          <w:sz w:val="24"/>
          <w:szCs w:val="28"/>
          <w:highlight w:val="none"/>
        </w:rPr>
        <w:t>0575-85672135</w:t>
      </w:r>
    </w:p>
    <w:p w14:paraId="5BE0A7C9">
      <w:pPr>
        <w:widowControl/>
        <w:spacing w:line="360" w:lineRule="auto"/>
        <w:jc w:val="left"/>
        <w:rPr>
          <w:rFonts w:ascii="仿宋" w:hAnsi="仿宋" w:eastAsia="仿宋"/>
          <w:color w:val="auto"/>
          <w:sz w:val="24"/>
          <w:szCs w:val="28"/>
          <w:highlight w:val="none"/>
          <w:u w:val="single"/>
        </w:rPr>
      </w:pPr>
    </w:p>
    <w:p w14:paraId="41125514">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r>
        <w:rPr>
          <w:rFonts w:ascii="Calibri" w:hAnsi="Calibri" w:eastAsia="仿宋" w:cs="Calibri"/>
          <w:color w:val="auto"/>
          <w:kern w:val="0"/>
          <w:szCs w:val="21"/>
          <w:highlight w:val="none"/>
        </w:rPr>
        <w:t>    </w:t>
      </w:r>
    </w:p>
    <w:p w14:paraId="4172B99C">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14:paraId="02DCBB58">
      <w:pPr>
        <w:widowControl/>
        <w:overflowPunct w:val="0"/>
        <w:autoSpaceDE w:val="0"/>
        <w:autoSpaceDN w:val="0"/>
        <w:textAlignment w:val="baseline"/>
        <w:rPr>
          <w:b/>
          <w:color w:val="auto"/>
          <w:kern w:val="0"/>
          <w:sz w:val="24"/>
          <w:szCs w:val="20"/>
          <w:highlight w:val="none"/>
        </w:rPr>
      </w:pPr>
    </w:p>
    <w:p w14:paraId="53D0C1BC">
      <w:pPr>
        <w:widowControl/>
        <w:adjustRightInd/>
        <w:jc w:val="left"/>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p>
    <w:p w14:paraId="28B39AEB">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9"/>
      <w:r>
        <w:rPr>
          <w:rFonts w:hint="eastAsia" w:ascii="仿宋" w:hAnsi="仿宋" w:eastAsia="仿宋" w:cs="仿宋_GB2312"/>
          <w:b/>
          <w:color w:val="auto"/>
          <w:sz w:val="36"/>
          <w:szCs w:val="20"/>
          <w:highlight w:val="none"/>
        </w:rPr>
        <w:t>投标人须知</w:t>
      </w:r>
      <w:bookmarkEnd w:id="10"/>
    </w:p>
    <w:p w14:paraId="48CFD944">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17"/>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14:paraId="1BD1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86310D">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072EB6">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14:paraId="16374AF9">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1815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89C2B6">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C774CF">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14:paraId="3AADB9E5">
            <w:pPr>
              <w:snapToGrid w:val="0"/>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有关本项目开展所需的</w:t>
            </w:r>
            <w:r>
              <w:rPr>
                <w:rFonts w:ascii="仿宋" w:hAnsi="仿宋" w:eastAsia="仿宋"/>
                <w:color w:val="auto"/>
                <w:sz w:val="24"/>
                <w:szCs w:val="28"/>
                <w:highlight w:val="none"/>
              </w:rPr>
              <w:t>审计</w:t>
            </w:r>
            <w:r>
              <w:rPr>
                <w:rFonts w:hint="eastAsia" w:ascii="仿宋" w:hAnsi="仿宋" w:eastAsia="仿宋"/>
                <w:color w:val="auto"/>
                <w:sz w:val="24"/>
                <w:szCs w:val="28"/>
                <w:highlight w:val="none"/>
              </w:rPr>
              <w:t>人员工资、利润、管理、税金等费用均计入报价。《投标（开标）一览表》是报价的唯一载体。投标文件中价格全部采用人民币报价。招标文件未列明，而投标人认为必需的费用也需列入报价。</w:t>
            </w:r>
          </w:p>
          <w:p w14:paraId="36A74C8C">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投标报价出现下列情形的，投标无效：</w:t>
            </w:r>
          </w:p>
          <w:p w14:paraId="228793D8">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▲投标文件出现不是唯一的、有选择性投标报价的；</w:t>
            </w:r>
          </w:p>
          <w:p w14:paraId="5E2C146B">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▲投标报价高于本项目采购预算或者最高限价的;</w:t>
            </w:r>
          </w:p>
          <w:p w14:paraId="5FB8ABC8">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23DFEA70">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▲报价低于项目预算50%的投标报价，投标人应在投标文件中提供成本测算资料，未在投标文件中提供成本测算资料的，将被视为投标人不能证明其报价合理性；</w:t>
            </w:r>
          </w:p>
          <w:p w14:paraId="151D51BD">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▲《开标一览表(报价表)》填写不完整或字迹不能辨认或有漏项的,经评标委员会认定属于重大偏差的；</w:t>
            </w:r>
          </w:p>
          <w:p w14:paraId="06350723">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▲投标人对根据修正原则修正后的报价不确认的。</w:t>
            </w:r>
          </w:p>
        </w:tc>
      </w:tr>
      <w:tr w14:paraId="3FD4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15980C">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D7D8BC">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14:paraId="0DD40E81">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本项目为服务类采购项目</w:t>
            </w:r>
          </w:p>
        </w:tc>
      </w:tr>
      <w:tr w14:paraId="7EC38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76B0C">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6FB111">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14:paraId="041FB822">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（1）采购人不同意分包</w:t>
            </w:r>
          </w:p>
          <w:p w14:paraId="4B1AE7EF">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（2）本项目不得转包。</w:t>
            </w:r>
          </w:p>
          <w:p w14:paraId="0E94ADF0">
            <w:pPr>
              <w:snapToGrid w:val="0"/>
              <w:spacing w:line="360" w:lineRule="auto"/>
              <w:jc w:val="left"/>
              <w:rPr>
                <w:rFonts w:ascii="仿宋" w:hAnsi="仿宋" w:eastAsia="仿宋" w:cs="仿宋_GB2312"/>
                <w:b/>
                <w:color w:val="auto"/>
                <w:sz w:val="24"/>
                <w:highlight w:val="none"/>
              </w:rPr>
            </w:pPr>
          </w:p>
        </w:tc>
      </w:tr>
      <w:tr w14:paraId="2265E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686634">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3C1238">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vAlign w:val="center"/>
          </w:tcPr>
          <w:p w14:paraId="00A870C6">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（1）采购标的：</w:t>
            </w:r>
            <w:r>
              <w:rPr>
                <w:rFonts w:hint="eastAsia" w:ascii="仿宋" w:hAnsi="仿宋" w:eastAsia="仿宋"/>
                <w:color w:val="auto"/>
                <w:sz w:val="24"/>
                <w:szCs w:val="28"/>
                <w:highlight w:val="none"/>
              </w:rPr>
              <w:t>2025年柯桥区农村集体经济审计项目</w:t>
            </w:r>
          </w:p>
          <w:p w14:paraId="30A38E7D">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（2）所属行业：租赁和商务服务业</w:t>
            </w:r>
          </w:p>
        </w:tc>
      </w:tr>
      <w:tr w14:paraId="0E6C1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2895DB">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ABDB2F">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5953" w:type="dxa"/>
            <w:tcBorders>
              <w:top w:val="single" w:color="000000" w:sz="8" w:space="0"/>
              <w:left w:val="single" w:color="000000" w:sz="2" w:space="0"/>
              <w:bottom w:val="single" w:color="000000" w:sz="8" w:space="0"/>
              <w:right w:val="single" w:color="000000" w:sz="8" w:space="0"/>
            </w:tcBorders>
            <w:vAlign w:val="center"/>
          </w:tcPr>
          <w:p w14:paraId="4B5014F0">
            <w:pPr>
              <w:snapToGrid w:val="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不组织。</w:t>
            </w:r>
          </w:p>
          <w:p w14:paraId="64296718">
            <w:pPr>
              <w:snapToGrid w:val="0"/>
              <w:jc w:val="left"/>
              <w:rPr>
                <w:rFonts w:ascii="仿宋" w:hAnsi="仿宋" w:eastAsia="仿宋" w:cs="仿宋_GB2312"/>
                <w:b/>
                <w:color w:val="auto"/>
                <w:sz w:val="24"/>
                <w:highlight w:val="none"/>
              </w:rPr>
            </w:pPr>
          </w:p>
        </w:tc>
      </w:tr>
      <w:tr w14:paraId="544FC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EB4F5">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049368">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14:paraId="5FB810EB">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不要求提供。</w:t>
            </w:r>
          </w:p>
          <w:p w14:paraId="229BC2FF">
            <w:pPr>
              <w:snapToGrid w:val="0"/>
              <w:spacing w:line="360" w:lineRule="auto"/>
              <w:jc w:val="left"/>
              <w:rPr>
                <w:rFonts w:ascii="仿宋" w:hAnsi="仿宋" w:eastAsia="仿宋" w:cs="仿宋_GB2312"/>
                <w:b/>
                <w:color w:val="auto"/>
                <w:sz w:val="24"/>
                <w:highlight w:val="none"/>
              </w:rPr>
            </w:pPr>
          </w:p>
        </w:tc>
      </w:tr>
      <w:tr w14:paraId="0EC5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BEB26">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218B1F">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14:paraId="1EEEC0D2">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不组织。</w:t>
            </w:r>
          </w:p>
          <w:p w14:paraId="5C8E4D3B">
            <w:pPr>
              <w:snapToGrid w:val="0"/>
              <w:spacing w:line="360" w:lineRule="auto"/>
              <w:jc w:val="left"/>
              <w:rPr>
                <w:rFonts w:ascii="仿宋" w:hAnsi="仿宋" w:eastAsia="仿宋" w:cs="仿宋_GB2312"/>
                <w:b/>
                <w:color w:val="auto"/>
                <w:sz w:val="24"/>
                <w:highlight w:val="none"/>
              </w:rPr>
            </w:pPr>
          </w:p>
        </w:tc>
      </w:tr>
      <w:tr w14:paraId="33393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69A0CE">
            <w:pPr>
              <w:snapToGrid w:val="0"/>
              <w:spacing w:line="360" w:lineRule="auto"/>
              <w:jc w:val="center"/>
              <w:rPr>
                <w:rFonts w:ascii="仿宋" w:hAnsi="仿宋" w:eastAsia="仿宋" w:cs="仿宋_GB2312"/>
                <w:b/>
                <w:color w:val="auto"/>
                <w:sz w:val="24"/>
                <w:highlight w:val="none"/>
              </w:rPr>
            </w:pPr>
          </w:p>
          <w:p w14:paraId="0D60B2A3">
            <w:pPr>
              <w:snapToGrid w:val="0"/>
              <w:spacing w:line="360" w:lineRule="auto"/>
              <w:jc w:val="center"/>
              <w:rPr>
                <w:rFonts w:ascii="仿宋" w:hAnsi="仿宋" w:eastAsia="仿宋" w:cs="仿宋_GB2312"/>
                <w:b/>
                <w:color w:val="auto"/>
                <w:sz w:val="24"/>
                <w:highlight w:val="none"/>
              </w:rPr>
            </w:pPr>
          </w:p>
          <w:p w14:paraId="21EB0949">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E88A222">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5953" w:type="dxa"/>
            <w:tcBorders>
              <w:top w:val="single" w:color="000000" w:sz="8" w:space="0"/>
              <w:left w:val="single" w:color="000000" w:sz="2" w:space="0"/>
              <w:bottom w:val="single" w:color="000000" w:sz="8" w:space="0"/>
              <w:right w:val="single" w:color="000000" w:sz="8" w:space="0"/>
            </w:tcBorders>
            <w:vAlign w:val="center"/>
          </w:tcPr>
          <w:p w14:paraId="0F2B810D">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023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355A71">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1CBCE24E">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14:paraId="3A739F08">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p>
        </w:tc>
      </w:tr>
      <w:tr w14:paraId="5759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2D879">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2660ED21">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14:paraId="43F7E099">
            <w:pPr>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不收取投标保证金</w:t>
            </w:r>
          </w:p>
        </w:tc>
      </w:tr>
      <w:tr w14:paraId="646F3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272A6">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1602041C">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14:paraId="40DF0951">
            <w:pPr>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不收取履约保证金</w:t>
            </w:r>
          </w:p>
        </w:tc>
      </w:tr>
      <w:tr w14:paraId="17AEB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2AFD5A">
            <w:pPr>
              <w:snapToGrid w:val="0"/>
              <w:spacing w:line="360" w:lineRule="auto"/>
              <w:jc w:val="center"/>
              <w:rPr>
                <w:rFonts w:ascii="仿宋" w:hAnsi="仿宋" w:eastAsia="仿宋" w:cs="仿宋_GB2312"/>
                <w:b/>
                <w:color w:val="auto"/>
                <w:sz w:val="24"/>
                <w:highlight w:val="none"/>
              </w:rPr>
            </w:pPr>
          </w:p>
          <w:p w14:paraId="3A3C2EFE">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7758C505">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5953" w:type="dxa"/>
            <w:tcBorders>
              <w:top w:val="single" w:color="000000" w:sz="8" w:space="0"/>
              <w:left w:val="single" w:color="000000" w:sz="2" w:space="0"/>
              <w:bottom w:val="single" w:color="000000" w:sz="8" w:space="0"/>
              <w:right w:val="single" w:color="000000" w:sz="8" w:space="0"/>
            </w:tcBorders>
            <w:vAlign w:val="center"/>
          </w:tcPr>
          <w:p w14:paraId="68A7D157">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414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BF97A1">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290872F5">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备份投标文件送达地点和签收人员 </w:t>
            </w:r>
          </w:p>
        </w:tc>
        <w:tc>
          <w:tcPr>
            <w:tcW w:w="5953" w:type="dxa"/>
            <w:tcBorders>
              <w:top w:val="single" w:color="000000" w:sz="8" w:space="0"/>
              <w:left w:val="single" w:color="000000" w:sz="2" w:space="0"/>
              <w:bottom w:val="single" w:color="000000" w:sz="8" w:space="0"/>
              <w:right w:val="single" w:color="000000" w:sz="8" w:space="0"/>
            </w:tcBorders>
            <w:vAlign w:val="center"/>
          </w:tcPr>
          <w:p w14:paraId="544547D6">
            <w:pPr>
              <w:snapToGrid w:val="0"/>
              <w:jc w:val="left"/>
              <w:rPr>
                <w:rFonts w:ascii="仿宋" w:hAnsi="仿宋" w:eastAsia="仿宋" w:cs="仿宋_GB2312"/>
                <w:b/>
                <w:color w:val="auto"/>
                <w:sz w:val="24"/>
                <w:highlight w:val="none"/>
              </w:rPr>
            </w:pPr>
            <w:r>
              <w:rPr>
                <w:rFonts w:hint="eastAsia" w:ascii="仿宋" w:hAnsi="仿宋" w:eastAsia="仿宋" w:cs="宋体"/>
                <w:color w:val="auto"/>
                <w:kern w:val="28"/>
                <w:sz w:val="24"/>
                <w:highlight w:val="none"/>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Pr>
                <w:rFonts w:hint="eastAsia" w:ascii="仿宋" w:hAnsi="仿宋" w:eastAsia="仿宋" w:cs="宋体"/>
                <w:color w:val="auto"/>
                <w:kern w:val="28"/>
                <w:sz w:val="24"/>
                <w:highlight w:val="none"/>
              </w:rPr>
              <w:br w:type="textWrapping"/>
            </w:r>
            <w:r>
              <w:rPr>
                <w:rFonts w:hint="eastAsia" w:ascii="仿宋" w:hAnsi="仿宋" w:eastAsia="仿宋" w:cs="宋体"/>
                <w:color w:val="auto"/>
                <w:kern w:val="28"/>
                <w:sz w:val="24"/>
                <w:highlight w:val="none"/>
              </w:rPr>
              <w:t>如认为需要，投标人可以选择递交备份投标文件，采用数据电文形式，以U盘或DVD光盘形式存储，并在投标截止时间前，通过邮寄方式，送达指定地点，逾期送达或未密封将被拒收。</w:t>
            </w:r>
            <w:r>
              <w:rPr>
                <w:rFonts w:hint="eastAsia" w:ascii="仿宋" w:hAnsi="仿宋" w:eastAsia="仿宋" w:cs="宋体"/>
                <w:color w:val="auto"/>
                <w:kern w:val="28"/>
                <w:sz w:val="24"/>
                <w:highlight w:val="none"/>
              </w:rPr>
              <w:br w:type="textWrapping"/>
            </w:r>
            <w:r>
              <w:rPr>
                <w:rFonts w:hint="eastAsia" w:ascii="仿宋" w:hAnsi="仿宋" w:eastAsia="仿宋" w:cs="宋体"/>
                <w:color w:val="auto"/>
                <w:kern w:val="28"/>
                <w:sz w:val="24"/>
                <w:highlight w:val="none"/>
              </w:rPr>
              <w:t>备份文件收件人：</w:t>
            </w:r>
            <w:r>
              <w:rPr>
                <w:rFonts w:hint="eastAsia" w:ascii="仿宋" w:hAnsi="仿宋" w:eastAsia="仿宋"/>
                <w:color w:val="auto"/>
                <w:sz w:val="24"/>
                <w:szCs w:val="28"/>
                <w:highlight w:val="none"/>
              </w:rPr>
              <w:t>李刚</w:t>
            </w:r>
            <w:r>
              <w:rPr>
                <w:rFonts w:hint="eastAsia" w:ascii="仿宋" w:hAnsi="仿宋" w:eastAsia="仿宋" w:cs="宋体"/>
                <w:color w:val="auto"/>
                <w:kern w:val="28"/>
                <w:sz w:val="24"/>
                <w:highlight w:val="none"/>
              </w:rPr>
              <w:t>，联系方式：</w:t>
            </w:r>
            <w:r>
              <w:rPr>
                <w:rFonts w:hint="eastAsia" w:ascii="仿宋" w:hAnsi="仿宋" w:eastAsia="仿宋"/>
                <w:color w:val="auto"/>
                <w:sz w:val="24"/>
                <w:szCs w:val="28"/>
                <w:highlight w:val="none"/>
              </w:rPr>
              <w:t>0575-84138510</w:t>
            </w:r>
            <w:r>
              <w:rPr>
                <w:rFonts w:hint="eastAsia" w:ascii="仿宋" w:hAnsi="仿宋" w:eastAsia="仿宋" w:cs="宋体"/>
                <w:color w:val="auto"/>
                <w:kern w:val="28"/>
                <w:sz w:val="24"/>
                <w:highlight w:val="none"/>
              </w:rPr>
              <w:t>，收件地址：</w:t>
            </w:r>
            <w:r>
              <w:rPr>
                <w:rFonts w:hint="eastAsia" w:ascii="仿宋" w:hAnsi="仿宋" w:eastAsia="仿宋" w:cs="仿宋"/>
                <w:color w:val="auto"/>
                <w:sz w:val="24"/>
                <w:szCs w:val="28"/>
                <w:highlight w:val="none"/>
              </w:rPr>
              <w:t>绍兴市柯桥区纺都路1066号</w:t>
            </w:r>
            <w:r>
              <w:rPr>
                <w:rFonts w:hint="eastAsia" w:ascii="仿宋" w:hAnsi="仿宋" w:eastAsia="仿宋"/>
                <w:color w:val="auto"/>
                <w:sz w:val="24"/>
                <w:szCs w:val="28"/>
                <w:highlight w:val="none"/>
              </w:rPr>
              <w:t>柯桥区公共资源交易中心</w:t>
            </w:r>
            <w:r>
              <w:rPr>
                <w:rFonts w:hint="eastAsia" w:ascii="仿宋" w:hAnsi="仿宋" w:eastAsia="仿宋" w:cs="宋体"/>
                <w:color w:val="auto"/>
                <w:kern w:val="28"/>
                <w:sz w:val="24"/>
                <w:highlight w:val="none"/>
              </w:rPr>
              <w:t>。（收件时间：上午8:30-12:00，下午14:00-17:00，节假日、双休日除外，推荐使用中国邮政速递和顺丰快递,快递人员投递时须同时登记邮寄单号等相关信息。）</w:t>
            </w:r>
            <w:r>
              <w:rPr>
                <w:rFonts w:hint="eastAsia" w:ascii="仿宋" w:hAnsi="仿宋" w:eastAsia="仿宋" w:cs="宋体"/>
                <w:color w:val="auto"/>
                <w:kern w:val="28"/>
                <w:sz w:val="24"/>
                <w:highlight w:val="none"/>
              </w:rPr>
              <w:br w:type="textWrapping"/>
            </w:r>
            <w:r>
              <w:rPr>
                <w:rFonts w:hint="eastAsia" w:ascii="仿宋" w:hAnsi="仿宋" w:eastAsia="仿宋" w:cs="宋体"/>
                <w:color w:val="auto"/>
                <w:kern w:val="28"/>
                <w:sz w:val="24"/>
                <w:highlight w:val="none"/>
              </w:rPr>
              <w:t>本项目拒绝接受纸质投标文件。</w:t>
            </w:r>
          </w:p>
        </w:tc>
      </w:tr>
    </w:tbl>
    <w:p w14:paraId="42899304">
      <w:pPr>
        <w:spacing w:line="360" w:lineRule="auto"/>
        <w:ind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r>
        <w:rPr>
          <w:rFonts w:ascii="仿宋" w:hAnsi="仿宋" w:eastAsia="仿宋" w:cs="仿宋_GB2312"/>
          <w:b/>
          <w:color w:val="auto"/>
          <w:sz w:val="32"/>
          <w:szCs w:val="20"/>
          <w:highlight w:val="none"/>
        </w:rPr>
        <w:br w:type="page"/>
      </w:r>
      <w:bookmarkEnd w:id="11"/>
      <w:bookmarkStart w:id="39" w:name="_Toc164416483"/>
      <w:bookmarkStart w:id="40" w:name="第三部分"/>
      <w:r>
        <w:rPr>
          <w:rFonts w:hint="eastAsia" w:ascii="仿宋" w:hAnsi="仿宋" w:eastAsia="仿宋" w:cs="仿宋_GB2312"/>
          <w:b/>
          <w:color w:val="auto"/>
          <w:sz w:val="32"/>
          <w:szCs w:val="20"/>
          <w:highlight w:val="none"/>
        </w:rPr>
        <w:t>一、总则</w:t>
      </w:r>
    </w:p>
    <w:p w14:paraId="098323ED">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07D08335">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548085F2">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0FC7CB4C">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78DAD11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14:paraId="541F2884">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14:paraId="27590FA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304A790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w:t>
      </w:r>
    </w:p>
    <w:p w14:paraId="2B7D23C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14:paraId="03B7A8D8">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宋体"/>
          <w:color w:val="auto"/>
          <w:sz w:val="24"/>
          <w:highlight w:val="none"/>
        </w:rPr>
        <w:t>” 系指适用本项目的要求，“</w:t>
      </w:r>
      <w:r>
        <w:rPr>
          <w:rFonts w:hint="eastAsia" w:ascii="MS Mincho" w:hAnsi="MS Mincho" w:eastAsia="MS Mincho" w:cs="MS Mincho"/>
          <w:color w:val="auto"/>
          <w:kern w:val="0"/>
          <w:sz w:val="24"/>
          <w:highlight w:val="none"/>
        </w:rPr>
        <w:t>☐</w:t>
      </w:r>
      <w:r>
        <w:rPr>
          <w:rFonts w:hint="eastAsia" w:ascii="仿宋" w:hAnsi="仿宋" w:eastAsia="仿宋" w:cs="宋体"/>
          <w:color w:val="auto"/>
          <w:sz w:val="24"/>
          <w:highlight w:val="none"/>
        </w:rPr>
        <w:t>” 系指不适用本项目的要求，</w:t>
      </w:r>
      <w:r>
        <w:rPr>
          <w:rFonts w:hint="eastAsia" w:ascii="仿宋" w:hAnsi="仿宋" w:eastAsia="仿宋"/>
          <w:color w:val="auto"/>
          <w:sz w:val="24"/>
          <w:highlight w:val="none"/>
        </w:rPr>
        <w:t>“★”系产品采购项目中单一产品或核心产品。</w:t>
      </w:r>
    </w:p>
    <w:p w14:paraId="4D0372AD">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548014B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303F43E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支持绿色发展</w:t>
      </w:r>
    </w:p>
    <w:p w14:paraId="45A2ECE8">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4CDE768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146C5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14:paraId="1BE7B42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3.2.3参与实施政府采购节能（环境标志）产品认证机构详见《市场监督总局关于发布参与实施政府采购节能产品、环境标志产品认证机构名录的公告》（2019第16号）。</w:t>
      </w:r>
    </w:p>
    <w:p w14:paraId="11EC97E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7B16C88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A63086">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3.2.6 鼓励供应商在参加政府采购过程中开展绿色设计、选择绿色材料、打造绿色制造工艺、开展绿色运输、做好废弃产品回收处理，实现产品全周期的绿色环保。</w:t>
      </w:r>
    </w:p>
    <w:p w14:paraId="0D9E083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3.3支持中小企业发展</w:t>
      </w:r>
    </w:p>
    <w:p w14:paraId="29E7EAD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26B7827D">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2B8FDDB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14:paraId="455781CF">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14:paraId="5D40353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14:paraId="5DD1694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14:paraId="304057E7">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14:paraId="5501876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14:paraId="7A129DC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10%</w:t>
      </w:r>
      <w:r>
        <w:rPr>
          <w:rFonts w:hint="eastAsia" w:ascii="仿宋" w:hAnsi="仿宋" w:eastAsia="仿宋"/>
          <w:color w:val="auto"/>
          <w:sz w:val="24"/>
          <w:highlight w:val="none"/>
        </w:rPr>
        <w:t>的扣除，用扣除后的价格参与评审。</w:t>
      </w:r>
    </w:p>
    <w:p w14:paraId="65DC615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rPr>
        <w:t>4</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7FC2E1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14:paraId="7F2FCA6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5A93569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14:paraId="0647662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55991D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4CCD352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8C9D61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FF4EC8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39BF0A5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p>
    <w:p w14:paraId="1BE02D63">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14:paraId="73A72A26">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4.1在线询问、质疑、投诉</w:t>
      </w:r>
    </w:p>
    <w:p w14:paraId="13D98E36">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B312A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613F9FFE">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7911EF2F">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5BA27D55">
      <w:pPr>
        <w:spacing w:line="360" w:lineRule="auto"/>
        <w:ind w:firstLine="480" w:firstLineChars="200"/>
        <w:rPr>
          <w:rFonts w:ascii="仿宋" w:hAnsi="仿宋" w:eastAsia="仿宋" w:cs="宋体"/>
          <w:snapToGrid w:val="0"/>
          <w:color w:val="auto"/>
          <w:sz w:val="24"/>
          <w:highlight w:val="none"/>
        </w:rPr>
      </w:pPr>
      <w:r>
        <w:rPr>
          <w:rFonts w:hint="eastAsia" w:ascii="仿宋" w:hAnsi="仿宋" w:eastAsia="仿宋" w:cs="宋体"/>
          <w:snapToGrid w:val="0"/>
          <w:color w:val="auto"/>
          <w:kern w:val="0"/>
          <w:sz w:val="24"/>
          <w:highlight w:val="none"/>
          <w:lang w:val="zh-CN"/>
        </w:rPr>
        <w:t>4.3</w:t>
      </w:r>
      <w:r>
        <w:rPr>
          <w:rFonts w:hint="eastAsia" w:ascii="仿宋" w:hAnsi="仿宋" w:eastAsia="仿宋" w:cs="宋体"/>
          <w:snapToGrid w:val="0"/>
          <w:color w:val="auto"/>
          <w:sz w:val="24"/>
          <w:highlight w:val="none"/>
        </w:rPr>
        <w:t>.1提出质疑的供应商应当是参与所质疑项目采购活动的供应商。潜在供应商已依法获取其可质疑的采购文件的，可以对该文件提出质疑。</w:t>
      </w:r>
    </w:p>
    <w:p w14:paraId="00669AD2">
      <w:pPr>
        <w:spacing w:line="360" w:lineRule="auto"/>
        <w:ind w:firstLine="480" w:firstLineChars="200"/>
        <w:rPr>
          <w:rFonts w:ascii="仿宋" w:hAnsi="仿宋" w:eastAsia="仿宋" w:cs="宋体"/>
          <w:snapToGrid w:val="0"/>
          <w:color w:val="auto"/>
          <w:sz w:val="24"/>
          <w:highlight w:val="none"/>
        </w:rPr>
      </w:pPr>
      <w:r>
        <w:rPr>
          <w:rFonts w:hint="eastAsia" w:ascii="仿宋" w:hAnsi="仿宋" w:eastAsia="仿宋" w:cs="宋体"/>
          <w:snapToGrid w:val="0"/>
          <w:color w:val="auto"/>
          <w:kern w:val="0"/>
          <w:sz w:val="24"/>
          <w:highlight w:val="none"/>
          <w:lang w:val="zh-CN"/>
        </w:rPr>
        <w:t>4.3</w:t>
      </w:r>
      <w:r>
        <w:rPr>
          <w:rFonts w:hint="eastAsia" w:ascii="仿宋" w:hAnsi="仿宋" w:eastAsia="仿宋" w:cs="宋体"/>
          <w:snapToGrid w:val="0"/>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59134D8">
      <w:pPr>
        <w:widowControl/>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4.3.2.1对采购文件提出质疑的，质疑期限为供应商获得采购文件之日或者采购文件公告期限届满之日起计算。</w:t>
      </w:r>
      <w:r>
        <w:rPr>
          <w:rFonts w:hint="eastAsia" w:ascii="仿宋" w:hAnsi="仿宋" w:eastAsia="仿宋"/>
          <w:snapToGrid w:val="0"/>
          <w:color w:val="auto"/>
          <w:kern w:val="28"/>
          <w:sz w:val="24"/>
          <w:highlight w:val="none"/>
        </w:rPr>
        <w:t>采购文件在公告期限届满之日后获得的，应当自采购文件公告期限届满之日起计算，且应当在采购响应截止时间之前提出。</w:t>
      </w:r>
    </w:p>
    <w:p w14:paraId="0593A6EE">
      <w:pPr>
        <w:spacing w:line="360" w:lineRule="auto"/>
        <w:ind w:left="479" w:leftChars="228"/>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4.3.2.2对采购过程提出质疑的，质疑期限为各采购程序环节结束之日起计算。4.3.2.3对采购结果提出质疑的，质疑期限自采购结果公告期限届满之日起计算。</w:t>
      </w:r>
    </w:p>
    <w:p w14:paraId="401CA486">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w:t>
      </w:r>
      <w:r>
        <w:rPr>
          <w:rFonts w:hint="eastAsia" w:ascii="仿宋" w:hAnsi="仿宋" w:eastAsia="仿宋" w:cs="宋体"/>
          <w:snapToGrid w:val="0"/>
          <w:color w:val="auto"/>
          <w:sz w:val="24"/>
          <w:highlight w:val="none"/>
        </w:rPr>
        <w:t>供应商提出质疑应当提交质疑函和必要的证明材料。质疑函应当包括下列内容：</w:t>
      </w:r>
    </w:p>
    <w:p w14:paraId="524884B9">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4.3.3.1供应商的姓名或者名称、地址、邮编、联系人及联系电话；</w:t>
      </w:r>
    </w:p>
    <w:p w14:paraId="3E78B5DA">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4.3.3.2质疑项目的名称、编号；</w:t>
      </w:r>
    </w:p>
    <w:p w14:paraId="5088AA16">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4.3.3.3具体、明确的质疑事项和与质疑事项相关的请求；</w:t>
      </w:r>
    </w:p>
    <w:p w14:paraId="7D1C76CF">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4.3.3.4事实依据；</w:t>
      </w:r>
    </w:p>
    <w:p w14:paraId="123686D1">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4.3.3.5必要的法律依据；</w:t>
      </w:r>
    </w:p>
    <w:p w14:paraId="18836E95">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宋体"/>
          <w:snapToGrid w:val="0"/>
          <w:color w:val="auto"/>
          <w:kern w:val="0"/>
          <w:sz w:val="24"/>
          <w:highlight w:val="none"/>
          <w:lang w:val="zh-CN"/>
        </w:rPr>
        <w:t>4.3.3.6提出质疑的日期。</w:t>
      </w:r>
    </w:p>
    <w:p w14:paraId="44F8D067">
      <w:pPr>
        <w:spacing w:line="360" w:lineRule="auto"/>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8A495AC">
      <w:pPr>
        <w:spacing w:line="360" w:lineRule="auto"/>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质疑函范本及制作说明详见附件2。</w:t>
      </w:r>
    </w:p>
    <w:p w14:paraId="419F735D">
      <w:pPr>
        <w:spacing w:line="360" w:lineRule="auto"/>
        <w:ind w:firstLine="480" w:firstLineChars="200"/>
        <w:rPr>
          <w:rFonts w:ascii="仿宋" w:hAnsi="仿宋" w:eastAsia="仿宋" w:cs="宋体"/>
          <w:snapToGrid w:val="0"/>
          <w:color w:val="auto"/>
          <w:kern w:val="0"/>
          <w:sz w:val="24"/>
          <w:highlight w:val="none"/>
          <w:lang w:val="zh-CN"/>
        </w:rPr>
      </w:pPr>
      <w:r>
        <w:rPr>
          <w:rFonts w:hint="eastAsia" w:ascii="仿宋" w:hAnsi="仿宋" w:eastAsia="仿宋" w:cs="Arial"/>
          <w:snapToGrid w:val="0"/>
          <w:color w:val="auto"/>
          <w:sz w:val="24"/>
          <w:highlight w:val="none"/>
        </w:rPr>
        <w:t>4.3.4对同一采购程序环节的质疑，供应商须在法定质疑期内一次性提出。</w:t>
      </w:r>
    </w:p>
    <w:p w14:paraId="156E2D0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highlight w:val="none"/>
        </w:rPr>
        <w:t>将质疑答复</w:t>
      </w:r>
      <w:r>
        <w:rPr>
          <w:rFonts w:hint="eastAsia" w:ascii="仿宋" w:hAnsi="仿宋" w:eastAsia="仿宋"/>
          <w:color w:val="auto"/>
          <w:sz w:val="24"/>
          <w:highlight w:val="none"/>
        </w:rPr>
        <w:t>内容及时在浙江政府采购网的“其他公告”栏目公开质疑答复，答复内容应当完整，但涉及国家秘密、个人隐私、商业秘密以及法律、法规规定应予保密的信息内容除外。</w:t>
      </w:r>
    </w:p>
    <w:p w14:paraId="794E64C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.6询问或者质疑事项可能影响采购结果的，采购人应当暂停签订合同，已经签订合同的，应当中止履行合同。</w:t>
      </w:r>
    </w:p>
    <w:p w14:paraId="63050276">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4.4供应商投诉</w:t>
      </w:r>
    </w:p>
    <w:p w14:paraId="004446B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D4F395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w:t>
      </w:r>
      <w:r>
        <w:rPr>
          <w:rFonts w:hint="eastAsia" w:ascii="仿宋" w:hAnsi="仿宋" w:eastAsia="仿宋"/>
          <w:color w:val="auto"/>
          <w:sz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14:paraId="1371205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4.4.3供应商投诉应当有明确的请求和必要的证明材料。</w:t>
      </w:r>
    </w:p>
    <w:p w14:paraId="3692643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4.4.4 以联合体形式参加政府采购活动的，其投诉应当由组成联合体的所有供应商共同提出。</w:t>
      </w:r>
    </w:p>
    <w:p w14:paraId="5514EE23">
      <w:pPr>
        <w:spacing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投诉书范本及制作说明详见附件3。</w:t>
      </w:r>
    </w:p>
    <w:p w14:paraId="00DEA030">
      <w:pPr>
        <w:adjustRightInd/>
        <w:spacing w:line="360" w:lineRule="auto"/>
        <w:jc w:val="center"/>
        <w:outlineLvl w:val="0"/>
        <w:rPr>
          <w:rFonts w:ascii="仿宋" w:hAnsi="仿宋" w:eastAsia="仿宋" w:cs="仿宋_GB2312"/>
          <w:b/>
          <w:color w:val="auto"/>
          <w:sz w:val="32"/>
          <w:szCs w:val="20"/>
          <w:highlight w:val="none"/>
        </w:rPr>
      </w:pPr>
      <w:bookmarkStart w:id="41" w:name="_Hlt74707468"/>
      <w:bookmarkEnd w:id="41"/>
      <w:bookmarkStart w:id="42" w:name="_Hlt74729768"/>
      <w:bookmarkEnd w:id="42"/>
      <w:bookmarkStart w:id="43" w:name="_Hlt74714665"/>
      <w:bookmarkEnd w:id="43"/>
      <w:bookmarkStart w:id="44" w:name="_Hlt68057669"/>
      <w:bookmarkEnd w:id="44"/>
      <w:bookmarkStart w:id="45" w:name="_Hlt68072990"/>
      <w:bookmarkEnd w:id="45"/>
      <w:bookmarkStart w:id="46" w:name="_Hlt74730295"/>
      <w:bookmarkEnd w:id="46"/>
      <w:bookmarkStart w:id="47" w:name="_Hlt75236290"/>
      <w:bookmarkEnd w:id="47"/>
      <w:bookmarkStart w:id="48" w:name="_Toc91899879"/>
    </w:p>
    <w:p w14:paraId="3C80D5A5">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8"/>
      <w:r>
        <w:rPr>
          <w:rFonts w:hint="eastAsia" w:ascii="仿宋" w:hAnsi="仿宋" w:eastAsia="仿宋" w:cs="仿宋_GB2312"/>
          <w:b/>
          <w:color w:val="auto"/>
          <w:sz w:val="32"/>
          <w:szCs w:val="20"/>
          <w:highlight w:val="none"/>
        </w:rPr>
        <w:t>的构成、澄清、修改</w:t>
      </w:r>
    </w:p>
    <w:p w14:paraId="0CF7DB4C">
      <w:pPr>
        <w:spacing w:line="360" w:lineRule="auto"/>
        <w:ind w:firstLine="482" w:firstLineChars="200"/>
        <w:rPr>
          <w:rFonts w:ascii="仿宋" w:hAnsi="仿宋" w:eastAsia="仿宋" w:cs="仿宋_GB2312"/>
          <w:b/>
          <w:snapToGrid w:val="0"/>
          <w:color w:val="auto"/>
          <w:sz w:val="24"/>
          <w:highlight w:val="none"/>
        </w:rPr>
      </w:pPr>
      <w:bookmarkStart w:id="49" w:name="_Toc91899880"/>
      <w:bookmarkStart w:id="50" w:name="_Hlt74730307"/>
      <w:r>
        <w:rPr>
          <w:rFonts w:hint="eastAsia" w:ascii="仿宋" w:hAnsi="仿宋" w:eastAsia="仿宋" w:cs="仿宋_GB2312"/>
          <w:b/>
          <w:snapToGrid w:val="0"/>
          <w:color w:val="auto"/>
          <w:sz w:val="24"/>
          <w:highlight w:val="none"/>
        </w:rPr>
        <w:t>5．招标文件的构成</w:t>
      </w:r>
      <w:bookmarkEnd w:id="49"/>
    </w:p>
    <w:bookmarkEnd w:id="50"/>
    <w:p w14:paraId="516A92FC">
      <w:pPr>
        <w:spacing w:line="360" w:lineRule="auto"/>
        <w:ind w:right="-512"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5.1 招标文件包括下列文件及附件</w:t>
      </w:r>
    </w:p>
    <w:p w14:paraId="295E85BC">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第一部分 招标公告</w:t>
      </w:r>
    </w:p>
    <w:p w14:paraId="24DB351D">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第二部分 投标人须知</w:t>
      </w:r>
    </w:p>
    <w:p w14:paraId="236EF533">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第三部分 采购需求</w:t>
      </w:r>
    </w:p>
    <w:p w14:paraId="0576E4A2">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第四部分 评标方法及评分标准</w:t>
      </w:r>
    </w:p>
    <w:p w14:paraId="7F5C21BE">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第五部分 拟签订的合同文本</w:t>
      </w:r>
    </w:p>
    <w:p w14:paraId="32F7B2E8">
      <w:pPr>
        <w:numPr>
          <w:ilvl w:val="0"/>
          <w:numId w:val="2"/>
        </w:numPr>
        <w:spacing w:line="360" w:lineRule="auto"/>
        <w:ind w:left="0"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第六部分 应提交的有关格式范例</w:t>
      </w:r>
    </w:p>
    <w:p w14:paraId="1DC16190">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2819B325">
      <w:pPr>
        <w:spacing w:line="360" w:lineRule="auto"/>
        <w:ind w:firstLine="482" w:firstLineChars="200"/>
        <w:jc w:val="left"/>
        <w:rPr>
          <w:rFonts w:ascii="仿宋" w:hAnsi="仿宋" w:eastAsia="仿宋" w:cs="仿宋_GB2312"/>
          <w:b/>
          <w:snapToGrid w:val="0"/>
          <w:color w:val="auto"/>
          <w:sz w:val="24"/>
          <w:highlight w:val="none"/>
        </w:rPr>
      </w:pPr>
      <w:r>
        <w:rPr>
          <w:rFonts w:hint="eastAsia" w:ascii="仿宋" w:hAnsi="仿宋" w:eastAsia="仿宋" w:cs="仿宋_GB2312"/>
          <w:b/>
          <w:snapToGrid w:val="0"/>
          <w:color w:val="auto"/>
          <w:sz w:val="24"/>
          <w:highlight w:val="none"/>
        </w:rPr>
        <w:t>6. 招标文件的澄清、修改</w:t>
      </w:r>
    </w:p>
    <w:p w14:paraId="15C32708">
      <w:pPr>
        <w:snapToGrid w:val="0"/>
        <w:spacing w:line="360" w:lineRule="auto"/>
        <w:ind w:firstLine="480" w:firstLineChars="200"/>
        <w:rPr>
          <w:rFonts w:ascii="仿宋" w:hAnsi="仿宋" w:eastAsia="仿宋"/>
          <w:color w:val="auto"/>
          <w:sz w:val="24"/>
          <w:szCs w:val="20"/>
          <w:highlight w:val="none"/>
        </w:rPr>
      </w:pPr>
      <w:r>
        <w:rPr>
          <w:rFonts w:hint="eastAsia" w:ascii="仿宋" w:hAnsi="仿宋" w:eastAsia="仿宋"/>
          <w:color w:val="auto"/>
          <w:sz w:val="24"/>
          <w:szCs w:val="20"/>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4203C903">
      <w:pPr>
        <w:adjustRightInd/>
        <w:spacing w:line="360" w:lineRule="auto"/>
        <w:jc w:val="center"/>
        <w:outlineLvl w:val="0"/>
        <w:rPr>
          <w:rFonts w:ascii="仿宋" w:hAnsi="仿宋" w:eastAsia="仿宋" w:cs="仿宋_GB2312"/>
          <w:b/>
          <w:color w:val="auto"/>
          <w:sz w:val="32"/>
          <w:szCs w:val="20"/>
          <w:highlight w:val="none"/>
        </w:rPr>
      </w:pPr>
      <w:bookmarkStart w:id="51" w:name="_Hlt75236011"/>
      <w:bookmarkEnd w:id="51"/>
      <w:bookmarkStart w:id="52" w:name="_Toc91899884"/>
    </w:p>
    <w:p w14:paraId="50FED41A">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2"/>
    </w:p>
    <w:p w14:paraId="67144541">
      <w:pPr>
        <w:spacing w:line="360" w:lineRule="auto"/>
        <w:ind w:firstLine="482" w:firstLineChars="200"/>
        <w:rPr>
          <w:rFonts w:ascii="仿宋" w:hAnsi="仿宋" w:eastAsia="仿宋" w:cs="仿宋_GB2312"/>
          <w:b/>
          <w:snapToGrid w:val="0"/>
          <w:color w:val="auto"/>
          <w:sz w:val="24"/>
          <w:highlight w:val="none"/>
        </w:rPr>
      </w:pPr>
      <w:bookmarkStart w:id="53" w:name="_Toc86216991"/>
      <w:bookmarkStart w:id="54" w:name="_Toc91899892"/>
      <w:r>
        <w:rPr>
          <w:rFonts w:hint="eastAsia" w:ascii="仿宋" w:hAnsi="仿宋" w:eastAsia="仿宋" w:cs="仿宋_GB2312"/>
          <w:b/>
          <w:snapToGrid w:val="0"/>
          <w:color w:val="auto"/>
          <w:sz w:val="24"/>
          <w:highlight w:val="none"/>
        </w:rPr>
        <w:t>7.招标文件的获取</w:t>
      </w:r>
    </w:p>
    <w:p w14:paraId="385A5E5B">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289926B9">
      <w:pPr>
        <w:spacing w:line="360" w:lineRule="auto"/>
        <w:ind w:firstLine="482" w:firstLineChars="200"/>
        <w:rPr>
          <w:rFonts w:ascii="仿宋" w:hAnsi="仿宋" w:eastAsia="仿宋" w:cs="仿宋_GB2312"/>
          <w:b/>
          <w:snapToGrid w:val="0"/>
          <w:color w:val="auto"/>
          <w:sz w:val="24"/>
          <w:highlight w:val="none"/>
        </w:rPr>
      </w:pPr>
      <w:r>
        <w:rPr>
          <w:rFonts w:hint="eastAsia" w:ascii="仿宋" w:hAnsi="仿宋" w:eastAsia="仿宋" w:cs="仿宋_GB2312"/>
          <w:b/>
          <w:snapToGrid w:val="0"/>
          <w:color w:val="auto"/>
          <w:sz w:val="24"/>
          <w:highlight w:val="none"/>
        </w:rPr>
        <w:t>8.开标前答疑会或现场考察</w:t>
      </w:r>
    </w:p>
    <w:p w14:paraId="47DC7CA0">
      <w:pPr>
        <w:spacing w:line="360" w:lineRule="auto"/>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采购人视采购项目的具体情况，如果采购人组织潜在投标人现场考察或者召开开标前答疑会的，潜在投标人按前附表的规定参加现场考察或者开标前答疑会。</w:t>
      </w:r>
    </w:p>
    <w:p w14:paraId="463E5034">
      <w:pPr>
        <w:spacing w:line="360" w:lineRule="auto"/>
        <w:ind w:firstLine="482" w:firstLineChars="200"/>
        <w:rPr>
          <w:rFonts w:ascii="仿宋" w:hAnsi="仿宋" w:eastAsia="仿宋" w:cs="仿宋_GB2312"/>
          <w:b/>
          <w:snapToGrid w:val="0"/>
          <w:color w:val="auto"/>
          <w:highlight w:val="none"/>
        </w:rPr>
      </w:pPr>
      <w:r>
        <w:rPr>
          <w:rFonts w:hint="eastAsia" w:ascii="仿宋" w:hAnsi="仿宋" w:eastAsia="仿宋" w:cs="Arial"/>
          <w:b/>
          <w:snapToGrid w:val="0"/>
          <w:color w:val="auto"/>
          <w:kern w:val="28"/>
          <w:sz w:val="24"/>
          <w:highlight w:val="none"/>
        </w:rPr>
        <w:t>9.投标保证金</w:t>
      </w:r>
    </w:p>
    <w:p w14:paraId="2F7FAF73">
      <w:pPr>
        <w:snapToGrid w:val="0"/>
        <w:spacing w:line="360" w:lineRule="auto"/>
        <w:ind w:firstLine="480" w:firstLineChars="200"/>
        <w:rPr>
          <w:rFonts w:ascii="仿宋" w:hAnsi="仿宋" w:eastAsia="仿宋" w:cs="仿宋_GB2312"/>
          <w:color w:val="auto"/>
          <w:sz w:val="24"/>
          <w:szCs w:val="20"/>
          <w:highlight w:val="none"/>
          <w:lang w:val="zh-CN"/>
        </w:rPr>
      </w:pPr>
      <w:r>
        <w:rPr>
          <w:rFonts w:hint="eastAsia" w:ascii="仿宋" w:hAnsi="仿宋" w:eastAsia="仿宋"/>
          <w:color w:val="auto"/>
          <w:sz w:val="24"/>
          <w:szCs w:val="20"/>
          <w:highlight w:val="none"/>
        </w:rPr>
        <w:t>本项目不收取投标保证金。</w:t>
      </w:r>
    </w:p>
    <w:p w14:paraId="779F88AF">
      <w:pPr>
        <w:spacing w:line="360" w:lineRule="auto"/>
        <w:ind w:firstLine="482" w:firstLineChars="200"/>
        <w:rPr>
          <w:rFonts w:ascii="仿宋" w:hAnsi="仿宋" w:eastAsia="仿宋" w:cs="仿宋_GB2312"/>
          <w:b/>
          <w:snapToGrid w:val="0"/>
          <w:color w:val="auto"/>
          <w:sz w:val="24"/>
          <w:highlight w:val="none"/>
        </w:rPr>
      </w:pPr>
      <w:r>
        <w:rPr>
          <w:rFonts w:hint="eastAsia" w:ascii="仿宋" w:hAnsi="仿宋" w:eastAsia="仿宋" w:cs="仿宋_GB2312"/>
          <w:b/>
          <w:snapToGrid w:val="0"/>
          <w:color w:val="auto"/>
          <w:sz w:val="24"/>
          <w:highlight w:val="none"/>
        </w:rPr>
        <w:t>10. 投标文件的语言</w:t>
      </w:r>
    </w:p>
    <w:p w14:paraId="248B18B4">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796484A8">
      <w:pPr>
        <w:spacing w:line="360" w:lineRule="auto"/>
        <w:ind w:firstLine="482" w:firstLineChars="200"/>
        <w:rPr>
          <w:rFonts w:ascii="仿宋" w:hAnsi="仿宋" w:eastAsia="仿宋" w:cs="仿宋_GB2312"/>
          <w:b/>
          <w:snapToGrid w:val="0"/>
          <w:color w:val="auto"/>
          <w:sz w:val="24"/>
          <w:highlight w:val="none"/>
        </w:rPr>
      </w:pPr>
      <w:r>
        <w:rPr>
          <w:rFonts w:hint="eastAsia" w:ascii="仿宋" w:hAnsi="仿宋" w:eastAsia="仿宋" w:cs="仿宋_GB2312"/>
          <w:b/>
          <w:snapToGrid w:val="0"/>
          <w:color w:val="auto"/>
          <w:sz w:val="24"/>
          <w:highlight w:val="none"/>
        </w:rPr>
        <w:t>11. 投标文件的组成</w:t>
      </w:r>
    </w:p>
    <w:p w14:paraId="784E53D2">
      <w:pPr>
        <w:snapToGrid w:val="0"/>
        <w:spacing w:line="360" w:lineRule="auto"/>
        <w:ind w:firstLine="480" w:firstLineChars="200"/>
        <w:rPr>
          <w:rFonts w:ascii="仿宋" w:hAnsi="仿宋" w:eastAsia="仿宋" w:cs="仿宋_GB2312"/>
          <w:snapToGrid w:val="0"/>
          <w:color w:val="auto"/>
          <w:sz w:val="24"/>
          <w:highlight w:val="none"/>
        </w:rPr>
      </w:pPr>
      <w:r>
        <w:rPr>
          <w:rFonts w:hint="eastAsia" w:ascii="仿宋" w:hAnsi="仿宋" w:eastAsia="仿宋" w:cs="仿宋_GB2312"/>
          <w:snapToGrid w:val="0"/>
          <w:color w:val="auto"/>
          <w:kern w:val="0"/>
          <w:sz w:val="24"/>
          <w:highlight w:val="none"/>
        </w:rPr>
        <w:t>投标文件应当包括以下主要内容：</w:t>
      </w:r>
      <w:r>
        <w:rPr>
          <w:rFonts w:hint="eastAsia" w:ascii="仿宋" w:hAnsi="仿宋" w:eastAsia="仿宋" w:cs="仿宋_GB2312"/>
          <w:b/>
          <w:snapToGrid w:val="0"/>
          <w:color w:val="auto"/>
          <w:sz w:val="24"/>
          <w:highlight w:val="none"/>
        </w:rPr>
        <w:t>资格文件、商务技术文件、报价文件。</w:t>
      </w:r>
      <w:r>
        <w:rPr>
          <w:rFonts w:hint="eastAsia" w:ascii="仿宋" w:hAnsi="仿宋" w:eastAsia="仿宋" w:cs="仿宋_GB2312"/>
          <w:snapToGrid w:val="0"/>
          <w:color w:val="auto"/>
          <w:sz w:val="24"/>
          <w:highlight w:val="none"/>
        </w:rPr>
        <w:t>投标文件应当对招标文件提出的要求和条件作出明确响应。</w:t>
      </w:r>
    </w:p>
    <w:p w14:paraId="49B3C48E">
      <w:pPr>
        <w:snapToGrid w:val="0"/>
        <w:spacing w:line="360" w:lineRule="auto"/>
        <w:ind w:firstLine="480" w:firstLineChars="200"/>
        <w:rPr>
          <w:rFonts w:ascii="仿宋" w:hAnsi="仿宋" w:eastAsia="仿宋" w:cs="仿宋_GB2312"/>
          <w:b/>
          <w:strike/>
          <w:color w:val="auto"/>
          <w:kern w:val="0"/>
          <w:sz w:val="24"/>
          <w:highlight w:val="none"/>
        </w:rPr>
      </w:pPr>
      <w:bookmarkStart w:id="55" w:name="_Hlt68403820"/>
      <w:bookmarkEnd w:id="55"/>
      <w:bookmarkStart w:id="56" w:name="_Hlt68072998"/>
      <w:bookmarkEnd w:id="56"/>
      <w:bookmarkStart w:id="57" w:name="_Hlt68073093"/>
      <w:bookmarkEnd w:id="57"/>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14:paraId="6990B730">
      <w:pPr>
        <w:spacing w:line="360" w:lineRule="auto"/>
        <w:ind w:firstLine="480" w:firstLineChars="200"/>
        <w:rPr>
          <w:rFonts w:ascii="仿宋" w:hAnsi="仿宋" w:eastAsia="仿宋" w:cs="Arial"/>
          <w:snapToGrid w:val="0"/>
          <w:color w:val="auto"/>
          <w:sz w:val="24"/>
          <w:szCs w:val="21"/>
          <w:highlight w:val="none"/>
        </w:rPr>
      </w:pPr>
      <w:r>
        <w:rPr>
          <w:rFonts w:hint="eastAsia" w:ascii="仿宋" w:hAnsi="仿宋" w:eastAsia="仿宋" w:cs="Arial"/>
          <w:snapToGrid w:val="0"/>
          <w:color w:val="auto"/>
          <w:sz w:val="24"/>
          <w:szCs w:val="21"/>
          <w:highlight w:val="none"/>
        </w:rPr>
        <w:t>11.1.1营业执照(或事业法人登记证或其他工商等登记证明材料)复印件（投标人为自然人的，提供自然人的身份证明）</w:t>
      </w:r>
      <w:r>
        <w:rPr>
          <w:rFonts w:hint="eastAsia" w:ascii="仿宋" w:hAnsi="仿宋" w:eastAsia="仿宋" w:cs="仿宋_GB2312"/>
          <w:snapToGrid w:val="0"/>
          <w:color w:val="auto"/>
          <w:sz w:val="24"/>
          <w:szCs w:val="21"/>
          <w:highlight w:val="none"/>
        </w:rPr>
        <w:t>(若联合体投标，成员单位均需提供)</w:t>
      </w:r>
      <w:r>
        <w:rPr>
          <w:rFonts w:hint="eastAsia" w:ascii="仿宋" w:hAnsi="仿宋" w:eastAsia="仿宋" w:cs="Arial"/>
          <w:b/>
          <w:snapToGrid w:val="0"/>
          <w:color w:val="auto"/>
          <w:sz w:val="24"/>
          <w:szCs w:val="21"/>
          <w:highlight w:val="none"/>
        </w:rPr>
        <w:t>；</w:t>
      </w:r>
    </w:p>
    <w:p w14:paraId="31A5A34B">
      <w:pPr>
        <w:spacing w:line="360" w:lineRule="auto"/>
        <w:ind w:firstLine="480" w:firstLineChars="200"/>
        <w:rPr>
          <w:rFonts w:ascii="仿宋" w:hAnsi="仿宋" w:eastAsia="仿宋" w:cs="仿宋_GB2312"/>
          <w:snapToGrid w:val="0"/>
          <w:color w:val="auto"/>
          <w:sz w:val="24"/>
          <w:szCs w:val="21"/>
          <w:highlight w:val="none"/>
        </w:rPr>
      </w:pPr>
      <w:r>
        <w:rPr>
          <w:rFonts w:hint="eastAsia" w:ascii="仿宋" w:hAnsi="仿宋" w:eastAsia="仿宋" w:cs="仿宋_GB2312"/>
          <w:snapToGrid w:val="0"/>
          <w:color w:val="auto"/>
          <w:sz w:val="24"/>
          <w:szCs w:val="21"/>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5EC679">
      <w:pPr>
        <w:spacing w:line="360" w:lineRule="auto"/>
        <w:ind w:firstLine="480" w:firstLineChars="200"/>
        <w:rPr>
          <w:rFonts w:ascii="仿宋" w:hAnsi="仿宋" w:eastAsia="仿宋" w:cs="仿宋_GB2312"/>
          <w:snapToGrid w:val="0"/>
          <w:color w:val="auto"/>
          <w:sz w:val="24"/>
          <w:szCs w:val="21"/>
          <w:highlight w:val="none"/>
        </w:rPr>
      </w:pPr>
      <w:r>
        <w:rPr>
          <w:rFonts w:hint="eastAsia" w:ascii="仿宋" w:hAnsi="仿宋" w:eastAsia="仿宋" w:cs="仿宋_GB2312"/>
          <w:snapToGrid w:val="0"/>
          <w:color w:val="auto"/>
          <w:sz w:val="24"/>
          <w:szCs w:val="21"/>
          <w:highlight w:val="none"/>
        </w:rPr>
        <w:t>11.1.2投标声明函(若联合体投标，成员单位均需提供)；</w:t>
      </w:r>
    </w:p>
    <w:p w14:paraId="5764BDE8">
      <w:pPr>
        <w:spacing w:line="360" w:lineRule="auto"/>
        <w:ind w:firstLine="480" w:firstLineChars="200"/>
        <w:rPr>
          <w:rFonts w:ascii="仿宋" w:hAnsi="仿宋" w:eastAsia="仿宋" w:cs="仿宋_GB2312"/>
          <w:snapToGrid w:val="0"/>
          <w:color w:val="auto"/>
          <w:sz w:val="24"/>
          <w:szCs w:val="21"/>
          <w:highlight w:val="none"/>
        </w:rPr>
      </w:pPr>
      <w:r>
        <w:rPr>
          <w:rFonts w:hint="eastAsia" w:ascii="仿宋" w:hAnsi="仿宋" w:eastAsia="仿宋" w:cs="仿宋_GB2312"/>
          <w:snapToGrid w:val="0"/>
          <w:color w:val="auto"/>
          <w:sz w:val="24"/>
          <w:szCs w:val="21"/>
          <w:highlight w:val="none"/>
        </w:rPr>
        <w:t>11.1.3联合体协议书（如有）；</w:t>
      </w:r>
    </w:p>
    <w:p w14:paraId="41D52718">
      <w:pPr>
        <w:spacing w:line="360" w:lineRule="auto"/>
        <w:ind w:firstLine="480" w:firstLineChars="200"/>
        <w:rPr>
          <w:rFonts w:ascii="仿宋" w:hAnsi="仿宋" w:eastAsia="仿宋" w:cs="仿宋_GB2312"/>
          <w:snapToGrid w:val="0"/>
          <w:color w:val="auto"/>
          <w:sz w:val="24"/>
          <w:szCs w:val="21"/>
          <w:highlight w:val="none"/>
        </w:rPr>
      </w:pPr>
      <w:r>
        <w:rPr>
          <w:rFonts w:hint="eastAsia" w:ascii="仿宋" w:hAnsi="仿宋" w:eastAsia="仿宋" w:cs="Arial"/>
          <w:snapToGrid w:val="0"/>
          <w:color w:val="auto"/>
          <w:sz w:val="24"/>
          <w:szCs w:val="21"/>
          <w:highlight w:val="none"/>
        </w:rPr>
        <w:t>如以联合体形式参加政府采购活动的，</w:t>
      </w:r>
      <w:r>
        <w:rPr>
          <w:rFonts w:hint="eastAsia" w:ascii="仿宋" w:hAnsi="仿宋" w:eastAsia="仿宋" w:cs="Arial"/>
          <w:snapToGrid w:val="0"/>
          <w:color w:val="auto"/>
          <w:sz w:val="24"/>
          <w:highlight w:val="none"/>
        </w:rPr>
        <w:t>联合体各方应当指定牵头人，授权其代表所有联合体成员负责投标和合同实施阶段的主办、协调工作，并应当</w:t>
      </w:r>
      <w:r>
        <w:rPr>
          <w:rFonts w:hint="eastAsia" w:ascii="仿宋" w:hAnsi="仿宋" w:eastAsia="仿宋" w:cs="Arial"/>
          <w:snapToGrid w:val="0"/>
          <w:color w:val="auto"/>
          <w:sz w:val="24"/>
          <w:szCs w:val="21"/>
          <w:highlight w:val="none"/>
        </w:rPr>
        <w:t>提交联合体协议书，载明联合体各方承担的工作和义务；</w:t>
      </w:r>
    </w:p>
    <w:p w14:paraId="0A9E6E9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11.1.4法定代表人授权书；</w:t>
      </w:r>
    </w:p>
    <w:p w14:paraId="748E449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如以联合体形式参加政府采购活动的，只需提供联合体牵头人法定代表人授权委托书；</w:t>
      </w:r>
      <w:r>
        <w:rPr>
          <w:rFonts w:hint="eastAsia" w:ascii="仿宋" w:hAnsi="仿宋" w:eastAsia="仿宋" w:cs="仿宋_GB2312"/>
          <w:color w:val="auto"/>
          <w:sz w:val="24"/>
          <w:highlight w:val="none"/>
        </w:rPr>
        <w:t>如投标人代表系法定代表人，无需提供法定代表人授权委托书；</w:t>
      </w:r>
    </w:p>
    <w:p w14:paraId="4775E5D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11.1.5法定代表人及其授权代表的身份证复印件（正反面复印件）；如投标人代表系法定代表人，只需提供其身份证复印件（正反面复印件）；</w:t>
      </w:r>
    </w:p>
    <w:p w14:paraId="2753A99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11.1.6中小企业声明函或残疾人福利性单位声明函。(若联合体投标，成员单位均需提供)</w:t>
      </w:r>
    </w:p>
    <w:p w14:paraId="5E04F6FE">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11.1.7</w:t>
      </w:r>
      <w:r>
        <w:rPr>
          <w:rFonts w:hint="eastAsia" w:ascii="仿宋_GB2312" w:hAnsi="仿宋" w:eastAsia="仿宋_GB2312" w:cs="仿宋_GB2312"/>
          <w:color w:val="auto"/>
          <w:kern w:val="0"/>
          <w:sz w:val="24"/>
          <w:highlight w:val="none"/>
        </w:rPr>
        <w:t>残疾人福利性单位声明函（如有,</w:t>
      </w:r>
      <w:r>
        <w:rPr>
          <w:rFonts w:hint="eastAsia" w:ascii="仿宋" w:hAnsi="仿宋" w:eastAsia="仿宋" w:cs="仿宋_GB2312"/>
          <w:color w:val="auto"/>
          <w:sz w:val="24"/>
          <w:highlight w:val="none"/>
        </w:rPr>
        <w:t xml:space="preserve"> 若联合体投标，成员单位均需提供)</w:t>
      </w:r>
      <w:r>
        <w:rPr>
          <w:rFonts w:hint="eastAsia" w:ascii="仿宋_GB2312" w:hAnsi="仿宋" w:eastAsia="仿宋_GB2312" w:cs="仿宋_GB2312"/>
          <w:color w:val="auto"/>
          <w:sz w:val="24"/>
          <w:highlight w:val="none"/>
        </w:rPr>
        <w:t>。</w:t>
      </w:r>
    </w:p>
    <w:p w14:paraId="6F07051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67A57CA4">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 投标函；</w:t>
      </w:r>
    </w:p>
    <w:p w14:paraId="6798EF68">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3F66C0A4">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。否则任何含糊不清的表述导致评标委员会技术扣分直至认定为投标无效都将是投标人的责任。</w:t>
      </w:r>
    </w:p>
    <w:p w14:paraId="1CB6B439">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如果本项目需采购政府强制采购的节能产品或投标人提供的产品是节能（环境标志）产品，投标人应当根据招标文件总则3.2节能环保要求提供相应证明材料；</w:t>
      </w:r>
    </w:p>
    <w:p w14:paraId="0803EECF">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11.2.4技术响应表；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15190E29">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11.2.5商务响应表；</w:t>
      </w:r>
    </w:p>
    <w:p w14:paraId="44A3F45C">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11.2.6</w:t>
      </w:r>
      <w:r>
        <w:rPr>
          <w:rFonts w:hint="eastAsia" w:ascii="仿宋" w:hAnsi="仿宋" w:eastAsia="仿宋" w:cs="仿宋_GB2312"/>
          <w:color w:val="auto"/>
          <w:kern w:val="0"/>
          <w:sz w:val="24"/>
          <w:highlight w:val="none"/>
          <w:lang w:val="zh-CN"/>
        </w:rPr>
        <w:t>项目组织实施方案;项目组织实施方案包括但不限于以下内容：组织机构、工作时间进度表、工作程序和步骤、管理和协调方法、关键步骤的思路和要点；</w:t>
      </w:r>
    </w:p>
    <w:p w14:paraId="01DC0DC7">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11.2.7项目负责人情况表；</w:t>
      </w:r>
    </w:p>
    <w:p w14:paraId="37995F7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11.2.8项目组人员名单；</w:t>
      </w:r>
    </w:p>
    <w:p w14:paraId="76EE2EDC">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11.2.9</w:t>
      </w:r>
      <w:r>
        <w:rPr>
          <w:rFonts w:hint="eastAsia" w:ascii="仿宋" w:hAnsi="仿宋" w:eastAsia="仿宋" w:cs="仿宋_GB2312"/>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3CCA5ACA">
      <w:pPr>
        <w:tabs>
          <w:tab w:val="left" w:pos="0"/>
          <w:tab w:val="left" w:pos="84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11.2.10</w:t>
      </w:r>
      <w:r>
        <w:rPr>
          <w:rFonts w:hint="eastAsia" w:ascii="仿宋" w:hAnsi="仿宋" w:eastAsia="仿宋" w:cs="仿宋_GB2312"/>
          <w:color w:val="auto"/>
          <w:kern w:val="0"/>
          <w:sz w:val="24"/>
          <w:highlight w:val="none"/>
          <w:lang w:val="zh-CN"/>
        </w:rPr>
        <w:t>优惠条件及特殊承诺（如有）；</w:t>
      </w:r>
    </w:p>
    <w:p w14:paraId="47AAB89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11.2.11</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14:paraId="163D2835">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5DEFD2FF">
      <w:pPr>
        <w:snapToGrid w:val="0"/>
        <w:spacing w:line="360" w:lineRule="auto"/>
        <w:ind w:firstLine="480" w:firstLineChars="200"/>
        <w:outlineLvl w:val="2"/>
        <w:rPr>
          <w:rFonts w:ascii="仿宋" w:hAnsi="仿宋" w:eastAsia="仿宋" w:cs="仿宋_GB2312"/>
          <w:color w:val="auto"/>
          <w:sz w:val="24"/>
          <w:highlight w:val="none"/>
        </w:rPr>
      </w:pPr>
      <w:bookmarkStart w:id="58" w:name="_Toc91899887"/>
      <w:r>
        <w:rPr>
          <w:rFonts w:hint="eastAsia" w:ascii="仿宋" w:hAnsi="仿宋" w:eastAsia="仿宋" w:cs="仿宋_GB2312"/>
          <w:color w:val="auto"/>
          <w:sz w:val="24"/>
          <w:highlight w:val="none"/>
        </w:rPr>
        <w:t>11.3.1投标(开标)一览表；</w:t>
      </w:r>
    </w:p>
    <w:p w14:paraId="7A28AED4">
      <w:pPr>
        <w:snapToGrid w:val="0"/>
        <w:spacing w:line="360" w:lineRule="auto"/>
        <w:ind w:firstLine="480" w:firstLineChars="200"/>
        <w:outlineLvl w:val="2"/>
        <w:rPr>
          <w:rFonts w:ascii="仿宋" w:hAnsi="仿宋" w:eastAsia="仿宋" w:cs="仿宋_GB2312"/>
          <w:color w:val="auto"/>
          <w:sz w:val="24"/>
          <w:highlight w:val="none"/>
        </w:rPr>
      </w:pPr>
      <w:r>
        <w:rPr>
          <w:rFonts w:hint="eastAsia" w:ascii="仿宋" w:hAnsi="仿宋" w:eastAsia="仿宋" w:cs="仿宋_GB2312"/>
          <w:snapToGrid w:val="0"/>
          <w:color w:val="auto"/>
          <w:sz w:val="24"/>
          <w:highlight w:val="none"/>
        </w:rPr>
        <w:t>11.3.2</w:t>
      </w:r>
      <w:r>
        <w:rPr>
          <w:rFonts w:hint="eastAsia" w:ascii="仿宋" w:hAnsi="仿宋" w:eastAsia="仿宋" w:cs="仿宋_GB2312"/>
          <w:color w:val="auto"/>
          <w:kern w:val="0"/>
          <w:sz w:val="24"/>
          <w:highlight w:val="none"/>
        </w:rPr>
        <w:t>详细报价清单</w:t>
      </w:r>
    </w:p>
    <w:p w14:paraId="75A0A8E3">
      <w:pPr>
        <w:snapToGrid w:val="0"/>
        <w:spacing w:line="360" w:lineRule="auto"/>
        <w:ind w:firstLine="482" w:firstLineChars="200"/>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12</w:t>
      </w:r>
      <w:r>
        <w:rPr>
          <w:rFonts w:hint="eastAsia" w:ascii="仿宋" w:hAnsi="仿宋" w:eastAsia="仿宋" w:cs="仿宋_GB2312"/>
          <w:b/>
          <w:color w:val="auto"/>
          <w:kern w:val="0"/>
          <w:sz w:val="24"/>
          <w:highlight w:val="none"/>
          <w:lang w:val="zh-CN"/>
        </w:rPr>
        <w:t xml:space="preserve">. </w:t>
      </w:r>
      <w:r>
        <w:rPr>
          <w:rFonts w:hint="eastAsia" w:ascii="仿宋" w:hAnsi="仿宋" w:eastAsia="仿宋" w:cs="仿宋_GB2312"/>
          <w:b/>
          <w:color w:val="auto"/>
          <w:sz w:val="24"/>
          <w:highlight w:val="none"/>
        </w:rPr>
        <w:t>投标文件的编制</w:t>
      </w:r>
    </w:p>
    <w:p w14:paraId="5447F844">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1D26A3BB">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7D360611">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1F10DB67">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701FF3">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14:paraId="19876DD9">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highlight w:val="none"/>
        </w:rPr>
        <w:t>13.1投标文件按照招标文件第六部分格式要</w:t>
      </w:r>
      <w:r>
        <w:rPr>
          <w:rFonts w:hint="eastAsia" w:ascii="仿宋" w:hAnsi="仿宋" w:eastAsia="仿宋" w:cs="仿宋_GB2312"/>
          <w:color w:val="auto"/>
          <w:sz w:val="24"/>
          <w:szCs w:val="20"/>
          <w:highlight w:val="none"/>
        </w:rPr>
        <w:t>求进行签署、盖章。</w:t>
      </w:r>
      <w:r>
        <w:rPr>
          <w:rFonts w:hint="eastAsia" w:ascii="仿宋" w:hAnsi="仿宋" w:eastAsia="仿宋" w:cs="仿宋_GB2312"/>
          <w:b/>
          <w:color w:val="auto"/>
          <w:sz w:val="24"/>
          <w:highlight w:val="none"/>
        </w:rPr>
        <w:t>其中电子投标文件中所需加盖公章部分均应采用电子签章（联合体投标的，投标人可加盖实体印章）</w:t>
      </w:r>
    </w:p>
    <w:p w14:paraId="08290230">
      <w:pPr>
        <w:snapToGrid w:val="0"/>
        <w:spacing w:line="360" w:lineRule="auto"/>
        <w:ind w:firstLine="482" w:firstLineChars="200"/>
        <w:rPr>
          <w:rFonts w:ascii="仿宋" w:hAnsi="仿宋" w:eastAsia="仿宋" w:cs="仿宋_GB2312"/>
          <w:b/>
          <w:color w:val="auto"/>
          <w:sz w:val="24"/>
          <w:szCs w:val="20"/>
          <w:highlight w:val="none"/>
        </w:rPr>
      </w:pPr>
      <w:r>
        <w:rPr>
          <w:rFonts w:hint="eastAsia" w:ascii="仿宋" w:hAnsi="仿宋" w:eastAsia="仿宋"/>
          <w:b/>
          <w:color w:val="auto"/>
          <w:sz w:val="24"/>
          <w:szCs w:val="20"/>
          <w:highlight w:val="none"/>
        </w:rPr>
        <w:t>▲</w:t>
      </w:r>
      <w:r>
        <w:rPr>
          <w:rFonts w:hint="eastAsia" w:ascii="仿宋" w:hAnsi="仿宋" w:eastAsia="仿宋" w:cs="仿宋_GB2312"/>
          <w:b/>
          <w:color w:val="auto"/>
          <w:sz w:val="24"/>
          <w:szCs w:val="20"/>
          <w:highlight w:val="none"/>
        </w:rPr>
        <w:t>投标人的投标文件未按照招标文件要求签署、盖章的，其投标无效</w:t>
      </w:r>
      <w:r>
        <w:rPr>
          <w:rFonts w:hint="eastAsia" w:ascii="仿宋" w:hAnsi="仿宋" w:eastAsia="仿宋" w:cs="仿宋_GB2312"/>
          <w:color w:val="auto"/>
          <w:sz w:val="24"/>
          <w:highlight w:val="none"/>
        </w:rPr>
        <w:t>。</w:t>
      </w:r>
    </w:p>
    <w:p w14:paraId="07CC43B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szCs w:val="20"/>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13348613">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14:paraId="274A1E12">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74B4D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14.2</w:t>
      </w:r>
      <w:r>
        <w:rPr>
          <w:rFonts w:hint="eastAsia" w:ascii="仿宋" w:hAnsi="仿宋" w:eastAsia="仿宋" w:cs="宋体"/>
          <w:color w:val="auto"/>
          <w:sz w:val="24"/>
          <w:highlight w:val="none"/>
        </w:rPr>
        <w:t>电子交易平台收到投标文件，将妥善保存并即时向供应商发出确认回执通知。</w:t>
      </w:r>
      <w:r>
        <w:rPr>
          <w:rFonts w:hint="eastAsia" w:ascii="仿宋" w:hAnsi="仿宋" w:eastAsia="仿宋" w:cs="仿宋_GB2312"/>
          <w:color w:val="auto"/>
          <w:sz w:val="24"/>
          <w:highlight w:val="none"/>
        </w:rPr>
        <w:t>在投标截止时间前，除供应商补充、修改或者撤回投标文件外，任何单位和个人不得解密或提取投标文件。</w:t>
      </w:r>
    </w:p>
    <w:p w14:paraId="742348E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434BF9E0">
      <w:pPr>
        <w:spacing w:line="360" w:lineRule="auto"/>
        <w:ind w:firstLine="482" w:firstLineChars="200"/>
        <w:rPr>
          <w:rFonts w:ascii="仿宋" w:hAnsi="仿宋" w:eastAsia="仿宋" w:cs="宋体"/>
          <w:b/>
          <w:snapToGrid w:val="0"/>
          <w:color w:val="auto"/>
          <w:sz w:val="24"/>
          <w:highlight w:val="none"/>
        </w:rPr>
      </w:pPr>
      <w:r>
        <w:rPr>
          <w:rFonts w:hint="eastAsia" w:ascii="仿宋" w:hAnsi="仿宋" w:eastAsia="仿宋" w:cs="宋体"/>
          <w:b/>
          <w:snapToGrid w:val="0"/>
          <w:color w:val="auto"/>
          <w:sz w:val="24"/>
          <w:highlight w:val="none"/>
        </w:rPr>
        <w:t>15.备份投标文件</w:t>
      </w:r>
    </w:p>
    <w:p w14:paraId="29E9D75F">
      <w:pPr>
        <w:spacing w:line="360" w:lineRule="auto"/>
        <w:ind w:firstLine="360" w:firstLineChars="150"/>
        <w:rPr>
          <w:rFonts w:ascii="仿宋" w:hAnsi="仿宋" w:eastAsia="仿宋" w:cs="宋体"/>
          <w:b/>
          <w:snapToGrid w:val="0"/>
          <w:color w:val="auto"/>
          <w:sz w:val="24"/>
          <w:highlight w:val="none"/>
        </w:rPr>
      </w:pPr>
      <w:r>
        <w:rPr>
          <w:rFonts w:hint="eastAsia" w:ascii="仿宋" w:hAnsi="仿宋" w:eastAsia="仿宋" w:cs="宋体"/>
          <w:snapToGrid w:val="0"/>
          <w:color w:val="auto"/>
          <w:sz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napToGrid w:val="0"/>
          <w:color w:val="auto"/>
          <w:sz w:val="24"/>
          <w:highlight w:val="none"/>
        </w:rPr>
        <w:t>但采购人、采购代理机构不强制或变相强制投标人提交备份投标文件。</w:t>
      </w:r>
    </w:p>
    <w:p w14:paraId="7AE3C6ED">
      <w:pPr>
        <w:spacing w:line="360" w:lineRule="auto"/>
        <w:ind w:firstLine="480" w:firstLineChars="200"/>
        <w:rPr>
          <w:rFonts w:ascii="仿宋" w:hAnsi="仿宋" w:eastAsia="仿宋" w:cs="宋体"/>
          <w:b/>
          <w:snapToGrid w:val="0"/>
          <w:color w:val="auto"/>
          <w:sz w:val="24"/>
          <w:highlight w:val="none"/>
        </w:rPr>
      </w:pPr>
      <w:r>
        <w:rPr>
          <w:rFonts w:hint="eastAsia" w:ascii="仿宋" w:hAnsi="仿宋" w:eastAsia="仿宋" w:cs="宋体"/>
          <w:snapToGrid w:val="0"/>
          <w:color w:val="auto"/>
          <w:sz w:val="24"/>
          <w:highlight w:val="none"/>
        </w:rPr>
        <w:t>15.2备份投标文件须在“政采云投标客户端”制作生成，并储存在</w:t>
      </w:r>
      <w:r>
        <w:rPr>
          <w:rFonts w:hint="eastAsia" w:ascii="仿宋" w:hAnsi="仿宋" w:eastAsia="仿宋" w:cs="宋体"/>
          <w:snapToGrid w:val="0"/>
          <w:color w:val="auto"/>
          <w:sz w:val="24"/>
          <w:szCs w:val="21"/>
          <w:highlight w:val="none"/>
        </w:rPr>
        <w:t>DVD光盘等存储介质</w:t>
      </w:r>
      <w:r>
        <w:rPr>
          <w:rFonts w:hint="eastAsia" w:ascii="仿宋" w:hAnsi="仿宋" w:eastAsia="仿宋" w:cs="宋体"/>
          <w:snapToGrid w:val="0"/>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napToGrid w:val="0"/>
          <w:color w:val="auto"/>
          <w:sz w:val="24"/>
          <w:szCs w:val="21"/>
          <w:highlight w:val="none"/>
        </w:rPr>
        <w:t>不符合上述制作、</w:t>
      </w:r>
      <w:r>
        <w:rPr>
          <w:rFonts w:hint="eastAsia" w:ascii="仿宋" w:hAnsi="仿宋" w:eastAsia="仿宋" w:cs="宋体"/>
          <w:b/>
          <w:snapToGrid w:val="0"/>
          <w:color w:val="auto"/>
          <w:sz w:val="24"/>
          <w:highlight w:val="none"/>
        </w:rPr>
        <w:t>存储、密封规定的备份投标文件将被视为无效或者被拒绝接收。</w:t>
      </w:r>
    </w:p>
    <w:p w14:paraId="350397E8">
      <w:pPr>
        <w:spacing w:line="360" w:lineRule="auto"/>
        <w:ind w:firstLine="480" w:firstLineChars="20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DE5A7A7">
      <w:pPr>
        <w:spacing w:line="360" w:lineRule="auto"/>
        <w:ind w:firstLine="480" w:firstLineChars="20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color w:val="auto"/>
          <w:sz w:val="24"/>
          <w:highlight w:val="none"/>
        </w:rPr>
        <w:t>招标文件第二部分投标人须知前附表规定的备份投标文件送达地点；</w:t>
      </w:r>
      <w:r>
        <w:rPr>
          <w:rFonts w:hint="eastAsia" w:ascii="仿宋" w:hAnsi="仿宋" w:eastAsia="仿宋"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516CC173">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宋体"/>
          <w:b/>
          <w:color w:val="auto"/>
          <w:sz w:val="24"/>
          <w:highlight w:val="none"/>
        </w:rPr>
        <w:t>15.5投标人仅提交备份投标文件，未在电子交易平台传输递交投标文件的，投标无效。</w:t>
      </w:r>
    </w:p>
    <w:p w14:paraId="170DF1CE">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16.投标文件的无效处理</w:t>
      </w:r>
    </w:p>
    <w:p w14:paraId="13F70514">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有招标文件第四部分 “投标无效”章节</w:t>
      </w:r>
      <w:r>
        <w:rPr>
          <w:rFonts w:hint="eastAsia" w:ascii="仿宋" w:hAnsi="仿宋" w:eastAsia="仿宋"/>
          <w:color w:val="auto"/>
          <w:sz w:val="24"/>
          <w:highlight w:val="none"/>
        </w:rPr>
        <w:t>规定</w:t>
      </w:r>
      <w:r>
        <w:rPr>
          <w:rFonts w:hint="eastAsia" w:ascii="仿宋" w:hAnsi="仿宋" w:eastAsia="仿宋" w:cs="仿宋_GB2312"/>
          <w:color w:val="auto"/>
          <w:sz w:val="24"/>
          <w:szCs w:val="21"/>
          <w:highlight w:val="none"/>
        </w:rPr>
        <w:t>的情形之一的，投标无效：</w:t>
      </w:r>
    </w:p>
    <w:p w14:paraId="0A77CE2B">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17.投标有效期</w:t>
      </w:r>
    </w:p>
    <w:p w14:paraId="3F65828F">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17.1投标有效期为从提交投标文件的截止之日起90天。</w:t>
      </w:r>
    </w:p>
    <w:p w14:paraId="34CBF174">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45B8ABB2">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17.2投标文件合格投递后，自投标截止日期起，在投标有效期内有效。投标有效期内，投标人不得撤销或更换投标文件。</w:t>
      </w:r>
    </w:p>
    <w:p w14:paraId="342DF591">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5FA1AC0C">
      <w:pPr>
        <w:spacing w:line="360" w:lineRule="auto"/>
        <w:ind w:firstLine="643" w:firstLineChars="200"/>
        <w:rPr>
          <w:rFonts w:ascii="仿宋" w:hAnsi="仿宋" w:eastAsia="仿宋" w:cs="仿宋_GB2312"/>
          <w:b/>
          <w:color w:val="auto"/>
          <w:sz w:val="32"/>
          <w:szCs w:val="20"/>
          <w:highlight w:val="none"/>
        </w:rPr>
      </w:pPr>
      <w:bookmarkStart w:id="59" w:name="_Toc91899897"/>
    </w:p>
    <w:p w14:paraId="567F8873">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w:t>
      </w:r>
      <w:bookmarkEnd w:id="59"/>
      <w:r>
        <w:rPr>
          <w:rFonts w:hint="eastAsia" w:ascii="仿宋" w:hAnsi="仿宋" w:eastAsia="仿宋" w:cs="仿宋_GB2312"/>
          <w:b/>
          <w:color w:val="auto"/>
          <w:sz w:val="32"/>
          <w:szCs w:val="20"/>
          <w:highlight w:val="none"/>
        </w:rPr>
        <w:t>、资格审查与信用信息查询</w:t>
      </w:r>
    </w:p>
    <w:p w14:paraId="7CC0F564">
      <w:pPr>
        <w:autoSpaceDE w:val="0"/>
        <w:autoSpaceDN w:val="0"/>
        <w:spacing w:line="360" w:lineRule="auto"/>
        <w:ind w:firstLine="482" w:firstLineChars="200"/>
        <w:contextualSpacing/>
        <w:rPr>
          <w:rFonts w:ascii="仿宋_GB2312" w:eastAsia="仿宋_GB2312"/>
          <w:color w:val="auto"/>
          <w:kern w:val="0"/>
          <w:sz w:val="24"/>
          <w:szCs w:val="20"/>
          <w:highlight w:val="none"/>
        </w:rPr>
      </w:pPr>
      <w:r>
        <w:rPr>
          <w:rFonts w:hint="eastAsia" w:ascii="仿宋" w:hAnsi="仿宋" w:eastAsia="仿宋" w:cs="仿宋_GB2312"/>
          <w:b/>
          <w:color w:val="auto"/>
          <w:kern w:val="0"/>
          <w:sz w:val="24"/>
          <w:highlight w:val="none"/>
        </w:rPr>
        <w:t>18.开标</w:t>
      </w:r>
    </w:p>
    <w:p w14:paraId="68754502">
      <w:pPr>
        <w:autoSpaceDE w:val="0"/>
        <w:autoSpaceDN w:val="0"/>
        <w:spacing w:line="360" w:lineRule="auto"/>
        <w:ind w:firstLine="480" w:firstLineChars="200"/>
        <w:contextualSpacing/>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18.1采购代理机构按照招标文件规定的时间通过电子交易平台组织开标，所有投标人均应当准时在线参加</w:t>
      </w:r>
      <w:r>
        <w:rPr>
          <w:rFonts w:ascii="仿宋" w:hAnsi="仿宋" w:eastAsia="仿宋" w:cs="仿宋_GB2312"/>
          <w:color w:val="auto"/>
          <w:kern w:val="0"/>
          <w:sz w:val="24"/>
          <w:szCs w:val="20"/>
          <w:highlight w:val="none"/>
        </w:rPr>
        <w:t>。</w:t>
      </w:r>
      <w:r>
        <w:rPr>
          <w:rFonts w:hint="eastAsia" w:ascii="仿宋" w:hAnsi="仿宋" w:eastAsia="仿宋" w:cs="仿宋_GB2312"/>
          <w:color w:val="auto"/>
          <w:kern w:val="0"/>
          <w:sz w:val="24"/>
          <w:szCs w:val="20"/>
          <w:highlight w:val="none"/>
        </w:rPr>
        <w:t>投标人不足3家的，不得开标。</w:t>
      </w:r>
    </w:p>
    <w:p w14:paraId="0D4D4EBD">
      <w:pPr>
        <w:autoSpaceDE w:val="0"/>
        <w:autoSpaceDN w:val="0"/>
        <w:spacing w:line="360" w:lineRule="auto"/>
        <w:ind w:firstLine="480" w:firstLineChars="200"/>
        <w:contextualSpacing/>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18.2开标时，电子交易平台按开标时间自动提取所有投标文件。采购代理机构依托电子交易平台发起开始解密指令，投标人按照平台提示和招标文件的规定在30分钟内完成在线解密。</w:t>
      </w:r>
    </w:p>
    <w:p w14:paraId="34FF67C4">
      <w:pPr>
        <w:autoSpaceDE w:val="0"/>
        <w:autoSpaceDN w:val="0"/>
        <w:spacing w:line="360" w:lineRule="auto"/>
        <w:ind w:firstLine="482" w:firstLineChars="200"/>
        <w:contextualSpacing/>
        <w:rPr>
          <w:rFonts w:ascii="仿宋" w:hAnsi="仿宋" w:eastAsia="仿宋" w:cs="仿宋_GB2312"/>
          <w:color w:val="auto"/>
          <w:kern w:val="0"/>
          <w:sz w:val="24"/>
          <w:szCs w:val="20"/>
          <w:highlight w:val="none"/>
        </w:rPr>
      </w:pPr>
      <w:r>
        <w:rPr>
          <w:rFonts w:hint="eastAsia" w:ascii="仿宋" w:hAnsi="仿宋" w:eastAsia="仿宋" w:cs="仿宋_GB2312"/>
          <w:b/>
          <w:color w:val="auto"/>
          <w:kern w:val="0"/>
          <w:sz w:val="24"/>
          <w:szCs w:val="20"/>
          <w:highlight w:val="none"/>
        </w:rPr>
        <w:t>19、资格审查</w:t>
      </w:r>
    </w:p>
    <w:p w14:paraId="4297353D">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19.1开标后，采购人或采购代理机构将依法对投标人的资格进行审查。</w:t>
      </w:r>
    </w:p>
    <w:p w14:paraId="2AA43BF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56159E4C">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Arial"/>
          <w:color w:val="auto"/>
          <w:kern w:val="0"/>
          <w:sz w:val="24"/>
          <w:highlight w:val="none"/>
        </w:rPr>
        <w:t>19.3投标人未按照招标文件要求提供与</w:t>
      </w:r>
      <w:r>
        <w:rPr>
          <w:rFonts w:hint="eastAsia" w:ascii="仿宋" w:hAnsi="仿宋" w:eastAsia="仿宋" w:cs="仿宋_GB2312"/>
          <w:color w:val="auto"/>
          <w:sz w:val="24"/>
          <w:szCs w:val="20"/>
          <w:highlight w:val="none"/>
        </w:rPr>
        <w:t>基本资格条件、特定资格条件相应的</w:t>
      </w:r>
      <w:r>
        <w:rPr>
          <w:rFonts w:hint="eastAsia" w:ascii="仿宋" w:hAnsi="仿宋" w:eastAsia="仿宋" w:cs="Arial"/>
          <w:color w:val="auto"/>
          <w:kern w:val="0"/>
          <w:sz w:val="24"/>
          <w:highlight w:val="none"/>
        </w:rPr>
        <w:t>有效资格证明材料的，视为</w:t>
      </w:r>
      <w:r>
        <w:rPr>
          <w:rFonts w:hint="eastAsia" w:ascii="仿宋" w:hAnsi="仿宋" w:eastAsia="仿宋" w:cs="仿宋_GB2312"/>
          <w:color w:val="auto"/>
          <w:sz w:val="24"/>
          <w:szCs w:val="20"/>
          <w:highlight w:val="none"/>
        </w:rPr>
        <w:t>投标人不具备招标文件中规定的资格要求，其投标无效。</w:t>
      </w:r>
    </w:p>
    <w:p w14:paraId="7AB1C81A">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19.4对未通过资格审查的投标人，采购人或采购代理机构告知其未通过的原因。</w:t>
      </w:r>
    </w:p>
    <w:p w14:paraId="04AEF15E">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19.5合格投标人不足3家的，不再评标。</w:t>
      </w:r>
    </w:p>
    <w:p w14:paraId="078349CC">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20、信用信息查询</w:t>
      </w:r>
    </w:p>
    <w:p w14:paraId="7A7CD295">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20.1信用信息查询渠道及截止时间：采购人或</w:t>
      </w:r>
      <w:r>
        <w:rPr>
          <w:rFonts w:ascii="仿宋" w:hAnsi="仿宋" w:eastAsia="仿宋" w:cs="Arial"/>
          <w:color w:val="auto"/>
          <w:kern w:val="0"/>
          <w:sz w:val="24"/>
          <w:highlight w:val="none"/>
        </w:rPr>
        <w:t>采购代理机构</w:t>
      </w:r>
      <w:r>
        <w:rPr>
          <w:rFonts w:hint="eastAsia" w:ascii="仿宋" w:hAnsi="仿宋" w:eastAsia="仿宋" w:cs="Arial"/>
          <w:color w:val="auto"/>
          <w:kern w:val="0"/>
          <w:sz w:val="24"/>
          <w:highlight w:val="none"/>
        </w:rPr>
        <w:t>将通过“信用中国”网站(www.creditchina.gov.cn)、中国政府采购网(www.ccgp.gov.cn)渠道查询投标人投标截止时间当天的信用记录。</w:t>
      </w:r>
    </w:p>
    <w:p w14:paraId="29763A4E">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20.2信用信息查询记录和证据留存的具体方式：现场查询的投标人的信用记录、查询结果经确认后将与采购文件一起存档。</w:t>
      </w:r>
    </w:p>
    <w:p w14:paraId="340C1D0B">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20.3信用信息的使用规则：经查询列入失信被执行人名单、重大税收违法案件当事人名单、政府采购严重违法失信行为记录名单的投标人将被拒绝参与政府采购活动。</w:t>
      </w:r>
    </w:p>
    <w:p w14:paraId="35DC2D37">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Arial"/>
          <w:color w:val="auto"/>
          <w:kern w:val="0"/>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 w:val="24"/>
          <w:szCs w:val="20"/>
          <w:highlight w:val="none"/>
        </w:rPr>
        <w:t>。</w:t>
      </w:r>
    </w:p>
    <w:p w14:paraId="4683480A">
      <w:pPr>
        <w:spacing w:line="360" w:lineRule="auto"/>
        <w:rPr>
          <w:rFonts w:ascii="仿宋" w:hAnsi="仿宋" w:eastAsia="仿宋" w:cs="Arial"/>
          <w:color w:val="auto"/>
          <w:kern w:val="0"/>
          <w:sz w:val="24"/>
          <w:highlight w:val="none"/>
        </w:rPr>
      </w:pPr>
    </w:p>
    <w:p w14:paraId="5674F0E8">
      <w:pPr>
        <w:adjustRightInd/>
        <w:spacing w:line="360" w:lineRule="auto"/>
        <w:jc w:val="center"/>
        <w:outlineLvl w:val="0"/>
        <w:rPr>
          <w:rFonts w:ascii="仿宋" w:hAnsi="仿宋" w:eastAsia="仿宋" w:cs="仿宋_GB2312"/>
          <w:b/>
          <w:color w:val="auto"/>
          <w:sz w:val="32"/>
          <w:szCs w:val="20"/>
          <w:highlight w:val="none"/>
        </w:rPr>
      </w:pPr>
      <w:bookmarkStart w:id="60" w:name="_Hlt75236101"/>
      <w:bookmarkEnd w:id="60"/>
      <w:bookmarkStart w:id="61" w:name="_Toc91899902"/>
      <w:r>
        <w:rPr>
          <w:rFonts w:hint="eastAsia" w:ascii="仿宋" w:hAnsi="仿宋" w:eastAsia="仿宋" w:cs="仿宋_GB2312"/>
          <w:b/>
          <w:color w:val="auto"/>
          <w:sz w:val="32"/>
          <w:szCs w:val="20"/>
          <w:highlight w:val="none"/>
        </w:rPr>
        <w:t>五、评标</w:t>
      </w:r>
      <w:bookmarkEnd w:id="61"/>
    </w:p>
    <w:p w14:paraId="39BD2F53">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详见招标文件第四部分“评标方法及评分标准”。</w:t>
      </w:r>
    </w:p>
    <w:p w14:paraId="132E846D">
      <w:pPr>
        <w:spacing w:line="360" w:lineRule="auto"/>
        <w:rPr>
          <w:rFonts w:ascii="仿宋" w:hAnsi="仿宋" w:eastAsia="仿宋" w:cs="仿宋_GB2312"/>
          <w:b/>
          <w:color w:val="auto"/>
          <w:sz w:val="24"/>
          <w:highlight w:val="none"/>
        </w:rPr>
      </w:pPr>
    </w:p>
    <w:p w14:paraId="2710C17A">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59667832">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22. 确定中标供应商</w:t>
      </w:r>
    </w:p>
    <w:p w14:paraId="5F146828">
      <w:pPr>
        <w:snapToGrid w:val="0"/>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D27D07">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23.中标通知书与中标结果公告</w:t>
      </w:r>
    </w:p>
    <w:p w14:paraId="449FDE02">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23.1采购代理机构将在自中标人确定之日起2个工作日内，发布招标公告的网站上公告中标结果，同时发出中标通知书（中标人可在政采云平台自行下载中标通知书）。</w:t>
      </w:r>
    </w:p>
    <w:p w14:paraId="1781AA61">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仿宋_GB2312"/>
          <w:color w:val="auto"/>
          <w:sz w:val="24"/>
          <w:highlight w:val="none"/>
        </w:rPr>
        <w:t>23.2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auto"/>
          <w:sz w:val="24"/>
          <w:highlight w:val="none"/>
        </w:rPr>
        <w:t>开标记录、资格审查情况、评审专家抽取规则、符合性审查情况、中标公告期限、评审专家名单、评分汇总及明细等。</w:t>
      </w:r>
    </w:p>
    <w:p w14:paraId="0F965679">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23.3</w:t>
      </w:r>
      <w:r>
        <w:rPr>
          <w:rFonts w:ascii="仿宋" w:hAnsi="仿宋" w:eastAsia="仿宋" w:cs="仿宋_GB2312"/>
          <w:color w:val="auto"/>
          <w:sz w:val="24"/>
          <w:highlight w:val="none"/>
        </w:rPr>
        <w:t>公告期限为1个工作日。</w:t>
      </w:r>
    </w:p>
    <w:p w14:paraId="66B21AD7">
      <w:pPr>
        <w:tabs>
          <w:tab w:val="left" w:pos="0"/>
        </w:tabs>
        <w:spacing w:line="360" w:lineRule="auto"/>
        <w:rPr>
          <w:rFonts w:ascii="仿宋" w:hAnsi="仿宋" w:eastAsia="仿宋"/>
          <w:color w:val="auto"/>
          <w:sz w:val="24"/>
          <w:highlight w:val="none"/>
        </w:rPr>
      </w:pPr>
    </w:p>
    <w:p w14:paraId="4A93AA09">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7A031694">
      <w:pPr>
        <w:snapToGrid w:val="0"/>
        <w:spacing w:line="360" w:lineRule="auto"/>
        <w:ind w:firstLine="482" w:firstLineChars="200"/>
        <w:rPr>
          <w:rFonts w:ascii="仿宋" w:hAnsi="仿宋" w:eastAsia="仿宋" w:cs="仿宋_GB2312"/>
          <w:color w:val="auto"/>
          <w:sz w:val="24"/>
          <w:szCs w:val="20"/>
          <w:highlight w:val="none"/>
        </w:rPr>
      </w:pPr>
      <w:r>
        <w:rPr>
          <w:rFonts w:hint="eastAsia" w:ascii="仿宋" w:hAnsi="仿宋" w:eastAsia="仿宋" w:cs="仿宋_GB2312"/>
          <w:b/>
          <w:color w:val="auto"/>
          <w:sz w:val="24"/>
          <w:szCs w:val="20"/>
          <w:highlight w:val="none"/>
        </w:rPr>
        <w:t>2</w:t>
      </w:r>
      <w:r>
        <w:rPr>
          <w:rFonts w:hint="eastAsia" w:ascii="仿宋" w:hAnsi="仿宋" w:eastAsia="仿宋" w:cs="仿宋_GB2312"/>
          <w:b/>
          <w:color w:val="auto"/>
          <w:sz w:val="24"/>
          <w:highlight w:val="none"/>
        </w:rPr>
        <w:t>4. 电子交易活动的中止。</w:t>
      </w:r>
      <w:r>
        <w:rPr>
          <w:rFonts w:hint="eastAsia" w:ascii="仿宋" w:hAnsi="仿宋" w:eastAsia="仿宋" w:cs="仿宋_GB2312"/>
          <w:color w:val="auto"/>
          <w:sz w:val="24"/>
          <w:szCs w:val="20"/>
          <w:highlight w:val="none"/>
        </w:rPr>
        <w:t>采购过程中出现以下情形，</w:t>
      </w:r>
      <w:r>
        <w:rPr>
          <w:rFonts w:ascii="仿宋" w:hAnsi="仿宋" w:eastAsia="仿宋" w:cs="仿宋_GB2312"/>
          <w:color w:val="auto"/>
          <w:sz w:val="24"/>
          <w:szCs w:val="20"/>
          <w:highlight w:val="none"/>
        </w:rPr>
        <w:t>导致</w:t>
      </w:r>
      <w:r>
        <w:rPr>
          <w:rFonts w:hint="eastAsia" w:ascii="仿宋" w:hAnsi="仿宋" w:eastAsia="仿宋" w:cs="仿宋_GB2312"/>
          <w:color w:val="auto"/>
          <w:sz w:val="24"/>
          <w:szCs w:val="20"/>
          <w:highlight w:val="none"/>
        </w:rPr>
        <w:t>电子交易平台</w:t>
      </w:r>
      <w:r>
        <w:rPr>
          <w:rFonts w:ascii="仿宋" w:hAnsi="仿宋" w:eastAsia="仿宋" w:cs="仿宋_GB2312"/>
          <w:color w:val="auto"/>
          <w:sz w:val="24"/>
          <w:szCs w:val="20"/>
          <w:highlight w:val="none"/>
        </w:rPr>
        <w:t>无法正常运行，或者无法保证电子</w:t>
      </w:r>
      <w:r>
        <w:rPr>
          <w:rFonts w:hint="eastAsia" w:ascii="仿宋" w:hAnsi="仿宋" w:eastAsia="仿宋" w:cs="仿宋_GB2312"/>
          <w:color w:val="auto"/>
          <w:sz w:val="24"/>
          <w:szCs w:val="20"/>
          <w:highlight w:val="none"/>
        </w:rPr>
        <w:t>交易</w:t>
      </w:r>
      <w:r>
        <w:rPr>
          <w:rFonts w:ascii="仿宋" w:hAnsi="仿宋" w:eastAsia="仿宋" w:cs="仿宋_GB2312"/>
          <w:color w:val="auto"/>
          <w:sz w:val="24"/>
          <w:szCs w:val="20"/>
          <w:highlight w:val="none"/>
        </w:rPr>
        <w:t>的公平、公正和安全时，</w:t>
      </w:r>
      <w:r>
        <w:rPr>
          <w:rFonts w:hint="eastAsia" w:ascii="仿宋" w:hAnsi="仿宋" w:eastAsia="仿宋" w:cs="仿宋_GB2312"/>
          <w:color w:val="auto"/>
          <w:sz w:val="24"/>
          <w:szCs w:val="20"/>
          <w:highlight w:val="none"/>
        </w:rPr>
        <w:t>采购代理机构可</w:t>
      </w:r>
      <w:r>
        <w:rPr>
          <w:rFonts w:ascii="仿宋" w:hAnsi="仿宋" w:eastAsia="仿宋" w:cs="仿宋_GB2312"/>
          <w:color w:val="auto"/>
          <w:sz w:val="24"/>
          <w:szCs w:val="20"/>
          <w:highlight w:val="none"/>
        </w:rPr>
        <w:t>中止电子</w:t>
      </w:r>
      <w:r>
        <w:rPr>
          <w:rFonts w:hint="eastAsia" w:ascii="仿宋" w:hAnsi="仿宋" w:eastAsia="仿宋" w:cs="仿宋_GB2312"/>
          <w:color w:val="auto"/>
          <w:sz w:val="24"/>
          <w:szCs w:val="20"/>
          <w:highlight w:val="none"/>
        </w:rPr>
        <w:t>交易活动</w:t>
      </w:r>
      <w:r>
        <w:rPr>
          <w:rFonts w:ascii="仿宋" w:hAnsi="仿宋" w:eastAsia="仿宋" w:cs="仿宋_GB2312"/>
          <w:color w:val="auto"/>
          <w:sz w:val="24"/>
          <w:szCs w:val="20"/>
          <w:highlight w:val="none"/>
        </w:rPr>
        <w:t>：</w:t>
      </w:r>
    </w:p>
    <w:p w14:paraId="5DB684AC">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24.1电子交易</w:t>
      </w:r>
      <w:r>
        <w:rPr>
          <w:rFonts w:ascii="仿宋" w:hAnsi="仿宋" w:eastAsia="仿宋" w:cs="仿宋_GB2312"/>
          <w:color w:val="auto"/>
          <w:sz w:val="24"/>
          <w:szCs w:val="20"/>
          <w:highlight w:val="none"/>
        </w:rPr>
        <w:t>平台发生故障而无法</w:t>
      </w:r>
      <w:r>
        <w:rPr>
          <w:rFonts w:hint="eastAsia" w:ascii="仿宋" w:hAnsi="仿宋" w:eastAsia="仿宋" w:cs="仿宋_GB2312"/>
          <w:color w:val="auto"/>
          <w:sz w:val="24"/>
          <w:szCs w:val="20"/>
          <w:highlight w:val="none"/>
        </w:rPr>
        <w:t>登录</w:t>
      </w:r>
      <w:r>
        <w:rPr>
          <w:rFonts w:ascii="仿宋" w:hAnsi="仿宋" w:eastAsia="仿宋" w:cs="仿宋_GB2312"/>
          <w:color w:val="auto"/>
          <w:sz w:val="24"/>
          <w:szCs w:val="20"/>
          <w:highlight w:val="none"/>
        </w:rPr>
        <w:t xml:space="preserve">访问的； </w:t>
      </w:r>
    </w:p>
    <w:p w14:paraId="57F6F134">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24.2电子交易</w:t>
      </w:r>
      <w:r>
        <w:rPr>
          <w:rFonts w:ascii="仿宋" w:hAnsi="仿宋" w:eastAsia="仿宋" w:cs="仿宋_GB2312"/>
          <w:color w:val="auto"/>
          <w:sz w:val="24"/>
          <w:szCs w:val="20"/>
          <w:highlight w:val="none"/>
        </w:rPr>
        <w:t>平台应用或数据库出现错误，不能进行正常操作</w:t>
      </w:r>
      <w:r>
        <w:rPr>
          <w:rFonts w:hint="eastAsia" w:ascii="仿宋" w:hAnsi="仿宋" w:eastAsia="仿宋" w:cs="仿宋_GB2312"/>
          <w:color w:val="auto"/>
          <w:sz w:val="24"/>
          <w:szCs w:val="20"/>
          <w:highlight w:val="none"/>
        </w:rPr>
        <w:t>的</w:t>
      </w:r>
      <w:r>
        <w:rPr>
          <w:rFonts w:ascii="仿宋" w:hAnsi="仿宋" w:eastAsia="仿宋" w:cs="仿宋_GB2312"/>
          <w:color w:val="auto"/>
          <w:sz w:val="24"/>
          <w:szCs w:val="20"/>
          <w:highlight w:val="none"/>
        </w:rPr>
        <w:t>；</w:t>
      </w:r>
    </w:p>
    <w:p w14:paraId="244B2955">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24.3电子交易</w:t>
      </w:r>
      <w:r>
        <w:rPr>
          <w:rFonts w:ascii="仿宋" w:hAnsi="仿宋" w:eastAsia="仿宋" w:cs="仿宋_GB2312"/>
          <w:color w:val="auto"/>
          <w:sz w:val="24"/>
          <w:szCs w:val="20"/>
          <w:highlight w:val="none"/>
        </w:rPr>
        <w:t>平台发现</w:t>
      </w:r>
      <w:r>
        <w:rPr>
          <w:rFonts w:hint="eastAsia" w:ascii="仿宋" w:hAnsi="仿宋" w:eastAsia="仿宋" w:cs="仿宋_GB2312"/>
          <w:color w:val="auto"/>
          <w:sz w:val="24"/>
          <w:szCs w:val="20"/>
          <w:highlight w:val="none"/>
        </w:rPr>
        <w:t>严重</w:t>
      </w:r>
      <w:r>
        <w:rPr>
          <w:rFonts w:ascii="仿宋" w:hAnsi="仿宋" w:eastAsia="仿宋" w:cs="仿宋_GB2312"/>
          <w:color w:val="auto"/>
          <w:sz w:val="24"/>
          <w:szCs w:val="20"/>
          <w:highlight w:val="none"/>
        </w:rPr>
        <w:t>安全漏洞，有潜在泄密危险的</w:t>
      </w:r>
      <w:r>
        <w:rPr>
          <w:rFonts w:hint="eastAsia" w:ascii="仿宋" w:hAnsi="仿宋" w:eastAsia="仿宋" w:cs="仿宋_GB2312"/>
          <w:color w:val="auto"/>
          <w:sz w:val="24"/>
          <w:szCs w:val="20"/>
          <w:highlight w:val="none"/>
        </w:rPr>
        <w:t>；</w:t>
      </w:r>
    </w:p>
    <w:p w14:paraId="07328F1F">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24.4</w:t>
      </w:r>
      <w:r>
        <w:rPr>
          <w:rFonts w:ascii="仿宋" w:hAnsi="仿宋" w:eastAsia="仿宋" w:cs="仿宋_GB2312"/>
          <w:color w:val="auto"/>
          <w:sz w:val="24"/>
          <w:szCs w:val="20"/>
          <w:highlight w:val="none"/>
        </w:rPr>
        <w:t>病毒发作</w:t>
      </w:r>
      <w:r>
        <w:rPr>
          <w:rFonts w:hint="eastAsia" w:ascii="仿宋" w:hAnsi="仿宋" w:eastAsia="仿宋" w:cs="仿宋_GB2312"/>
          <w:color w:val="auto"/>
          <w:sz w:val="24"/>
          <w:szCs w:val="20"/>
          <w:highlight w:val="none"/>
        </w:rPr>
        <w:t>导致不能进行</w:t>
      </w:r>
      <w:r>
        <w:rPr>
          <w:rFonts w:ascii="仿宋" w:hAnsi="仿宋" w:eastAsia="仿宋" w:cs="仿宋_GB2312"/>
          <w:color w:val="auto"/>
          <w:sz w:val="24"/>
          <w:szCs w:val="20"/>
          <w:highlight w:val="none"/>
        </w:rPr>
        <w:t xml:space="preserve">正常操作的； </w:t>
      </w:r>
    </w:p>
    <w:p w14:paraId="780B4F38">
      <w:pPr>
        <w:snapToGrid w:val="0"/>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24.5其他</w:t>
      </w:r>
      <w:r>
        <w:rPr>
          <w:rFonts w:ascii="仿宋" w:hAnsi="仿宋" w:eastAsia="仿宋" w:cs="仿宋_GB2312"/>
          <w:color w:val="auto"/>
          <w:sz w:val="24"/>
          <w:szCs w:val="20"/>
          <w:highlight w:val="none"/>
        </w:rPr>
        <w:t>无法保证</w:t>
      </w:r>
      <w:r>
        <w:rPr>
          <w:rFonts w:hint="eastAsia" w:ascii="仿宋" w:hAnsi="仿宋" w:eastAsia="仿宋" w:cs="仿宋_GB2312"/>
          <w:color w:val="auto"/>
          <w:sz w:val="24"/>
          <w:szCs w:val="20"/>
          <w:highlight w:val="none"/>
        </w:rPr>
        <w:t>电子交易</w:t>
      </w:r>
      <w:r>
        <w:rPr>
          <w:rFonts w:ascii="仿宋" w:hAnsi="仿宋" w:eastAsia="仿宋" w:cs="仿宋_GB2312"/>
          <w:color w:val="auto"/>
          <w:sz w:val="24"/>
          <w:szCs w:val="20"/>
          <w:highlight w:val="none"/>
        </w:rPr>
        <w:t>的公平、公正和安全的情况。</w:t>
      </w:r>
    </w:p>
    <w:p w14:paraId="312F4534">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出现</w:t>
      </w:r>
      <w:r>
        <w:rPr>
          <w:rFonts w:hint="eastAsia" w:ascii="仿宋" w:hAnsi="仿宋" w:eastAsia="仿宋" w:cs="仿宋_GB2312"/>
          <w:color w:val="auto"/>
          <w:sz w:val="24"/>
          <w:szCs w:val="20"/>
          <w:highlight w:val="none"/>
        </w:rPr>
        <w:t>以上情形</w:t>
      </w:r>
      <w:r>
        <w:rPr>
          <w:rFonts w:ascii="仿宋" w:hAnsi="仿宋" w:eastAsia="仿宋" w:cs="仿宋_GB2312"/>
          <w:color w:val="auto"/>
          <w:sz w:val="24"/>
          <w:szCs w:val="20"/>
          <w:highlight w:val="none"/>
        </w:rPr>
        <w:t>，</w:t>
      </w:r>
      <w:r>
        <w:rPr>
          <w:rFonts w:hint="eastAsia" w:ascii="仿宋" w:hAnsi="仿宋" w:eastAsia="仿宋" w:cs="仿宋_GB2312"/>
          <w:color w:val="auto"/>
          <w:sz w:val="24"/>
          <w:szCs w:val="20"/>
          <w:highlight w:val="none"/>
        </w:rPr>
        <w:t>不影响采购公平、公正性的，采购组织机构可以</w:t>
      </w:r>
      <w:r>
        <w:rPr>
          <w:rFonts w:ascii="仿宋" w:hAnsi="仿宋" w:eastAsia="仿宋" w:cs="仿宋_GB2312"/>
          <w:color w:val="auto"/>
          <w:sz w:val="24"/>
          <w:szCs w:val="20"/>
          <w:highlight w:val="none"/>
        </w:rPr>
        <w:t>待上述情形消除后继续</w:t>
      </w:r>
      <w:r>
        <w:rPr>
          <w:rFonts w:hint="eastAsia" w:ascii="仿宋" w:hAnsi="仿宋" w:eastAsia="仿宋" w:cs="仿宋_GB2312"/>
          <w:color w:val="auto"/>
          <w:sz w:val="24"/>
          <w:szCs w:val="20"/>
          <w:highlight w:val="none"/>
        </w:rPr>
        <w:t>组织电子交易</w:t>
      </w:r>
      <w:r>
        <w:rPr>
          <w:rFonts w:ascii="仿宋" w:hAnsi="仿宋" w:eastAsia="仿宋" w:cs="仿宋_GB2312"/>
          <w:color w:val="auto"/>
          <w:sz w:val="24"/>
          <w:szCs w:val="20"/>
          <w:highlight w:val="none"/>
        </w:rPr>
        <w:t>活动</w:t>
      </w:r>
      <w:r>
        <w:rPr>
          <w:rFonts w:hint="eastAsia" w:ascii="仿宋" w:hAnsi="仿宋" w:eastAsia="仿宋" w:cs="仿宋_GB2312"/>
          <w:color w:val="auto"/>
          <w:sz w:val="24"/>
          <w:szCs w:val="20"/>
          <w:highlight w:val="none"/>
        </w:rPr>
        <w:t>，也可以决定某些环节以纸质形式进行；影响或可能影响</w:t>
      </w:r>
      <w:r>
        <w:rPr>
          <w:rFonts w:ascii="仿宋" w:hAnsi="仿宋" w:eastAsia="仿宋" w:cs="仿宋_GB2312"/>
          <w:color w:val="auto"/>
          <w:sz w:val="24"/>
          <w:szCs w:val="20"/>
          <w:highlight w:val="none"/>
        </w:rPr>
        <w:t>采购公平、公正</w:t>
      </w:r>
      <w:r>
        <w:rPr>
          <w:rFonts w:hint="eastAsia" w:ascii="仿宋" w:hAnsi="仿宋" w:eastAsia="仿宋" w:cs="仿宋_GB2312"/>
          <w:color w:val="auto"/>
          <w:sz w:val="24"/>
          <w:szCs w:val="20"/>
          <w:highlight w:val="none"/>
        </w:rPr>
        <w:t>性</w:t>
      </w:r>
      <w:r>
        <w:rPr>
          <w:rFonts w:ascii="仿宋" w:hAnsi="仿宋" w:eastAsia="仿宋" w:cs="仿宋_GB2312"/>
          <w:color w:val="auto"/>
          <w:sz w:val="24"/>
          <w:szCs w:val="20"/>
          <w:highlight w:val="none"/>
        </w:rPr>
        <w:t>的，</w:t>
      </w:r>
      <w:r>
        <w:rPr>
          <w:rFonts w:hint="eastAsia" w:ascii="仿宋" w:hAnsi="仿宋" w:eastAsia="仿宋" w:cs="仿宋_GB2312"/>
          <w:color w:val="auto"/>
          <w:sz w:val="24"/>
          <w:szCs w:val="20"/>
          <w:highlight w:val="none"/>
        </w:rPr>
        <w:t>应当重新采购</w:t>
      </w:r>
      <w:r>
        <w:rPr>
          <w:rFonts w:ascii="仿宋" w:hAnsi="仿宋" w:eastAsia="仿宋" w:cs="仿宋_GB2312"/>
          <w:color w:val="auto"/>
          <w:sz w:val="24"/>
          <w:szCs w:val="20"/>
          <w:highlight w:val="none"/>
        </w:rPr>
        <w:t>。</w:t>
      </w:r>
    </w:p>
    <w:p w14:paraId="013471AA">
      <w:pPr>
        <w:snapToGrid w:val="0"/>
        <w:spacing w:line="360" w:lineRule="auto"/>
        <w:ind w:firstLine="480" w:firstLineChars="200"/>
        <w:rPr>
          <w:rFonts w:ascii="仿宋" w:hAnsi="仿宋" w:eastAsia="仿宋" w:cs="仿宋_GB2312"/>
          <w:color w:val="auto"/>
          <w:sz w:val="24"/>
          <w:szCs w:val="20"/>
          <w:highlight w:val="none"/>
        </w:rPr>
      </w:pPr>
    </w:p>
    <w:p w14:paraId="6A3D3676">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1F2A9008">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25. </w:t>
      </w:r>
      <w:r>
        <w:rPr>
          <w:rFonts w:hint="eastAsia" w:ascii="仿宋" w:hAnsi="仿宋" w:eastAsia="仿宋" w:cs="仿宋_GB2312"/>
          <w:color w:val="auto"/>
          <w:sz w:val="24"/>
          <w:highlight w:val="none"/>
        </w:rPr>
        <w:t>合同主要条款详见第五部分拟签订的合同文本。</w:t>
      </w:r>
    </w:p>
    <w:p w14:paraId="487A26DA">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26. 合同的签订</w:t>
      </w:r>
    </w:p>
    <w:p w14:paraId="76DCA07A">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26.1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6C4154F7">
      <w:pPr>
        <w:snapToGrid w:val="0"/>
        <w:spacing w:line="360" w:lineRule="auto"/>
        <w:ind w:firstLine="480" w:firstLineChars="200"/>
        <w:rPr>
          <w:rFonts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0EE2E3B7">
      <w:pPr>
        <w:spacing w:line="360" w:lineRule="auto"/>
        <w:ind w:firstLine="480" w:firstLineChars="200"/>
        <w:rPr>
          <w:rFonts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38C5346C">
      <w:pPr>
        <w:snapToGrid w:val="0"/>
        <w:spacing w:line="360" w:lineRule="auto"/>
        <w:ind w:firstLine="480" w:firstLineChars="20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26.4鼓励采购人与中标供应商根据招标文件、投标文件等内容通过政府采购电子交易平台在线签订合同，自动备案。</w:t>
      </w:r>
    </w:p>
    <w:p w14:paraId="40188054">
      <w:pPr>
        <w:tabs>
          <w:tab w:val="left" w:pos="2760"/>
        </w:tabs>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27. 履约保证金</w:t>
      </w:r>
      <w:r>
        <w:rPr>
          <w:rFonts w:ascii="仿宋" w:hAnsi="仿宋" w:eastAsia="仿宋" w:cs="仿宋_GB2312"/>
          <w:b/>
          <w:color w:val="auto"/>
          <w:sz w:val="24"/>
          <w:highlight w:val="none"/>
        </w:rPr>
        <w:tab/>
      </w:r>
    </w:p>
    <w:p w14:paraId="2FCD6842">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b/>
          <w:color w:val="auto"/>
          <w:sz w:val="24"/>
          <w:highlight w:val="none"/>
        </w:rPr>
        <w:t>0.5</w:t>
      </w:r>
      <w:r>
        <w:rPr>
          <w:rFonts w:hint="eastAsia" w:ascii="仿宋" w:hAnsi="仿宋" w:eastAsia="仿宋"/>
          <w:color w:val="auto"/>
          <w:sz w:val="24"/>
          <w:highlight w:val="none"/>
        </w:rPr>
        <w:t>%，</w:t>
      </w:r>
      <w:r>
        <w:rPr>
          <w:rFonts w:hint="eastAsia" w:ascii="仿宋" w:hAnsi="仿宋" w:eastAsia="仿宋" w:cs="宋体"/>
          <w:color w:val="auto"/>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5A5DC5D4">
      <w:pPr>
        <w:keepNext/>
        <w:keepLines/>
        <w:tabs>
          <w:tab w:val="left" w:pos="432"/>
        </w:tabs>
        <w:adjustRightInd/>
        <w:spacing w:line="360" w:lineRule="auto"/>
        <w:ind w:firstLine="480" w:firstLineChars="200"/>
        <w:jc w:val="left"/>
        <w:outlineLvl w:val="1"/>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供应商</w:t>
      </w:r>
      <w:r>
        <w:rPr>
          <w:rFonts w:hint="eastAsia" w:ascii="仿宋" w:hAnsi="仿宋" w:eastAsia="仿宋" w:cs="宋体"/>
          <w:snapToGrid w:val="0"/>
          <w:color w:val="auto"/>
          <w:kern w:val="28"/>
          <w:sz w:val="24"/>
          <w:szCs w:val="32"/>
          <w:highlight w:val="none"/>
        </w:rPr>
        <w:t>可</w:t>
      </w:r>
      <w:r>
        <w:rPr>
          <w:rFonts w:hint="eastAsia" w:ascii="仿宋" w:hAnsi="仿宋" w:eastAsia="仿宋" w:cs="宋体"/>
          <w:snapToGrid w:val="0"/>
          <w:color w:val="auto"/>
          <w:kern w:val="28"/>
          <w:sz w:val="24"/>
          <w:szCs w:val="32"/>
          <w:highlight w:val="none"/>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301EC8">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28</w:t>
      </w:r>
      <w:r>
        <w:rPr>
          <w:rFonts w:ascii="仿宋" w:hAnsi="仿宋" w:eastAsia="仿宋" w:cs="仿宋_GB2312"/>
          <w:b/>
          <w:color w:val="auto"/>
          <w:sz w:val="24"/>
          <w:highlight w:val="none"/>
        </w:rPr>
        <w:t>.预付款</w:t>
      </w:r>
    </w:p>
    <w:p w14:paraId="51F0F030">
      <w:pPr>
        <w:adjustRightInd/>
        <w:spacing w:line="360" w:lineRule="auto"/>
        <w:ind w:firstLine="480" w:firstLineChars="200"/>
        <w:rPr>
          <w:rFonts w:ascii="仿宋" w:hAnsi="仿宋" w:eastAsia="仿宋"/>
          <w:color w:val="auto"/>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，不高于年度计划支付金额的</w:t>
      </w:r>
      <w:r>
        <w:rPr>
          <w:rFonts w:ascii="仿宋" w:hAnsi="仿宋" w:eastAsia="仿宋"/>
          <w:color w:val="auto"/>
          <w:sz w:val="24"/>
          <w:highlight w:val="none"/>
        </w:rPr>
        <w:t>70%</w:t>
      </w:r>
      <w:r>
        <w:rPr>
          <w:rFonts w:hint="eastAsia" w:ascii="仿宋" w:hAnsi="仿宋" w:eastAsia="仿宋"/>
          <w:color w:val="auto"/>
          <w:sz w:val="24"/>
          <w:highlight w:val="none"/>
        </w:rPr>
        <w:t>。</w:t>
      </w:r>
      <w:r>
        <w:rPr>
          <w:rFonts w:ascii="仿宋" w:hAnsi="仿宋" w:eastAsia="仿宋"/>
          <w:color w:val="auto"/>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7</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2174812D">
      <w:pPr>
        <w:adjustRightInd/>
        <w:spacing w:line="360" w:lineRule="auto"/>
        <w:outlineLvl w:val="0"/>
        <w:rPr>
          <w:rFonts w:ascii="仿宋" w:hAnsi="仿宋" w:eastAsia="仿宋" w:cs="仿宋_GB2312"/>
          <w:b/>
          <w:color w:val="auto"/>
          <w:sz w:val="32"/>
          <w:szCs w:val="20"/>
          <w:highlight w:val="none"/>
        </w:rPr>
      </w:pPr>
    </w:p>
    <w:p w14:paraId="69C8D682">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14:paraId="7BA978C5">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29.履约验收</w:t>
      </w:r>
    </w:p>
    <w:p w14:paraId="37D41220">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551FA9A6">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16989305">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14:paraId="344D110E">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11883202">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采购合同的履行、违约责任和解决争议的方式等适用《中华人民共和国合同法》。</w:t>
      </w:r>
    </w:p>
    <w:p w14:paraId="412758B1">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14:paraId="02C254A5">
      <w:pPr>
        <w:adjustRightInd/>
        <w:spacing w:line="360" w:lineRule="auto"/>
        <w:ind w:firstLine="2872" w:firstLineChars="1197"/>
        <w:outlineLvl w:val="0"/>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9"/>
    <w:bookmarkEnd w:id="40"/>
    <w:p w14:paraId="7DCCCBC8">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第三部分采购需求</w:t>
      </w:r>
    </w:p>
    <w:p w14:paraId="467F1E1D">
      <w:pPr>
        <w:snapToGrid w:val="0"/>
        <w:spacing w:line="360" w:lineRule="auto"/>
        <w:jc w:val="left"/>
        <w:rPr>
          <w:rFonts w:ascii="仿宋" w:hAnsi="仿宋" w:eastAsia="仿宋" w:cs="仿宋"/>
          <w:b/>
          <w:i/>
          <w:color w:val="auto"/>
          <w:sz w:val="22"/>
          <w:szCs w:val="36"/>
          <w:highlight w:val="none"/>
        </w:rPr>
      </w:pPr>
    </w:p>
    <w:p w14:paraId="2812444B">
      <w:pPr>
        <w:snapToGrid w:val="0"/>
        <w:spacing w:before="120" w:beforeLines="50" w:after="120" w:afterLines="50"/>
        <w:rPr>
          <w:rFonts w:ascii="仿宋" w:hAnsi="仿宋" w:eastAsia="仿宋" w:cs="仿宋"/>
          <w:color w:val="auto"/>
          <w:sz w:val="24"/>
          <w:highlight w:val="none"/>
        </w:rPr>
      </w:pPr>
      <w:r>
        <w:rPr>
          <w:rFonts w:hint="eastAsia" w:ascii="仿宋" w:hAnsi="仿宋" w:eastAsia="仿宋" w:cs="仿宋"/>
          <w:color w:val="auto"/>
          <w:sz w:val="24"/>
          <w:highlight w:val="none"/>
        </w:rPr>
        <w:t>特别说明：</w:t>
      </w:r>
    </w:p>
    <w:p w14:paraId="303280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1.需求中不允许偏离的实质性要求和条件，以“▲”号标明。</w:t>
      </w:r>
    </w:p>
    <w:p w14:paraId="3F78E8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2.单一产品采购项目中的该产品或者非单一产品采购项目的核心产品，以“★”标明。</w:t>
      </w:r>
    </w:p>
    <w:p w14:paraId="4CD7DF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0B41D387">
      <w:pPr>
        <w:snapToGrid w:val="0"/>
        <w:spacing w:line="360" w:lineRule="auto"/>
        <w:rPr>
          <w:rFonts w:ascii="仿宋" w:hAnsi="仿宋" w:eastAsia="仿宋" w:cs="仿宋"/>
          <w:color w:val="auto"/>
          <w:kern w:val="0"/>
          <w:sz w:val="24"/>
          <w:highlight w:val="none"/>
        </w:rPr>
      </w:pPr>
    </w:p>
    <w:p w14:paraId="00498273">
      <w:pPr>
        <w:snapToGrid w:val="0"/>
        <w:spacing w:line="360" w:lineRule="auto"/>
        <w:rPr>
          <w:rFonts w:ascii="仿宋" w:hAnsi="仿宋" w:eastAsia="仿宋" w:cs="仿宋"/>
          <w:color w:val="auto"/>
          <w:kern w:val="0"/>
          <w:sz w:val="24"/>
          <w:highlight w:val="none"/>
        </w:rPr>
      </w:pPr>
    </w:p>
    <w:p w14:paraId="15487B88">
      <w:pPr>
        <w:snapToGrid w:val="0"/>
        <w:spacing w:line="360" w:lineRule="auto"/>
        <w:rPr>
          <w:rFonts w:ascii="仿宋" w:hAnsi="仿宋" w:eastAsia="仿宋" w:cs="仿宋"/>
          <w:color w:val="auto"/>
          <w:kern w:val="0"/>
          <w:sz w:val="24"/>
          <w:highlight w:val="none"/>
        </w:rPr>
      </w:pPr>
    </w:p>
    <w:p w14:paraId="54CBF113">
      <w:pPr>
        <w:snapToGrid w:val="0"/>
        <w:spacing w:line="360" w:lineRule="auto"/>
        <w:rPr>
          <w:rFonts w:ascii="仿宋" w:hAnsi="仿宋" w:eastAsia="仿宋" w:cs="仿宋"/>
          <w:color w:val="auto"/>
          <w:kern w:val="0"/>
          <w:sz w:val="24"/>
          <w:highlight w:val="none"/>
        </w:rPr>
      </w:pPr>
    </w:p>
    <w:p w14:paraId="1E1298D0">
      <w:pPr>
        <w:snapToGrid w:val="0"/>
        <w:spacing w:line="360" w:lineRule="auto"/>
        <w:rPr>
          <w:rFonts w:ascii="仿宋" w:hAnsi="仿宋" w:eastAsia="仿宋" w:cs="仿宋"/>
          <w:color w:val="auto"/>
          <w:kern w:val="0"/>
          <w:sz w:val="24"/>
          <w:highlight w:val="none"/>
        </w:rPr>
      </w:pPr>
    </w:p>
    <w:p w14:paraId="0FC7FFE1">
      <w:pPr>
        <w:snapToGrid w:val="0"/>
        <w:spacing w:line="360" w:lineRule="auto"/>
        <w:rPr>
          <w:rFonts w:ascii="仿宋" w:hAnsi="仿宋" w:eastAsia="仿宋" w:cs="仿宋"/>
          <w:color w:val="auto"/>
          <w:kern w:val="0"/>
          <w:sz w:val="24"/>
          <w:highlight w:val="none"/>
        </w:rPr>
      </w:pPr>
    </w:p>
    <w:p w14:paraId="59113668">
      <w:pPr>
        <w:snapToGrid w:val="0"/>
        <w:spacing w:line="360" w:lineRule="auto"/>
        <w:rPr>
          <w:rFonts w:ascii="仿宋" w:hAnsi="仿宋" w:eastAsia="仿宋" w:cs="仿宋"/>
          <w:color w:val="auto"/>
          <w:kern w:val="0"/>
          <w:sz w:val="24"/>
          <w:highlight w:val="none"/>
        </w:rPr>
      </w:pPr>
    </w:p>
    <w:p w14:paraId="5FF27C7E">
      <w:pPr>
        <w:snapToGrid w:val="0"/>
        <w:spacing w:line="360" w:lineRule="auto"/>
        <w:rPr>
          <w:rFonts w:ascii="仿宋" w:hAnsi="仿宋" w:eastAsia="仿宋" w:cs="仿宋"/>
          <w:color w:val="auto"/>
          <w:kern w:val="0"/>
          <w:sz w:val="24"/>
          <w:highlight w:val="none"/>
        </w:rPr>
      </w:pPr>
    </w:p>
    <w:p w14:paraId="24975272">
      <w:pPr>
        <w:snapToGrid w:val="0"/>
        <w:spacing w:line="360" w:lineRule="auto"/>
        <w:rPr>
          <w:rFonts w:ascii="仿宋" w:hAnsi="仿宋" w:eastAsia="仿宋" w:cs="仿宋"/>
          <w:color w:val="auto"/>
          <w:kern w:val="0"/>
          <w:sz w:val="24"/>
          <w:highlight w:val="none"/>
        </w:rPr>
      </w:pPr>
    </w:p>
    <w:p w14:paraId="05C8CF75">
      <w:pPr>
        <w:snapToGrid w:val="0"/>
        <w:spacing w:line="360" w:lineRule="auto"/>
        <w:rPr>
          <w:rFonts w:ascii="仿宋" w:hAnsi="仿宋" w:eastAsia="仿宋" w:cs="仿宋"/>
          <w:color w:val="auto"/>
          <w:kern w:val="0"/>
          <w:sz w:val="24"/>
          <w:highlight w:val="none"/>
        </w:rPr>
      </w:pPr>
    </w:p>
    <w:p w14:paraId="54313AE5">
      <w:pPr>
        <w:snapToGrid w:val="0"/>
        <w:spacing w:line="360" w:lineRule="auto"/>
        <w:rPr>
          <w:rFonts w:ascii="仿宋" w:hAnsi="仿宋" w:eastAsia="仿宋" w:cs="仿宋"/>
          <w:color w:val="auto"/>
          <w:kern w:val="0"/>
          <w:sz w:val="24"/>
          <w:highlight w:val="none"/>
        </w:rPr>
      </w:pPr>
    </w:p>
    <w:p w14:paraId="39AC6A2E">
      <w:pPr>
        <w:snapToGrid w:val="0"/>
        <w:spacing w:line="360" w:lineRule="auto"/>
        <w:rPr>
          <w:rFonts w:ascii="仿宋" w:hAnsi="仿宋" w:eastAsia="仿宋" w:cs="仿宋"/>
          <w:color w:val="auto"/>
          <w:kern w:val="0"/>
          <w:sz w:val="24"/>
          <w:highlight w:val="none"/>
        </w:rPr>
      </w:pPr>
    </w:p>
    <w:p w14:paraId="1F25D1F7">
      <w:pPr>
        <w:snapToGrid w:val="0"/>
        <w:spacing w:line="360" w:lineRule="auto"/>
        <w:rPr>
          <w:rFonts w:ascii="仿宋" w:hAnsi="仿宋" w:eastAsia="仿宋" w:cs="仿宋"/>
          <w:color w:val="auto"/>
          <w:kern w:val="0"/>
          <w:sz w:val="24"/>
          <w:highlight w:val="none"/>
        </w:rPr>
      </w:pPr>
    </w:p>
    <w:p w14:paraId="531B3F89">
      <w:pPr>
        <w:snapToGrid w:val="0"/>
        <w:spacing w:line="360" w:lineRule="auto"/>
        <w:rPr>
          <w:rFonts w:ascii="仿宋" w:hAnsi="仿宋" w:eastAsia="仿宋" w:cs="仿宋"/>
          <w:color w:val="auto"/>
          <w:kern w:val="0"/>
          <w:sz w:val="24"/>
          <w:highlight w:val="none"/>
        </w:rPr>
      </w:pPr>
    </w:p>
    <w:p w14:paraId="057124F7">
      <w:pPr>
        <w:snapToGrid w:val="0"/>
        <w:spacing w:line="360" w:lineRule="auto"/>
        <w:rPr>
          <w:rFonts w:ascii="仿宋" w:hAnsi="仿宋" w:eastAsia="仿宋" w:cs="仿宋"/>
          <w:color w:val="auto"/>
          <w:kern w:val="0"/>
          <w:sz w:val="24"/>
          <w:highlight w:val="none"/>
        </w:rPr>
      </w:pPr>
    </w:p>
    <w:p w14:paraId="03AEE590">
      <w:pPr>
        <w:snapToGrid w:val="0"/>
        <w:spacing w:line="360" w:lineRule="auto"/>
        <w:rPr>
          <w:rFonts w:ascii="仿宋" w:hAnsi="仿宋" w:eastAsia="仿宋" w:cs="仿宋"/>
          <w:color w:val="auto"/>
          <w:kern w:val="0"/>
          <w:sz w:val="24"/>
          <w:highlight w:val="none"/>
        </w:rPr>
      </w:pPr>
    </w:p>
    <w:p w14:paraId="2C2D41CD">
      <w:pPr>
        <w:snapToGrid w:val="0"/>
        <w:spacing w:line="360" w:lineRule="auto"/>
        <w:rPr>
          <w:rFonts w:ascii="仿宋" w:hAnsi="仿宋" w:eastAsia="仿宋" w:cs="仿宋"/>
          <w:color w:val="auto"/>
          <w:kern w:val="0"/>
          <w:sz w:val="24"/>
          <w:highlight w:val="none"/>
        </w:rPr>
      </w:pPr>
    </w:p>
    <w:p w14:paraId="240C4DC9">
      <w:pPr>
        <w:snapToGrid w:val="0"/>
        <w:spacing w:line="360" w:lineRule="auto"/>
        <w:rPr>
          <w:rFonts w:ascii="仿宋" w:hAnsi="仿宋" w:eastAsia="仿宋" w:cs="仿宋"/>
          <w:color w:val="auto"/>
          <w:kern w:val="0"/>
          <w:sz w:val="24"/>
          <w:highlight w:val="none"/>
        </w:rPr>
      </w:pPr>
    </w:p>
    <w:p w14:paraId="25E8AF49">
      <w:pPr>
        <w:snapToGrid w:val="0"/>
        <w:spacing w:line="360" w:lineRule="auto"/>
        <w:rPr>
          <w:rFonts w:ascii="仿宋" w:hAnsi="仿宋" w:eastAsia="仿宋" w:cs="仿宋"/>
          <w:color w:val="auto"/>
          <w:kern w:val="0"/>
          <w:sz w:val="24"/>
          <w:highlight w:val="none"/>
        </w:rPr>
      </w:pPr>
    </w:p>
    <w:p w14:paraId="61F4773B">
      <w:pPr>
        <w:snapToGrid w:val="0"/>
        <w:spacing w:line="360" w:lineRule="auto"/>
        <w:rPr>
          <w:rFonts w:ascii="仿宋" w:hAnsi="仿宋" w:eastAsia="仿宋" w:cs="仿宋"/>
          <w:color w:val="auto"/>
          <w:kern w:val="0"/>
          <w:sz w:val="24"/>
          <w:highlight w:val="none"/>
        </w:rPr>
      </w:pPr>
    </w:p>
    <w:p w14:paraId="56CD8923">
      <w:pPr>
        <w:widowControl/>
        <w:snapToGrid w:val="0"/>
        <w:spacing w:line="360" w:lineRule="auto"/>
        <w:rPr>
          <w:rFonts w:ascii="仿宋" w:hAnsi="仿宋" w:eastAsia="仿宋" w:cs="仿宋"/>
          <w:color w:val="auto"/>
          <w:kern w:val="0"/>
          <w:sz w:val="24"/>
          <w:highlight w:val="none"/>
        </w:rPr>
      </w:pPr>
    </w:p>
    <w:p w14:paraId="5887E709">
      <w:pPr>
        <w:pStyle w:val="42"/>
        <w:numPr>
          <w:ilvl w:val="0"/>
          <w:numId w:val="3"/>
        </w:numPr>
        <w:snapToGrid w:val="0"/>
        <w:spacing w:line="360" w:lineRule="auto"/>
        <w:ind w:firstLineChars="0"/>
        <w:rPr>
          <w:rFonts w:ascii="仿宋" w:hAnsi="仿宋" w:eastAsia="仿宋" w:cs="仿宋"/>
          <w:b/>
          <w:color w:val="auto"/>
          <w:sz w:val="32"/>
          <w:highlight w:val="none"/>
        </w:rPr>
      </w:pPr>
      <w:r>
        <w:rPr>
          <w:rFonts w:hint="eastAsia" w:ascii="仿宋" w:hAnsi="仿宋" w:eastAsia="仿宋" w:cs="仿宋"/>
          <w:b/>
          <w:color w:val="auto"/>
          <w:sz w:val="32"/>
          <w:highlight w:val="none"/>
        </w:rPr>
        <w:t>服务清单及要求</w:t>
      </w:r>
    </w:p>
    <w:p w14:paraId="3FE89AF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1.1项目概况：</w:t>
      </w:r>
    </w:p>
    <w:p w14:paraId="5E6AA528">
      <w:pPr>
        <w:spacing w:line="360" w:lineRule="auto"/>
        <w:ind w:left="420" w:leftChars="200"/>
        <w:jc w:val="left"/>
        <w:rPr>
          <w:rFonts w:ascii="仿宋" w:hAnsi="仿宋" w:eastAsia="仿宋" w:cs="仿宋"/>
          <w:color w:val="auto"/>
          <w:sz w:val="24"/>
          <w:szCs w:val="28"/>
          <w:highlight w:val="none"/>
        </w:rPr>
      </w:pPr>
      <w:r>
        <w:rPr>
          <w:rFonts w:ascii="仿宋" w:hAnsi="仿宋" w:eastAsia="仿宋" w:cs="仿宋"/>
          <w:color w:val="auto"/>
          <w:sz w:val="24"/>
          <w:highlight w:val="none"/>
          <w:lang w:bidi="ar"/>
        </w:rPr>
        <w:t>按“三年轮审”的要求，完成每年村级集体经济审计目标任务</w:t>
      </w:r>
      <w:r>
        <w:rPr>
          <w:rFonts w:hint="eastAsia" w:ascii="仿宋" w:hAnsi="仿宋" w:eastAsia="仿宋" w:cs="仿宋"/>
          <w:color w:val="auto"/>
          <w:sz w:val="24"/>
          <w:highlight w:val="none"/>
          <w:lang w:bidi="ar"/>
        </w:rPr>
        <w:t>，本项目采购预算价约为140万元。</w:t>
      </w:r>
      <w:r>
        <w:rPr>
          <w:rFonts w:ascii="仿宋" w:hAnsi="仿宋" w:eastAsia="仿宋" w:cs="仿宋"/>
          <w:color w:val="auto"/>
          <w:sz w:val="24"/>
          <w:highlight w:val="none"/>
          <w:lang w:bidi="ar"/>
        </w:rPr>
        <w:t>全区分为4个标项分别委托4家单位</w:t>
      </w:r>
      <w:r>
        <w:rPr>
          <w:rFonts w:ascii="仿宋" w:hAnsi="仿宋" w:eastAsia="仿宋" w:cs="仿宋"/>
          <w:color w:val="auto"/>
          <w:sz w:val="24"/>
          <w:szCs w:val="28"/>
          <w:highlight w:val="none"/>
        </w:rPr>
        <w:t>对166个农</w:t>
      </w:r>
      <w:r>
        <w:rPr>
          <w:rFonts w:hint="eastAsia" w:ascii="仿宋" w:hAnsi="仿宋" w:eastAsia="仿宋" w:cs="仿宋"/>
          <w:color w:val="auto"/>
          <w:sz w:val="24"/>
          <w:szCs w:val="28"/>
          <w:highlight w:val="none"/>
        </w:rPr>
        <w:t>村集体经济组织的332个审计年度和43个村集体控股强村公司的183个审计年度开展审计，分别为：</w:t>
      </w:r>
    </w:p>
    <w:p w14:paraId="4AAD0759">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标项一：安昌、福全、兰亭、稽东2025年农村集体经济审计项目。</w:t>
      </w:r>
    </w:p>
    <w:p w14:paraId="4BF4962B">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b/>
          <w:color w:val="auto"/>
          <w:sz w:val="24"/>
          <w:highlight w:val="none"/>
        </w:rPr>
        <w:t>服务内容：</w:t>
      </w:r>
      <w:r>
        <w:rPr>
          <w:rFonts w:hint="eastAsia" w:ascii="仿宋" w:hAnsi="仿宋" w:eastAsia="仿宋" w:cs="仿宋"/>
          <w:color w:val="auto"/>
          <w:sz w:val="24"/>
          <w:highlight w:val="none"/>
        </w:rPr>
        <w:t>安昌、福全、兰亭</w:t>
      </w:r>
      <w:r>
        <w:rPr>
          <w:rFonts w:hint="eastAsia" w:ascii="仿宋" w:hAnsi="仿宋" w:eastAsia="仿宋" w:cs="仿宋"/>
          <w:color w:val="auto"/>
          <w:sz w:val="24"/>
          <w:highlight w:val="none"/>
          <w:lang w:bidi="ar"/>
        </w:rPr>
        <w:t>、稽东4个镇（街道）33个股份经济合作社85个审计年度</w:t>
      </w:r>
      <w:r>
        <w:rPr>
          <w:rFonts w:ascii="仿宋" w:hAnsi="仿宋" w:eastAsia="仿宋" w:cs="仿宋"/>
          <w:color w:val="auto"/>
          <w:sz w:val="24"/>
          <w:highlight w:val="none"/>
          <w:lang w:bidi="ar"/>
        </w:rPr>
        <w:t>和14个村集体控股强村公司64个审计年度；</w:t>
      </w:r>
    </w:p>
    <w:p w14:paraId="37D882BE">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标项二：柯桥、王坛、夏履、平水2025年农村集体经济审计项目。</w:t>
      </w:r>
    </w:p>
    <w:p w14:paraId="6BEFB5A4">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b/>
          <w:color w:val="auto"/>
          <w:sz w:val="24"/>
          <w:highlight w:val="none"/>
          <w:lang w:bidi="ar"/>
        </w:rPr>
        <w:t>服务内容：</w:t>
      </w:r>
      <w:r>
        <w:rPr>
          <w:rFonts w:ascii="仿宋" w:hAnsi="仿宋" w:eastAsia="仿宋" w:cs="仿宋"/>
          <w:color w:val="auto"/>
          <w:sz w:val="24"/>
          <w:highlight w:val="none"/>
          <w:lang w:bidi="ar"/>
        </w:rPr>
        <w:t>柯桥</w:t>
      </w:r>
      <w:r>
        <w:rPr>
          <w:rFonts w:hint="eastAsia" w:ascii="仿宋" w:hAnsi="仿宋" w:eastAsia="仿宋" w:cs="仿宋"/>
          <w:color w:val="auto"/>
          <w:sz w:val="24"/>
          <w:highlight w:val="none"/>
          <w:lang w:bidi="ar"/>
        </w:rPr>
        <w:t>、王坛、夏履、平水4个镇（街道）</w:t>
      </w:r>
      <w:r>
        <w:rPr>
          <w:rFonts w:ascii="仿宋" w:hAnsi="仿宋" w:eastAsia="仿宋" w:cs="仿宋"/>
          <w:color w:val="auto"/>
          <w:sz w:val="24"/>
          <w:highlight w:val="none"/>
          <w:lang w:bidi="ar"/>
        </w:rPr>
        <w:t>44</w:t>
      </w:r>
      <w:r>
        <w:rPr>
          <w:rFonts w:hint="eastAsia" w:ascii="仿宋" w:hAnsi="仿宋" w:eastAsia="仿宋" w:cs="仿宋"/>
          <w:color w:val="auto"/>
          <w:sz w:val="24"/>
          <w:highlight w:val="none"/>
          <w:lang w:bidi="ar"/>
        </w:rPr>
        <w:t>个股份经济合作社</w:t>
      </w:r>
      <w:r>
        <w:rPr>
          <w:rFonts w:ascii="仿宋" w:hAnsi="仿宋" w:eastAsia="仿宋" w:cs="仿宋"/>
          <w:color w:val="auto"/>
          <w:sz w:val="24"/>
          <w:highlight w:val="none"/>
          <w:lang w:bidi="ar"/>
        </w:rPr>
        <w:t>81</w:t>
      </w:r>
      <w:r>
        <w:rPr>
          <w:rFonts w:hint="eastAsia" w:ascii="仿宋" w:hAnsi="仿宋" w:eastAsia="仿宋" w:cs="仿宋"/>
          <w:color w:val="auto"/>
          <w:sz w:val="24"/>
          <w:highlight w:val="none"/>
          <w:lang w:bidi="ar"/>
        </w:rPr>
        <w:t>个审计年度</w:t>
      </w:r>
      <w:r>
        <w:rPr>
          <w:rFonts w:ascii="仿宋" w:hAnsi="仿宋" w:eastAsia="仿宋" w:cs="仿宋"/>
          <w:color w:val="auto"/>
          <w:sz w:val="24"/>
          <w:highlight w:val="none"/>
          <w:lang w:bidi="ar"/>
        </w:rPr>
        <w:t>和15个村集体控股强村公司28个审计年度；</w:t>
      </w:r>
    </w:p>
    <w:p w14:paraId="4AF62F4C">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标项三：华舍、杨汛桥、马鞍、齐贤2025年农村集体经济审计项目。</w:t>
      </w:r>
    </w:p>
    <w:p w14:paraId="0DA15DA1">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b/>
          <w:color w:val="auto"/>
          <w:sz w:val="24"/>
          <w:highlight w:val="none"/>
          <w:lang w:bidi="ar"/>
        </w:rPr>
        <w:t>服务内容：</w:t>
      </w:r>
      <w:r>
        <w:rPr>
          <w:rFonts w:hint="eastAsia" w:ascii="仿宋" w:hAnsi="仿宋" w:eastAsia="仿宋" w:cs="仿宋"/>
          <w:color w:val="auto"/>
          <w:sz w:val="24"/>
          <w:highlight w:val="none"/>
          <w:lang w:bidi="ar"/>
        </w:rPr>
        <w:t>华舍、杨汛桥、马鞍、齐贤4个镇（街道）28个股份经济合作社83个审计年度</w:t>
      </w:r>
      <w:r>
        <w:rPr>
          <w:rFonts w:ascii="仿宋" w:hAnsi="仿宋" w:eastAsia="仿宋" w:cs="仿宋"/>
          <w:color w:val="auto"/>
          <w:sz w:val="24"/>
          <w:highlight w:val="none"/>
          <w:lang w:bidi="ar"/>
        </w:rPr>
        <w:t>和3个村集体控股强村公司22个审计年度；</w:t>
      </w:r>
    </w:p>
    <w:p w14:paraId="16E313A4">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标项四：柯岩、湖塘、钱清、漓渚2025年农村集体经济审计项目。</w:t>
      </w:r>
    </w:p>
    <w:p w14:paraId="16FF7FE9">
      <w:pPr>
        <w:spacing w:line="360" w:lineRule="auto"/>
        <w:ind w:left="420" w:leftChars="200"/>
        <w:jc w:val="left"/>
        <w:rPr>
          <w:rFonts w:ascii="仿宋" w:hAnsi="仿宋" w:eastAsia="仿宋" w:cs="仿宋"/>
          <w:color w:val="auto"/>
          <w:sz w:val="24"/>
          <w:highlight w:val="none"/>
          <w:lang w:bidi="ar"/>
        </w:rPr>
      </w:pPr>
      <w:r>
        <w:rPr>
          <w:rFonts w:hint="eastAsia" w:ascii="仿宋" w:hAnsi="仿宋" w:eastAsia="仿宋" w:cs="仿宋"/>
          <w:b/>
          <w:color w:val="auto"/>
          <w:sz w:val="24"/>
          <w:highlight w:val="none"/>
          <w:lang w:bidi="ar"/>
        </w:rPr>
        <w:t>服务内容：</w:t>
      </w:r>
      <w:r>
        <w:rPr>
          <w:rFonts w:hint="eastAsia" w:ascii="仿宋" w:hAnsi="仿宋" w:eastAsia="仿宋" w:cs="仿宋"/>
          <w:color w:val="auto"/>
          <w:sz w:val="24"/>
          <w:highlight w:val="none"/>
          <w:lang w:bidi="ar"/>
        </w:rPr>
        <w:t>柯岩、</w:t>
      </w:r>
      <w:r>
        <w:rPr>
          <w:rFonts w:ascii="仿宋" w:hAnsi="仿宋" w:eastAsia="仿宋" w:cs="仿宋"/>
          <w:color w:val="auto"/>
          <w:sz w:val="24"/>
          <w:highlight w:val="none"/>
          <w:lang w:bidi="ar"/>
        </w:rPr>
        <w:t>湖塘</w:t>
      </w:r>
      <w:r>
        <w:rPr>
          <w:rFonts w:hint="eastAsia" w:ascii="仿宋" w:hAnsi="仿宋" w:eastAsia="仿宋" w:cs="仿宋"/>
          <w:color w:val="auto"/>
          <w:sz w:val="24"/>
          <w:highlight w:val="none"/>
          <w:lang w:bidi="ar"/>
        </w:rPr>
        <w:t>、钱清、漓渚4个镇（街道）</w:t>
      </w:r>
      <w:r>
        <w:rPr>
          <w:rFonts w:ascii="仿宋" w:hAnsi="仿宋" w:eastAsia="仿宋" w:cs="仿宋"/>
          <w:color w:val="auto"/>
          <w:sz w:val="24"/>
          <w:highlight w:val="none"/>
          <w:lang w:bidi="ar"/>
        </w:rPr>
        <w:t>61</w:t>
      </w:r>
      <w:r>
        <w:rPr>
          <w:rFonts w:hint="eastAsia" w:ascii="仿宋" w:hAnsi="仿宋" w:eastAsia="仿宋" w:cs="仿宋"/>
          <w:color w:val="auto"/>
          <w:sz w:val="24"/>
          <w:highlight w:val="none"/>
          <w:lang w:bidi="ar"/>
        </w:rPr>
        <w:t>个股份经济合作社</w:t>
      </w:r>
      <w:r>
        <w:rPr>
          <w:rFonts w:ascii="仿宋" w:hAnsi="仿宋" w:eastAsia="仿宋" w:cs="仿宋"/>
          <w:color w:val="auto"/>
          <w:sz w:val="24"/>
          <w:highlight w:val="none"/>
          <w:lang w:bidi="ar"/>
        </w:rPr>
        <w:t>83</w:t>
      </w:r>
      <w:r>
        <w:rPr>
          <w:rFonts w:hint="eastAsia" w:ascii="仿宋" w:hAnsi="仿宋" w:eastAsia="仿宋" w:cs="仿宋"/>
          <w:color w:val="auto"/>
          <w:sz w:val="24"/>
          <w:highlight w:val="none"/>
          <w:lang w:bidi="ar"/>
        </w:rPr>
        <w:t>个审计年度</w:t>
      </w:r>
      <w:r>
        <w:rPr>
          <w:rFonts w:ascii="仿宋" w:hAnsi="仿宋" w:eastAsia="仿宋" w:cs="仿宋"/>
          <w:color w:val="auto"/>
          <w:sz w:val="24"/>
          <w:highlight w:val="none"/>
          <w:lang w:bidi="ar"/>
        </w:rPr>
        <w:t>和11个村集体控股强村公司69个审计年度。</w:t>
      </w:r>
    </w:p>
    <w:p w14:paraId="0998AE3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w:t>
      </w:r>
      <w:r>
        <w:rPr>
          <w:rFonts w:hint="eastAsia" w:ascii="仿宋" w:hAnsi="仿宋" w:eastAsia="仿宋" w:cs="仿宋"/>
          <w:color w:val="auto"/>
          <w:sz w:val="24"/>
          <w:highlight w:val="none"/>
          <w:lang w:bidi="ar"/>
        </w:rPr>
        <w:t>各标段</w:t>
      </w:r>
      <w:r>
        <w:rPr>
          <w:rFonts w:ascii="仿宋" w:hAnsi="仿宋" w:eastAsia="仿宋" w:cs="仿宋"/>
          <w:color w:val="auto"/>
          <w:sz w:val="24"/>
          <w:highlight w:val="none"/>
          <w:lang w:bidi="ar"/>
        </w:rPr>
        <w:t>服务要求、服务范围：</w:t>
      </w:r>
      <w:r>
        <w:rPr>
          <w:rFonts w:ascii="仿宋" w:hAnsi="仿宋" w:eastAsia="仿宋" w:cs="仿宋"/>
          <w:color w:val="auto"/>
          <w:sz w:val="24"/>
          <w:highlight w:val="none"/>
        </w:rPr>
        <w:t xml:space="preserve"> </w:t>
      </w:r>
    </w:p>
    <w:p w14:paraId="3D9A94D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1.2.2.1服务要求</w:t>
      </w:r>
    </w:p>
    <w:p w14:paraId="79CEC3FA">
      <w:pPr>
        <w:spacing w:line="440" w:lineRule="exact"/>
        <w:ind w:firstLine="480" w:firstLineChars="200"/>
        <w:rPr>
          <w:rFonts w:ascii="仿宋" w:hAnsi="仿宋" w:eastAsia="仿宋" w:cs="仿宋"/>
          <w:color w:val="auto"/>
          <w:sz w:val="24"/>
          <w:highlight w:val="none"/>
          <w:lang w:bidi="ar"/>
        </w:rPr>
      </w:pPr>
      <w:r>
        <w:rPr>
          <w:rFonts w:ascii="仿宋" w:hAnsi="仿宋" w:eastAsia="仿宋" w:cs="仿宋"/>
          <w:color w:val="auto"/>
          <w:sz w:val="24"/>
          <w:highlight w:val="none"/>
          <w:lang w:bidi="ar"/>
        </w:rPr>
        <w:t>1.2.2.1.1根据</w:t>
      </w:r>
      <w:r>
        <w:rPr>
          <w:rFonts w:hint="eastAsia" w:ascii="仿宋" w:hAnsi="仿宋" w:eastAsia="仿宋" w:cs="仿宋"/>
          <w:color w:val="auto"/>
          <w:sz w:val="24"/>
          <w:highlight w:val="none"/>
          <w:lang w:bidi="ar"/>
        </w:rPr>
        <w:t>采购人</w:t>
      </w:r>
      <w:r>
        <w:rPr>
          <w:rFonts w:ascii="仿宋" w:hAnsi="仿宋" w:eastAsia="仿宋" w:cs="仿宋"/>
          <w:b/>
          <w:bCs/>
          <w:color w:val="auto"/>
          <w:sz w:val="24"/>
          <w:highlight w:val="none"/>
          <w:lang w:bidi="ar"/>
        </w:rPr>
        <w:t>提供的村级集体经济审计名单和时间要求开展并完成村级集体经济审计工作，</w:t>
      </w:r>
      <w:r>
        <w:rPr>
          <w:rFonts w:hint="eastAsia" w:ascii="仿宋_GB2312" w:hAnsi="仿宋_GB2312" w:eastAsia="仿宋_GB2312" w:cs="仿宋_GB2312"/>
          <w:b/>
          <w:bCs/>
          <w:color w:val="auto"/>
          <w:sz w:val="24"/>
          <w:highlight w:val="none"/>
        </w:rPr>
        <w:t>根据审计工作计划时间节点，出具</w:t>
      </w:r>
      <w:r>
        <w:rPr>
          <w:rFonts w:ascii="仿宋_GB2312" w:hAnsi="仿宋_GB2312" w:eastAsia="仿宋_GB2312" w:cs="仿宋_GB2312"/>
          <w:b/>
          <w:bCs/>
          <w:color w:val="auto"/>
          <w:sz w:val="24"/>
          <w:highlight w:val="none"/>
        </w:rPr>
        <w:t>审计</w:t>
      </w:r>
      <w:r>
        <w:rPr>
          <w:rFonts w:hint="eastAsia" w:ascii="仿宋_GB2312" w:hAnsi="仿宋_GB2312" w:eastAsia="仿宋_GB2312" w:cs="仿宋_GB2312"/>
          <w:b/>
          <w:bCs/>
          <w:color w:val="auto"/>
          <w:sz w:val="24"/>
          <w:highlight w:val="none"/>
        </w:rPr>
        <w:t>报告初稿、定稿及进度反馈等</w:t>
      </w:r>
      <w:r>
        <w:rPr>
          <w:rFonts w:ascii="仿宋_GB2312" w:hAnsi="仿宋_GB2312" w:eastAsia="仿宋_GB2312" w:cs="仿宋_GB2312"/>
          <w:b/>
          <w:bCs/>
          <w:color w:val="auto"/>
          <w:sz w:val="24"/>
          <w:highlight w:val="none"/>
        </w:rPr>
        <w:t>，并</w:t>
      </w:r>
      <w:r>
        <w:rPr>
          <w:rFonts w:hint="eastAsia" w:ascii="仿宋_GB2312" w:hAnsi="仿宋_GB2312" w:eastAsia="仿宋_GB2312" w:cs="仿宋_GB2312"/>
          <w:b/>
          <w:bCs/>
          <w:color w:val="auto"/>
          <w:sz w:val="24"/>
          <w:highlight w:val="none"/>
        </w:rPr>
        <w:t>配合参与审计通报会、审计调研会等工作</w:t>
      </w:r>
      <w:r>
        <w:rPr>
          <w:rFonts w:ascii="仿宋_GB2312" w:hAnsi="仿宋_GB2312" w:eastAsia="仿宋_GB2312" w:cs="仿宋_GB2312"/>
          <w:b/>
          <w:bCs/>
          <w:color w:val="auto"/>
          <w:sz w:val="24"/>
          <w:highlight w:val="none"/>
        </w:rPr>
        <w:t>。</w:t>
      </w:r>
    </w:p>
    <w:p w14:paraId="1E5171D8">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1.2.2.1.2根据有关法律、法规和《中国注册会计师独立审计准则》，有权依法开展村级集体审计工作，不受被审计单位及相关人员的干扰；</w:t>
      </w:r>
    </w:p>
    <w:p w14:paraId="5A82427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1.2.2.1.3审计报告对</w:t>
      </w:r>
      <w:r>
        <w:rPr>
          <w:rFonts w:hint="eastAsia" w:ascii="仿宋" w:hAnsi="仿宋" w:eastAsia="仿宋" w:cs="仿宋"/>
          <w:b/>
          <w:color w:val="auto"/>
          <w:sz w:val="24"/>
          <w:highlight w:val="none"/>
          <w:lang w:bidi="ar"/>
        </w:rPr>
        <w:t>采购人</w:t>
      </w:r>
      <w:r>
        <w:rPr>
          <w:rFonts w:ascii="仿宋" w:hAnsi="仿宋" w:eastAsia="仿宋" w:cs="仿宋"/>
          <w:color w:val="auto"/>
          <w:sz w:val="24"/>
          <w:highlight w:val="none"/>
          <w:lang w:bidi="ar"/>
        </w:rPr>
        <w:t>负责；</w:t>
      </w:r>
    </w:p>
    <w:p w14:paraId="77DB692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1.2.2.1.4接收审计资料时，应办理审计资料接收单；因</w:t>
      </w:r>
      <w:r>
        <w:rPr>
          <w:rFonts w:hint="eastAsia" w:ascii="仿宋" w:hAnsi="仿宋" w:eastAsia="仿宋" w:cs="仿宋"/>
          <w:b/>
          <w:color w:val="auto"/>
          <w:sz w:val="24"/>
          <w:highlight w:val="none"/>
          <w:lang w:bidi="ar"/>
        </w:rPr>
        <w:t>采购人</w:t>
      </w:r>
      <w:r>
        <w:rPr>
          <w:rFonts w:ascii="仿宋" w:hAnsi="仿宋" w:eastAsia="仿宋" w:cs="仿宋"/>
          <w:color w:val="auto"/>
          <w:sz w:val="24"/>
          <w:highlight w:val="none"/>
          <w:lang w:bidi="ar"/>
        </w:rPr>
        <w:t>的原因造成审计资料丢失、损毁的，</w:t>
      </w:r>
      <w:r>
        <w:rPr>
          <w:rFonts w:hint="eastAsia" w:ascii="仿宋" w:hAnsi="仿宋" w:eastAsia="仿宋" w:cs="仿宋"/>
          <w:b/>
          <w:color w:val="auto"/>
          <w:sz w:val="24"/>
          <w:highlight w:val="none"/>
          <w:lang w:bidi="ar"/>
        </w:rPr>
        <w:t>采购人</w:t>
      </w:r>
      <w:r>
        <w:rPr>
          <w:rFonts w:ascii="仿宋" w:hAnsi="仿宋" w:eastAsia="仿宋" w:cs="仿宋"/>
          <w:color w:val="auto"/>
          <w:sz w:val="24"/>
          <w:highlight w:val="none"/>
          <w:lang w:bidi="ar"/>
        </w:rPr>
        <w:t>应承担相应责任。</w:t>
      </w:r>
    </w:p>
    <w:p w14:paraId="37512F1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1.2.2.1.5根据需要查阅、复印被审计单位与审计有关的会计资料和文件，查看与审计有关的被审计单位的业务现场和设施，可以要求被审计单位提供必要的配合、协助</w:t>
      </w:r>
      <w:r>
        <w:rPr>
          <w:rFonts w:hint="eastAsia" w:ascii="仿宋" w:hAnsi="仿宋" w:eastAsia="仿宋" w:cs="仿宋"/>
          <w:color w:val="auto"/>
          <w:sz w:val="24"/>
          <w:highlight w:val="none"/>
          <w:lang w:bidi="ar"/>
        </w:rPr>
        <w:t>。</w:t>
      </w:r>
    </w:p>
    <w:p w14:paraId="0E5E920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1.2.2.1.6因</w:t>
      </w:r>
      <w:r>
        <w:rPr>
          <w:rFonts w:hint="eastAsia" w:ascii="仿宋" w:hAnsi="仿宋" w:eastAsia="仿宋" w:cs="仿宋"/>
          <w:color w:val="auto"/>
          <w:sz w:val="24"/>
          <w:highlight w:val="none"/>
          <w:lang w:bidi="ar"/>
        </w:rPr>
        <w:t>采购人</w:t>
      </w:r>
      <w:r>
        <w:rPr>
          <w:rFonts w:ascii="仿宋" w:hAnsi="仿宋" w:eastAsia="仿宋" w:cs="仿宋"/>
          <w:color w:val="auto"/>
          <w:sz w:val="24"/>
          <w:highlight w:val="none"/>
          <w:lang w:bidi="ar"/>
        </w:rPr>
        <w:t>变更计划，或审计单位未及时提供审计资料及工作配合，经协商未果的，可合理延期出具审计报告；</w:t>
      </w:r>
    </w:p>
    <w:p w14:paraId="1E328DD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1.2.2.1.7不得利用审计便利侵害被审计单位合法权益和与审计有关的权利人的合法权益，不得利用审计便利为自己或他人谋取利益；</w:t>
      </w:r>
    </w:p>
    <w:p w14:paraId="0A9FC58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1.2.2.1.8遵守审计纪律，保守审计秘密</w:t>
      </w:r>
    </w:p>
    <w:p w14:paraId="1EBD07C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1.2.2.1.9接受并完成</w:t>
      </w:r>
      <w:r>
        <w:rPr>
          <w:rFonts w:hint="eastAsia" w:ascii="仿宋" w:hAnsi="仿宋" w:eastAsia="仿宋" w:cs="仿宋"/>
          <w:color w:val="auto"/>
          <w:sz w:val="24"/>
          <w:highlight w:val="none"/>
          <w:lang w:bidi="ar"/>
        </w:rPr>
        <w:t>采购单位</w:t>
      </w:r>
      <w:r>
        <w:rPr>
          <w:rFonts w:ascii="仿宋" w:hAnsi="仿宋" w:eastAsia="仿宋" w:cs="仿宋"/>
          <w:color w:val="auto"/>
          <w:sz w:val="24"/>
          <w:highlight w:val="none"/>
          <w:lang w:bidi="ar"/>
        </w:rPr>
        <w:t>的业务要求；接受</w:t>
      </w:r>
      <w:r>
        <w:rPr>
          <w:rFonts w:hint="eastAsia" w:ascii="仿宋" w:hAnsi="仿宋" w:eastAsia="仿宋" w:cs="仿宋"/>
          <w:color w:val="auto"/>
          <w:sz w:val="24"/>
          <w:highlight w:val="none"/>
          <w:lang w:bidi="ar"/>
        </w:rPr>
        <w:t>采购单位</w:t>
      </w:r>
      <w:r>
        <w:rPr>
          <w:rFonts w:ascii="仿宋" w:hAnsi="仿宋" w:eastAsia="仿宋" w:cs="仿宋"/>
          <w:color w:val="auto"/>
          <w:sz w:val="24"/>
          <w:highlight w:val="none"/>
          <w:lang w:bidi="ar"/>
        </w:rPr>
        <w:t>的业务指导和监督；</w:t>
      </w:r>
    </w:p>
    <w:p w14:paraId="48427B9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1.2.2.2服务范围：</w:t>
      </w:r>
    </w:p>
    <w:p w14:paraId="1C782B9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受托人根据不同要求审计以下事项：</w:t>
      </w:r>
    </w:p>
    <w:p w14:paraId="553AB73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1.2.2.2.1</w:t>
      </w:r>
      <w:r>
        <w:rPr>
          <w:rFonts w:hint="eastAsia" w:ascii="仿宋" w:hAnsi="仿宋" w:eastAsia="仿宋" w:cs="仿宋"/>
          <w:color w:val="auto"/>
          <w:sz w:val="24"/>
          <w:highlight w:val="none"/>
          <w:lang w:bidi="ar"/>
        </w:rPr>
        <w:t>农村</w:t>
      </w:r>
      <w:r>
        <w:rPr>
          <w:rFonts w:ascii="仿宋" w:hAnsi="仿宋" w:eastAsia="仿宋" w:cs="仿宋"/>
          <w:color w:val="auto"/>
          <w:sz w:val="24"/>
          <w:highlight w:val="none"/>
          <w:lang w:bidi="ar"/>
        </w:rPr>
        <w:t>集体经济组织</w:t>
      </w:r>
      <w:r>
        <w:rPr>
          <w:rFonts w:hint="eastAsia" w:ascii="仿宋" w:hAnsi="仿宋" w:eastAsia="仿宋" w:cs="仿宋"/>
          <w:color w:val="auto"/>
          <w:sz w:val="24"/>
          <w:highlight w:val="none"/>
          <w:lang w:bidi="ar"/>
        </w:rPr>
        <w:t>及村集体控股强村</w:t>
      </w:r>
      <w:r>
        <w:rPr>
          <w:rFonts w:ascii="仿宋" w:hAnsi="仿宋" w:eastAsia="仿宋" w:cs="仿宋"/>
          <w:color w:val="auto"/>
          <w:sz w:val="24"/>
          <w:highlight w:val="none"/>
          <w:lang w:bidi="ar"/>
        </w:rPr>
        <w:t>的预决算情况；</w:t>
      </w:r>
    </w:p>
    <w:p w14:paraId="4218C44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1.2.2.2.2</w:t>
      </w:r>
      <w:r>
        <w:rPr>
          <w:rFonts w:hint="eastAsia" w:ascii="仿宋" w:hAnsi="仿宋" w:eastAsia="仿宋" w:cs="仿宋"/>
          <w:color w:val="auto"/>
          <w:sz w:val="24"/>
          <w:highlight w:val="none"/>
          <w:lang w:bidi="ar"/>
        </w:rPr>
        <w:t>农村</w:t>
      </w:r>
      <w:r>
        <w:rPr>
          <w:rFonts w:ascii="仿宋" w:hAnsi="仿宋" w:eastAsia="仿宋" w:cs="仿宋"/>
          <w:color w:val="auto"/>
          <w:sz w:val="24"/>
          <w:highlight w:val="none"/>
          <w:lang w:bidi="ar"/>
        </w:rPr>
        <w:t>集体经济组织</w:t>
      </w:r>
      <w:r>
        <w:rPr>
          <w:rFonts w:hint="eastAsia" w:ascii="仿宋" w:hAnsi="仿宋" w:eastAsia="仿宋" w:cs="仿宋"/>
          <w:color w:val="auto"/>
          <w:sz w:val="24"/>
          <w:highlight w:val="none"/>
          <w:lang w:bidi="ar"/>
        </w:rPr>
        <w:t>及村集体控股强村</w:t>
      </w:r>
      <w:r>
        <w:rPr>
          <w:rFonts w:ascii="仿宋" w:hAnsi="仿宋" w:eastAsia="仿宋" w:cs="仿宋"/>
          <w:color w:val="auto"/>
          <w:sz w:val="24"/>
          <w:highlight w:val="none"/>
          <w:lang w:bidi="ar"/>
        </w:rPr>
        <w:t>的资金、财产的验证和使用管理情况；</w:t>
      </w:r>
    </w:p>
    <w:p w14:paraId="4D49EE7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1.2.2.2.3财务收支和有关的经济活动及其经济效益；</w:t>
      </w:r>
    </w:p>
    <w:p w14:paraId="16BEA5A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1.2.2.2.4财务管理制度的制定和执行情况；</w:t>
      </w:r>
    </w:p>
    <w:p w14:paraId="6DAB2C9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1.2.2.2.5</w:t>
      </w:r>
      <w:r>
        <w:rPr>
          <w:rFonts w:hint="eastAsia" w:ascii="仿宋" w:hAnsi="仿宋" w:eastAsia="仿宋" w:cs="仿宋"/>
          <w:color w:val="auto"/>
          <w:sz w:val="24"/>
          <w:highlight w:val="none"/>
          <w:lang w:bidi="ar"/>
        </w:rPr>
        <w:t>资产、资源出租和发包</w:t>
      </w:r>
      <w:r>
        <w:rPr>
          <w:rFonts w:ascii="仿宋" w:hAnsi="仿宋" w:eastAsia="仿宋" w:cs="仿宋"/>
          <w:color w:val="auto"/>
          <w:sz w:val="24"/>
          <w:highlight w:val="none"/>
          <w:lang w:bidi="ar"/>
        </w:rPr>
        <w:t>合同的签订和履行情况；</w:t>
      </w:r>
    </w:p>
    <w:p w14:paraId="063AF66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1.2.2.2.6收益（利润）分配情况；</w:t>
      </w:r>
    </w:p>
    <w:p w14:paraId="44B38378">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1.2.2.2.7承包款等集体专项资金的预算、提取和使用情况；</w:t>
      </w:r>
    </w:p>
    <w:p w14:paraId="106D90B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1.2.2.2.8</w:t>
      </w:r>
      <w:r>
        <w:rPr>
          <w:rFonts w:hint="eastAsia" w:ascii="仿宋" w:hAnsi="仿宋" w:eastAsia="仿宋" w:cs="仿宋"/>
          <w:color w:val="auto"/>
          <w:sz w:val="24"/>
          <w:highlight w:val="none"/>
          <w:lang w:bidi="ar"/>
        </w:rPr>
        <w:t>农</w:t>
      </w:r>
      <w:r>
        <w:rPr>
          <w:rFonts w:ascii="仿宋" w:hAnsi="仿宋" w:eastAsia="仿宋" w:cs="仿宋"/>
          <w:color w:val="auto"/>
          <w:sz w:val="24"/>
          <w:highlight w:val="none"/>
          <w:lang w:bidi="ar"/>
        </w:rPr>
        <w:t>村集体经济组织负责人任期目标和离任经济责任；</w:t>
      </w:r>
    </w:p>
    <w:p w14:paraId="2206D67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1.2.2.2.9侵占集体财产等损害村级集体资金管理情况；</w:t>
      </w:r>
    </w:p>
    <w:p w14:paraId="491E3B38">
      <w:pPr>
        <w:spacing w:line="360" w:lineRule="auto"/>
        <w:ind w:firstLine="480" w:firstLineChars="200"/>
        <w:rPr>
          <w:rFonts w:ascii="仿宋" w:hAnsi="仿宋" w:eastAsia="仿宋"/>
          <w:color w:val="auto"/>
          <w:sz w:val="24"/>
          <w:szCs w:val="28"/>
          <w:highlight w:val="none"/>
        </w:rPr>
      </w:pPr>
      <w:r>
        <w:rPr>
          <w:rFonts w:ascii="仿宋" w:hAnsi="仿宋" w:eastAsia="仿宋" w:cs="仿宋"/>
          <w:color w:val="auto"/>
          <w:sz w:val="24"/>
          <w:highlight w:val="none"/>
          <w:lang w:bidi="ar"/>
        </w:rPr>
        <w:t>1.2.2.2.10当地政府、国家审计机关和上级业务主管部门等委托的其它审计事项。</w:t>
      </w:r>
    </w:p>
    <w:p w14:paraId="001CA9FA">
      <w:pPr>
        <w:snapToGrid w:val="0"/>
        <w:spacing w:line="360" w:lineRule="auto"/>
        <w:rPr>
          <w:rFonts w:ascii="仿宋" w:hAnsi="仿宋" w:eastAsia="仿宋" w:cs="仿宋"/>
          <w:b/>
          <w:color w:val="auto"/>
          <w:sz w:val="32"/>
          <w:highlight w:val="none"/>
        </w:rPr>
      </w:pPr>
    </w:p>
    <w:p w14:paraId="0E7DFA3F">
      <w:pPr>
        <w:rPr>
          <w:rFonts w:ascii="仿宋" w:hAnsi="仿宋" w:eastAsia="仿宋" w:cs="仿宋"/>
          <w:color w:val="auto"/>
          <w:sz w:val="32"/>
          <w:highlight w:val="none"/>
        </w:rPr>
      </w:pPr>
    </w:p>
    <w:p w14:paraId="5FCFC618">
      <w:pPr>
        <w:rPr>
          <w:rFonts w:ascii="仿宋" w:hAnsi="仿宋" w:eastAsia="仿宋" w:cs="仿宋"/>
          <w:color w:val="auto"/>
          <w:sz w:val="32"/>
          <w:highlight w:val="none"/>
        </w:rPr>
      </w:pPr>
    </w:p>
    <w:p w14:paraId="667041E1">
      <w:pPr>
        <w:rPr>
          <w:rFonts w:ascii="仿宋" w:hAnsi="仿宋" w:eastAsia="仿宋" w:cs="仿宋"/>
          <w:color w:val="auto"/>
          <w:sz w:val="32"/>
          <w:highlight w:val="none"/>
        </w:rPr>
      </w:pPr>
    </w:p>
    <w:p w14:paraId="25D7D0D2">
      <w:pPr>
        <w:rPr>
          <w:rFonts w:ascii="仿宋" w:hAnsi="仿宋" w:eastAsia="仿宋" w:cs="仿宋"/>
          <w:color w:val="auto"/>
          <w:sz w:val="32"/>
          <w:highlight w:val="none"/>
        </w:rPr>
      </w:pPr>
    </w:p>
    <w:p w14:paraId="0D0C6D20">
      <w:pPr>
        <w:rPr>
          <w:rFonts w:ascii="仿宋" w:hAnsi="仿宋" w:eastAsia="仿宋" w:cs="仿宋"/>
          <w:color w:val="auto"/>
          <w:sz w:val="32"/>
          <w:highlight w:val="none"/>
        </w:rPr>
      </w:pPr>
    </w:p>
    <w:p w14:paraId="22765D8A">
      <w:pPr>
        <w:rPr>
          <w:rFonts w:ascii="仿宋" w:hAnsi="仿宋" w:eastAsia="仿宋" w:cs="仿宋"/>
          <w:color w:val="auto"/>
          <w:sz w:val="32"/>
          <w:highlight w:val="none"/>
        </w:rPr>
      </w:pPr>
    </w:p>
    <w:p w14:paraId="3BF36EA5">
      <w:pPr>
        <w:rPr>
          <w:rFonts w:ascii="仿宋" w:hAnsi="仿宋" w:eastAsia="仿宋" w:cs="仿宋"/>
          <w:color w:val="auto"/>
          <w:sz w:val="32"/>
          <w:highlight w:val="none"/>
        </w:rPr>
      </w:pPr>
    </w:p>
    <w:p w14:paraId="7EF3D0FE">
      <w:pPr>
        <w:rPr>
          <w:rFonts w:ascii="仿宋" w:hAnsi="仿宋" w:eastAsia="仿宋" w:cs="仿宋"/>
          <w:color w:val="auto"/>
          <w:sz w:val="32"/>
          <w:highlight w:val="none"/>
        </w:rPr>
      </w:pPr>
    </w:p>
    <w:p w14:paraId="3E481224">
      <w:pPr>
        <w:rPr>
          <w:rFonts w:ascii="仿宋" w:hAnsi="仿宋" w:eastAsia="仿宋" w:cs="仿宋"/>
          <w:color w:val="auto"/>
          <w:sz w:val="32"/>
          <w:highlight w:val="none"/>
        </w:rPr>
      </w:pPr>
    </w:p>
    <w:p w14:paraId="35E91B65">
      <w:pPr>
        <w:rPr>
          <w:rFonts w:ascii="仿宋" w:hAnsi="仿宋" w:eastAsia="仿宋" w:cs="仿宋"/>
          <w:color w:val="auto"/>
          <w:sz w:val="32"/>
          <w:highlight w:val="none"/>
        </w:rPr>
      </w:pPr>
    </w:p>
    <w:p w14:paraId="0666E295">
      <w:pPr>
        <w:rPr>
          <w:rFonts w:ascii="仿宋" w:hAnsi="仿宋" w:eastAsia="仿宋" w:cs="仿宋"/>
          <w:color w:val="auto"/>
          <w:sz w:val="32"/>
          <w:highlight w:val="none"/>
        </w:rPr>
      </w:pPr>
    </w:p>
    <w:p w14:paraId="29256F73">
      <w:pPr>
        <w:rPr>
          <w:rFonts w:ascii="仿宋" w:hAnsi="仿宋" w:eastAsia="仿宋" w:cs="仿宋"/>
          <w:color w:val="auto"/>
          <w:sz w:val="32"/>
          <w:highlight w:val="none"/>
        </w:rPr>
      </w:pPr>
    </w:p>
    <w:p w14:paraId="653103E9">
      <w:pPr>
        <w:rPr>
          <w:rFonts w:ascii="仿宋" w:hAnsi="仿宋" w:eastAsia="仿宋" w:cs="仿宋"/>
          <w:color w:val="auto"/>
          <w:sz w:val="32"/>
          <w:highlight w:val="none"/>
        </w:rPr>
      </w:pPr>
    </w:p>
    <w:p w14:paraId="155B5222">
      <w:pPr>
        <w:snapToGrid w:val="0"/>
        <w:spacing w:line="360" w:lineRule="auto"/>
        <w:jc w:val="center"/>
        <w:rPr>
          <w:rFonts w:ascii="仿宋" w:hAnsi="仿宋" w:eastAsia="仿宋"/>
          <w:b/>
          <w:color w:val="auto"/>
          <w:sz w:val="28"/>
          <w:szCs w:val="28"/>
          <w:highlight w:val="none"/>
        </w:rPr>
      </w:pPr>
      <w:r>
        <w:rPr>
          <w:rFonts w:ascii="仿宋" w:hAnsi="仿宋" w:eastAsia="仿宋" w:cs="仿宋"/>
          <w:color w:val="auto"/>
          <w:sz w:val="32"/>
          <w:highlight w:val="none"/>
        </w:rPr>
        <w:tab/>
      </w:r>
      <w:r>
        <w:rPr>
          <w:rFonts w:hint="eastAsia" w:ascii="仿宋" w:hAnsi="仿宋" w:eastAsia="仿宋" w:cs="仿宋_GB2312"/>
          <w:b/>
          <w:color w:val="auto"/>
          <w:sz w:val="32"/>
          <w:highlight w:val="none"/>
        </w:rPr>
        <w:t>二、商务要求</w:t>
      </w:r>
    </w:p>
    <w:p w14:paraId="59BA802E">
      <w:pPr>
        <w:spacing w:line="360" w:lineRule="auto"/>
        <w:rPr>
          <w:rFonts w:ascii="仿宋" w:eastAsia="仿宋"/>
          <w:color w:val="auto"/>
          <w:sz w:val="24"/>
          <w:highlight w:val="none"/>
        </w:rPr>
      </w:pPr>
      <w:r>
        <w:rPr>
          <w:rFonts w:hint="eastAsia" w:ascii="仿宋" w:eastAsia="仿宋"/>
          <w:color w:val="auto"/>
          <w:sz w:val="24"/>
          <w:highlight w:val="none"/>
        </w:rPr>
        <w:t>各标段商务要求</w:t>
      </w:r>
    </w:p>
    <w:p w14:paraId="40C59899">
      <w:pPr>
        <w:widowControl/>
        <w:snapToGrid w:val="0"/>
        <w:spacing w:line="360" w:lineRule="auto"/>
        <w:rPr>
          <w:rFonts w:ascii="仿宋" w:eastAsia="仿宋"/>
          <w:b/>
          <w:bCs/>
          <w:color w:val="auto"/>
          <w:kern w:val="0"/>
          <w:sz w:val="24"/>
          <w:highlight w:val="none"/>
        </w:rPr>
      </w:pPr>
      <w:r>
        <w:rPr>
          <w:rFonts w:hint="eastAsia" w:ascii="仿宋" w:hAnsi="仿宋" w:eastAsia="仿宋"/>
          <w:b/>
          <w:color w:val="auto"/>
          <w:sz w:val="24"/>
          <w:highlight w:val="none"/>
        </w:rPr>
        <w:t>▲</w:t>
      </w:r>
      <w:r>
        <w:rPr>
          <w:rFonts w:hint="eastAsia" w:ascii="仿宋" w:eastAsia="仿宋"/>
          <w:b/>
          <w:bCs/>
          <w:color w:val="auto"/>
          <w:kern w:val="0"/>
          <w:sz w:val="24"/>
          <w:highlight w:val="none"/>
        </w:rPr>
        <w:t>2.1服务期限</w:t>
      </w:r>
    </w:p>
    <w:p w14:paraId="2E8F2ABE">
      <w:pPr>
        <w:spacing w:line="440" w:lineRule="exact"/>
        <w:ind w:firstLine="480" w:firstLineChars="200"/>
        <w:rPr>
          <w:rFonts w:ascii="仿宋_GB2312" w:eastAsia="仿宋_GB2312" w:cs="仿宋_GB2312"/>
          <w:color w:val="auto"/>
          <w:sz w:val="24"/>
          <w:highlight w:val="none"/>
          <w:lang w:bidi="ar"/>
        </w:rPr>
      </w:pPr>
      <w:r>
        <w:rPr>
          <w:rFonts w:hint="eastAsia" w:ascii="仿宋_GB2312" w:eastAsia="仿宋_GB2312" w:cs="仿宋_GB2312"/>
          <w:color w:val="auto"/>
          <w:sz w:val="24"/>
          <w:highlight w:val="none"/>
          <w:lang w:bidi="ar"/>
        </w:rPr>
        <w:t>一年（2025年度，具体起始时间以合同签订时间为准）。</w:t>
      </w:r>
    </w:p>
    <w:p w14:paraId="604BF962">
      <w:pPr>
        <w:widowControl/>
        <w:snapToGrid w:val="0"/>
        <w:spacing w:line="360" w:lineRule="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2.2数量调整</w:t>
      </w:r>
    </w:p>
    <w:p w14:paraId="3E33C139">
      <w:pPr>
        <w:widowControl/>
        <w:snapToGrid w:val="0"/>
        <w:spacing w:line="360" w:lineRule="auto"/>
        <w:rPr>
          <w:rFonts w:ascii="仿宋" w:eastAsia="仿宋"/>
          <w:color w:val="auto"/>
          <w:kern w:val="0"/>
          <w:sz w:val="24"/>
          <w:highlight w:val="none"/>
        </w:rPr>
      </w:pPr>
      <w:r>
        <w:rPr>
          <w:rFonts w:hint="eastAsia" w:ascii="仿宋" w:eastAsia="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1B097F99">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2.3付款方式</w:t>
      </w:r>
    </w:p>
    <w:p w14:paraId="3B92369B">
      <w:pPr>
        <w:spacing w:line="360" w:lineRule="exact"/>
        <w:rPr>
          <w:rFonts w:ascii="仿宋" w:eastAsia="仿宋"/>
          <w:color w:val="auto"/>
          <w:kern w:val="0"/>
          <w:sz w:val="24"/>
          <w:highlight w:val="none"/>
        </w:rPr>
      </w:pPr>
      <w:r>
        <w:rPr>
          <w:rFonts w:hint="eastAsia" w:ascii="仿宋" w:eastAsia="仿宋"/>
          <w:color w:val="auto"/>
          <w:kern w:val="0"/>
          <w:sz w:val="24"/>
          <w:highlight w:val="none"/>
        </w:rPr>
        <w:t>2.4.1</w:t>
      </w:r>
      <w:r>
        <w:rPr>
          <w:rFonts w:hint="eastAsia" w:ascii="仿宋_GB2312" w:eastAsia="仿宋_GB2312" w:cs="仿宋_GB2312"/>
          <w:bCs/>
          <w:color w:val="auto"/>
          <w:kern w:val="0"/>
          <w:sz w:val="24"/>
          <w:highlight w:val="none"/>
          <w:lang w:bidi="ar"/>
        </w:rPr>
        <w:t>根据审计完成情况，按实进行资金拨付。</w:t>
      </w:r>
    </w:p>
    <w:p w14:paraId="0EA7025F">
      <w:pPr>
        <w:widowControl/>
        <w:snapToGrid w:val="0"/>
        <w:spacing w:line="360" w:lineRule="auto"/>
        <w:rPr>
          <w:rFonts w:ascii="仿宋" w:eastAsia="仿宋"/>
          <w:color w:val="auto"/>
          <w:kern w:val="0"/>
          <w:sz w:val="24"/>
          <w:highlight w:val="none"/>
        </w:rPr>
      </w:pPr>
      <w:r>
        <w:rPr>
          <w:rFonts w:hint="eastAsia" w:ascii="仿宋" w:eastAsia="仿宋"/>
          <w:color w:val="auto"/>
          <w:kern w:val="0"/>
          <w:sz w:val="24"/>
          <w:highlight w:val="none"/>
        </w:rPr>
        <w:t>2.4.2“涉及中小企业合同的，付款根据浙财采监〔2022〕3号文件相关规定执行。</w:t>
      </w:r>
    </w:p>
    <w:p w14:paraId="7E8404AF">
      <w:pPr>
        <w:tabs>
          <w:tab w:val="left" w:pos="1263"/>
        </w:tabs>
        <w:rPr>
          <w:rFonts w:ascii="仿宋" w:eastAsia="仿宋"/>
          <w:color w:val="auto"/>
          <w:kern w:val="0"/>
          <w:sz w:val="24"/>
          <w:highlight w:val="none"/>
        </w:rPr>
      </w:pPr>
      <w:r>
        <w:rPr>
          <w:rFonts w:hint="eastAsia" w:ascii="仿宋" w:eastAsia="仿宋"/>
          <w:color w:val="auto"/>
          <w:kern w:val="0"/>
          <w:sz w:val="24"/>
          <w:highlight w:val="none"/>
        </w:rPr>
        <w:t>▲2.4检查、考核：</w:t>
      </w:r>
    </w:p>
    <w:p w14:paraId="0A545018">
      <w:pPr>
        <w:tabs>
          <w:tab w:val="left" w:pos="1263"/>
        </w:tabs>
        <w:rPr>
          <w:rFonts w:ascii="仿宋" w:eastAsia="仿宋"/>
          <w:color w:val="auto"/>
          <w:kern w:val="0"/>
          <w:sz w:val="24"/>
          <w:highlight w:val="none"/>
        </w:rPr>
      </w:pPr>
      <w:r>
        <w:rPr>
          <w:rFonts w:hint="eastAsia" w:ascii="仿宋" w:eastAsia="仿宋"/>
          <w:color w:val="auto"/>
          <w:kern w:val="0"/>
          <w:sz w:val="24"/>
          <w:highlight w:val="none"/>
        </w:rPr>
        <w:t>若出现以下情况，委托人有权终止委托审计：（1）没有完成季度或年度审计任务的；（2）在年度审计工作中累计出现5次以上明显失误的；（3）利用审计便利侵害被审计单位权益、造成一定经济损失或出现社会不稳定的；(4)审计资料（包括账册、会计凭证、合同等）丢失、损毁的；(5)违反法律法规、审计纪律或违反审计保密要求，造成一定危害的。</w:t>
      </w:r>
    </w:p>
    <w:p w14:paraId="3D1ACDC5">
      <w:pPr>
        <w:tabs>
          <w:tab w:val="left" w:pos="1263"/>
        </w:tabs>
        <w:rPr>
          <w:rFonts w:ascii="仿宋" w:eastAsia="仿宋"/>
          <w:color w:val="auto"/>
          <w:kern w:val="0"/>
          <w:sz w:val="24"/>
          <w:highlight w:val="none"/>
        </w:rPr>
      </w:pPr>
      <w:r>
        <w:rPr>
          <w:rFonts w:hint="eastAsia" w:ascii="仿宋" w:eastAsia="仿宋"/>
          <w:color w:val="auto"/>
          <w:kern w:val="0"/>
          <w:sz w:val="24"/>
          <w:highlight w:val="none"/>
        </w:rPr>
        <w:t>▲2.5质量要求：</w:t>
      </w:r>
    </w:p>
    <w:p w14:paraId="28013112">
      <w:pPr>
        <w:tabs>
          <w:tab w:val="left" w:pos="1263"/>
        </w:tabs>
        <w:rPr>
          <w:rFonts w:ascii="仿宋" w:eastAsia="仿宋"/>
          <w:color w:val="auto"/>
          <w:kern w:val="0"/>
          <w:sz w:val="24"/>
          <w:highlight w:val="none"/>
        </w:rPr>
      </w:pPr>
      <w:r>
        <w:rPr>
          <w:rFonts w:hint="eastAsia" w:ascii="仿宋" w:eastAsia="仿宋"/>
          <w:color w:val="auto"/>
          <w:kern w:val="0"/>
          <w:sz w:val="24"/>
          <w:highlight w:val="none"/>
        </w:rPr>
        <w:t>优质服务且必须符合国家法律法规、行业标准及本表文所有条款要求。</w:t>
      </w:r>
    </w:p>
    <w:p w14:paraId="427BA709">
      <w:pPr>
        <w:tabs>
          <w:tab w:val="left" w:pos="1263"/>
        </w:tabs>
        <w:rPr>
          <w:rFonts w:ascii="仿宋" w:eastAsia="仿宋"/>
          <w:color w:val="auto"/>
          <w:kern w:val="0"/>
          <w:sz w:val="24"/>
          <w:highlight w:val="none"/>
        </w:rPr>
      </w:pPr>
      <w:r>
        <w:rPr>
          <w:rFonts w:hint="eastAsia" w:ascii="仿宋" w:eastAsia="仿宋"/>
          <w:color w:val="auto"/>
          <w:kern w:val="0"/>
          <w:sz w:val="24"/>
          <w:highlight w:val="none"/>
        </w:rPr>
        <w:t>▲2.6其他要求：</w:t>
      </w:r>
    </w:p>
    <w:p w14:paraId="3BCD32E3">
      <w:pPr>
        <w:tabs>
          <w:tab w:val="left" w:pos="1263"/>
        </w:tabs>
        <w:rPr>
          <w:rFonts w:ascii="仿宋" w:eastAsia="仿宋"/>
          <w:color w:val="auto"/>
          <w:kern w:val="0"/>
          <w:sz w:val="24"/>
          <w:highlight w:val="none"/>
        </w:rPr>
      </w:pPr>
      <w:r>
        <w:rPr>
          <w:rFonts w:hint="eastAsia" w:ascii="仿宋" w:eastAsia="仿宋"/>
          <w:color w:val="auto"/>
          <w:kern w:val="0"/>
          <w:sz w:val="24"/>
          <w:highlight w:val="none"/>
        </w:rPr>
        <w:t>中标供应商必须按规定程序和安全文明服务有关要求进行实施，承担服务过程中的各种意外，其责任由中标供应商承担，采购人不承担任何责任。</w:t>
      </w:r>
    </w:p>
    <w:p w14:paraId="73AF7421">
      <w:pPr>
        <w:tabs>
          <w:tab w:val="left" w:pos="1263"/>
        </w:tabs>
        <w:rPr>
          <w:rFonts w:ascii="仿宋" w:eastAsia="仿宋"/>
          <w:color w:val="auto"/>
          <w:kern w:val="0"/>
          <w:sz w:val="24"/>
          <w:highlight w:val="none"/>
        </w:rPr>
      </w:pPr>
      <w:r>
        <w:rPr>
          <w:rFonts w:hint="eastAsia" w:ascii="仿宋" w:eastAsia="仿宋"/>
          <w:color w:val="auto"/>
          <w:kern w:val="0"/>
          <w:sz w:val="24"/>
          <w:highlight w:val="none"/>
        </w:rPr>
        <w:t>▲2.7 结算原则</w:t>
      </w:r>
    </w:p>
    <w:p w14:paraId="0F38C115">
      <w:pPr>
        <w:tabs>
          <w:tab w:val="left" w:pos="1263"/>
        </w:tabs>
        <w:rPr>
          <w:rFonts w:ascii="仿宋" w:eastAsia="仿宋"/>
          <w:color w:val="auto"/>
          <w:kern w:val="0"/>
          <w:sz w:val="24"/>
          <w:highlight w:val="none"/>
        </w:rPr>
      </w:pPr>
      <w:r>
        <w:rPr>
          <w:rFonts w:hint="eastAsia" w:ascii="仿宋" w:eastAsia="仿宋"/>
          <w:color w:val="auto"/>
          <w:kern w:val="0"/>
          <w:sz w:val="24"/>
          <w:highlight w:val="none"/>
        </w:rPr>
        <w:t>2.7.1采购文件、招标答疑会纪要、中标供应商的中标报价等作为结算依据；</w:t>
      </w:r>
    </w:p>
    <w:p w14:paraId="31A0D0D0">
      <w:pPr>
        <w:tabs>
          <w:tab w:val="left" w:pos="1263"/>
        </w:tabs>
        <w:rPr>
          <w:rFonts w:ascii="仿宋" w:eastAsia="仿宋"/>
          <w:color w:val="auto"/>
          <w:kern w:val="0"/>
          <w:sz w:val="24"/>
          <w:highlight w:val="none"/>
        </w:rPr>
      </w:pPr>
      <w:r>
        <w:rPr>
          <w:rFonts w:hint="eastAsia" w:ascii="仿宋" w:eastAsia="仿宋"/>
          <w:color w:val="auto"/>
          <w:kern w:val="0"/>
          <w:sz w:val="24"/>
          <w:highlight w:val="none"/>
        </w:rPr>
        <w:t>2.7.2审计费用在受托人出具全部审计报告后一次性结算。</w:t>
      </w:r>
    </w:p>
    <w:p w14:paraId="1A4C20C8">
      <w:pPr>
        <w:tabs>
          <w:tab w:val="left" w:pos="1263"/>
        </w:tabs>
        <w:rPr>
          <w:rFonts w:ascii="仿宋" w:eastAsia="仿宋"/>
          <w:color w:val="auto"/>
          <w:kern w:val="0"/>
          <w:sz w:val="24"/>
          <w:highlight w:val="none"/>
        </w:rPr>
      </w:pPr>
      <w:r>
        <w:rPr>
          <w:rFonts w:hint="eastAsia" w:ascii="仿宋" w:eastAsia="仿宋"/>
          <w:color w:val="auto"/>
          <w:kern w:val="0"/>
          <w:sz w:val="24"/>
          <w:highlight w:val="none"/>
        </w:rPr>
        <w:t>2.8 其他</w:t>
      </w:r>
    </w:p>
    <w:p w14:paraId="6C57D70F">
      <w:pPr>
        <w:tabs>
          <w:tab w:val="left" w:pos="1263"/>
        </w:tabs>
        <w:rPr>
          <w:rFonts w:ascii="仿宋" w:eastAsia="仿宋"/>
          <w:color w:val="auto"/>
          <w:kern w:val="0"/>
          <w:sz w:val="24"/>
          <w:highlight w:val="none"/>
        </w:rPr>
      </w:pPr>
      <w:r>
        <w:rPr>
          <w:rFonts w:hint="eastAsia" w:ascii="仿宋" w:eastAsia="仿宋"/>
          <w:color w:val="auto"/>
          <w:kern w:val="0"/>
          <w:sz w:val="24"/>
          <w:highlight w:val="none"/>
        </w:rPr>
        <w:t>2.8.1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01D2276">
      <w:pPr>
        <w:rPr>
          <w:rFonts w:ascii="仿宋" w:hAnsi="仿宋" w:eastAsia="仿宋" w:cs="仿宋"/>
          <w:color w:val="auto"/>
          <w:sz w:val="32"/>
          <w:highlight w:val="none"/>
        </w:rPr>
      </w:pPr>
    </w:p>
    <w:p w14:paraId="30F9EFD1">
      <w:pPr>
        <w:rPr>
          <w:rFonts w:ascii="仿宋" w:hAnsi="仿宋" w:eastAsia="仿宋" w:cs="仿宋"/>
          <w:color w:val="auto"/>
          <w:sz w:val="32"/>
          <w:highlight w:val="none"/>
        </w:rPr>
      </w:pPr>
    </w:p>
    <w:p w14:paraId="6D767877">
      <w:pPr>
        <w:rPr>
          <w:rFonts w:ascii="仿宋" w:hAnsi="仿宋" w:eastAsia="仿宋" w:cs="仿宋"/>
          <w:color w:val="auto"/>
          <w:sz w:val="32"/>
          <w:highlight w:val="none"/>
        </w:rPr>
      </w:pPr>
    </w:p>
    <w:p w14:paraId="5F476144">
      <w:pPr>
        <w:rPr>
          <w:rFonts w:ascii="仿宋" w:hAnsi="仿宋" w:eastAsia="仿宋" w:cs="仿宋"/>
          <w:color w:val="auto"/>
          <w:sz w:val="32"/>
          <w:highlight w:val="none"/>
        </w:rPr>
      </w:pPr>
    </w:p>
    <w:p w14:paraId="4B273C27">
      <w:pPr>
        <w:adjustRightInd/>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62" w:name="_Toc184313303"/>
      <w:bookmarkEnd w:id="62"/>
      <w:bookmarkStart w:id="63" w:name="_Toc184312083"/>
      <w:bookmarkEnd w:id="63"/>
      <w:bookmarkStart w:id="64" w:name="_Toc184310342"/>
      <w:bookmarkEnd w:id="64"/>
      <w:bookmarkStart w:id="65" w:name="_Toc184314442"/>
      <w:bookmarkEnd w:id="65"/>
      <w:bookmarkStart w:id="66" w:name="_Toc184308077"/>
      <w:bookmarkEnd w:id="66"/>
      <w:bookmarkStart w:id="67" w:name="_Toc184310296"/>
      <w:bookmarkEnd w:id="67"/>
      <w:bookmarkStart w:id="68" w:name="_Toc184312099"/>
      <w:bookmarkEnd w:id="68"/>
      <w:bookmarkStart w:id="69" w:name="_Toc184312117"/>
      <w:bookmarkEnd w:id="69"/>
      <w:bookmarkStart w:id="70" w:name="_Toc184308106"/>
      <w:bookmarkEnd w:id="70"/>
      <w:bookmarkStart w:id="71" w:name="_Toc184313287"/>
      <w:bookmarkEnd w:id="71"/>
      <w:bookmarkStart w:id="72" w:name="_Toc184314475"/>
      <w:bookmarkEnd w:id="72"/>
      <w:bookmarkStart w:id="73" w:name="_Toc184313242"/>
      <w:bookmarkEnd w:id="73"/>
      <w:bookmarkStart w:id="74" w:name="_Toc184312068"/>
      <w:bookmarkEnd w:id="74"/>
      <w:bookmarkStart w:id="75" w:name="_Toc184313288"/>
      <w:bookmarkEnd w:id="75"/>
      <w:bookmarkStart w:id="76" w:name="_Toc184310331"/>
      <w:bookmarkEnd w:id="76"/>
      <w:bookmarkStart w:id="77" w:name="_Toc184313269"/>
      <w:bookmarkEnd w:id="77"/>
      <w:bookmarkStart w:id="78" w:name="_Toc184313248"/>
      <w:bookmarkEnd w:id="78"/>
      <w:bookmarkStart w:id="79" w:name="_Toc184314482"/>
      <w:bookmarkEnd w:id="79"/>
      <w:bookmarkStart w:id="80" w:name="_Toc184312082"/>
      <w:bookmarkEnd w:id="80"/>
      <w:bookmarkStart w:id="81" w:name="_Toc184313272"/>
      <w:bookmarkEnd w:id="81"/>
      <w:bookmarkStart w:id="82" w:name="_Toc184310295"/>
      <w:bookmarkEnd w:id="82"/>
      <w:bookmarkStart w:id="83" w:name="_Toc184313310"/>
      <w:bookmarkEnd w:id="83"/>
      <w:bookmarkStart w:id="84" w:name="_Toc184312081"/>
      <w:bookmarkEnd w:id="84"/>
      <w:bookmarkStart w:id="85" w:name="_Toc184313281"/>
      <w:bookmarkEnd w:id="85"/>
      <w:bookmarkStart w:id="86" w:name="_Toc184313279"/>
      <w:bookmarkEnd w:id="86"/>
      <w:bookmarkStart w:id="87" w:name="_Toc184312123"/>
      <w:bookmarkEnd w:id="87"/>
      <w:bookmarkStart w:id="88" w:name="_Toc184314454"/>
      <w:bookmarkEnd w:id="88"/>
      <w:bookmarkStart w:id="89" w:name="_Toc184312093"/>
      <w:bookmarkEnd w:id="89"/>
      <w:bookmarkStart w:id="90" w:name="_Toc184308098"/>
      <w:bookmarkEnd w:id="90"/>
      <w:bookmarkStart w:id="91" w:name="_Toc184310288"/>
      <w:bookmarkEnd w:id="91"/>
      <w:bookmarkStart w:id="92" w:name="_Toc184314457"/>
      <w:bookmarkEnd w:id="92"/>
      <w:bookmarkStart w:id="93" w:name="_Toc184310310"/>
      <w:bookmarkEnd w:id="93"/>
      <w:bookmarkStart w:id="94" w:name="_Toc184313259"/>
      <w:bookmarkEnd w:id="94"/>
      <w:bookmarkStart w:id="95" w:name="_Toc184308103"/>
      <w:bookmarkEnd w:id="95"/>
      <w:bookmarkStart w:id="96" w:name="_Toc184310338"/>
      <w:bookmarkEnd w:id="96"/>
      <w:bookmarkStart w:id="97" w:name="_Toc184308045"/>
      <w:bookmarkEnd w:id="97"/>
      <w:bookmarkStart w:id="98" w:name="_Toc184313294"/>
      <w:bookmarkEnd w:id="98"/>
      <w:bookmarkStart w:id="99" w:name="_Toc184314415"/>
      <w:bookmarkEnd w:id="99"/>
      <w:bookmarkStart w:id="100" w:name="_Toc184313250"/>
      <w:bookmarkEnd w:id="100"/>
      <w:bookmarkStart w:id="101" w:name="_Toc184312106"/>
      <w:bookmarkEnd w:id="101"/>
      <w:bookmarkStart w:id="102" w:name="_Toc184314440"/>
      <w:bookmarkEnd w:id="102"/>
      <w:bookmarkStart w:id="103" w:name="_Toc184310276"/>
      <w:bookmarkEnd w:id="103"/>
      <w:bookmarkStart w:id="104" w:name="_Toc184308067"/>
      <w:bookmarkEnd w:id="104"/>
      <w:bookmarkStart w:id="105" w:name="_Toc184308107"/>
      <w:bookmarkEnd w:id="105"/>
      <w:bookmarkStart w:id="106" w:name="_Toc184310299"/>
      <w:bookmarkEnd w:id="106"/>
      <w:bookmarkStart w:id="107" w:name="_Toc184308044"/>
      <w:bookmarkEnd w:id="107"/>
      <w:bookmarkStart w:id="108" w:name="_Toc184314453"/>
      <w:bookmarkEnd w:id="108"/>
      <w:bookmarkStart w:id="109" w:name="_Toc184308066"/>
      <w:bookmarkEnd w:id="109"/>
      <w:bookmarkStart w:id="110" w:name="_Toc184314477"/>
      <w:bookmarkEnd w:id="110"/>
      <w:bookmarkStart w:id="111" w:name="_Toc184312095"/>
      <w:bookmarkEnd w:id="111"/>
      <w:bookmarkStart w:id="112" w:name="_Toc184314473"/>
      <w:bookmarkEnd w:id="112"/>
      <w:bookmarkStart w:id="113" w:name="_Toc184308060"/>
      <w:bookmarkEnd w:id="113"/>
      <w:bookmarkStart w:id="114" w:name="_Toc184310302"/>
      <w:bookmarkEnd w:id="114"/>
      <w:bookmarkStart w:id="115" w:name="_Toc184308058"/>
      <w:bookmarkEnd w:id="115"/>
      <w:bookmarkStart w:id="116" w:name="_Toc184308080"/>
      <w:bookmarkEnd w:id="116"/>
      <w:bookmarkStart w:id="117" w:name="_Toc184314465"/>
      <w:bookmarkEnd w:id="117"/>
      <w:bookmarkStart w:id="118" w:name="_Toc184310321"/>
      <w:bookmarkEnd w:id="118"/>
      <w:bookmarkStart w:id="119" w:name="_Toc184308092"/>
      <w:bookmarkEnd w:id="119"/>
      <w:bookmarkStart w:id="120" w:name="_Toc184308046"/>
      <w:bookmarkEnd w:id="120"/>
      <w:bookmarkStart w:id="121" w:name="_Toc184312120"/>
      <w:bookmarkEnd w:id="121"/>
      <w:bookmarkStart w:id="122" w:name="_Toc184308075"/>
      <w:bookmarkEnd w:id="122"/>
      <w:bookmarkStart w:id="123" w:name="_Toc184310333"/>
      <w:bookmarkEnd w:id="123"/>
      <w:bookmarkStart w:id="124" w:name="_Toc184313251"/>
      <w:bookmarkEnd w:id="124"/>
      <w:bookmarkStart w:id="125" w:name="_Toc184308042"/>
      <w:bookmarkEnd w:id="125"/>
      <w:bookmarkStart w:id="126" w:name="_Toc184314422"/>
      <w:bookmarkEnd w:id="126"/>
      <w:bookmarkStart w:id="127" w:name="_Toc184313305"/>
      <w:bookmarkEnd w:id="127"/>
      <w:bookmarkStart w:id="128" w:name="_Toc184314443"/>
      <w:bookmarkEnd w:id="128"/>
      <w:bookmarkStart w:id="129" w:name="_Toc184314472"/>
      <w:bookmarkEnd w:id="129"/>
      <w:bookmarkStart w:id="130" w:name="_Toc184312092"/>
      <w:bookmarkEnd w:id="130"/>
      <w:bookmarkStart w:id="131" w:name="_Toc184312134"/>
      <w:bookmarkEnd w:id="131"/>
      <w:bookmarkStart w:id="132" w:name="_Toc184310313"/>
      <w:bookmarkEnd w:id="132"/>
      <w:bookmarkStart w:id="133" w:name="_Toc184308093"/>
      <w:bookmarkEnd w:id="133"/>
      <w:bookmarkStart w:id="134" w:name="_Toc184312096"/>
      <w:bookmarkEnd w:id="134"/>
      <w:bookmarkStart w:id="135" w:name="_Toc184310316"/>
      <w:bookmarkEnd w:id="135"/>
      <w:bookmarkStart w:id="136" w:name="_Toc184313253"/>
      <w:bookmarkEnd w:id="136"/>
      <w:bookmarkStart w:id="137" w:name="_Toc184310284"/>
      <w:bookmarkEnd w:id="137"/>
      <w:bookmarkStart w:id="138" w:name="_Toc184312136"/>
      <w:bookmarkEnd w:id="138"/>
      <w:bookmarkStart w:id="139" w:name="_Toc184313276"/>
      <w:bookmarkEnd w:id="139"/>
      <w:bookmarkStart w:id="140" w:name="_Toc184312133"/>
      <w:bookmarkEnd w:id="140"/>
      <w:bookmarkStart w:id="141" w:name="_Toc184314411"/>
      <w:bookmarkEnd w:id="141"/>
      <w:bookmarkStart w:id="142" w:name="_Toc184313256"/>
      <w:bookmarkEnd w:id="142"/>
      <w:bookmarkStart w:id="143" w:name="_Toc184314463"/>
      <w:bookmarkEnd w:id="143"/>
      <w:bookmarkStart w:id="144" w:name="_Toc184308088"/>
      <w:bookmarkEnd w:id="144"/>
      <w:bookmarkStart w:id="145" w:name="_Toc184312108"/>
      <w:bookmarkEnd w:id="145"/>
      <w:bookmarkStart w:id="146" w:name="_Toc184310279"/>
      <w:bookmarkEnd w:id="146"/>
      <w:bookmarkStart w:id="147" w:name="_Toc184313243"/>
      <w:bookmarkEnd w:id="147"/>
      <w:bookmarkStart w:id="148" w:name="_Toc184310292"/>
      <w:bookmarkEnd w:id="148"/>
      <w:bookmarkStart w:id="149" w:name="_Toc184314480"/>
      <w:bookmarkEnd w:id="149"/>
      <w:bookmarkStart w:id="150" w:name="_Toc184308086"/>
      <w:bookmarkEnd w:id="150"/>
      <w:bookmarkStart w:id="151" w:name="_Toc184313307"/>
      <w:bookmarkEnd w:id="151"/>
      <w:bookmarkStart w:id="152" w:name="_Toc184314458"/>
      <w:bookmarkEnd w:id="152"/>
      <w:bookmarkStart w:id="153" w:name="_Toc184308057"/>
      <w:bookmarkEnd w:id="153"/>
      <w:bookmarkStart w:id="154" w:name="_Toc184314412"/>
      <w:bookmarkEnd w:id="154"/>
      <w:bookmarkStart w:id="155" w:name="_Toc184312130"/>
      <w:bookmarkEnd w:id="155"/>
      <w:bookmarkStart w:id="156" w:name="_Toc184314421"/>
      <w:bookmarkEnd w:id="156"/>
      <w:bookmarkStart w:id="157" w:name="_Toc184312135"/>
      <w:bookmarkEnd w:id="157"/>
      <w:bookmarkStart w:id="158" w:name="_Toc184308074"/>
      <w:bookmarkEnd w:id="158"/>
      <w:bookmarkStart w:id="159" w:name="_Toc184308054"/>
      <w:bookmarkEnd w:id="159"/>
      <w:bookmarkStart w:id="160" w:name="_Toc184308084"/>
      <w:bookmarkEnd w:id="160"/>
      <w:bookmarkStart w:id="161" w:name="_Toc184313282"/>
      <w:bookmarkEnd w:id="161"/>
      <w:bookmarkStart w:id="162" w:name="_Toc184308062"/>
      <w:bookmarkEnd w:id="162"/>
      <w:bookmarkStart w:id="163" w:name="_Toc184314481"/>
      <w:bookmarkEnd w:id="163"/>
      <w:bookmarkStart w:id="164" w:name="_Toc184314468"/>
      <w:bookmarkEnd w:id="164"/>
      <w:bookmarkStart w:id="165" w:name="_Toc184313273"/>
      <w:bookmarkEnd w:id="165"/>
      <w:bookmarkStart w:id="166" w:name="_Toc184310278"/>
      <w:bookmarkEnd w:id="166"/>
      <w:bookmarkStart w:id="167" w:name="_Toc184312076"/>
      <w:bookmarkEnd w:id="167"/>
      <w:bookmarkStart w:id="168" w:name="_Toc184314428"/>
      <w:bookmarkEnd w:id="168"/>
      <w:bookmarkStart w:id="169" w:name="_Toc184308041"/>
      <w:bookmarkEnd w:id="169"/>
      <w:bookmarkStart w:id="170" w:name="_Toc184310306"/>
      <w:bookmarkEnd w:id="170"/>
      <w:bookmarkStart w:id="171" w:name="_Toc184314447"/>
      <w:bookmarkEnd w:id="171"/>
      <w:bookmarkStart w:id="172" w:name="_Toc184308069"/>
      <w:bookmarkEnd w:id="172"/>
      <w:bookmarkStart w:id="173" w:name="_Toc184313283"/>
      <w:bookmarkEnd w:id="173"/>
      <w:bookmarkStart w:id="174" w:name="_Toc184308094"/>
      <w:bookmarkEnd w:id="174"/>
      <w:bookmarkStart w:id="175" w:name="_Toc184312115"/>
      <w:bookmarkEnd w:id="175"/>
      <w:bookmarkStart w:id="176" w:name="_Toc184308076"/>
      <w:bookmarkEnd w:id="176"/>
      <w:bookmarkStart w:id="177" w:name="_Toc184310327"/>
      <w:bookmarkEnd w:id="177"/>
      <w:bookmarkStart w:id="178" w:name="_Toc184313274"/>
      <w:bookmarkEnd w:id="178"/>
      <w:bookmarkStart w:id="179" w:name="_Toc184310275"/>
      <w:bookmarkEnd w:id="179"/>
      <w:bookmarkStart w:id="180" w:name="_Toc184308085"/>
      <w:bookmarkEnd w:id="180"/>
      <w:bookmarkStart w:id="181" w:name="_Toc184314416"/>
      <w:bookmarkEnd w:id="181"/>
      <w:bookmarkStart w:id="182" w:name="_Toc184312078"/>
      <w:bookmarkEnd w:id="182"/>
      <w:bookmarkStart w:id="183" w:name="_Toc184312112"/>
      <w:bookmarkEnd w:id="183"/>
      <w:bookmarkStart w:id="184" w:name="_Toc184310334"/>
      <w:bookmarkEnd w:id="184"/>
      <w:bookmarkStart w:id="185" w:name="_Toc184308064"/>
      <w:bookmarkEnd w:id="185"/>
      <w:bookmarkStart w:id="186" w:name="_Toc184308038"/>
      <w:bookmarkEnd w:id="186"/>
      <w:bookmarkStart w:id="187" w:name="_Toc184314461"/>
      <w:bookmarkEnd w:id="187"/>
      <w:bookmarkStart w:id="188" w:name="_Toc184312116"/>
      <w:bookmarkEnd w:id="188"/>
      <w:bookmarkStart w:id="189" w:name="_Toc184313270"/>
      <w:bookmarkEnd w:id="189"/>
      <w:bookmarkStart w:id="190" w:name="_Toc184312126"/>
      <w:bookmarkEnd w:id="190"/>
      <w:bookmarkStart w:id="191" w:name="_Toc184310308"/>
      <w:bookmarkEnd w:id="191"/>
      <w:bookmarkStart w:id="192" w:name="_Toc184310304"/>
      <w:bookmarkEnd w:id="192"/>
      <w:bookmarkStart w:id="193" w:name="_Toc184313275"/>
      <w:bookmarkEnd w:id="193"/>
      <w:bookmarkStart w:id="194" w:name="_Toc184314476"/>
      <w:bookmarkEnd w:id="194"/>
      <w:bookmarkStart w:id="195" w:name="_Toc184313241"/>
      <w:bookmarkEnd w:id="195"/>
      <w:bookmarkStart w:id="196" w:name="_Toc184314437"/>
      <w:bookmarkEnd w:id="196"/>
      <w:bookmarkStart w:id="197" w:name="_Toc184314469"/>
      <w:bookmarkEnd w:id="197"/>
      <w:bookmarkStart w:id="198" w:name="_Toc184314466"/>
      <w:bookmarkEnd w:id="198"/>
      <w:bookmarkStart w:id="199" w:name="_Toc184313295"/>
      <w:bookmarkEnd w:id="199"/>
      <w:bookmarkStart w:id="200" w:name="_Toc184310343"/>
      <w:bookmarkEnd w:id="200"/>
      <w:bookmarkStart w:id="201" w:name="_Toc184308059"/>
      <w:bookmarkEnd w:id="201"/>
      <w:bookmarkStart w:id="202" w:name="_Toc184310329"/>
      <w:bookmarkEnd w:id="202"/>
      <w:bookmarkStart w:id="203" w:name="_Toc184313258"/>
      <w:bookmarkEnd w:id="203"/>
      <w:bookmarkStart w:id="204" w:name="_Toc184314432"/>
      <w:bookmarkEnd w:id="204"/>
      <w:bookmarkStart w:id="205" w:name="_Toc184313302"/>
      <w:bookmarkEnd w:id="205"/>
      <w:bookmarkStart w:id="206" w:name="_Toc184312110"/>
      <w:bookmarkEnd w:id="206"/>
      <w:bookmarkStart w:id="207" w:name="_Toc184314448"/>
      <w:bookmarkEnd w:id="207"/>
      <w:bookmarkStart w:id="208" w:name="_Toc184308095"/>
      <w:bookmarkEnd w:id="208"/>
      <w:bookmarkStart w:id="209" w:name="_Toc184313255"/>
      <w:bookmarkEnd w:id="209"/>
      <w:bookmarkStart w:id="210" w:name="_Toc184308048"/>
      <w:bookmarkEnd w:id="210"/>
      <w:bookmarkStart w:id="211" w:name="_Toc184310332"/>
      <w:bookmarkEnd w:id="211"/>
      <w:bookmarkStart w:id="212" w:name="_Toc184308056"/>
      <w:bookmarkEnd w:id="212"/>
      <w:bookmarkStart w:id="213" w:name="_Toc184308072"/>
      <w:bookmarkEnd w:id="213"/>
      <w:bookmarkStart w:id="214" w:name="_Toc184313297"/>
      <w:bookmarkEnd w:id="214"/>
      <w:bookmarkStart w:id="215" w:name="_Toc184308070"/>
      <w:bookmarkEnd w:id="215"/>
      <w:bookmarkStart w:id="216" w:name="_Toc184310305"/>
      <w:bookmarkEnd w:id="216"/>
      <w:bookmarkStart w:id="217" w:name="_Toc184314410"/>
      <w:bookmarkEnd w:id="217"/>
      <w:bookmarkStart w:id="218" w:name="_Toc184308055"/>
      <w:bookmarkEnd w:id="218"/>
      <w:bookmarkStart w:id="219" w:name="_Toc184310309"/>
      <w:bookmarkEnd w:id="219"/>
      <w:bookmarkStart w:id="220" w:name="_Toc184313299"/>
      <w:bookmarkEnd w:id="220"/>
      <w:bookmarkStart w:id="221" w:name="_Toc184308108"/>
      <w:bookmarkEnd w:id="221"/>
      <w:bookmarkStart w:id="222" w:name="_Toc184310323"/>
      <w:bookmarkEnd w:id="222"/>
      <w:bookmarkStart w:id="223" w:name="_Toc184314445"/>
      <w:bookmarkEnd w:id="223"/>
      <w:bookmarkStart w:id="224" w:name="_Toc184310273"/>
      <w:bookmarkEnd w:id="224"/>
      <w:bookmarkStart w:id="225" w:name="_Toc184310335"/>
      <w:bookmarkEnd w:id="225"/>
      <w:bookmarkStart w:id="226" w:name="_Toc184312125"/>
      <w:bookmarkEnd w:id="226"/>
      <w:bookmarkStart w:id="227" w:name="_Toc184308081"/>
      <w:bookmarkEnd w:id="227"/>
      <w:bookmarkStart w:id="228" w:name="_Toc184310317"/>
      <w:bookmarkEnd w:id="228"/>
      <w:bookmarkStart w:id="229" w:name="_Toc184312103"/>
      <w:bookmarkEnd w:id="229"/>
      <w:bookmarkStart w:id="230" w:name="_Toc184312070"/>
      <w:bookmarkEnd w:id="230"/>
      <w:bookmarkStart w:id="231" w:name="_Toc184312071"/>
      <w:bookmarkEnd w:id="231"/>
      <w:bookmarkStart w:id="232" w:name="_Toc184308100"/>
      <w:bookmarkEnd w:id="232"/>
      <w:bookmarkStart w:id="233" w:name="_Toc184312086"/>
      <w:bookmarkEnd w:id="233"/>
      <w:bookmarkStart w:id="234" w:name="_Toc184314478"/>
      <w:bookmarkEnd w:id="234"/>
      <w:bookmarkStart w:id="235" w:name="_Toc184314444"/>
      <w:bookmarkEnd w:id="235"/>
      <w:bookmarkStart w:id="236" w:name="_Toc184310341"/>
      <w:bookmarkEnd w:id="236"/>
      <w:bookmarkStart w:id="237" w:name="_Toc184314439"/>
      <w:bookmarkEnd w:id="237"/>
      <w:bookmarkStart w:id="238" w:name="_Toc184310328"/>
      <w:bookmarkEnd w:id="238"/>
      <w:bookmarkStart w:id="239" w:name="_Toc184313244"/>
      <w:bookmarkEnd w:id="239"/>
      <w:bookmarkStart w:id="240" w:name="_Toc184308091"/>
      <w:bookmarkEnd w:id="240"/>
      <w:bookmarkStart w:id="241" w:name="_Toc184314429"/>
      <w:bookmarkEnd w:id="241"/>
      <w:bookmarkStart w:id="242" w:name="_Toc184310320"/>
      <w:bookmarkEnd w:id="242"/>
      <w:bookmarkStart w:id="243" w:name="_Toc184312084"/>
      <w:bookmarkEnd w:id="243"/>
      <w:bookmarkStart w:id="244" w:name="_Toc184314433"/>
      <w:bookmarkEnd w:id="244"/>
      <w:bookmarkStart w:id="245" w:name="_Toc184312104"/>
      <w:bookmarkEnd w:id="245"/>
      <w:bookmarkStart w:id="246" w:name="_Toc184313290"/>
      <w:bookmarkEnd w:id="246"/>
      <w:bookmarkStart w:id="247" w:name="_Toc184312101"/>
      <w:bookmarkEnd w:id="247"/>
      <w:bookmarkStart w:id="248" w:name="_Toc184314459"/>
      <w:bookmarkEnd w:id="248"/>
      <w:bookmarkStart w:id="249" w:name="_Toc184308049"/>
      <w:bookmarkEnd w:id="249"/>
      <w:bookmarkStart w:id="250" w:name="_Toc184312085"/>
      <w:bookmarkEnd w:id="250"/>
      <w:bookmarkStart w:id="251" w:name="_Toc184312119"/>
      <w:bookmarkEnd w:id="251"/>
      <w:bookmarkStart w:id="252" w:name="_Toc184312088"/>
      <w:bookmarkEnd w:id="252"/>
      <w:bookmarkStart w:id="253" w:name="_Toc184313296"/>
      <w:bookmarkEnd w:id="253"/>
      <w:bookmarkStart w:id="254" w:name="_Toc184310326"/>
      <w:bookmarkEnd w:id="254"/>
      <w:bookmarkStart w:id="255" w:name="_Toc184314430"/>
      <w:bookmarkEnd w:id="255"/>
      <w:bookmarkStart w:id="256" w:name="_Toc184310319"/>
      <w:bookmarkEnd w:id="256"/>
      <w:bookmarkStart w:id="257" w:name="_Toc184308078"/>
      <w:bookmarkEnd w:id="257"/>
      <w:bookmarkStart w:id="258" w:name="_Toc184310300"/>
      <w:bookmarkEnd w:id="258"/>
      <w:bookmarkStart w:id="259" w:name="_Toc184310287"/>
      <w:bookmarkEnd w:id="259"/>
      <w:bookmarkStart w:id="260" w:name="_Toc184308050"/>
      <w:bookmarkEnd w:id="260"/>
      <w:bookmarkStart w:id="261" w:name="_Toc184314449"/>
      <w:bookmarkEnd w:id="261"/>
      <w:bookmarkStart w:id="262" w:name="_Toc184312138"/>
      <w:bookmarkEnd w:id="262"/>
      <w:bookmarkStart w:id="263" w:name="_Toc184314451"/>
      <w:bookmarkEnd w:id="263"/>
      <w:bookmarkStart w:id="264" w:name="_Toc184310344"/>
      <w:bookmarkEnd w:id="264"/>
      <w:bookmarkStart w:id="265" w:name="_Toc184308063"/>
      <w:bookmarkEnd w:id="265"/>
      <w:bookmarkStart w:id="266" w:name="_Toc184313277"/>
      <w:bookmarkEnd w:id="266"/>
      <w:bookmarkStart w:id="267" w:name="_Toc184310281"/>
      <w:bookmarkEnd w:id="267"/>
      <w:bookmarkStart w:id="268" w:name="_Toc184310318"/>
      <w:bookmarkEnd w:id="268"/>
      <w:bookmarkStart w:id="269" w:name="_Toc184310315"/>
      <w:bookmarkEnd w:id="269"/>
      <w:bookmarkStart w:id="270" w:name="_Toc184310282"/>
      <w:bookmarkEnd w:id="270"/>
      <w:bookmarkStart w:id="271" w:name="_Toc184312100"/>
      <w:bookmarkEnd w:id="271"/>
      <w:bookmarkStart w:id="272" w:name="_Toc184314436"/>
      <w:bookmarkEnd w:id="272"/>
      <w:bookmarkStart w:id="273" w:name="_Toc184314414"/>
      <w:bookmarkEnd w:id="273"/>
      <w:bookmarkStart w:id="274" w:name="_Toc184312102"/>
      <w:bookmarkEnd w:id="274"/>
      <w:bookmarkStart w:id="275" w:name="_Toc184310285"/>
      <w:bookmarkEnd w:id="275"/>
      <w:bookmarkStart w:id="276" w:name="_Toc184310307"/>
      <w:bookmarkEnd w:id="276"/>
      <w:bookmarkStart w:id="277" w:name="_Toc184314431"/>
      <w:bookmarkEnd w:id="277"/>
      <w:bookmarkStart w:id="278" w:name="_Toc184312079"/>
      <w:bookmarkEnd w:id="278"/>
      <w:bookmarkStart w:id="279" w:name="_Toc184313304"/>
      <w:bookmarkEnd w:id="279"/>
      <w:bookmarkStart w:id="280" w:name="_Toc184310286"/>
      <w:bookmarkEnd w:id="280"/>
      <w:bookmarkStart w:id="281" w:name="_Toc184313261"/>
      <w:bookmarkEnd w:id="281"/>
      <w:bookmarkStart w:id="282" w:name="_Toc184314413"/>
      <w:bookmarkEnd w:id="282"/>
      <w:bookmarkStart w:id="283" w:name="_Toc184314434"/>
      <w:bookmarkEnd w:id="283"/>
      <w:bookmarkStart w:id="284" w:name="_Toc184313309"/>
      <w:bookmarkEnd w:id="284"/>
      <w:bookmarkStart w:id="285" w:name="_Toc184308047"/>
      <w:bookmarkEnd w:id="285"/>
      <w:bookmarkStart w:id="286" w:name="_Toc184312094"/>
      <w:bookmarkEnd w:id="286"/>
      <w:bookmarkStart w:id="287" w:name="_Toc184308053"/>
      <w:bookmarkEnd w:id="287"/>
      <w:bookmarkStart w:id="288" w:name="_Toc184312114"/>
      <w:bookmarkEnd w:id="288"/>
      <w:bookmarkStart w:id="289" w:name="_Toc184310303"/>
      <w:bookmarkEnd w:id="289"/>
      <w:bookmarkStart w:id="290" w:name="_Toc184308089"/>
      <w:bookmarkEnd w:id="290"/>
      <w:bookmarkStart w:id="291" w:name="_Toc184314462"/>
      <w:bookmarkEnd w:id="291"/>
      <w:bookmarkStart w:id="292" w:name="_Toc184310291"/>
      <w:bookmarkEnd w:id="292"/>
      <w:bookmarkStart w:id="293" w:name="_Toc184310311"/>
      <w:bookmarkEnd w:id="293"/>
      <w:bookmarkStart w:id="294" w:name="_Toc184314479"/>
      <w:bookmarkEnd w:id="294"/>
      <w:bookmarkStart w:id="295" w:name="_Toc184308061"/>
      <w:bookmarkEnd w:id="295"/>
      <w:bookmarkStart w:id="296" w:name="_Toc184310298"/>
      <w:bookmarkEnd w:id="296"/>
      <w:bookmarkStart w:id="297" w:name="_Toc184314446"/>
      <w:bookmarkEnd w:id="297"/>
      <w:bookmarkStart w:id="298" w:name="_Toc184312072"/>
      <w:bookmarkEnd w:id="298"/>
      <w:bookmarkStart w:id="299" w:name="_Toc184314456"/>
      <w:bookmarkEnd w:id="299"/>
      <w:bookmarkStart w:id="300" w:name="_Toc184313268"/>
      <w:bookmarkEnd w:id="300"/>
      <w:bookmarkStart w:id="301" w:name="_Toc184313289"/>
      <w:bookmarkEnd w:id="301"/>
      <w:bookmarkStart w:id="302" w:name="_Toc184308082"/>
      <w:bookmarkEnd w:id="302"/>
      <w:bookmarkStart w:id="303" w:name="_Toc184310280"/>
      <w:bookmarkEnd w:id="303"/>
      <w:bookmarkStart w:id="304" w:name="_Toc184310297"/>
      <w:bookmarkEnd w:id="304"/>
      <w:bookmarkStart w:id="305" w:name="_Toc184314426"/>
      <w:bookmarkEnd w:id="305"/>
      <w:bookmarkStart w:id="306" w:name="_Toc184314452"/>
      <w:bookmarkEnd w:id="306"/>
      <w:bookmarkStart w:id="307" w:name="_Toc184312089"/>
      <w:bookmarkEnd w:id="307"/>
      <w:bookmarkStart w:id="308" w:name="_Toc184312137"/>
      <w:bookmarkEnd w:id="308"/>
      <w:bookmarkStart w:id="309" w:name="_Toc184314460"/>
      <w:bookmarkEnd w:id="309"/>
      <w:bookmarkStart w:id="310" w:name="_Toc184308071"/>
      <w:bookmarkEnd w:id="310"/>
      <w:bookmarkStart w:id="311" w:name="_Toc184314441"/>
      <w:bookmarkEnd w:id="311"/>
      <w:bookmarkStart w:id="312" w:name="_Toc184313249"/>
      <w:bookmarkEnd w:id="312"/>
      <w:bookmarkStart w:id="313" w:name="_Toc184310274"/>
      <w:bookmarkEnd w:id="313"/>
      <w:bookmarkStart w:id="314" w:name="_Toc184312139"/>
      <w:bookmarkEnd w:id="314"/>
      <w:bookmarkStart w:id="315" w:name="_Toc184308036"/>
      <w:bookmarkEnd w:id="315"/>
      <w:bookmarkStart w:id="316" w:name="_Toc184314423"/>
      <w:bookmarkEnd w:id="316"/>
      <w:bookmarkStart w:id="317" w:name="_Toc184314450"/>
      <w:bookmarkEnd w:id="317"/>
      <w:bookmarkStart w:id="318" w:name="_Toc184308052"/>
      <w:bookmarkEnd w:id="318"/>
      <w:bookmarkStart w:id="319" w:name="_Toc184310336"/>
      <w:bookmarkEnd w:id="319"/>
      <w:bookmarkStart w:id="320" w:name="_Toc184314474"/>
      <w:bookmarkEnd w:id="320"/>
      <w:bookmarkStart w:id="321" w:name="_Toc184313298"/>
      <w:bookmarkEnd w:id="321"/>
      <w:bookmarkStart w:id="322" w:name="_Toc184313246"/>
      <w:bookmarkEnd w:id="322"/>
      <w:bookmarkStart w:id="323" w:name="_Toc184308102"/>
      <w:bookmarkEnd w:id="323"/>
      <w:bookmarkStart w:id="324" w:name="_Toc184313291"/>
      <w:bookmarkEnd w:id="324"/>
      <w:bookmarkStart w:id="325" w:name="_Toc184310330"/>
      <w:bookmarkEnd w:id="325"/>
      <w:bookmarkStart w:id="326" w:name="_Toc184313260"/>
      <w:bookmarkEnd w:id="326"/>
      <w:bookmarkStart w:id="327" w:name="_Toc184310324"/>
      <w:bookmarkEnd w:id="327"/>
      <w:bookmarkStart w:id="328" w:name="_Toc184314424"/>
      <w:bookmarkEnd w:id="328"/>
      <w:bookmarkStart w:id="329" w:name="_Toc184314427"/>
      <w:bookmarkEnd w:id="329"/>
      <w:bookmarkStart w:id="330" w:name="_Toc184313264"/>
      <w:bookmarkEnd w:id="330"/>
      <w:bookmarkStart w:id="331" w:name="_Toc184313280"/>
      <w:bookmarkEnd w:id="331"/>
      <w:bookmarkStart w:id="332" w:name="_Toc184314425"/>
      <w:bookmarkEnd w:id="332"/>
      <w:bookmarkStart w:id="333" w:name="_Toc184308051"/>
      <w:bookmarkEnd w:id="333"/>
      <w:bookmarkStart w:id="334" w:name="_Toc184314464"/>
      <w:bookmarkEnd w:id="334"/>
      <w:bookmarkStart w:id="335" w:name="_Toc184312107"/>
      <w:bookmarkEnd w:id="335"/>
      <w:bookmarkStart w:id="336" w:name="_Toc184314471"/>
      <w:bookmarkEnd w:id="336"/>
      <w:bookmarkStart w:id="337" w:name="_Toc184308083"/>
      <w:bookmarkEnd w:id="337"/>
      <w:bookmarkStart w:id="338" w:name="_Toc184308090"/>
      <w:bookmarkEnd w:id="338"/>
      <w:bookmarkStart w:id="339" w:name="_Toc184308037"/>
      <w:bookmarkEnd w:id="339"/>
      <w:bookmarkStart w:id="340" w:name="_Toc184312118"/>
      <w:bookmarkEnd w:id="340"/>
      <w:bookmarkStart w:id="341" w:name="_Toc184313247"/>
      <w:bookmarkEnd w:id="341"/>
      <w:bookmarkStart w:id="342" w:name="_Toc184308099"/>
      <w:bookmarkEnd w:id="342"/>
      <w:bookmarkStart w:id="343" w:name="_Toc184312124"/>
      <w:bookmarkEnd w:id="343"/>
      <w:bookmarkStart w:id="344" w:name="_Toc184313245"/>
      <w:bookmarkEnd w:id="344"/>
      <w:bookmarkStart w:id="345" w:name="_Toc184312128"/>
      <w:bookmarkEnd w:id="345"/>
      <w:bookmarkStart w:id="346" w:name="_Toc184313254"/>
      <w:bookmarkEnd w:id="346"/>
      <w:bookmarkStart w:id="347" w:name="_Toc184313293"/>
      <w:bookmarkEnd w:id="347"/>
      <w:bookmarkStart w:id="348" w:name="_Toc184314435"/>
      <w:bookmarkEnd w:id="348"/>
      <w:bookmarkStart w:id="349" w:name="_Toc184313286"/>
      <w:bookmarkEnd w:id="349"/>
      <w:bookmarkStart w:id="350" w:name="_Toc184312067"/>
      <w:bookmarkEnd w:id="350"/>
      <w:bookmarkStart w:id="351" w:name="_Toc184308105"/>
      <w:bookmarkEnd w:id="351"/>
      <w:bookmarkStart w:id="352" w:name="_Toc184310293"/>
      <w:bookmarkEnd w:id="352"/>
      <w:bookmarkStart w:id="353" w:name="_Toc184312080"/>
      <w:bookmarkEnd w:id="353"/>
      <w:bookmarkStart w:id="354" w:name="_Toc184310277"/>
      <w:bookmarkEnd w:id="354"/>
      <w:bookmarkStart w:id="355" w:name="_Toc184312090"/>
      <w:bookmarkEnd w:id="355"/>
      <w:bookmarkStart w:id="356" w:name="_Toc184308040"/>
      <w:bookmarkEnd w:id="356"/>
      <w:bookmarkStart w:id="357" w:name="_Toc184312075"/>
      <w:bookmarkEnd w:id="357"/>
      <w:bookmarkStart w:id="358" w:name="_Toc184313239"/>
      <w:bookmarkEnd w:id="358"/>
      <w:bookmarkStart w:id="359" w:name="_Toc184310314"/>
      <w:bookmarkEnd w:id="359"/>
      <w:bookmarkStart w:id="360" w:name="_Toc184308079"/>
      <w:bookmarkEnd w:id="360"/>
      <w:bookmarkStart w:id="361" w:name="_Toc184310301"/>
      <w:bookmarkEnd w:id="361"/>
      <w:bookmarkStart w:id="362" w:name="_Toc184308043"/>
      <w:bookmarkEnd w:id="362"/>
      <w:bookmarkStart w:id="363" w:name="_Toc184308104"/>
      <w:bookmarkEnd w:id="363"/>
      <w:bookmarkStart w:id="364" w:name="_Toc184310325"/>
      <w:bookmarkEnd w:id="364"/>
      <w:bookmarkStart w:id="365" w:name="_Toc184308096"/>
      <w:bookmarkEnd w:id="365"/>
      <w:bookmarkStart w:id="366" w:name="_Toc184312109"/>
      <w:bookmarkEnd w:id="366"/>
      <w:bookmarkStart w:id="367" w:name="_Toc184312127"/>
      <w:bookmarkEnd w:id="367"/>
      <w:bookmarkStart w:id="368" w:name="_Toc184313308"/>
      <w:bookmarkEnd w:id="368"/>
      <w:bookmarkStart w:id="369" w:name="_Toc184312074"/>
      <w:bookmarkEnd w:id="369"/>
      <w:bookmarkStart w:id="370" w:name="_Toc184313240"/>
      <w:bookmarkEnd w:id="370"/>
      <w:bookmarkStart w:id="371" w:name="_Toc184310290"/>
      <w:bookmarkEnd w:id="371"/>
      <w:bookmarkStart w:id="372" w:name="_Toc184314418"/>
      <w:bookmarkEnd w:id="372"/>
      <w:bookmarkStart w:id="373" w:name="_Toc184313271"/>
      <w:bookmarkEnd w:id="373"/>
      <w:bookmarkStart w:id="374" w:name="_Toc184310322"/>
      <w:bookmarkEnd w:id="374"/>
      <w:bookmarkStart w:id="375" w:name="_Toc184313238"/>
      <w:bookmarkEnd w:id="375"/>
      <w:bookmarkStart w:id="376" w:name="_Toc184312111"/>
      <w:bookmarkEnd w:id="376"/>
      <w:bookmarkStart w:id="377" w:name="_Toc184308039"/>
      <w:bookmarkEnd w:id="377"/>
      <w:bookmarkStart w:id="378" w:name="_Toc184310312"/>
      <w:bookmarkEnd w:id="378"/>
      <w:bookmarkStart w:id="379" w:name="_Toc184314438"/>
      <w:bookmarkEnd w:id="379"/>
      <w:bookmarkStart w:id="380" w:name="_Toc184312132"/>
      <w:bookmarkEnd w:id="380"/>
      <w:bookmarkStart w:id="381" w:name="_Toc184313278"/>
      <w:bookmarkEnd w:id="381"/>
      <w:bookmarkStart w:id="382" w:name="_Toc184313292"/>
      <w:bookmarkEnd w:id="382"/>
      <w:bookmarkStart w:id="383" w:name="_Toc184312098"/>
      <w:bookmarkEnd w:id="383"/>
      <w:bookmarkStart w:id="384" w:name="_Toc184313285"/>
      <w:bookmarkEnd w:id="384"/>
      <w:bookmarkStart w:id="385" w:name="_Toc184312122"/>
      <w:bookmarkEnd w:id="385"/>
      <w:bookmarkStart w:id="386" w:name="_Toc184313267"/>
      <w:bookmarkEnd w:id="386"/>
      <w:bookmarkStart w:id="387" w:name="_Toc184308065"/>
      <w:bookmarkEnd w:id="387"/>
      <w:bookmarkStart w:id="388" w:name="_Toc184313266"/>
      <w:bookmarkEnd w:id="388"/>
      <w:bookmarkStart w:id="389" w:name="_Toc184314455"/>
      <w:bookmarkEnd w:id="389"/>
      <w:bookmarkStart w:id="390" w:name="_Toc184312121"/>
      <w:bookmarkEnd w:id="390"/>
      <w:bookmarkStart w:id="391" w:name="_Toc184312077"/>
      <w:bookmarkEnd w:id="391"/>
      <w:bookmarkStart w:id="392" w:name="_Toc184308087"/>
      <w:bookmarkEnd w:id="392"/>
      <w:bookmarkStart w:id="393" w:name="_Toc184310337"/>
      <w:bookmarkEnd w:id="393"/>
      <w:bookmarkStart w:id="394" w:name="_Toc184310289"/>
      <w:bookmarkEnd w:id="394"/>
      <w:bookmarkStart w:id="395" w:name="_Toc184308097"/>
      <w:bookmarkEnd w:id="395"/>
      <w:bookmarkStart w:id="396" w:name="_Toc184314467"/>
      <w:bookmarkEnd w:id="396"/>
      <w:bookmarkStart w:id="397" w:name="_Toc184314417"/>
      <w:bookmarkEnd w:id="397"/>
      <w:bookmarkStart w:id="398" w:name="_Toc184312087"/>
      <w:bookmarkEnd w:id="398"/>
      <w:bookmarkStart w:id="399" w:name="_Toc184313262"/>
      <w:bookmarkEnd w:id="399"/>
      <w:bookmarkStart w:id="400" w:name="_Toc184313252"/>
      <w:bookmarkEnd w:id="400"/>
      <w:bookmarkStart w:id="401" w:name="_Toc184310272"/>
      <w:bookmarkEnd w:id="401"/>
      <w:bookmarkStart w:id="402" w:name="_Toc184310340"/>
      <w:bookmarkEnd w:id="402"/>
      <w:bookmarkStart w:id="403" w:name="_Toc184313265"/>
      <w:bookmarkEnd w:id="403"/>
      <w:bookmarkStart w:id="404" w:name="_Toc184312105"/>
      <w:bookmarkEnd w:id="404"/>
      <w:bookmarkStart w:id="405" w:name="_Toc184312091"/>
      <w:bookmarkEnd w:id="405"/>
      <w:bookmarkStart w:id="406" w:name="_Toc184312069"/>
      <w:bookmarkEnd w:id="406"/>
      <w:bookmarkStart w:id="407" w:name="_Toc184308073"/>
      <w:bookmarkEnd w:id="407"/>
      <w:bookmarkStart w:id="408" w:name="_Toc184310339"/>
      <w:bookmarkEnd w:id="408"/>
      <w:bookmarkStart w:id="409" w:name="_Toc184310294"/>
      <w:bookmarkEnd w:id="409"/>
      <w:bookmarkStart w:id="410" w:name="_Toc184310283"/>
      <w:bookmarkEnd w:id="410"/>
      <w:bookmarkStart w:id="411" w:name="_Toc184313263"/>
      <w:bookmarkEnd w:id="411"/>
      <w:bookmarkStart w:id="412" w:name="_Toc184314419"/>
      <w:bookmarkEnd w:id="412"/>
      <w:bookmarkStart w:id="413" w:name="_Toc184312097"/>
      <w:bookmarkEnd w:id="413"/>
      <w:bookmarkStart w:id="414" w:name="_Toc184312073"/>
      <w:bookmarkEnd w:id="414"/>
      <w:bookmarkStart w:id="415" w:name="_Toc184314420"/>
      <w:bookmarkEnd w:id="415"/>
      <w:bookmarkStart w:id="416" w:name="_Toc184314470"/>
      <w:bookmarkEnd w:id="416"/>
      <w:bookmarkStart w:id="417" w:name="_Toc184313300"/>
      <w:bookmarkEnd w:id="417"/>
      <w:bookmarkStart w:id="418" w:name="_Toc184313284"/>
      <w:bookmarkEnd w:id="418"/>
      <w:bookmarkStart w:id="419" w:name="_Toc184313257"/>
      <w:bookmarkEnd w:id="419"/>
      <w:bookmarkStart w:id="420" w:name="_Toc184312129"/>
      <w:bookmarkEnd w:id="420"/>
      <w:bookmarkStart w:id="421" w:name="_Toc184308101"/>
      <w:bookmarkEnd w:id="421"/>
      <w:bookmarkStart w:id="422" w:name="_Toc184308068"/>
      <w:bookmarkEnd w:id="422"/>
      <w:bookmarkStart w:id="423" w:name="_Toc184312131"/>
      <w:bookmarkEnd w:id="423"/>
      <w:bookmarkStart w:id="424" w:name="_Toc184313306"/>
      <w:bookmarkEnd w:id="424"/>
      <w:bookmarkStart w:id="425" w:name="_Toc184312113"/>
      <w:bookmarkEnd w:id="425"/>
      <w:bookmarkStart w:id="426" w:name="_Toc184313301"/>
      <w:bookmarkEnd w:id="426"/>
      <w:r>
        <w:rPr>
          <w:rFonts w:hint="eastAsia" w:ascii="仿宋" w:hAnsi="仿宋" w:eastAsia="仿宋" w:cs="仿宋_GB2312"/>
          <w:b/>
          <w:color w:val="auto"/>
          <w:sz w:val="36"/>
          <w:szCs w:val="36"/>
          <w:highlight w:val="none"/>
        </w:rPr>
        <w:t>评标方法及评分标准</w:t>
      </w:r>
    </w:p>
    <w:p w14:paraId="3B6EA264">
      <w:pPr>
        <w:snapToGrid w:val="0"/>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（综合评审法）</w:t>
      </w:r>
    </w:p>
    <w:p w14:paraId="5262B76F">
      <w:pP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3D3DBE4C">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微软雅黑" w:hAnsi="微软雅黑" w:eastAsia="微软雅黑" w:cs="微软雅黑"/>
          <w:color w:val="auto"/>
          <w:szCs w:val="21"/>
          <w:highlight w:val="none"/>
          <w:shd w:val="clear" w:color="auto" w:fill="FFFFFF"/>
        </w:rPr>
        <w:t>每家供应商可以参加多个标段的投标，但最多只能中1个标段，中标后其他标段将不再开启。开标顺序按1标、2标、3标、4标顺序开标。</w:t>
      </w:r>
    </w:p>
    <w:p w14:paraId="59CE16B4">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2DD280F6">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14:paraId="5C101064">
      <w:pPr>
        <w:pStyle w:val="23"/>
        <w:spacing w:before="0"/>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14:paraId="38EEBBDC">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2870EB50">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22455B47">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163839ED">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288F1395">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14:paraId="0C3522F1">
      <w:pPr>
        <w:pStyle w:val="23"/>
        <w:spacing w:before="0"/>
        <w:ind w:firstLine="0" w:firstLineChars="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05C34666">
      <w:pPr>
        <w:pStyle w:val="23"/>
        <w:spacing w:before="0"/>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1DF41D4B">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14:paraId="078C02CF">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14:paraId="7D0046BC">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14:paraId="735BD49D">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14:paraId="658C1C9F">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14:paraId="6BA2FA7A">
      <w:pPr>
        <w:pStyle w:val="2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14:paraId="3C8AAD42">
      <w:pPr>
        <w:pStyle w:val="23"/>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32C346C0">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14:paraId="755C7BE2">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14:paraId="6F0E8549">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14:paraId="03B9FD5C">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076134BD">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0C964EA6">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2277EE4C">
      <w:pPr>
        <w:pStyle w:val="2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3763F909">
      <w:pPr>
        <w:pStyle w:val="23"/>
        <w:spacing w:before="0"/>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57C1917C">
      <w:pPr>
        <w:pStyle w:val="23"/>
        <w:spacing w:before="0"/>
        <w:ind w:firstLine="0" w:firstLineChars="0"/>
        <w:rPr>
          <w:rFonts w:ascii="仿宋" w:hAnsi="仿宋" w:eastAsia="仿宋" w:cs="Arial"/>
          <w:color w:val="auto"/>
          <w:kern w:val="0"/>
          <w:highlight w:val="none"/>
        </w:rPr>
      </w:pPr>
    </w:p>
    <w:p w14:paraId="3EEE67A7">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24E1DF99">
      <w:pPr>
        <w:spacing w:line="360" w:lineRule="auto"/>
        <w:ind w:firstLine="472" w:firstLineChars="196"/>
        <w:rPr>
          <w:rFonts w:ascii="仿宋" w:hAnsi="仿宋" w:eastAsia="仿宋" w:cs="Arial"/>
          <w:color w:val="auto"/>
          <w:kern w:val="0"/>
          <w:highlight w:val="none"/>
        </w:rPr>
      </w:pP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符合性</w:t>
      </w:r>
      <w:r>
        <w:rPr>
          <w:rFonts w:hint="eastAsia" w:ascii="仿宋" w:hAnsi="仿宋" w:eastAsia="仿宋" w:cs="Arial"/>
          <w:b/>
          <w:color w:val="auto"/>
          <w:kern w:val="0"/>
          <w:sz w:val="24"/>
          <w:highlight w:val="none"/>
        </w:rPr>
        <w:t>审查</w:t>
      </w:r>
      <w:r>
        <w:rPr>
          <w:rFonts w:hint="eastAsia" w:ascii="仿宋" w:hAnsi="仿宋" w:eastAsia="仿宋" w:cs="Arial"/>
          <w:b/>
          <w:color w:val="auto"/>
          <w:kern w:val="0"/>
          <w:highlight w:val="none"/>
        </w:rPr>
        <w:t>。</w:t>
      </w:r>
      <w:r>
        <w:rPr>
          <w:rFonts w:hint="eastAsia" w:ascii="仿宋" w:hAnsi="仿宋"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EA0EC9">
      <w:pPr>
        <w:pStyle w:val="2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ascii="仿宋" w:hAnsi="仿宋" w:eastAsia="仿宋" w:cs="Arial"/>
          <w:b/>
          <w:color w:val="auto"/>
          <w:kern w:val="0"/>
          <w:szCs w:val="24"/>
          <w:highlight w:val="none"/>
        </w:rPr>
        <w:t>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14:paraId="041A4538">
      <w:pPr>
        <w:pStyle w:val="2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4A219909">
      <w:pPr>
        <w:pStyle w:val="2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14:paraId="23E89A44">
      <w:pPr>
        <w:pStyle w:val="23"/>
        <w:spacing w:before="0"/>
        <w:ind w:firstLine="480"/>
        <w:rPr>
          <w:rFonts w:ascii="仿宋" w:hAnsi="仿宋" w:eastAsia="仿宋" w:cs="宋体"/>
          <w:color w:val="auto"/>
          <w:kern w:val="0"/>
          <w:szCs w:val="24"/>
          <w:highlight w:val="none"/>
        </w:rPr>
      </w:pPr>
      <w:r>
        <w:rPr>
          <w:rFonts w:hint="eastAsia" w:ascii="仿宋" w:hAnsi="仿宋" w:eastAsia="仿宋" w:cs="Arial"/>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highlight w:val="none"/>
        </w:rPr>
        <w:t>投标人不能证明其报价合理性的，评标委员会应当将其作为无效投标处理。</w:t>
      </w:r>
    </w:p>
    <w:p w14:paraId="1E3A4F6E">
      <w:pPr>
        <w:pStyle w:val="23"/>
        <w:spacing w:before="0"/>
        <w:ind w:firstLine="480"/>
        <w:rPr>
          <w:rFonts w:ascii="仿宋" w:hAnsi="仿宋" w:eastAsia="仿宋" w:cs="宋体"/>
          <w:color w:val="auto"/>
          <w:kern w:val="0"/>
          <w:szCs w:val="24"/>
          <w:highlight w:val="none"/>
        </w:rPr>
      </w:pPr>
      <w:r>
        <w:rPr>
          <w:rFonts w:hint="eastAsia" w:ascii="仿宋" w:hAnsi="仿宋" w:eastAsia="仿宋" w:cs="Arial"/>
          <w:color w:val="auto"/>
          <w:kern w:val="0"/>
          <w:szCs w:val="24"/>
          <w:highlight w:val="none"/>
        </w:rPr>
        <w:t>9.2</w:t>
      </w:r>
      <w:r>
        <w:rPr>
          <w:rFonts w:hint="eastAsia" w:ascii="仿宋" w:hAnsi="仿宋" w:eastAsia="仿宋" w:cs="宋体"/>
          <w:color w:val="auto"/>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highlight w:val="none"/>
        </w:rPr>
        <w:t>10%</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F845E57">
      <w:pPr>
        <w:snapToGrid w:val="0"/>
        <w:spacing w:line="360" w:lineRule="auto"/>
        <w:ind w:firstLine="420" w:firstLineChars="200"/>
        <w:jc w:val="left"/>
        <w:rPr>
          <w:rFonts w:ascii="仿宋" w:hAnsi="仿宋" w:eastAsia="仿宋" w:cs="Arial"/>
          <w:color w:val="auto"/>
          <w:kern w:val="0"/>
          <w:highlight w:val="none"/>
        </w:rPr>
      </w:pPr>
    </w:p>
    <w:p w14:paraId="0BF3A83E">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9.3投标文件出现不是唯一的、有选择性投标报价的，投标无效。</w:t>
      </w:r>
    </w:p>
    <w:p w14:paraId="247F1641">
      <w:pPr>
        <w:pStyle w:val="23"/>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rPr>
        <w:t>9.4投标报价超过招标文件中规定的预算金额或者最高限价的，投标无效。</w:t>
      </w:r>
    </w:p>
    <w:p w14:paraId="581A55A0">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9.5政采云投标客户端开标一览表内容与投标文件开标一览表(报价表)相应内容不一致的，以投标文件开标一览表(报价表)为准。</w:t>
      </w:r>
    </w:p>
    <w:p w14:paraId="59A93E81">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9.6投标价格的修正原则。投标文件报价出现前后不一致的，按照下列规定修正：</w:t>
      </w:r>
    </w:p>
    <w:p w14:paraId="0CE7EAF5">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9.6.1投标文件中开标一览表(报价表)内容与投标文件中相应内容不一致的，以开标一览表(报价表)为准;</w:t>
      </w:r>
    </w:p>
    <w:p w14:paraId="27F5CB88">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9.6.2大写金额和小写金额不一致的，以大写金额为准;</w:t>
      </w:r>
    </w:p>
    <w:p w14:paraId="002A691C">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9.6.3单价金额小数点或者百分比有明显错位的，以开标一览表的总价为准，并修改单价;</w:t>
      </w:r>
    </w:p>
    <w:p w14:paraId="2D8EC52C">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9.6.4总价金额与按单价汇总金额不一致的，以单价金额计算结果为准；</w:t>
      </w:r>
    </w:p>
    <w:p w14:paraId="231C665E">
      <w:pPr>
        <w:pStyle w:val="2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20B23C6D">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42958634">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13C32F65">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11.中标候选人推荐。</w:t>
      </w:r>
    </w:p>
    <w:p w14:paraId="52B0BC9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11.1评审后总得分最高者为第一中标候选人，总得分相同的，以报价低者为第一中标候选人，总得分与报价均相同的，由采购人当场随机抽取产生第一中标候选人。</w:t>
      </w:r>
    </w:p>
    <w:p w14:paraId="1A43E5B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06D2BAC4">
      <w:pPr>
        <w:pStyle w:val="23"/>
        <w:adjustRightInd/>
        <w:spacing w:before="0"/>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12.</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68929D11">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13.评标争议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0FCCF6F">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五、评标中的其他事项</w:t>
      </w:r>
    </w:p>
    <w:p w14:paraId="783C6D54">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Arial"/>
          <w:b/>
          <w:color w:val="auto"/>
          <w:kern w:val="0"/>
          <w:sz w:val="24"/>
          <w:highlight w:val="none"/>
        </w:rPr>
        <w:t>14.投标人澄清、说明或者补正。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可以书面形式要求投标人通过政采云平台以书面形式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，投标人应在30分钟内提交澄清说明或补正，逾期不提交的视为放弃澄清、说明或补正的权利。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5F368D70">
      <w:pPr>
        <w:pStyle w:val="8"/>
        <w:spacing w:line="360" w:lineRule="auto"/>
        <w:ind w:firstLine="562"/>
        <w:rPr>
          <w:rFonts w:ascii="仿宋" w:hAnsi="仿宋" w:eastAsia="仿宋" w:cs="仿宋_GB2312"/>
          <w:color w:val="auto"/>
          <w:highlight w:val="none"/>
        </w:rPr>
      </w:pPr>
      <w:r>
        <w:rPr>
          <w:rFonts w:hint="eastAsia" w:ascii="仿宋" w:hAnsi="仿宋" w:eastAsia="仿宋" w:cs="仿宋_GB2312"/>
          <w:b/>
          <w:color w:val="auto"/>
          <w:spacing w:val="20"/>
          <w:highlight w:val="none"/>
        </w:rPr>
        <w:t>15.投标无效。</w:t>
      </w:r>
      <w:r>
        <w:rPr>
          <w:rFonts w:hint="eastAsia" w:ascii="仿宋" w:hAnsi="仿宋" w:eastAsia="仿宋" w:cs="仿宋_GB2312"/>
          <w:color w:val="auto"/>
          <w:highlight w:val="none"/>
        </w:rPr>
        <w:t>有下列情况之一的，投标无效：</w:t>
      </w:r>
    </w:p>
    <w:p w14:paraId="0CCABF0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14:paraId="4E5E425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63B80CC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364D2B2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15.4投标文件“资格文件”和“商务技术文件”部分中出现用于价格分评审的投标报价的（招标文件另有规定的参与“商务技术文件”评审的报价除外）；</w:t>
      </w:r>
    </w:p>
    <w:p w14:paraId="7D99FBD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15.5投标文件未按招标文件规定的格式填写，或对招标服务或对技术或产品等要求未详细应答或应答内容不全、有缺失的，经评标委员会认定为无法评审的；</w:t>
      </w:r>
    </w:p>
    <w:p w14:paraId="3FCA6F4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15.6投标文件关键信息填写不完整或字迹不能辨认或有漏项的，经评标委员会认定属于重大偏差的；</w:t>
      </w:r>
    </w:p>
    <w:p w14:paraId="16AB926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15.7投标文件重要信息前后不一致，经评标委员会询标后仍然无法评审的；</w:t>
      </w:r>
    </w:p>
    <w:p w14:paraId="280F498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15.8投标文件未按照招标文件要求签署、盖章的；</w:t>
      </w:r>
    </w:p>
    <w:p w14:paraId="01F1644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14:paraId="25A2179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15.10</w:t>
      </w:r>
      <w:r>
        <w:rPr>
          <w:rFonts w:hint="eastAsia" w:ascii="仿宋" w:hAnsi="仿宋" w:eastAsia="仿宋" w:cs="仿宋_GB2312"/>
          <w:color w:val="auto"/>
          <w:sz w:val="24"/>
          <w:highlight w:val="none"/>
        </w:rPr>
        <w:t>投标文件含有采购人不能接受的附加条件的；</w:t>
      </w:r>
    </w:p>
    <w:p w14:paraId="2BA9F47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15.11</w:t>
      </w:r>
      <w:r>
        <w:rPr>
          <w:rFonts w:hint="eastAsia" w:ascii="仿宋" w:hAnsi="仿宋" w:eastAsia="仿宋" w:cs="仿宋_GB2312"/>
          <w:color w:val="auto"/>
          <w:sz w:val="24"/>
          <w:highlight w:val="none"/>
        </w:rPr>
        <w:t>投标文件中承诺的投标有效期少于招标文件中载明的投标有效期的；</w:t>
      </w:r>
    </w:p>
    <w:p w14:paraId="64B8F77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15.12</w:t>
      </w:r>
      <w:r>
        <w:rPr>
          <w:rFonts w:hint="eastAsia" w:ascii="仿宋" w:hAnsi="仿宋" w:eastAsia="仿宋" w:cs="仿宋_GB2312"/>
          <w:color w:val="auto"/>
          <w:sz w:val="24"/>
          <w:highlight w:val="none"/>
        </w:rPr>
        <w:t>投标人所投内容不符合采购需求中实质性要求的；</w:t>
      </w:r>
    </w:p>
    <w:p w14:paraId="193C75E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15.13投标文件出现不是唯一的、有选择性投标报价的;</w:t>
      </w:r>
    </w:p>
    <w:p w14:paraId="73E5AFA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15.14</w:t>
      </w:r>
      <w:r>
        <w:rPr>
          <w:rFonts w:hint="eastAsia" w:ascii="仿宋" w:hAnsi="仿宋" w:eastAsia="仿宋" w:cs="仿宋_GB2312"/>
          <w:color w:val="auto"/>
          <w:sz w:val="24"/>
          <w:highlight w:val="none"/>
        </w:rPr>
        <w:t>投标报价高于本项目采购预算或者最高限价的;</w:t>
      </w:r>
    </w:p>
    <w:p w14:paraId="31964DC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1D8C714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15.16</w:t>
      </w:r>
      <w:r>
        <w:rPr>
          <w:rFonts w:hint="eastAsia" w:ascii="仿宋" w:hAnsi="仿宋" w:eastAsia="仿宋" w:cs="仿宋_GB2312"/>
          <w:color w:val="auto"/>
          <w:sz w:val="24"/>
          <w:highlight w:val="none"/>
        </w:rPr>
        <w:t>《</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sz w:val="24"/>
          <w:highlight w:val="none"/>
        </w:rPr>
        <w:t>》填写不完整或字迹不能辨认或有漏项的，经评标委员会认定属于重大偏差的；</w:t>
      </w:r>
    </w:p>
    <w:p w14:paraId="4A7F23B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15.17</w:t>
      </w:r>
      <w:r>
        <w:rPr>
          <w:rFonts w:hint="eastAsia" w:ascii="仿宋" w:hAnsi="仿宋" w:eastAsia="仿宋" w:cs="仿宋_GB2312"/>
          <w:color w:val="auto"/>
          <w:sz w:val="24"/>
          <w:highlight w:val="none"/>
        </w:rPr>
        <w:t>投标人对根据修正原则修正后的报价不确认的；</w:t>
      </w:r>
    </w:p>
    <w:p w14:paraId="06E2E8E6">
      <w:pPr>
        <w:spacing w:line="360" w:lineRule="auto"/>
        <w:ind w:firstLine="480" w:firstLineChars="200"/>
        <w:rPr>
          <w:rFonts w:ascii="宋体" w:hAnsi="宋体" w:cs="宋体"/>
          <w:color w:val="auto"/>
          <w:kern w:val="0"/>
          <w:sz w:val="24"/>
          <w:highlight w:val="none"/>
        </w:rPr>
      </w:pPr>
      <w:r>
        <w:rPr>
          <w:rFonts w:hint="eastAsia" w:ascii="仿宋" w:hAnsi="仿宋" w:eastAsia="仿宋" w:cs="仿宋_GB2312"/>
          <w:color w:val="auto"/>
          <w:sz w:val="24"/>
          <w:highlight w:val="none"/>
        </w:rPr>
        <w:t>15.18</w:t>
      </w:r>
      <w:r>
        <w:rPr>
          <w:rFonts w:hint="eastAsia" w:ascii="宋体" w:hAnsi="宋体" w:cs="宋体"/>
          <w:color w:val="auto"/>
          <w:kern w:val="0"/>
          <w:sz w:val="24"/>
          <w:highlight w:val="none"/>
        </w:rPr>
        <w:t>投标人仅提交备份投标文件，未在电子交易平台传输递交投标文件的，投标无效；</w:t>
      </w:r>
    </w:p>
    <w:p w14:paraId="6BB3A55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15.19</w:t>
      </w:r>
      <w:r>
        <w:rPr>
          <w:rFonts w:hint="eastAsia" w:ascii="仿宋" w:hAnsi="仿宋" w:eastAsia="仿宋"/>
          <w:b/>
          <w:snapToGrid w:val="0"/>
          <w:color w:val="auto"/>
          <w:kern w:val="28"/>
          <w:sz w:val="24"/>
          <w:highlight w:val="none"/>
        </w:rPr>
        <w:t>对未提供样品或提供样品不满足采购需求实质性条件；</w:t>
      </w:r>
    </w:p>
    <w:p w14:paraId="3423806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15.20投标人提供虚假材料投标的（包括但不限于以下情节）：</w:t>
      </w:r>
    </w:p>
    <w:p w14:paraId="543C1C1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15.20.1使用伪造、变造的许可证件；</w:t>
      </w:r>
    </w:p>
    <w:p w14:paraId="10C51E7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15.20.2提供虚假的财务状况或者业绩；</w:t>
      </w:r>
    </w:p>
    <w:p w14:paraId="3338982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15.20.3提供虚假的项目负责人或者主要技术人员简历、劳动关系证明；</w:t>
      </w:r>
    </w:p>
    <w:p w14:paraId="324F426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15.20.4提供虚假的信用状况；</w:t>
      </w:r>
    </w:p>
    <w:p w14:paraId="4789F9DC">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50A6663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15.21投标人有恶意串通、妨碍其他投标人的竞争行为、损害采购人或者其他投标人的合法权益情形的；有下列情形之一的，属于或视为恶意串通，其投标无效：</w:t>
      </w:r>
    </w:p>
    <w:p w14:paraId="4077023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15.20.1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2985D23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15.21.2供应商按照采购人或者采购代理机构的授意撤换、修改投标文件或者响应文件；</w:t>
      </w:r>
    </w:p>
    <w:p w14:paraId="6F0178D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15.21.3供应商之间协商报价、技术方案等投标文件或者响应文件的实质性内容；</w:t>
      </w:r>
    </w:p>
    <w:p w14:paraId="60C0A78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15.21.4属于同一集团、协会、商会等组织成员的供应商按照该组织要求协同参加政府采购活动；</w:t>
      </w:r>
    </w:p>
    <w:p w14:paraId="75D12EC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15.21.5供应商之间事先约定由某一特定供应商中标、成交；</w:t>
      </w:r>
    </w:p>
    <w:p w14:paraId="22FC0F1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15.21.6供应商之间商定部分供应商放弃参加政府采购活动或者放弃中标、成交；</w:t>
      </w:r>
    </w:p>
    <w:p w14:paraId="2D2FC28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15.21.7供应商与采购人或者采购代理机构之间、供应商相互之间，为谋求特定供应商中标、成交或者排斥其他供应商的其他串通行为。</w:t>
      </w:r>
    </w:p>
    <w:p w14:paraId="0D0C41B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15.21.8不同投标人的投标文件由同一单位或者个人编制；</w:t>
      </w:r>
    </w:p>
    <w:p w14:paraId="0C1D89C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15.21.9不同投标人委托同一单位或者个人办理投标事宜；</w:t>
      </w:r>
    </w:p>
    <w:p w14:paraId="4F1019D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15.21.10不同投标人的投标文件载明的项目管理成员或者联系人员为同一人；</w:t>
      </w:r>
    </w:p>
    <w:p w14:paraId="33F9611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15.21.11不同投标人的投标文件异常一致或者投标报价呈规律性差异；</w:t>
      </w:r>
    </w:p>
    <w:p w14:paraId="3550DD8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15.21.12不同投标人的投标文件相互混装；</w:t>
      </w:r>
    </w:p>
    <w:p w14:paraId="79A4D4B1">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22</w:t>
      </w:r>
      <w:r>
        <w:rPr>
          <w:rFonts w:hint="eastAsia" w:ascii="仿宋" w:hAnsi="仿宋" w:eastAsia="仿宋" w:cs="仿宋_GB2312"/>
          <w:b/>
          <w:color w:val="auto"/>
          <w:sz w:val="24"/>
          <w:highlight w:val="none"/>
        </w:rPr>
        <w:t>不同供应商的电子投标（响应）文件上传计算机的网卡MAC地址、CPU序列号和硬盘序列号等硬件信息相同的；</w:t>
      </w:r>
    </w:p>
    <w:p w14:paraId="1F41C22C">
      <w:pPr>
        <w:spacing w:line="360" w:lineRule="auto"/>
        <w:ind w:firstLine="482" w:firstLineChars="200"/>
        <w:rPr>
          <w:rFonts w:ascii="Arial" w:hAnsi="Arial" w:eastAsia="黑体" w:cs="Arial"/>
          <w:b/>
          <w:snapToGrid w:val="0"/>
          <w:color w:val="auto"/>
          <w:kern w:val="0"/>
          <w:szCs w:val="21"/>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23</w:t>
      </w:r>
      <w:r>
        <w:rPr>
          <w:rFonts w:hint="eastAsia" w:ascii="仿宋" w:hAnsi="仿宋" w:eastAsia="仿宋" w:cs="仿宋_GB2312"/>
          <w:b/>
          <w:color w:val="auto"/>
          <w:sz w:val="24"/>
          <w:highlight w:val="none"/>
        </w:rPr>
        <w:t>不同供应商联系人为同一人或不同联系人的联系电话一致，且无法合理解释的；</w:t>
      </w:r>
    </w:p>
    <w:p w14:paraId="58B9CB81">
      <w:pPr>
        <w:snapToGrid w:val="0"/>
        <w:spacing w:line="360" w:lineRule="auto"/>
        <w:ind w:firstLine="472" w:firstLineChars="196"/>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w:t>
      </w:r>
      <w:r>
        <w:rPr>
          <w:rFonts w:ascii="仿宋" w:hAnsi="仿宋" w:eastAsia="仿宋" w:cs="仿宋_GB2312"/>
          <w:b/>
          <w:color w:val="auto"/>
          <w:sz w:val="24"/>
          <w:highlight w:val="none"/>
        </w:rPr>
        <w:t>5.24</w:t>
      </w:r>
      <w:r>
        <w:rPr>
          <w:rFonts w:hint="eastAsia" w:ascii="仿宋" w:hAnsi="仿宋" w:eastAsia="仿宋" w:cs="仿宋_GB2312"/>
          <w:b/>
          <w:color w:val="auto"/>
          <w:sz w:val="24"/>
          <w:highlight w:val="none"/>
        </w:rPr>
        <w:t>商务技术分低于51分的，视为采购人不能接受的附加条件，投标无效;</w:t>
      </w:r>
    </w:p>
    <w:p w14:paraId="1280E3C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15.25违反法律、法规及本招标文件规定的其它无效投标情形。 </w:t>
      </w:r>
    </w:p>
    <w:p w14:paraId="5B406BFA">
      <w:pPr>
        <w:pStyle w:val="8"/>
        <w:snapToGrid w:val="0"/>
        <w:spacing w:line="360" w:lineRule="auto"/>
        <w:ind w:firstLine="472" w:firstLineChars="196"/>
        <w:rPr>
          <w:rFonts w:ascii="仿宋" w:hAnsi="仿宋" w:eastAsia="仿宋" w:cs="仿宋_GB2312"/>
          <w:color w:val="auto"/>
          <w:highlight w:val="none"/>
        </w:rPr>
      </w:pPr>
      <w:r>
        <w:rPr>
          <w:rFonts w:hint="eastAsia" w:ascii="仿宋" w:hAnsi="仿宋" w:eastAsia="仿宋" w:cs="仿宋_GB2312"/>
          <w:b/>
          <w:color w:val="auto"/>
          <w:highlight w:val="none"/>
        </w:rPr>
        <w:t xml:space="preserve"> 16.废标。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1C2B14B2">
      <w:pPr>
        <w:pStyle w:val="8"/>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14:paraId="5FF5AE45">
      <w:pPr>
        <w:pStyle w:val="8"/>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51AC3B28">
      <w:pPr>
        <w:pStyle w:val="8"/>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14:paraId="5462C238">
      <w:pPr>
        <w:pStyle w:val="8"/>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34E8BBE1">
      <w:pPr>
        <w:pStyle w:val="8"/>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32FDA8C8">
      <w:pPr>
        <w:pStyle w:val="8"/>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17.修改招标文件，重新组织采购活动。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AB0882">
      <w:pPr>
        <w:pStyle w:val="8"/>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18.重新开展采购。</w:t>
      </w:r>
      <w:r>
        <w:rPr>
          <w:rFonts w:hint="eastAsia" w:ascii="仿宋" w:hAnsi="仿宋" w:eastAsia="仿宋" w:cs="宋体"/>
          <w:color w:val="auto"/>
          <w:highlight w:val="none"/>
        </w:rPr>
        <w:t>有</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政府采购法第七十一条、第七十二条规定的违法行为之一，影响或者可能影响中标结果的，依照下列规定处理：</w:t>
      </w:r>
    </w:p>
    <w:p w14:paraId="49878EEC">
      <w:pPr>
        <w:pStyle w:val="8"/>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18.1未确定中标供应商的，终止本次政府采购活动，重新开展政府采购活动。</w:t>
      </w:r>
    </w:p>
    <w:p w14:paraId="15AA34FC">
      <w:pPr>
        <w:pStyle w:val="8"/>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18.2已确定中标供应商但尚未签订政府采购合同的，中标结果无效，从合格的中标候选人中另行确定中标供应商；没有合格的中标候选人的，重新开展政府采购活动。</w:t>
      </w:r>
    </w:p>
    <w:p w14:paraId="05EF885A">
      <w:pPr>
        <w:pStyle w:val="8"/>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18.3政府采购合同已签订但尚未履行的，撤销合同，从合格的中标候选人中另行确定中标供应商；没有合格的中标候选人的，重新开展政府采购活动。</w:t>
      </w:r>
    </w:p>
    <w:p w14:paraId="133190B1">
      <w:pPr>
        <w:pStyle w:val="8"/>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18.4政府采购合同已经履行，给采购人、供应商造成损失的，由责任人承担赔偿责任。</w:t>
      </w:r>
    </w:p>
    <w:p w14:paraId="21BDCBAD">
      <w:pPr>
        <w:pStyle w:val="8"/>
        <w:snapToGrid w:val="0"/>
        <w:spacing w:line="360" w:lineRule="auto"/>
        <w:rPr>
          <w:rFonts w:ascii="仿宋" w:hAnsi="仿宋" w:eastAsia="仿宋" w:cs="仿宋_GB2312"/>
          <w:color w:val="auto"/>
          <w:highlight w:val="none"/>
        </w:rPr>
      </w:pPr>
      <w:r>
        <w:rPr>
          <w:rFonts w:hint="eastAsia" w:ascii="仿宋" w:hAnsi="仿宋" w:eastAsia="仿宋" w:cs="宋体"/>
          <w:color w:val="auto"/>
          <w:highlight w:val="none"/>
        </w:rPr>
        <w:t>18.5政府采购当事人有其他违反</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政府采购法或者</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政府采购法实施条例等法律法规规定的行为，经改正后仍然影响或者可能影响中标结果或者依法被认定为中标无效的，依照18.1-18.4规定处理。</w:t>
      </w:r>
    </w:p>
    <w:p w14:paraId="0C46F910">
      <w:pPr>
        <w:snapToGrid w:val="0"/>
        <w:spacing w:line="360" w:lineRule="auto"/>
        <w:ind w:left="120" w:leftChars="57" w:firstLine="482" w:firstLineChars="150"/>
        <w:jc w:val="center"/>
        <w:rPr>
          <w:rFonts w:ascii="仿宋" w:hAnsi="仿宋" w:eastAsia="仿宋" w:cs="仿宋_GB2312"/>
          <w:b/>
          <w:color w:val="auto"/>
          <w:sz w:val="32"/>
          <w:highlight w:val="none"/>
        </w:rPr>
      </w:pPr>
    </w:p>
    <w:p w14:paraId="35764C52">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14:paraId="51405FE9">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1D2FF1E9">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581715D9">
      <w:pPr>
        <w:snapToGrid w:val="0"/>
        <w:spacing w:line="360" w:lineRule="auto"/>
        <w:ind w:left="120" w:leftChars="57" w:firstLine="482" w:firstLineChars="150"/>
        <w:jc w:val="center"/>
        <w:rPr>
          <w:rFonts w:ascii="仿宋" w:hAnsi="仿宋" w:eastAsia="仿宋" w:cs="仿宋"/>
          <w:b/>
          <w:color w:val="auto"/>
          <w:sz w:val="32"/>
          <w:highlight w:val="none"/>
        </w:rPr>
      </w:pPr>
    </w:p>
    <w:p w14:paraId="02EF7A07">
      <w:pPr>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八、具体评标标准</w:t>
      </w:r>
    </w:p>
    <w:p w14:paraId="29A8F3F1">
      <w:pPr>
        <w:snapToGrid w:val="0"/>
        <w:spacing w:line="360" w:lineRule="auto"/>
        <w:ind w:left="120" w:leftChars="57"/>
        <w:jc w:val="left"/>
        <w:outlineLvl w:val="1"/>
        <w:rPr>
          <w:rFonts w:ascii="仿宋" w:hAnsi="仿宋" w:eastAsia="仿宋" w:cs="仿宋"/>
          <w:b/>
          <w:bCs/>
          <w:color w:val="auto"/>
          <w:sz w:val="24"/>
          <w:highlight w:val="none"/>
        </w:rPr>
      </w:pPr>
      <w:bookmarkStart w:id="427" w:name="gxebd_pack_1_EvalFactorAccordEnd"/>
      <w:bookmarkEnd w:id="427"/>
      <w:r>
        <w:rPr>
          <w:rFonts w:hint="eastAsia" w:ascii="仿宋" w:hAnsi="仿宋" w:eastAsia="仿宋" w:cs="仿宋"/>
          <w:b/>
          <w:bCs/>
          <w:color w:val="auto"/>
          <w:sz w:val="24"/>
          <w:highlight w:val="none"/>
        </w:rPr>
        <w:t>商务技术分（85分）</w:t>
      </w:r>
    </w:p>
    <w:tbl>
      <w:tblPr>
        <w:tblStyle w:val="17"/>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60"/>
        <w:gridCol w:w="6200"/>
        <w:gridCol w:w="700"/>
      </w:tblGrid>
      <w:tr w14:paraId="6615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F7FB8">
            <w:pPr>
              <w:jc w:val="center"/>
              <w:rPr>
                <w:rFonts w:ascii="仿宋_GB2312" w:eastAsia="仿宋_GB2312" w:cs="仿宋_GB2312"/>
                <w:b/>
                <w:color w:val="auto"/>
                <w:sz w:val="24"/>
                <w:highlight w:val="none"/>
              </w:rPr>
            </w:pPr>
            <w:r>
              <w:rPr>
                <w:rFonts w:ascii="仿宋_GB2312" w:eastAsia="仿宋_GB2312" w:cs="仿宋_GB2312"/>
                <w:b/>
                <w:color w:val="auto"/>
                <w:sz w:val="24"/>
                <w:highlight w:val="none"/>
                <w:lang w:bidi="ar"/>
              </w:rPr>
              <w:t>序号</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AEDCF">
            <w:pPr>
              <w:jc w:val="center"/>
              <w:rPr>
                <w:rFonts w:ascii="仿宋_GB2312" w:eastAsia="仿宋_GB2312" w:cs="仿宋_GB2312"/>
                <w:b/>
                <w:color w:val="auto"/>
                <w:sz w:val="24"/>
                <w:highlight w:val="none"/>
              </w:rPr>
            </w:pPr>
            <w:r>
              <w:rPr>
                <w:rFonts w:ascii="仿宋_GB2312" w:eastAsia="仿宋_GB2312" w:cs="仿宋_GB2312"/>
                <w:b/>
                <w:color w:val="auto"/>
                <w:sz w:val="24"/>
                <w:highlight w:val="none"/>
                <w:lang w:bidi="ar"/>
              </w:rPr>
              <w:t>评分项</w:t>
            </w:r>
          </w:p>
        </w:tc>
        <w:tc>
          <w:tcPr>
            <w:tcW w:w="6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F20B8">
            <w:pPr>
              <w:jc w:val="center"/>
              <w:rPr>
                <w:rFonts w:ascii="仿宋_GB2312" w:eastAsia="仿宋_GB2312" w:cs="仿宋_GB2312"/>
                <w:b/>
                <w:color w:val="auto"/>
                <w:sz w:val="24"/>
                <w:highlight w:val="none"/>
              </w:rPr>
            </w:pPr>
            <w:r>
              <w:rPr>
                <w:rFonts w:ascii="仿宋_GB2312" w:hAnsi="仿宋" w:eastAsia="仿宋_GB2312" w:cs="仿宋_GB2312"/>
                <w:b/>
                <w:color w:val="auto"/>
                <w:kern w:val="0"/>
                <w:sz w:val="24"/>
                <w:highlight w:val="none"/>
                <w:lang w:bidi="ar"/>
              </w:rPr>
              <w:t>评审依据及标准</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625B">
            <w:pPr>
              <w:jc w:val="center"/>
              <w:rPr>
                <w:rFonts w:ascii="仿宋_GB2312" w:hAnsi="仿宋" w:eastAsia="仿宋_GB2312" w:cs="仿宋"/>
                <w:b/>
                <w:color w:val="auto"/>
                <w:kern w:val="0"/>
                <w:sz w:val="24"/>
                <w:highlight w:val="none"/>
              </w:rPr>
            </w:pPr>
            <w:r>
              <w:rPr>
                <w:rFonts w:ascii="仿宋_GB2312" w:eastAsia="仿宋_GB2312" w:cs="仿宋_GB2312"/>
                <w:b/>
                <w:color w:val="auto"/>
                <w:sz w:val="24"/>
                <w:highlight w:val="none"/>
                <w:lang w:bidi="ar"/>
              </w:rPr>
              <w:t>分值</w:t>
            </w:r>
          </w:p>
        </w:tc>
      </w:tr>
      <w:tr w14:paraId="236A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82727">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DF232">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认证证书（3分）</w:t>
            </w:r>
          </w:p>
        </w:tc>
        <w:tc>
          <w:tcPr>
            <w:tcW w:w="6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8ACD1">
            <w:pPr>
              <w:rPr>
                <w:rFonts w:ascii="仿宋_GB2312" w:hAnsi="仿宋" w:eastAsia="仿宋_GB2312" w:cs="仿宋"/>
                <w:color w:val="auto"/>
                <w:kern w:val="0"/>
                <w:sz w:val="24"/>
                <w:highlight w:val="none"/>
              </w:rPr>
            </w:pPr>
            <w:r>
              <w:rPr>
                <w:rFonts w:ascii="仿宋_GB2312" w:eastAsia="仿宋_GB2312" w:cs="仿宋_GB2312"/>
                <w:color w:val="auto"/>
                <w:sz w:val="24"/>
                <w:highlight w:val="none"/>
                <w:lang w:bidi="ar"/>
              </w:rPr>
              <w:t>根据投标人企业认证证书情况进行打分，投标人具有有效期内的质量管理体系认证书（ISO9001）、环境管理体系认证书（ISO14001）、职业健康安全管理体系认证证书（GB/T28001或OHSAS18001或ISO45001）的，每项得1分，最高得3分。 投标文件中须提供证书复印件加盖投标供应商公章，并提供国家认证认可查询平台（</w:t>
            </w:r>
            <w:r>
              <w:rPr>
                <w:color w:val="auto"/>
                <w:highlight w:val="none"/>
              </w:rPr>
              <w:fldChar w:fldCharType="begin"/>
            </w:r>
            <w:r>
              <w:rPr>
                <w:color w:val="auto"/>
                <w:highlight w:val="none"/>
              </w:rPr>
              <w:instrText xml:space="preserve"> HYPERLINK "http://cx.cnca.cn/CertECloud/result/skipResultList" \t "/tmp/10932/wps-root/x/_blank" </w:instrText>
            </w:r>
            <w:r>
              <w:rPr>
                <w:color w:val="auto"/>
                <w:highlight w:val="none"/>
              </w:rPr>
              <w:fldChar w:fldCharType="separate"/>
            </w:r>
            <w:r>
              <w:rPr>
                <w:rFonts w:ascii="仿宋_GB2312" w:eastAsia="仿宋_GB2312" w:cs="仿宋_GB2312"/>
                <w:color w:val="auto"/>
                <w:sz w:val="24"/>
                <w:highlight w:val="none"/>
                <w:lang w:bidi="ar"/>
              </w:rPr>
              <w:t>http://cx.cnca.cn/CertECloud/result/skipResultList</w:t>
            </w:r>
            <w:r>
              <w:rPr>
                <w:rFonts w:ascii="仿宋_GB2312" w:eastAsia="仿宋_GB2312" w:cs="仿宋_GB2312"/>
                <w:color w:val="auto"/>
                <w:sz w:val="24"/>
                <w:highlight w:val="none"/>
                <w:lang w:bidi="ar"/>
              </w:rPr>
              <w:fldChar w:fldCharType="end"/>
            </w:r>
            <w:r>
              <w:rPr>
                <w:rFonts w:ascii="仿宋_GB2312" w:eastAsia="仿宋_GB2312" w:cs="仿宋_GB2312"/>
                <w:color w:val="auto"/>
                <w:sz w:val="24"/>
                <w:highlight w:val="none"/>
                <w:lang w:bidi="ar"/>
              </w:rPr>
              <w:t>）网上查询截图加盖公章，未提供或未在有效期限内不得分。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10A05">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3</w:t>
            </w:r>
          </w:p>
        </w:tc>
      </w:tr>
      <w:tr w14:paraId="5AFB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AB4F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2</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58E31">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合同业绩（1.5分）</w:t>
            </w:r>
          </w:p>
        </w:tc>
        <w:tc>
          <w:tcPr>
            <w:tcW w:w="6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DF7AC">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投标人自2022年1月1日以来（以合同签订时间为准）完成的同类案例，每有1个得0.5分，满分1.5分。</w:t>
            </w:r>
          </w:p>
          <w:p w14:paraId="49BF0109">
            <w:pPr>
              <w:rPr>
                <w:rFonts w:ascii="仿宋_GB2312" w:hAnsi="仿宋" w:eastAsia="仿宋_GB2312" w:cs="仿宋"/>
                <w:color w:val="auto"/>
                <w:kern w:val="0"/>
                <w:sz w:val="24"/>
                <w:highlight w:val="none"/>
              </w:rPr>
            </w:pPr>
            <w:r>
              <w:rPr>
                <w:rFonts w:ascii="仿宋_GB2312" w:eastAsia="仿宋_GB2312" w:cs="仿宋_GB2312"/>
                <w:color w:val="auto"/>
                <w:sz w:val="24"/>
                <w:highlight w:val="none"/>
                <w:lang w:bidi="ar"/>
              </w:rPr>
              <w:t>注：每个案例提供合同复印件，并加盖投标人公章。</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6C632">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1.5</w:t>
            </w:r>
          </w:p>
        </w:tc>
      </w:tr>
      <w:tr w14:paraId="6FD8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nil"/>
              <w:left w:val="single" w:color="auto" w:sz="4" w:space="0"/>
              <w:bottom w:val="single" w:color="auto" w:sz="4" w:space="0"/>
              <w:right w:val="single" w:color="auto" w:sz="4" w:space="0"/>
            </w:tcBorders>
            <w:shd w:val="clear" w:color="auto" w:fill="auto"/>
            <w:noWrap/>
            <w:vAlign w:val="center"/>
          </w:tcPr>
          <w:p w14:paraId="53EA822D">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3</w:t>
            </w:r>
          </w:p>
        </w:tc>
        <w:tc>
          <w:tcPr>
            <w:tcW w:w="1260" w:type="dxa"/>
            <w:tcBorders>
              <w:top w:val="nil"/>
              <w:left w:val="single" w:color="auto" w:sz="4" w:space="0"/>
              <w:bottom w:val="single" w:color="auto" w:sz="4" w:space="0"/>
              <w:right w:val="single" w:color="auto" w:sz="4" w:space="0"/>
            </w:tcBorders>
            <w:shd w:val="clear" w:color="auto" w:fill="auto"/>
            <w:noWrap/>
            <w:vAlign w:val="center"/>
          </w:tcPr>
          <w:p w14:paraId="1A9B044A">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执业</w:t>
            </w:r>
          </w:p>
          <w:p w14:paraId="36097CDD">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信誉</w:t>
            </w:r>
          </w:p>
          <w:p w14:paraId="64E3D81C">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117A0105">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自2022年1月1日以来，投标人或其从业人员未受到财政部（厅、局）、中国证监会（含各地证监局）、中国注册会计师协会（含各地方注册会计师协会）行政处罚/惩戒信息的得满分5分，受到任意1项（次）的扣1分，扣完为止。</w:t>
            </w:r>
            <w:r>
              <w:rPr>
                <w:rFonts w:ascii="仿宋_GB2312" w:eastAsia="仿宋_GB2312" w:cs="仿宋_GB2312"/>
                <w:color w:val="auto"/>
                <w:sz w:val="24"/>
                <w:highlight w:val="none"/>
                <w:lang w:bidi="ar"/>
              </w:rPr>
              <w:br w:type="textWrapping"/>
            </w:r>
            <w:r>
              <w:rPr>
                <w:rFonts w:ascii="仿宋_GB2312" w:eastAsia="仿宋_GB2312" w:cs="仿宋_GB2312"/>
                <w:color w:val="auto"/>
                <w:sz w:val="24"/>
                <w:highlight w:val="none"/>
                <w:lang w:bidi="ar"/>
              </w:rPr>
              <w:t>【以上由投标人自行提供承诺函及证明资料并加盖投标人公章，否则不得分，如有虚假隐瞒的，一经发现将取消投标资格或中标资格。】</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22694EC">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582F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shd w:val="clear" w:color="auto" w:fill="auto"/>
            <w:noWrap/>
            <w:vAlign w:val="center"/>
          </w:tcPr>
          <w:p w14:paraId="2F715F1D">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4</w:t>
            </w:r>
          </w:p>
        </w:tc>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14:paraId="573FB84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组织</w:t>
            </w:r>
          </w:p>
          <w:p w14:paraId="4AC929BF">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管理</w:t>
            </w:r>
          </w:p>
          <w:p w14:paraId="1718E8FC">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（10分）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4B26224B">
            <w:pPr>
              <w:rPr>
                <w:color w:val="auto"/>
                <w:highlight w:val="none"/>
              </w:rPr>
            </w:pPr>
            <w:r>
              <w:rPr>
                <w:color w:val="auto"/>
                <w:highlight w:val="none"/>
              </w:rPr>
              <w:t>根据投标人组织机构、内设部门、业务团队专业化匹配程度进行打分。（0-5分）</w:t>
            </w:r>
          </w:p>
          <w:p w14:paraId="31009D78">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329C7512">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029366FD">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47FA39E2">
            <w:pPr>
              <w:rPr>
                <w:color w:val="auto"/>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40B7739">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0A4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34E1F3A7">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174B8C9D">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54FD1400">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根据投标人内部管理情况，包括人员管理、财务管理、业务管理、技术标准等方面制度和程序的完善性、规范性进行打分。</w:t>
            </w:r>
          </w:p>
          <w:p w14:paraId="5F6FDF54">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7BB0E168">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71B07AF0">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3B1F1F80">
            <w:pPr>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B2E3074">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2B16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shd w:val="clear" w:color="auto" w:fill="auto"/>
            <w:noWrap/>
            <w:vAlign w:val="center"/>
          </w:tcPr>
          <w:p w14:paraId="01CD4203">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14:paraId="1500C85D">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质量管理水平</w:t>
            </w:r>
          </w:p>
          <w:p w14:paraId="6BA8AC4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（12分）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0779FCD7">
            <w:pPr>
              <w:rPr>
                <w:color w:val="auto"/>
                <w:highlight w:val="none"/>
              </w:rPr>
            </w:pPr>
            <w:r>
              <w:rPr>
                <w:rFonts w:ascii="仿宋_GB2312" w:eastAsia="仿宋_GB2312" w:cs="仿宋_GB2312"/>
                <w:color w:val="auto"/>
                <w:sz w:val="24"/>
                <w:highlight w:val="none"/>
                <w:lang w:bidi="ar"/>
              </w:rPr>
              <w:t>根据投标人项目审计各环节质量控制措施的规范性评分，包括项目委派、人员培训、现场监控、工作底稿管理、分歧解决和职业道德遵循情况，控制措施规范等进行打分。</w:t>
            </w: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8</w:t>
            </w:r>
            <w:r>
              <w:rPr>
                <w:rFonts w:hint="eastAsia"/>
                <w:color w:val="auto"/>
                <w:highlight w:val="none"/>
              </w:rPr>
              <w:t>分；</w:t>
            </w:r>
          </w:p>
          <w:p w14:paraId="7756F627">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6</w:t>
            </w:r>
            <w:r>
              <w:rPr>
                <w:rFonts w:hint="eastAsia"/>
                <w:color w:val="auto"/>
                <w:highlight w:val="none"/>
              </w:rPr>
              <w:t>分；</w:t>
            </w:r>
          </w:p>
          <w:p w14:paraId="5255E3E6">
            <w:pPr>
              <w:rPr>
                <w:color w:val="auto"/>
                <w:highlight w:val="none"/>
              </w:rPr>
            </w:pPr>
            <w:r>
              <w:rPr>
                <w:rFonts w:hint="eastAsia"/>
                <w:color w:val="auto"/>
                <w:highlight w:val="none"/>
              </w:rPr>
              <w:t>3、方案仅有纲要、内容简略，未展开详细阐述但基本能够适用于本项目的得</w:t>
            </w:r>
            <w:r>
              <w:rPr>
                <w:color w:val="auto"/>
                <w:highlight w:val="none"/>
              </w:rPr>
              <w:t>3</w:t>
            </w:r>
            <w:r>
              <w:rPr>
                <w:rFonts w:hint="eastAsia"/>
                <w:color w:val="auto"/>
                <w:highlight w:val="none"/>
              </w:rPr>
              <w:t>分；</w:t>
            </w:r>
          </w:p>
          <w:p w14:paraId="7284BAE4">
            <w:pPr>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EDB1FF3">
            <w:pPr>
              <w:jc w:val="center"/>
              <w:rPr>
                <w:rFonts w:ascii="仿宋_GB2312" w:eastAsia="仿宋_GB2312" w:cs="仿宋_GB2312"/>
                <w:color w:val="auto"/>
                <w:sz w:val="24"/>
                <w:highlight w:val="none"/>
              </w:rPr>
            </w:pPr>
            <w:r>
              <w:rPr>
                <w:rFonts w:ascii="仿宋_GB2312" w:eastAsia="仿宋_GB2312" w:cs="仿宋_GB2312"/>
                <w:color w:val="auto"/>
                <w:sz w:val="24"/>
                <w:highlight w:val="none"/>
              </w:rPr>
              <w:t>8</w:t>
            </w:r>
          </w:p>
        </w:tc>
      </w:tr>
      <w:tr w14:paraId="1920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5CAE5326">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1F6A2256">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14662015">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根据投标人审计业务复核级次评分，有四级及以上复核程序的得4分，有三级复核程序的得3分，仅有二级及以下复核程序的不得分。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B784A6C">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4</w:t>
            </w:r>
          </w:p>
        </w:tc>
      </w:tr>
      <w:tr w14:paraId="46F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shd w:val="clear" w:color="auto" w:fill="auto"/>
            <w:noWrap/>
            <w:vAlign w:val="center"/>
          </w:tcPr>
          <w:p w14:paraId="17EBFBFE">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6</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0A099FAF">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项目认知及审计方案（20分）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33D06FAD">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根据投标人对项目认知情况评分，包括是否充分了解行业背景、覆盖范围、业务流程、可能存在的主要问题和关键风险点，是否准确把握招标项目的审计意图和所要达到的审计目的等进行打分。</w:t>
            </w:r>
          </w:p>
          <w:p w14:paraId="39B36E28">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3AE9D13B">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349CA87F">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2DC3DFF6">
            <w:pPr>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3887654">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27FE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6EB86211">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14:paraId="24D7467B">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4F5F8ACC">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根据投标人是否全面响应招标文件所要求关注的重大事项，并按照审计准则及采购人要求，提出合理、有效的审计对策、方法、程序和方案等情况进行打分。</w:t>
            </w:r>
          </w:p>
          <w:p w14:paraId="6AEA8CF9">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53444732">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509FB01D">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2F044506">
            <w:pPr>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28E285F">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6293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6BC60ADA">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14:paraId="195AAA40">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0E4EBD39">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以采购需求要求递交审计报告的时间为基准，根据投标人能否合理安排审计工作计划时间节点，审计流程是否切实可行，出具报告初稿、定稿及进度反馈等是否与采购人需求相符等情况进行打分。</w:t>
            </w:r>
          </w:p>
          <w:p w14:paraId="0EA9DF66">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5B5A5D1A">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4CA9DA46">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5C14CCD3">
            <w:pPr>
              <w:widowControl/>
              <w:jc w:val="left"/>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41F48E9">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54FA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59D320E4">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14:paraId="5367A267">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1D3B0646">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针对审计过程中可能遇到的重大问题和突发事项（包括但不限于采购人临时增加委托内容、项目组人员变动等情况），制定沟通反应机制、反应路径、响应时间和解决方案等情况进行打分。</w:t>
            </w:r>
          </w:p>
          <w:p w14:paraId="51A7FB6F">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5D60B301">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5C9995FB">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183158DF">
            <w:pPr>
              <w:widowControl/>
              <w:jc w:val="left"/>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3AF4FA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6F6A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noWrap/>
            <w:vAlign w:val="center"/>
          </w:tcPr>
          <w:p w14:paraId="3BC0BC94">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7</w:t>
            </w:r>
          </w:p>
        </w:tc>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14:paraId="5DC3AD0D">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人员</w:t>
            </w:r>
          </w:p>
          <w:p w14:paraId="17671B14">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配备</w:t>
            </w:r>
          </w:p>
          <w:p w14:paraId="4F8E3537">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（21分）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174C03DF">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拟派项目负责人为注册会计师</w:t>
            </w:r>
            <w:r>
              <w:rPr>
                <w:rFonts w:hint="eastAsia" w:ascii="仿宋_GB2312" w:eastAsia="仿宋_GB2312" w:cs="仿宋_GB2312"/>
                <w:color w:val="auto"/>
                <w:sz w:val="24"/>
                <w:highlight w:val="none"/>
                <w:lang w:bidi="ar"/>
              </w:rPr>
              <w:t>得2分</w:t>
            </w:r>
            <w:r>
              <w:rPr>
                <w:rFonts w:ascii="仿宋_GB2312" w:eastAsia="仿宋_GB2312" w:cs="仿宋_GB2312"/>
                <w:color w:val="auto"/>
                <w:sz w:val="24"/>
                <w:highlight w:val="none"/>
                <w:lang w:bidi="ar"/>
              </w:rPr>
              <w:t>，同时具有高级会计师</w:t>
            </w:r>
            <w:r>
              <w:rPr>
                <w:rFonts w:hint="eastAsia" w:ascii="仿宋_GB2312" w:eastAsia="仿宋_GB2312" w:cs="仿宋_GB2312"/>
                <w:color w:val="auto"/>
                <w:sz w:val="24"/>
                <w:highlight w:val="none"/>
                <w:lang w:bidi="ar"/>
              </w:rPr>
              <w:t>或</w:t>
            </w:r>
            <w:r>
              <w:rPr>
                <w:rFonts w:ascii="仿宋_GB2312" w:eastAsia="仿宋_GB2312" w:cs="仿宋_GB2312"/>
                <w:color w:val="auto"/>
                <w:sz w:val="24"/>
                <w:highlight w:val="none"/>
                <w:lang w:bidi="ar"/>
              </w:rPr>
              <w:t>税务师资格证书得2分，最高得4分，其余资格证明不得分。【需提供相关资格证书、本单位</w:t>
            </w:r>
            <w:r>
              <w:rPr>
                <w:rFonts w:hint="eastAsia" w:ascii="仿宋_GB2312" w:eastAsia="仿宋_GB2312" w:cs="仿宋_GB2312"/>
                <w:color w:val="auto"/>
                <w:sz w:val="24"/>
                <w:highlight w:val="none"/>
                <w:lang w:bidi="ar"/>
              </w:rPr>
              <w:t>2025年任意一个月</w:t>
            </w:r>
            <w:r>
              <w:rPr>
                <w:rFonts w:ascii="仿宋_GB2312" w:eastAsia="仿宋_GB2312" w:cs="仿宋_GB2312"/>
                <w:color w:val="auto"/>
                <w:sz w:val="24"/>
                <w:highlight w:val="none"/>
                <w:lang w:bidi="ar"/>
              </w:rPr>
              <w:t>社保证明复印件均加盖投标人公章编入投标文件中，否则不得分】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D018C51">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4</w:t>
            </w:r>
          </w:p>
        </w:tc>
      </w:tr>
      <w:tr w14:paraId="619F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11159FB3">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7A9F2FCF">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640E8CE2">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1.拟派项目组成员（不含项目负责人）具有注册会计师资格，每1人得2分，最高得8分，且注册会计师须承诺全程在项目外勤现场，提供相应的承诺书（格式自拟）。</w:t>
            </w:r>
            <w:r>
              <w:rPr>
                <w:rFonts w:ascii="仿宋_GB2312" w:eastAsia="仿宋_GB2312" w:cs="仿宋_GB2312"/>
                <w:color w:val="auto"/>
                <w:sz w:val="24"/>
                <w:highlight w:val="none"/>
                <w:lang w:bidi="ar"/>
              </w:rPr>
              <w:br w:type="textWrapping"/>
            </w:r>
            <w:r>
              <w:rPr>
                <w:rFonts w:ascii="仿宋_GB2312" w:eastAsia="仿宋_GB2312" w:cs="仿宋_GB2312"/>
                <w:color w:val="auto"/>
                <w:sz w:val="24"/>
                <w:highlight w:val="none"/>
                <w:lang w:bidi="ar"/>
              </w:rPr>
              <w:t>2.项目组成员（不含项目负责人）具有与本项目相关高级职称证书的，每1项得1分，最高得4分【同一人最高得2分】。</w:t>
            </w:r>
          </w:p>
          <w:p w14:paraId="0B21FC26">
            <w:pPr>
              <w:rPr>
                <w:rFonts w:ascii="仿宋_GB2312" w:eastAsia="仿宋_GB2312" w:cs="仿宋_GB2312"/>
                <w:color w:val="auto"/>
                <w:sz w:val="24"/>
                <w:highlight w:val="none"/>
              </w:rPr>
            </w:pPr>
            <w:r>
              <w:rPr>
                <w:rFonts w:ascii="仿宋_GB2312" w:eastAsia="仿宋_GB2312" w:cs="仿宋_GB2312"/>
                <w:color w:val="auto"/>
                <w:sz w:val="24"/>
                <w:highlight w:val="none"/>
                <w:lang w:bidi="ar"/>
              </w:rPr>
              <w:t>【以上人员需提供相关资格证书、本人承诺函、本单位</w:t>
            </w:r>
            <w:r>
              <w:rPr>
                <w:rFonts w:hint="eastAsia" w:ascii="仿宋_GB2312" w:eastAsia="仿宋_GB2312" w:cs="仿宋_GB2312"/>
                <w:color w:val="auto"/>
                <w:sz w:val="24"/>
                <w:highlight w:val="none"/>
                <w:lang w:bidi="ar"/>
              </w:rPr>
              <w:t>2025年任意一个月</w:t>
            </w:r>
            <w:r>
              <w:rPr>
                <w:rFonts w:ascii="仿宋_GB2312" w:eastAsia="仿宋_GB2312" w:cs="仿宋_GB2312"/>
                <w:color w:val="auto"/>
                <w:sz w:val="24"/>
                <w:highlight w:val="none"/>
                <w:lang w:bidi="ar"/>
              </w:rPr>
              <w:t>社保证明复印件均加盖投标人公章编入投标文件中，否则不得分】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5B81561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12</w:t>
            </w:r>
          </w:p>
        </w:tc>
      </w:tr>
      <w:tr w14:paraId="78CD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7B70ACD8">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18450405">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77C984D7">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根据投标人是否具备开展受托项目所必需的注册会计师和助理人员、专业技术能力等，力量安排是否与项目规模、复杂程度匹配等进行打分。</w:t>
            </w:r>
          </w:p>
          <w:p w14:paraId="17E94F42">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5510C316">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49162005">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7F98EF33">
            <w:pPr>
              <w:rPr>
                <w:rFonts w:ascii="仿宋_GB2312" w:eastAsia="仿宋_GB2312" w:cs="仿宋_GB2312"/>
                <w:color w:val="auto"/>
                <w:sz w:val="24"/>
                <w:highlight w:val="none"/>
                <w:lang w:bidi="ar"/>
              </w:rPr>
            </w:pPr>
            <w:r>
              <w:rPr>
                <w:rFonts w:hint="eastAsia"/>
                <w:color w:val="auto"/>
                <w:highlight w:val="none"/>
              </w:rPr>
              <w:t>4、方案所包含的要点有缺漏、未提供或内容明显不适用于本项目需求的均不得分。</w:t>
            </w:r>
          </w:p>
          <w:p w14:paraId="07CBFB2F">
            <w:pPr>
              <w:rPr>
                <w:rFonts w:asci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FF404B7">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473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shd w:val="clear" w:color="auto" w:fill="auto"/>
            <w:noWrap/>
            <w:vAlign w:val="center"/>
          </w:tcPr>
          <w:p w14:paraId="3D60ECB6">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8</w:t>
            </w:r>
          </w:p>
        </w:tc>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14:paraId="1DE098A2">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服务</w:t>
            </w:r>
          </w:p>
          <w:p w14:paraId="690B9FF5">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承诺</w:t>
            </w:r>
          </w:p>
          <w:p w14:paraId="65796493">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（7.5分）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318BF0E7">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需承诺为采购人及被审计单位提供相关财务管理等辅导培训，配合参与审计通报会、审计调研会等工作，且承诺根据审计工作计划时间节点，出具报告初稿、定稿及进度反馈等。（提供相应的承诺书，格式自拟，未承诺的不得分。）</w:t>
            </w:r>
          </w:p>
          <w:p w14:paraId="0C0E410F">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4CEC18C1">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18C2B089">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3614F54D">
            <w:pPr>
              <w:rPr>
                <w:rFonts w:ascii="仿宋_GB2312" w:eastAsia="仿宋_GB2312" w:cs="仿宋_GB2312"/>
                <w:color w:val="auto"/>
                <w:sz w:val="24"/>
                <w:highlight w:val="none"/>
                <w:lang w:bidi="ar"/>
              </w:rPr>
            </w:pPr>
            <w:r>
              <w:rPr>
                <w:rFonts w:hint="eastAsia"/>
                <w:color w:val="auto"/>
                <w:highlight w:val="none"/>
              </w:rPr>
              <w:t>4、方案所包含的要点有缺漏、未提供或内容明显不适用于本项目需求的均不得分。</w:t>
            </w:r>
          </w:p>
          <w:p w14:paraId="0044E09B">
            <w:pPr>
              <w:rPr>
                <w:rFonts w:asci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181DFC8">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r w14:paraId="1A30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shd w:val="clear" w:color="auto" w:fill="auto"/>
            <w:noWrap/>
            <w:vAlign w:val="center"/>
          </w:tcPr>
          <w:p w14:paraId="0C395E01">
            <w:pPr>
              <w:rPr>
                <w:color w:val="auto"/>
                <w:sz w:val="20"/>
                <w:szCs w:val="20"/>
                <w:highlight w:val="none"/>
              </w:rPr>
            </w:pPr>
          </w:p>
        </w:tc>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4AEF31B0">
            <w:pPr>
              <w:rPr>
                <w:color w:val="auto"/>
                <w:sz w:val="20"/>
                <w:szCs w:val="20"/>
                <w:highlight w:val="none"/>
              </w:rPr>
            </w:pP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44C4B46C">
            <w:pPr>
              <w:widowControl/>
              <w:jc w:val="left"/>
              <w:rPr>
                <w:rFonts w:ascii="仿宋_GB2312" w:eastAsia="仿宋_GB2312" w:cs="仿宋_GB2312"/>
                <w:color w:val="auto"/>
                <w:sz w:val="24"/>
                <w:highlight w:val="none"/>
              </w:rPr>
            </w:pPr>
            <w:r>
              <w:rPr>
                <w:rFonts w:ascii="仿宋_GB2312" w:eastAsia="仿宋_GB2312" w:cs="仿宋_GB2312"/>
                <w:color w:val="auto"/>
                <w:sz w:val="24"/>
                <w:highlight w:val="none"/>
                <w:lang w:bidi="ar"/>
              </w:rPr>
              <w:t>投标人需承诺对执行业务过程中知悉的采购人有关监管信息、被审计单位商业秘密和资料严加保密，不对外泄露的得2.5分，提供相应的承诺书（格式自拟），未承诺的不得分。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4957605">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2.5</w:t>
            </w:r>
          </w:p>
        </w:tc>
      </w:tr>
      <w:tr w14:paraId="3BE1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001E5">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9</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2611A">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售后服务（5分）</w:t>
            </w:r>
          </w:p>
        </w:tc>
        <w:tc>
          <w:tcPr>
            <w:tcW w:w="6200" w:type="dxa"/>
            <w:tcBorders>
              <w:top w:val="single" w:color="auto" w:sz="4" w:space="0"/>
              <w:left w:val="single" w:color="auto" w:sz="4" w:space="0"/>
              <w:bottom w:val="single" w:color="auto" w:sz="4" w:space="0"/>
              <w:right w:val="single" w:color="auto" w:sz="4" w:space="0"/>
            </w:tcBorders>
            <w:shd w:val="clear" w:color="auto" w:fill="auto"/>
            <w:vAlign w:val="center"/>
          </w:tcPr>
          <w:p w14:paraId="6A2B11A6">
            <w:pPr>
              <w:rPr>
                <w:rFonts w:ascii="仿宋_GB2312" w:eastAsia="仿宋_GB2312" w:cs="仿宋_GB2312"/>
                <w:color w:val="auto"/>
                <w:sz w:val="24"/>
                <w:highlight w:val="none"/>
                <w:lang w:bidi="ar"/>
              </w:rPr>
            </w:pPr>
            <w:r>
              <w:rPr>
                <w:rFonts w:ascii="仿宋_GB2312" w:eastAsia="仿宋_GB2312" w:cs="仿宋_GB2312"/>
                <w:color w:val="auto"/>
                <w:sz w:val="24"/>
                <w:highlight w:val="none"/>
                <w:lang w:bidi="ar"/>
              </w:rPr>
              <w:t>根据投标人售后服务承诺、售后服务队伍情况、能提供快速的服务响应等进行打分。</w:t>
            </w:r>
          </w:p>
          <w:p w14:paraId="60F38562">
            <w:pPr>
              <w:rPr>
                <w:color w:val="auto"/>
                <w:highlight w:val="none"/>
              </w:rPr>
            </w:pPr>
            <w:r>
              <w:rPr>
                <w:rFonts w:hint="eastAsia"/>
                <w:color w:val="auto"/>
                <w:highlight w:val="none"/>
              </w:rPr>
              <w:t>1、方案包含的要点齐全无缺漏项、内容与要点相符、每个要点均有展开阐述、逻辑性强，内容描述合理可行，细节考虑周全得</w:t>
            </w:r>
            <w:r>
              <w:rPr>
                <w:color w:val="auto"/>
                <w:highlight w:val="none"/>
              </w:rPr>
              <w:t>5</w:t>
            </w:r>
            <w:r>
              <w:rPr>
                <w:rFonts w:hint="eastAsia"/>
                <w:color w:val="auto"/>
                <w:highlight w:val="none"/>
              </w:rPr>
              <w:t>分；</w:t>
            </w:r>
          </w:p>
          <w:p w14:paraId="4414A78E">
            <w:pPr>
              <w:rPr>
                <w:color w:val="auto"/>
                <w:highlight w:val="none"/>
              </w:rPr>
            </w:pPr>
            <w:r>
              <w:rPr>
                <w:rFonts w:hint="eastAsia"/>
                <w:color w:val="auto"/>
                <w:highlight w:val="none"/>
              </w:rPr>
              <w:t>2、方案所包含的要点齐全、内容与要点相符、每个要点未展开阐述、逻辑性较强，内容描述较合理可行，细节考虑较周全且基本能够适用于本项目的得</w:t>
            </w:r>
            <w:r>
              <w:rPr>
                <w:color w:val="auto"/>
                <w:highlight w:val="none"/>
              </w:rPr>
              <w:t>3</w:t>
            </w:r>
            <w:r>
              <w:rPr>
                <w:rFonts w:hint="eastAsia"/>
                <w:color w:val="auto"/>
                <w:highlight w:val="none"/>
              </w:rPr>
              <w:t>分；</w:t>
            </w:r>
          </w:p>
          <w:p w14:paraId="4E5737A3">
            <w:pPr>
              <w:rPr>
                <w:color w:val="auto"/>
                <w:highlight w:val="none"/>
              </w:rPr>
            </w:pPr>
            <w:r>
              <w:rPr>
                <w:rFonts w:hint="eastAsia"/>
                <w:color w:val="auto"/>
                <w:highlight w:val="none"/>
              </w:rPr>
              <w:t>3、方案仅有纲要、内容简略，未展开详细阐述但基本能够适用于本项目的得</w:t>
            </w:r>
            <w:r>
              <w:rPr>
                <w:color w:val="auto"/>
                <w:highlight w:val="none"/>
              </w:rPr>
              <w:t>2</w:t>
            </w:r>
            <w:r>
              <w:rPr>
                <w:rFonts w:hint="eastAsia"/>
                <w:color w:val="auto"/>
                <w:highlight w:val="none"/>
              </w:rPr>
              <w:t>分；</w:t>
            </w:r>
          </w:p>
          <w:p w14:paraId="21B1DBD8">
            <w:pPr>
              <w:rPr>
                <w:rFonts w:ascii="仿宋_GB2312" w:eastAsia="仿宋_GB2312" w:cs="仿宋_GB2312"/>
                <w:color w:val="auto"/>
                <w:sz w:val="24"/>
                <w:highlight w:val="none"/>
              </w:rPr>
            </w:pPr>
            <w:r>
              <w:rPr>
                <w:rFonts w:hint="eastAsia"/>
                <w:color w:val="auto"/>
                <w:highlight w:val="none"/>
              </w:rPr>
              <w:t>4、方案所包含的要点有缺漏、未提供或内容明显不适用于本项目需求的均不得分。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6FB1762">
            <w:pPr>
              <w:jc w:val="center"/>
              <w:rPr>
                <w:rFonts w:ascii="仿宋_GB2312" w:eastAsia="仿宋_GB2312" w:cs="仿宋_GB2312"/>
                <w:color w:val="auto"/>
                <w:sz w:val="24"/>
                <w:highlight w:val="none"/>
              </w:rPr>
            </w:pPr>
            <w:r>
              <w:rPr>
                <w:rFonts w:ascii="仿宋_GB2312" w:eastAsia="仿宋_GB2312" w:cs="仿宋_GB2312"/>
                <w:color w:val="auto"/>
                <w:sz w:val="24"/>
                <w:highlight w:val="none"/>
                <w:lang w:bidi="ar"/>
              </w:rPr>
              <w:t>5</w:t>
            </w:r>
          </w:p>
        </w:tc>
      </w:tr>
    </w:tbl>
    <w:p w14:paraId="54E00682">
      <w:pPr>
        <w:rPr>
          <w:rFonts w:ascii="仿宋_GB2312" w:hAnsi="仿宋_GB2312" w:eastAsia="仿宋_GB2312" w:cs="仿宋_GB2312"/>
          <w:color w:val="auto"/>
          <w:sz w:val="24"/>
          <w:highlight w:val="none"/>
        </w:rPr>
      </w:pPr>
    </w:p>
    <w:p w14:paraId="6944D99E">
      <w:pPr>
        <w:pStyle w:val="23"/>
        <w:spacing w:before="0"/>
        <w:ind w:firstLine="480"/>
        <w:rPr>
          <w:rFonts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b/>
          <w:color w:val="auto"/>
          <w:highlight w:val="none"/>
        </w:rPr>
        <w:t>商务技术分低于51分的，视为采购人不能接受的附加条件，投标无效</w:t>
      </w:r>
      <w:r>
        <w:rPr>
          <w:rFonts w:hint="eastAsia" w:ascii="仿宋" w:hAnsi="仿宋" w:eastAsia="仿宋" w:cs="仿宋"/>
          <w:color w:val="auto"/>
          <w:highlight w:val="none"/>
        </w:rPr>
        <w:t>。计算得分时，按其算术平均值保留小数点后2位；评审小组成员个人主观打分偏离所有评审小组成员主观打分平均值30%以上的，由评审委员会启动评分畸高、畸低行为认定程序。</w:t>
      </w:r>
    </w:p>
    <w:p w14:paraId="3F1FE9DE">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rPr>
        <w:t>15分</w:t>
      </w:r>
      <w:r>
        <w:rPr>
          <w:rFonts w:hint="eastAsia" w:ascii="仿宋" w:hAnsi="仿宋" w:eastAsia="仿宋" w:cs="仿宋_GB2312"/>
          <w:color w:val="auto"/>
          <w:sz w:val="24"/>
          <w:highlight w:val="none"/>
        </w:rPr>
        <w:t>）</w:t>
      </w:r>
    </w:p>
    <w:tbl>
      <w:tblPr>
        <w:tblStyle w:val="1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77D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3425F5CF">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FAE7EB1">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14:paraId="259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B72D3DF">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w:t>
            </w:r>
            <w:r>
              <w:rPr>
                <w:rFonts w:hint="eastAsia" w:ascii="仿宋" w:hAnsi="仿宋" w:eastAsia="仿宋" w:cs="Arial"/>
                <w:color w:val="auto"/>
                <w:kern w:val="0"/>
                <w:sz w:val="24"/>
                <w:highlight w:val="none"/>
              </w:rPr>
              <w:t xml:space="preserve"> 15</w:t>
            </w:r>
          </w:p>
        </w:tc>
        <w:tc>
          <w:tcPr>
            <w:tcW w:w="6599" w:type="dxa"/>
            <w:tcBorders>
              <w:top w:val="single" w:color="auto" w:sz="4" w:space="0"/>
              <w:left w:val="single" w:color="auto" w:sz="4" w:space="0"/>
              <w:bottom w:val="single" w:color="auto" w:sz="4" w:space="0"/>
              <w:right w:val="single" w:color="auto" w:sz="4" w:space="0"/>
            </w:tcBorders>
            <w:noWrap/>
            <w:vAlign w:val="center"/>
          </w:tcPr>
          <w:p w14:paraId="24B8639A">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14:paraId="48126F91">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14:paraId="4B608D26">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14:paraId="6443F53D">
      <w:pPr>
        <w:widowControl/>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
          <w:b/>
          <w:color w:val="auto"/>
          <w:sz w:val="24"/>
          <w:highlight w:val="none"/>
          <w:lang w:bidi="ar"/>
        </w:rPr>
        <w:t>注：</w:t>
      </w:r>
      <w:r>
        <w:rPr>
          <w:rFonts w:ascii="仿宋" w:hAnsi="仿宋" w:eastAsia="仿宋" w:cs="仿宋"/>
          <w:b/>
          <w:color w:val="auto"/>
          <w:sz w:val="24"/>
          <w:highlight w:val="none"/>
          <w:lang w:bidi="ar"/>
        </w:rPr>
        <w:t>农村集体经济审计</w:t>
      </w:r>
      <w:r>
        <w:rPr>
          <w:rFonts w:hint="eastAsia" w:ascii="仿宋" w:hAnsi="仿宋" w:eastAsia="仿宋" w:cs="仿宋"/>
          <w:b/>
          <w:color w:val="auto"/>
          <w:sz w:val="24"/>
          <w:highlight w:val="none"/>
          <w:lang w:bidi="ar"/>
        </w:rPr>
        <w:t>最高限价</w:t>
      </w:r>
      <w:r>
        <w:rPr>
          <w:rFonts w:ascii="仿宋" w:hAnsi="仿宋" w:eastAsia="仿宋" w:cs="仿宋"/>
          <w:b/>
          <w:color w:val="auto"/>
          <w:sz w:val="24"/>
          <w:highlight w:val="none"/>
          <w:lang w:bidi="ar"/>
        </w:rPr>
        <w:t>为每村（社）每年3350元，村集体控股强村公司审计</w:t>
      </w:r>
      <w:r>
        <w:rPr>
          <w:rFonts w:hint="eastAsia" w:ascii="仿宋" w:hAnsi="仿宋" w:eastAsia="仿宋" w:cs="仿宋"/>
          <w:b/>
          <w:color w:val="auto"/>
          <w:sz w:val="24"/>
          <w:highlight w:val="none"/>
          <w:lang w:bidi="ar"/>
        </w:rPr>
        <w:t>最高限价</w:t>
      </w:r>
      <w:r>
        <w:rPr>
          <w:rFonts w:ascii="仿宋" w:hAnsi="仿宋" w:eastAsia="仿宋" w:cs="仿宋"/>
          <w:b/>
          <w:color w:val="auto"/>
          <w:sz w:val="24"/>
          <w:highlight w:val="none"/>
          <w:lang w:bidi="ar"/>
        </w:rPr>
        <w:t>为每个每年</w:t>
      </w:r>
      <w:r>
        <w:rPr>
          <w:rFonts w:hint="eastAsia" w:ascii="仿宋" w:hAnsi="仿宋" w:eastAsia="仿宋" w:cs="仿宋"/>
          <w:b/>
          <w:color w:val="auto"/>
          <w:sz w:val="24"/>
          <w:highlight w:val="none"/>
          <w:lang w:bidi="ar"/>
        </w:rPr>
        <w:t>1550元，否则投标无效。</w:t>
      </w:r>
    </w:p>
    <w:p w14:paraId="131DEDDD">
      <w:pPr>
        <w:snapToGrid w:val="0"/>
        <w:spacing w:line="360" w:lineRule="auto"/>
        <w:ind w:left="120" w:leftChars="57" w:firstLine="542" w:firstLineChars="150"/>
        <w:jc w:val="center"/>
        <w:rPr>
          <w:rFonts w:ascii="仿宋" w:hAnsi="仿宋" w:eastAsia="仿宋" w:cs="仿宋_GB2312"/>
          <w:b/>
          <w:color w:val="auto"/>
          <w:sz w:val="36"/>
          <w:szCs w:val="36"/>
          <w:highlight w:val="none"/>
        </w:rPr>
        <w:sectPr>
          <w:pgSz w:w="11906" w:h="16838"/>
          <w:pgMar w:top="1247" w:right="1418" w:bottom="1276" w:left="1418" w:header="851" w:footer="992" w:gutter="0"/>
          <w:cols w:space="720" w:num="1"/>
          <w:titlePg/>
          <w:docGrid w:linePitch="312" w:charSpace="0"/>
        </w:sectPr>
      </w:pPr>
    </w:p>
    <w:p w14:paraId="126B3BEC">
      <w:pPr>
        <w:snapToGrid w:val="0"/>
        <w:spacing w:line="360" w:lineRule="auto"/>
        <w:ind w:left="120" w:leftChars="57" w:firstLine="542" w:firstLineChars="15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第五部分拟签订的合同文本</w:t>
      </w:r>
    </w:p>
    <w:p w14:paraId="0680CAA3">
      <w:pPr>
        <w:widowControl/>
        <w:snapToGrid w:val="0"/>
        <w:spacing w:line="480" w:lineRule="exact"/>
        <w:ind w:firstLine="480" w:firstLineChars="200"/>
        <w:rPr>
          <w:rFonts w:ascii="仿宋" w:eastAsia="仿宋"/>
          <w:color w:val="auto"/>
          <w:kern w:val="0"/>
          <w:sz w:val="24"/>
          <w:highlight w:val="none"/>
        </w:rPr>
      </w:pPr>
      <w:bookmarkStart w:id="428" w:name="_Toc86217003"/>
      <w:bookmarkStart w:id="429" w:name="第五部分"/>
      <w:r>
        <w:rPr>
          <w:rFonts w:hint="eastAsia" w:ascii="仿宋" w:eastAsia="仿宋"/>
          <w:color w:val="auto"/>
          <w:kern w:val="0"/>
          <w:sz w:val="24"/>
          <w:highlight w:val="none"/>
        </w:rPr>
        <w:t>合同编号：</w:t>
      </w:r>
    </w:p>
    <w:p w14:paraId="1902CFE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确认书号：</w:t>
      </w:r>
    </w:p>
    <w:p w14:paraId="222D28F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甲方（采购人）：</w:t>
      </w:r>
    </w:p>
    <w:p w14:paraId="0382259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乙方（供应商）：</w:t>
      </w:r>
    </w:p>
    <w:p w14:paraId="4A33FAD4">
      <w:pPr>
        <w:widowControl/>
        <w:snapToGrid w:val="0"/>
        <w:spacing w:line="480" w:lineRule="exact"/>
        <w:ind w:firstLine="480" w:firstLineChars="200"/>
        <w:rPr>
          <w:rFonts w:ascii="仿宋" w:eastAsia="仿宋"/>
          <w:color w:val="auto"/>
          <w:kern w:val="0"/>
          <w:sz w:val="24"/>
          <w:highlight w:val="none"/>
        </w:rPr>
      </w:pPr>
    </w:p>
    <w:p w14:paraId="47F0963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（填写采购代理机构名称）</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2DE6CA1F">
      <w:pPr>
        <w:widowControl/>
        <w:numPr>
          <w:ilvl w:val="0"/>
          <w:numId w:val="4"/>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78515194">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073B4E1C">
      <w:pPr>
        <w:widowControl/>
        <w:numPr>
          <w:ilvl w:val="0"/>
          <w:numId w:val="4"/>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5B7E532E">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30028E8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264E8F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4A55738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6A06B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4E9B369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5DD1389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1686FF09">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68D718F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3184926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1A30D3D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6084DAD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0CA0AD0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1.履约保证金元。[履约保证金交至采购人处，服务完成后满（）个月之日起5个工作日内无息退还]</w:t>
      </w:r>
    </w:p>
    <w:p w14:paraId="42D4B7C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413D9B6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391D642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3874D06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7014F10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14:paraId="64ED68E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14:paraId="49FD81F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3A6BAEF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14:paraId="37AF5DD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0C8E880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3376716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026FF6E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458E1B4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14:paraId="6D1F78F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14:paraId="55F9077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43BB64F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427B06E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698F8DD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14:paraId="0FFCD79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376C50A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14:paraId="0701CA0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339B955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389A259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3.本合同未尽事宜，遵照《中华人民共和国民法典》有关条文执行。</w:t>
      </w:r>
    </w:p>
    <w:p w14:paraId="19A0D6E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14:paraId="36BD9C67">
      <w:pPr>
        <w:widowControl/>
        <w:snapToGrid w:val="0"/>
        <w:spacing w:line="480" w:lineRule="exact"/>
        <w:ind w:firstLine="480" w:firstLineChars="200"/>
        <w:rPr>
          <w:rFonts w:ascii="仿宋" w:eastAsia="仿宋"/>
          <w:color w:val="auto"/>
          <w:kern w:val="0"/>
          <w:sz w:val="24"/>
          <w:highlight w:val="none"/>
        </w:rPr>
      </w:pPr>
    </w:p>
    <w:p w14:paraId="22A41CC0">
      <w:pPr>
        <w:widowControl/>
        <w:snapToGrid w:val="0"/>
        <w:spacing w:line="480" w:lineRule="exact"/>
        <w:ind w:firstLine="480" w:firstLineChars="200"/>
        <w:rPr>
          <w:rFonts w:ascii="仿宋" w:eastAsia="仿宋"/>
          <w:color w:val="auto"/>
          <w:kern w:val="0"/>
          <w:sz w:val="24"/>
          <w:highlight w:val="none"/>
        </w:rPr>
      </w:pPr>
    </w:p>
    <w:p w14:paraId="75BB0869">
      <w:pPr>
        <w:widowControl/>
        <w:snapToGrid w:val="0"/>
        <w:spacing w:line="480" w:lineRule="exact"/>
        <w:ind w:firstLine="480" w:firstLineChars="200"/>
        <w:rPr>
          <w:rFonts w:ascii="仿宋" w:eastAsia="仿宋"/>
          <w:color w:val="auto"/>
          <w:kern w:val="0"/>
          <w:sz w:val="24"/>
          <w:highlight w:val="none"/>
        </w:rPr>
      </w:pPr>
    </w:p>
    <w:p w14:paraId="61DAAFD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甲方（盖章）：</w:t>
      </w:r>
    </w:p>
    <w:p w14:paraId="1C7A64B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地址：</w:t>
      </w:r>
    </w:p>
    <w:p w14:paraId="4BA3468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5C893EB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签名日期：年月日</w:t>
      </w:r>
    </w:p>
    <w:p w14:paraId="2B4ABC3F">
      <w:pPr>
        <w:widowControl/>
        <w:snapToGrid w:val="0"/>
        <w:spacing w:line="480" w:lineRule="exact"/>
        <w:ind w:firstLine="480" w:firstLineChars="200"/>
        <w:rPr>
          <w:rFonts w:ascii="仿宋" w:eastAsia="仿宋"/>
          <w:color w:val="auto"/>
          <w:kern w:val="0"/>
          <w:sz w:val="24"/>
          <w:highlight w:val="none"/>
        </w:rPr>
      </w:pPr>
    </w:p>
    <w:p w14:paraId="3400877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1C1B34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地址：</w:t>
      </w:r>
    </w:p>
    <w:p w14:paraId="149BBE9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59D8FA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1E3433C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003393D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签名日期：年月日</w:t>
      </w:r>
    </w:p>
    <w:p w14:paraId="16630CE2">
      <w:pPr>
        <w:widowControl/>
        <w:snapToGrid w:val="0"/>
        <w:spacing w:line="480" w:lineRule="exact"/>
        <w:ind w:firstLine="480" w:firstLineChars="200"/>
        <w:rPr>
          <w:rFonts w:ascii="仿宋" w:eastAsia="仿宋"/>
          <w:color w:val="auto"/>
          <w:kern w:val="0"/>
          <w:sz w:val="24"/>
          <w:highlight w:val="none"/>
        </w:rPr>
      </w:pPr>
    </w:p>
    <w:p w14:paraId="398F77E3">
      <w:pPr>
        <w:snapToGrid w:val="0"/>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End w:id="428"/>
      <w:bookmarkEnd w:id="429"/>
      <w:r>
        <w:rPr>
          <w:rFonts w:hint="eastAsia" w:ascii="仿宋" w:hAnsi="仿宋" w:eastAsia="仿宋" w:cs="仿宋_GB2312"/>
          <w:b/>
          <w:color w:val="auto"/>
          <w:sz w:val="36"/>
          <w:szCs w:val="20"/>
          <w:highlight w:val="none"/>
        </w:rPr>
        <w:t>第六部分 应提交的有关格式范例</w:t>
      </w:r>
    </w:p>
    <w:p w14:paraId="07B78B74">
      <w:pPr>
        <w:spacing w:line="360" w:lineRule="auto"/>
        <w:jc w:val="center"/>
        <w:rPr>
          <w:rFonts w:ascii="仿宋" w:hAnsi="仿宋" w:eastAsia="仿宋" w:cs="仿宋_GB2312"/>
          <w:color w:val="auto"/>
          <w:sz w:val="36"/>
          <w:szCs w:val="36"/>
          <w:highlight w:val="none"/>
          <w:lang w:val="zh-CN"/>
        </w:rPr>
      </w:pPr>
    </w:p>
    <w:p w14:paraId="5938ECA5">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0B715A63">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00158C9">
      <w:pPr>
        <w:spacing w:line="360" w:lineRule="auto"/>
        <w:jc w:val="center"/>
        <w:rPr>
          <w:rFonts w:ascii="仿宋" w:hAnsi="仿宋" w:eastAsia="仿宋" w:cs="仿宋_GB2312"/>
          <w:b/>
          <w:color w:val="auto"/>
          <w:kern w:val="0"/>
          <w:sz w:val="36"/>
          <w:szCs w:val="36"/>
          <w:highlight w:val="none"/>
        </w:rPr>
      </w:pPr>
    </w:p>
    <w:p w14:paraId="2BA9D328">
      <w:pP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14:paraId="33487495">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0A12DBAA">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（3）联合体协议书（如有） …………………………………………………（页码）</w:t>
      </w:r>
    </w:p>
    <w:p w14:paraId="605161E7">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（4）法定代表人授权委托书 …………………………………………………（页码）</w:t>
      </w:r>
    </w:p>
    <w:p w14:paraId="085921BF">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（5）法定代表人及其授权代表的身份证（复印件） ………………………（页码）</w:t>
      </w:r>
    </w:p>
    <w:p w14:paraId="718972EF">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w:t>
      </w:r>
      <w:r>
        <w:rPr>
          <w:rFonts w:hint="eastAsia" w:ascii="仿宋" w:hAnsi="仿宋" w:eastAsia="仿宋" w:cs="仿宋_GB2312"/>
          <w:color w:val="auto"/>
          <w:sz w:val="24"/>
          <w:highlight w:val="none"/>
        </w:rPr>
        <w:t>中小企业声明函或残疾人福利性单位声明函。</w:t>
      </w:r>
      <w:r>
        <w:rPr>
          <w:rFonts w:hint="eastAsia" w:ascii="仿宋" w:hAnsi="仿宋" w:eastAsia="仿宋" w:cs="仿宋_GB2312"/>
          <w:color w:val="auto"/>
          <w:kern w:val="0"/>
          <w:sz w:val="24"/>
          <w:highlight w:val="none"/>
        </w:rPr>
        <w:t xml:space="preserve">…………………………（页码）                </w:t>
      </w:r>
    </w:p>
    <w:p w14:paraId="5E7ACFB0">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（7）残疾人福利性单位声明函（如有）……………………………………（页码）</w:t>
      </w:r>
    </w:p>
    <w:p w14:paraId="60C0CB43">
      <w:pPr>
        <w:snapToGrid w:val="0"/>
        <w:spacing w:line="360" w:lineRule="auto"/>
        <w:rPr>
          <w:rFonts w:ascii="仿宋" w:hAnsi="仿宋" w:eastAsia="仿宋" w:cs="仿宋_GB2312"/>
          <w:color w:val="auto"/>
          <w:sz w:val="24"/>
          <w:highlight w:val="none"/>
        </w:rPr>
      </w:pPr>
    </w:p>
    <w:p w14:paraId="40D97AF7">
      <w:pPr>
        <w:snapToGrid w:val="0"/>
        <w:spacing w:line="360" w:lineRule="auto"/>
        <w:ind w:firstLine="3240" w:firstLineChars="900"/>
        <w:rPr>
          <w:rFonts w:ascii="仿宋" w:hAnsi="仿宋" w:eastAsia="仿宋" w:cs="仿宋_GB2312"/>
          <w:color w:val="auto"/>
          <w:sz w:val="36"/>
          <w:szCs w:val="36"/>
          <w:highlight w:val="none"/>
        </w:rPr>
      </w:pPr>
    </w:p>
    <w:p w14:paraId="6CBB947B">
      <w:pPr>
        <w:snapToGrid w:val="0"/>
        <w:spacing w:line="360" w:lineRule="auto"/>
        <w:rPr>
          <w:rFonts w:ascii="仿宋" w:hAnsi="仿宋" w:eastAsia="仿宋" w:cs="仿宋_GB2312"/>
          <w:color w:val="auto"/>
          <w:sz w:val="36"/>
          <w:szCs w:val="36"/>
          <w:highlight w:val="none"/>
        </w:rPr>
      </w:pPr>
    </w:p>
    <w:p w14:paraId="7FF64296">
      <w:pPr>
        <w:snapToGrid w:val="0"/>
        <w:spacing w:line="360" w:lineRule="auto"/>
        <w:jc w:val="center"/>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3DD64E09">
      <w:pPr>
        <w:spacing w:line="360" w:lineRule="auto"/>
        <w:rPr>
          <w:rFonts w:ascii="仿宋" w:hAnsi="仿宋" w:eastAsia="仿宋" w:cs="仿宋_GB2312"/>
          <w:b/>
          <w:color w:val="auto"/>
          <w:sz w:val="30"/>
          <w:szCs w:val="30"/>
          <w:highlight w:val="none"/>
        </w:rPr>
      </w:pPr>
    </w:p>
    <w:p w14:paraId="0D5B4D0A">
      <w:pPr>
        <w:tabs>
          <w:tab w:val="left" w:pos="3729"/>
        </w:tabs>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（联合体投标成员单位均需提供）</w:t>
      </w:r>
    </w:p>
    <w:p w14:paraId="0A1D77D3">
      <w:pPr>
        <w:spacing w:line="360" w:lineRule="auto"/>
        <w:rPr>
          <w:rFonts w:ascii="仿宋" w:hAnsi="仿宋" w:eastAsia="仿宋" w:cs="仿宋_GB2312"/>
          <w:b/>
          <w:color w:val="auto"/>
          <w:sz w:val="30"/>
          <w:szCs w:val="30"/>
          <w:highlight w:val="none"/>
        </w:rPr>
      </w:pPr>
    </w:p>
    <w:p w14:paraId="5ECDA6ED">
      <w:pPr>
        <w:spacing w:line="360" w:lineRule="auto"/>
        <w:rPr>
          <w:rFonts w:ascii="仿宋" w:hAnsi="仿宋" w:eastAsia="仿宋" w:cs="仿宋_GB2312"/>
          <w:b/>
          <w:color w:val="auto"/>
          <w:sz w:val="30"/>
          <w:szCs w:val="30"/>
          <w:highlight w:val="none"/>
        </w:rPr>
      </w:pPr>
    </w:p>
    <w:p w14:paraId="4C3BBA69">
      <w:pPr>
        <w:spacing w:line="360" w:lineRule="auto"/>
        <w:rPr>
          <w:rFonts w:ascii="仿宋" w:hAnsi="仿宋" w:eastAsia="仿宋" w:cs="仿宋_GB2312"/>
          <w:b/>
          <w:color w:val="auto"/>
          <w:sz w:val="30"/>
          <w:szCs w:val="30"/>
          <w:highlight w:val="none"/>
        </w:rPr>
      </w:pPr>
    </w:p>
    <w:p w14:paraId="23AE9BAE">
      <w:pPr>
        <w:spacing w:line="360" w:lineRule="auto"/>
        <w:rPr>
          <w:rFonts w:ascii="仿宋" w:hAnsi="仿宋" w:eastAsia="仿宋" w:cs="仿宋_GB2312"/>
          <w:b/>
          <w:color w:val="auto"/>
          <w:sz w:val="30"/>
          <w:szCs w:val="30"/>
          <w:highlight w:val="none"/>
        </w:rPr>
      </w:pPr>
    </w:p>
    <w:p w14:paraId="7D1496FB">
      <w:pPr>
        <w:spacing w:line="360" w:lineRule="auto"/>
        <w:rPr>
          <w:rFonts w:ascii="仿宋" w:hAnsi="仿宋" w:eastAsia="仿宋" w:cs="仿宋_GB2312"/>
          <w:b/>
          <w:color w:val="auto"/>
          <w:sz w:val="30"/>
          <w:szCs w:val="30"/>
          <w:highlight w:val="none"/>
        </w:rPr>
      </w:pPr>
    </w:p>
    <w:p w14:paraId="32A8E60F">
      <w:pPr>
        <w:spacing w:line="360" w:lineRule="auto"/>
        <w:rPr>
          <w:rFonts w:ascii="仿宋" w:hAnsi="仿宋" w:eastAsia="仿宋" w:cs="仿宋_GB2312"/>
          <w:b/>
          <w:color w:val="auto"/>
          <w:sz w:val="30"/>
          <w:szCs w:val="30"/>
          <w:highlight w:val="none"/>
        </w:rPr>
      </w:pPr>
    </w:p>
    <w:p w14:paraId="4AAEC637">
      <w:pPr>
        <w:spacing w:line="360" w:lineRule="auto"/>
        <w:rPr>
          <w:rFonts w:ascii="仿宋" w:hAnsi="仿宋" w:eastAsia="仿宋" w:cs="仿宋_GB2312"/>
          <w:b/>
          <w:color w:val="auto"/>
          <w:sz w:val="30"/>
          <w:szCs w:val="30"/>
          <w:highlight w:val="none"/>
        </w:rPr>
      </w:pPr>
    </w:p>
    <w:p w14:paraId="47CA0780">
      <w:pPr>
        <w:spacing w:line="360" w:lineRule="auto"/>
        <w:rPr>
          <w:rFonts w:ascii="仿宋" w:hAnsi="仿宋" w:eastAsia="仿宋" w:cs="仿宋_GB2312"/>
          <w:b/>
          <w:color w:val="auto"/>
          <w:sz w:val="30"/>
          <w:szCs w:val="30"/>
          <w:highlight w:val="none"/>
        </w:rPr>
      </w:pPr>
    </w:p>
    <w:p w14:paraId="1F623FFB">
      <w:pPr>
        <w:spacing w:line="360" w:lineRule="auto"/>
        <w:rPr>
          <w:rFonts w:ascii="仿宋" w:hAnsi="仿宋" w:eastAsia="仿宋" w:cs="仿宋_GB2312"/>
          <w:b/>
          <w:color w:val="auto"/>
          <w:sz w:val="30"/>
          <w:szCs w:val="30"/>
          <w:highlight w:val="none"/>
        </w:rPr>
      </w:pPr>
    </w:p>
    <w:p w14:paraId="572A0E34">
      <w:pPr>
        <w:spacing w:line="360" w:lineRule="auto"/>
        <w:rPr>
          <w:rFonts w:ascii="仿宋" w:hAnsi="仿宋" w:eastAsia="仿宋" w:cs="仿宋_GB2312"/>
          <w:b/>
          <w:color w:val="auto"/>
          <w:sz w:val="30"/>
          <w:szCs w:val="30"/>
          <w:highlight w:val="none"/>
        </w:rPr>
      </w:pPr>
    </w:p>
    <w:p w14:paraId="1E161C44">
      <w:pPr>
        <w:spacing w:line="360" w:lineRule="auto"/>
        <w:rPr>
          <w:rFonts w:ascii="仿宋" w:hAnsi="仿宋" w:eastAsia="仿宋" w:cs="仿宋_GB2312"/>
          <w:b/>
          <w:color w:val="auto"/>
          <w:sz w:val="30"/>
          <w:szCs w:val="30"/>
          <w:highlight w:val="none"/>
        </w:rPr>
      </w:pPr>
    </w:p>
    <w:p w14:paraId="1B109B0F">
      <w:pPr>
        <w:spacing w:line="360" w:lineRule="auto"/>
        <w:rPr>
          <w:rFonts w:ascii="仿宋" w:hAnsi="仿宋" w:eastAsia="仿宋" w:cs="仿宋_GB2312"/>
          <w:b/>
          <w:color w:val="auto"/>
          <w:sz w:val="30"/>
          <w:szCs w:val="30"/>
          <w:highlight w:val="none"/>
        </w:rPr>
      </w:pPr>
    </w:p>
    <w:p w14:paraId="54761678">
      <w:pPr>
        <w:spacing w:line="360" w:lineRule="auto"/>
        <w:rPr>
          <w:rFonts w:ascii="仿宋" w:hAnsi="仿宋" w:eastAsia="仿宋" w:cs="仿宋_GB2312"/>
          <w:b/>
          <w:color w:val="auto"/>
          <w:sz w:val="30"/>
          <w:szCs w:val="30"/>
          <w:highlight w:val="none"/>
        </w:rPr>
      </w:pPr>
    </w:p>
    <w:p w14:paraId="2980FD8E">
      <w:pPr>
        <w:spacing w:line="360" w:lineRule="auto"/>
        <w:rPr>
          <w:rFonts w:ascii="仿宋" w:hAnsi="仿宋" w:eastAsia="仿宋" w:cs="仿宋_GB2312"/>
          <w:b/>
          <w:color w:val="auto"/>
          <w:sz w:val="30"/>
          <w:szCs w:val="30"/>
          <w:highlight w:val="none"/>
        </w:rPr>
      </w:pPr>
    </w:p>
    <w:p w14:paraId="67CE2BDD">
      <w:pPr>
        <w:spacing w:line="360" w:lineRule="auto"/>
        <w:rPr>
          <w:rFonts w:ascii="仿宋" w:hAnsi="仿宋" w:eastAsia="仿宋" w:cs="仿宋_GB2312"/>
          <w:b/>
          <w:color w:val="auto"/>
          <w:sz w:val="30"/>
          <w:szCs w:val="30"/>
          <w:highlight w:val="none"/>
        </w:rPr>
      </w:pPr>
    </w:p>
    <w:p w14:paraId="00E9D7A6">
      <w:pPr>
        <w:spacing w:line="360" w:lineRule="auto"/>
        <w:rPr>
          <w:rFonts w:ascii="仿宋" w:hAnsi="仿宋" w:eastAsia="仿宋" w:cs="仿宋_GB2312"/>
          <w:b/>
          <w:color w:val="auto"/>
          <w:sz w:val="30"/>
          <w:szCs w:val="30"/>
          <w:highlight w:val="none"/>
        </w:rPr>
      </w:pPr>
    </w:p>
    <w:p w14:paraId="0F6D2CA2">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04527B02">
      <w:pP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17233FE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hAns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的投标，为此，我方就本次投标有关事项郑重声明如下：</w:t>
      </w:r>
    </w:p>
    <w:p w14:paraId="1283379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1、我方承诺已经具备《中华人民共和国政府采购法》中规定的参加政府采购活动的供应商应当具备的条件。</w:t>
      </w:r>
    </w:p>
    <w:p w14:paraId="588BBBC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78D1BAA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3、不存在以下情况：</w:t>
      </w:r>
    </w:p>
    <w:p w14:paraId="07F3031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0CD2AB8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2AC87CB5">
      <w:pPr>
        <w:snapToGrid w:val="0"/>
        <w:spacing w:line="360" w:lineRule="auto"/>
        <w:ind w:firstLine="480" w:firstLineChars="200"/>
        <w:rPr>
          <w:rFonts w:ascii="仿宋" w:hAnsi="仿宋" w:eastAsia="仿宋" w:cs="仿宋_GB2312"/>
          <w:color w:val="auto"/>
          <w:sz w:val="24"/>
          <w:highlight w:val="none"/>
        </w:rPr>
      </w:pPr>
    </w:p>
    <w:p w14:paraId="71F94B2E">
      <w:pPr>
        <w:snapToGrid w:val="0"/>
        <w:spacing w:line="360" w:lineRule="auto"/>
        <w:ind w:firstLine="480" w:firstLineChars="200"/>
        <w:rPr>
          <w:rFonts w:ascii="仿宋" w:hAnsi="仿宋" w:eastAsia="仿宋" w:cs="仿宋_GB2312"/>
          <w:color w:val="auto"/>
          <w:sz w:val="24"/>
          <w:highlight w:val="none"/>
        </w:rPr>
      </w:pPr>
    </w:p>
    <w:p w14:paraId="56567AD7">
      <w:pPr>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14:paraId="25D4ED74">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14:paraId="5A65474B">
      <w:pPr>
        <w:snapToGrid w:val="0"/>
        <w:spacing w:line="360" w:lineRule="auto"/>
        <w:ind w:firstLine="5040" w:firstLineChars="2100"/>
        <w:rPr>
          <w:rFonts w:ascii="仿宋" w:hAnsi="仿宋" w:eastAsia="仿宋" w:cs="仿宋_GB2312"/>
          <w:color w:val="auto"/>
          <w:kern w:val="0"/>
          <w:sz w:val="24"/>
          <w:highlight w:val="none"/>
          <w:lang w:val="zh-CN"/>
        </w:rPr>
      </w:pPr>
    </w:p>
    <w:p w14:paraId="3B369CD3">
      <w:pPr>
        <w:snapToGrid w:val="0"/>
        <w:spacing w:line="360" w:lineRule="auto"/>
        <w:ind w:firstLine="5040" w:firstLineChars="2100"/>
        <w:rPr>
          <w:rFonts w:ascii="仿宋" w:hAnsi="仿宋" w:eastAsia="仿宋" w:cs="仿宋_GB2312"/>
          <w:color w:val="auto"/>
          <w:kern w:val="0"/>
          <w:sz w:val="24"/>
          <w:highlight w:val="none"/>
          <w:lang w:val="zh-CN"/>
        </w:rPr>
      </w:pPr>
    </w:p>
    <w:p w14:paraId="4965E835">
      <w:pPr>
        <w:snapToGrid w:val="0"/>
        <w:spacing w:line="360" w:lineRule="auto"/>
        <w:ind w:firstLine="5040" w:firstLineChars="2100"/>
        <w:rPr>
          <w:rFonts w:ascii="仿宋" w:hAnsi="仿宋" w:eastAsia="仿宋" w:cs="仿宋_GB2312"/>
          <w:color w:val="auto"/>
          <w:kern w:val="0"/>
          <w:sz w:val="24"/>
          <w:highlight w:val="none"/>
          <w:lang w:val="zh-CN"/>
        </w:rPr>
      </w:pPr>
    </w:p>
    <w:p w14:paraId="52D00C4E">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3BD64A9E">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3310EF8F">
      <w:pPr>
        <w:snapToGrid w:val="0"/>
        <w:spacing w:line="360" w:lineRule="auto"/>
        <w:rPr>
          <w:rFonts w:ascii="宋体" w:hAnsi="宋体" w:cs="宋体"/>
          <w:b/>
          <w:color w:val="auto"/>
          <w:kern w:val="0"/>
          <w:sz w:val="32"/>
          <w:szCs w:val="32"/>
          <w:highlight w:val="none"/>
        </w:rPr>
      </w:pPr>
    </w:p>
    <w:p w14:paraId="168136E0">
      <w:pPr>
        <w:snapToGrid w:val="0"/>
        <w:spacing w:line="360" w:lineRule="auto"/>
        <w:rPr>
          <w:rFonts w:ascii="宋体" w:hAnsi="宋体" w:cs="宋体"/>
          <w:b/>
          <w:color w:val="auto"/>
          <w:kern w:val="0"/>
          <w:sz w:val="32"/>
          <w:szCs w:val="32"/>
          <w:highlight w:val="none"/>
        </w:rPr>
      </w:pPr>
    </w:p>
    <w:p w14:paraId="75412682">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（联合体投标成员单位均需提供）</w:t>
      </w:r>
    </w:p>
    <w:p w14:paraId="35D09659">
      <w:pPr>
        <w:snapToGrid w:val="0"/>
        <w:spacing w:line="360" w:lineRule="auto"/>
        <w:rPr>
          <w:rFonts w:ascii="仿宋" w:hAnsi="仿宋" w:eastAsia="仿宋" w:cs="仿宋_GB2312"/>
          <w:b/>
          <w:color w:val="auto"/>
          <w:kern w:val="0"/>
          <w:sz w:val="32"/>
          <w:szCs w:val="32"/>
          <w:highlight w:val="none"/>
        </w:rPr>
      </w:pPr>
    </w:p>
    <w:p w14:paraId="31C1EE42">
      <w:pPr>
        <w:snapToGrid w:val="0"/>
        <w:spacing w:line="360" w:lineRule="auto"/>
        <w:rPr>
          <w:rFonts w:ascii="仿宋" w:hAnsi="仿宋" w:eastAsia="仿宋" w:cs="仿宋_GB2312"/>
          <w:b/>
          <w:color w:val="auto"/>
          <w:kern w:val="0"/>
          <w:sz w:val="32"/>
          <w:szCs w:val="32"/>
          <w:highlight w:val="none"/>
        </w:rPr>
      </w:pPr>
    </w:p>
    <w:p w14:paraId="7D94FCCF">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三、联合体协议书（如有）</w:t>
      </w:r>
    </w:p>
    <w:p w14:paraId="5B02E00E">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w:t>
      </w:r>
    </w:p>
    <w:p w14:paraId="4759BFA0">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w:t>
      </w:r>
    </w:p>
    <w:p w14:paraId="52BE3563">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（如果有的话，可按甲、乙、丙、丁…序列增加）</w:t>
      </w:r>
    </w:p>
    <w:p w14:paraId="28DA875F">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各方经协商，就响应</w:t>
      </w:r>
      <w:r>
        <w:rPr>
          <w:rFonts w:hint="eastAsia" w:ascii="仿宋" w:hAnsi="仿宋" w:eastAsia="仿宋" w:cs="仿宋_GB2312"/>
          <w:color w:val="auto"/>
          <w:kern w:val="0"/>
          <w:sz w:val="24"/>
          <w:highlight w:val="none"/>
          <w:u w:val="single"/>
          <w:lang w:val="zh-CN"/>
        </w:rPr>
        <w:t>（采购单位或采购代理机构名称）</w:t>
      </w:r>
      <w:r>
        <w:rPr>
          <w:rFonts w:hint="eastAsia" w:ascii="仿宋" w:hAnsi="仿宋" w:eastAsia="仿宋" w:cs="仿宋_GB2312"/>
          <w:color w:val="auto"/>
          <w:kern w:val="0"/>
          <w:sz w:val="24"/>
          <w:highlight w:val="none"/>
          <w:lang w:val="zh-CN"/>
        </w:rPr>
        <w:t>组织实施的</w:t>
      </w:r>
      <w:r>
        <w:rPr>
          <w:rFonts w:hint="eastAsia" w:ascii="仿宋" w:hAnsi="仿宋" w:eastAsia="仿宋" w:cs="仿宋_GB2312"/>
          <w:color w:val="auto"/>
          <w:kern w:val="0"/>
          <w:sz w:val="24"/>
          <w:highlight w:val="none"/>
          <w:u w:val="single"/>
          <w:lang w:val="zh-CN"/>
        </w:rPr>
        <w:t xml:space="preserve"> （招标项目名称及编号）</w:t>
      </w:r>
      <w:r>
        <w:rPr>
          <w:rFonts w:hint="eastAsia" w:ascii="仿宋" w:hAnsi="仿宋" w:eastAsia="仿宋" w:cs="仿宋_GB2312"/>
          <w:color w:val="auto"/>
          <w:kern w:val="0"/>
          <w:sz w:val="24"/>
          <w:highlight w:val="none"/>
          <w:lang w:val="zh-CN"/>
        </w:rPr>
        <w:t>的招标活动联合进行投标之事宜，达成如下协议：</w:t>
      </w:r>
    </w:p>
    <w:p w14:paraId="245FBEC5">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一、各方一致决定组成一个联合体，以一个供应商的身份共同参加本项目政府采购。</w:t>
      </w:r>
    </w:p>
    <w:p w14:paraId="2311E161">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二、以</w:t>
      </w:r>
      <w:r>
        <w:rPr>
          <w:rFonts w:hint="eastAsia" w:ascii="仿宋" w:hAnsi="仿宋" w:eastAsia="仿宋" w:cs="仿宋_GB2312"/>
          <w:color w:val="auto"/>
          <w:kern w:val="0"/>
          <w:sz w:val="24"/>
          <w:highlight w:val="none"/>
          <w:u w:val="single"/>
          <w:lang w:val="zh-CN"/>
        </w:rPr>
        <w:t xml:space="preserve">   （联合体牵头人名称）   </w:t>
      </w:r>
      <w:r>
        <w:rPr>
          <w:rFonts w:hint="eastAsia" w:ascii="仿宋" w:hAnsi="仿宋" w:eastAsia="仿宋" w:cs="仿宋_GB2312"/>
          <w:color w:val="auto"/>
          <w:kern w:val="0"/>
          <w:sz w:val="24"/>
          <w:highlight w:val="none"/>
          <w:lang w:val="zh-CN"/>
        </w:rPr>
        <w:t>为联合体牵头人，负责包括但不仅限于投标、配合处理质疑投诉等一切和采购活动相关的事宜。</w:t>
      </w:r>
    </w:p>
    <w:p w14:paraId="4A377390">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三、联合体各方对投标响应文件及开标过程中的各种书面承诺、澄清等均予以认可，对联合投标各方均产生约束力。</w:t>
      </w:r>
    </w:p>
    <w:p w14:paraId="42861C32">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四、如果中标，联合投标各方共同与采购人签订采购合同，共同履行对采购人所负有的全部义务并就采购合同约定的事项对采购人承担连带责任。</w:t>
      </w:r>
    </w:p>
    <w:p w14:paraId="35EBFAFB">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五、联合体各方不再单独参加或与其他供应商另外组成联合体参加同一标项（项目）的政府采购活动，否则均被视为无效投标。</w:t>
      </w:r>
    </w:p>
    <w:p w14:paraId="5622CBFD">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六、如果中标，联合体各方在项目实施过程中承担的工作和义务为：</w:t>
      </w:r>
    </w:p>
    <w:p w14:paraId="46E0A079">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            乙方：…</w:t>
      </w:r>
    </w:p>
    <w:p w14:paraId="6C5DFE8F">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138DC16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仿宋_GB2312"/>
          <w:color w:val="auto"/>
          <w:kern w:val="0"/>
          <w:sz w:val="24"/>
          <w:highlight w:val="none"/>
          <w:lang w:val="zh-CN"/>
        </w:rPr>
        <w:t>七、</w:t>
      </w:r>
      <w:r>
        <w:rPr>
          <w:rFonts w:hint="eastAsia" w:ascii="仿宋" w:hAnsi="仿宋" w:eastAsia="仿宋" w:cs="宋体"/>
          <w:color w:val="auto"/>
          <w:kern w:val="0"/>
          <w:sz w:val="24"/>
          <w:highlight w:val="none"/>
          <w:lang w:val="zh-CN"/>
        </w:rPr>
        <w:t>联合体成员中小企业合同份额。</w:t>
      </w:r>
    </w:p>
    <w:p w14:paraId="422DF306">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X,</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提供的服务由小微企业承接，其合同份额占到合同总金额___%以上；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480D550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2、中小企业合同金额达到___%，其中小微企业合同金额达到___%</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p>
    <w:p w14:paraId="604EBBD3">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八、本协议签约各方各持一份，并作为投标文件的一部分。</w:t>
      </w:r>
    </w:p>
    <w:p w14:paraId="74F277E8">
      <w:pPr>
        <w:snapToGrid w:val="0"/>
        <w:spacing w:line="360" w:lineRule="auto"/>
        <w:ind w:firstLine="576"/>
        <w:rPr>
          <w:rFonts w:ascii="仿宋" w:hAnsi="仿宋" w:eastAsia="仿宋" w:cs="仿宋_GB2312"/>
          <w:color w:val="auto"/>
          <w:kern w:val="0"/>
          <w:sz w:val="24"/>
          <w:highlight w:val="none"/>
          <w:lang w:val="zh-CN"/>
        </w:rPr>
      </w:pPr>
    </w:p>
    <w:p w14:paraId="5C69F3E9">
      <w:pPr>
        <w:snapToGrid w:val="0"/>
        <w:spacing w:line="360" w:lineRule="auto"/>
        <w:ind w:firstLine="576"/>
        <w:rPr>
          <w:rFonts w:ascii="仿宋" w:hAnsi="仿宋" w:eastAsia="仿宋" w:cs="仿宋_GB2312"/>
          <w:color w:val="auto"/>
          <w:kern w:val="0"/>
          <w:sz w:val="24"/>
          <w:highlight w:val="none"/>
          <w:lang w:val="zh-CN"/>
        </w:rPr>
      </w:pPr>
    </w:p>
    <w:tbl>
      <w:tblPr>
        <w:tblStyle w:val="17"/>
        <w:tblW w:w="8528" w:type="dxa"/>
        <w:jc w:val="center"/>
        <w:tblLayout w:type="fixed"/>
        <w:tblCellMar>
          <w:top w:w="0" w:type="dxa"/>
          <w:left w:w="108" w:type="dxa"/>
          <w:bottom w:w="0" w:type="dxa"/>
          <w:right w:w="108" w:type="dxa"/>
        </w:tblCellMar>
      </w:tblPr>
      <w:tblGrid>
        <w:gridCol w:w="4264"/>
        <w:gridCol w:w="4264"/>
      </w:tblGrid>
      <w:tr w14:paraId="58DF1996">
        <w:tblPrEx>
          <w:tblCellMar>
            <w:top w:w="0" w:type="dxa"/>
            <w:left w:w="108" w:type="dxa"/>
            <w:bottom w:w="0" w:type="dxa"/>
            <w:right w:w="108" w:type="dxa"/>
          </w:tblCellMar>
        </w:tblPrEx>
        <w:trPr>
          <w:jc w:val="center"/>
        </w:trPr>
        <w:tc>
          <w:tcPr>
            <w:tcW w:w="4264" w:type="dxa"/>
          </w:tcPr>
          <w:p w14:paraId="6E3663C7">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甲方单位：       （公章）</w:t>
            </w:r>
          </w:p>
          <w:p w14:paraId="175604AE">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     （签章）</w:t>
            </w:r>
          </w:p>
          <w:p w14:paraId="52B14674">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乙方单位：       （公章）</w:t>
            </w:r>
          </w:p>
          <w:p w14:paraId="28FFA26B">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     （签章）</w:t>
            </w:r>
          </w:p>
          <w:p w14:paraId="0D03DE6B">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29A9EE4A">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  期：  年  月   日</w:t>
            </w:r>
          </w:p>
        </w:tc>
        <w:tc>
          <w:tcPr>
            <w:tcW w:w="4264" w:type="dxa"/>
          </w:tcPr>
          <w:p w14:paraId="7A7130C0">
            <w:pPr>
              <w:snapToGrid w:val="0"/>
              <w:spacing w:line="360" w:lineRule="auto"/>
              <w:ind w:firstLine="576"/>
              <w:rPr>
                <w:rFonts w:ascii="仿宋" w:hAnsi="仿宋" w:eastAsia="仿宋" w:cs="仿宋_GB2312"/>
                <w:color w:val="auto"/>
                <w:kern w:val="0"/>
                <w:sz w:val="24"/>
                <w:highlight w:val="none"/>
                <w:lang w:val="zh-CN"/>
              </w:rPr>
            </w:pPr>
          </w:p>
        </w:tc>
      </w:tr>
    </w:tbl>
    <w:p w14:paraId="2DD49A72">
      <w:pPr>
        <w:tabs>
          <w:tab w:val="left" w:pos="1193"/>
        </w:tabs>
        <w:spacing w:line="360" w:lineRule="auto"/>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tab/>
      </w:r>
    </w:p>
    <w:p w14:paraId="5AD09DA0">
      <w:pPr>
        <w:rPr>
          <w:rFonts w:ascii="仿宋" w:hAnsi="仿宋" w:eastAsia="仿宋" w:cs="仿宋_GB2312"/>
          <w:b/>
          <w:color w:val="auto"/>
          <w:sz w:val="32"/>
          <w:szCs w:val="32"/>
          <w:highlight w:val="none"/>
        </w:rPr>
      </w:pPr>
    </w:p>
    <w:p w14:paraId="1498F956">
      <w:pPr>
        <w:rPr>
          <w:rFonts w:ascii="仿宋" w:hAnsi="仿宋" w:eastAsia="仿宋" w:cs="仿宋_GB2312"/>
          <w:b/>
          <w:color w:val="auto"/>
          <w:sz w:val="32"/>
          <w:szCs w:val="32"/>
          <w:highlight w:val="none"/>
        </w:rPr>
      </w:pPr>
    </w:p>
    <w:p w14:paraId="70DC1A25">
      <w:pPr>
        <w:rPr>
          <w:rFonts w:ascii="仿宋" w:hAnsi="仿宋" w:eastAsia="仿宋" w:cs="仿宋_GB2312"/>
          <w:b/>
          <w:color w:val="auto"/>
          <w:sz w:val="32"/>
          <w:szCs w:val="32"/>
          <w:highlight w:val="none"/>
        </w:rPr>
      </w:pPr>
    </w:p>
    <w:p w14:paraId="238F385B">
      <w:pPr>
        <w:rPr>
          <w:rFonts w:ascii="仿宋" w:hAnsi="仿宋" w:eastAsia="仿宋" w:cs="仿宋_GB2312"/>
          <w:b/>
          <w:color w:val="auto"/>
          <w:sz w:val="32"/>
          <w:szCs w:val="32"/>
          <w:highlight w:val="none"/>
        </w:rPr>
      </w:pPr>
    </w:p>
    <w:p w14:paraId="7DD628AE">
      <w:pPr>
        <w:rPr>
          <w:rFonts w:ascii="仿宋" w:hAnsi="仿宋" w:eastAsia="仿宋" w:cs="仿宋_GB2312"/>
          <w:b/>
          <w:color w:val="auto"/>
          <w:sz w:val="32"/>
          <w:szCs w:val="32"/>
          <w:highlight w:val="none"/>
        </w:rPr>
      </w:pPr>
    </w:p>
    <w:p w14:paraId="3000B1C9">
      <w:pPr>
        <w:rPr>
          <w:rFonts w:ascii="仿宋" w:hAnsi="仿宋" w:eastAsia="仿宋" w:cs="仿宋_GB2312"/>
          <w:b/>
          <w:color w:val="auto"/>
          <w:sz w:val="32"/>
          <w:szCs w:val="32"/>
          <w:highlight w:val="none"/>
        </w:rPr>
      </w:pPr>
    </w:p>
    <w:p w14:paraId="6DB3207F">
      <w:pPr>
        <w:rPr>
          <w:rFonts w:ascii="仿宋" w:hAnsi="仿宋" w:eastAsia="仿宋" w:cs="仿宋_GB2312"/>
          <w:b/>
          <w:color w:val="auto"/>
          <w:sz w:val="32"/>
          <w:szCs w:val="32"/>
          <w:highlight w:val="none"/>
        </w:rPr>
      </w:pPr>
    </w:p>
    <w:p w14:paraId="409BB5C3">
      <w:pPr>
        <w:rPr>
          <w:rFonts w:ascii="仿宋" w:hAnsi="仿宋" w:eastAsia="仿宋" w:cs="仿宋_GB2312"/>
          <w:b/>
          <w:color w:val="auto"/>
          <w:sz w:val="32"/>
          <w:szCs w:val="32"/>
          <w:highlight w:val="none"/>
        </w:rPr>
      </w:pPr>
    </w:p>
    <w:p w14:paraId="1F75486A">
      <w:pPr>
        <w:rPr>
          <w:rFonts w:ascii="仿宋" w:hAnsi="仿宋" w:eastAsia="仿宋" w:cs="仿宋_GB2312"/>
          <w:b/>
          <w:color w:val="auto"/>
          <w:sz w:val="32"/>
          <w:szCs w:val="32"/>
          <w:highlight w:val="none"/>
        </w:rPr>
      </w:pPr>
    </w:p>
    <w:p w14:paraId="6BB6AF75">
      <w:pPr>
        <w:jc w:val="left"/>
        <w:rPr>
          <w:rFonts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四、法定代表人授权委托书</w:t>
      </w:r>
    </w:p>
    <w:p w14:paraId="02ECBF1C">
      <w:pP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03C44466">
      <w:pPr>
        <w:snapToGrid w:val="0"/>
        <w:spacing w:line="360" w:lineRule="auto"/>
        <w:ind w:firstLine="576"/>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3F1A6C64">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6E1D16FF">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14:paraId="4C1239B6">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4C45E2C9">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0552C527">
      <w:pPr>
        <w:tabs>
          <w:tab w:val="left" w:pos="6603"/>
        </w:tabs>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619B6AA7">
      <w:pPr>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632163AE">
      <w:pPr>
        <w:spacing w:line="360" w:lineRule="auto"/>
        <w:jc w:val="center"/>
        <w:rPr>
          <w:rFonts w:ascii="仿宋" w:hAnsi="仿宋" w:eastAsia="仿宋" w:cs="仿宋_GB2312"/>
          <w:b/>
          <w:color w:val="auto"/>
          <w:sz w:val="32"/>
          <w:szCs w:val="32"/>
          <w:highlight w:val="none"/>
        </w:rPr>
      </w:pPr>
    </w:p>
    <w:p w14:paraId="71E648E9">
      <w:pPr>
        <w:spacing w:line="360" w:lineRule="auto"/>
        <w:jc w:val="center"/>
        <w:rPr>
          <w:rFonts w:ascii="仿宋" w:hAnsi="仿宋" w:eastAsia="仿宋" w:cs="仿宋_GB2312"/>
          <w:b/>
          <w:color w:val="auto"/>
          <w:sz w:val="32"/>
          <w:szCs w:val="32"/>
          <w:highlight w:val="none"/>
        </w:rPr>
      </w:pPr>
    </w:p>
    <w:p w14:paraId="11B121AC">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五、法定代表人及其授权代表的身份证（复印件）</w:t>
      </w:r>
    </w:p>
    <w:p w14:paraId="45EC49C7">
      <w:pPr>
        <w:widowControl/>
        <w:spacing w:line="360" w:lineRule="auto"/>
        <w:jc w:val="left"/>
        <w:rPr>
          <w:rFonts w:ascii="仿宋" w:hAnsi="仿宋" w:eastAsia="仿宋" w:cs="仿宋_GB2312"/>
          <w:color w:val="auto"/>
          <w:sz w:val="24"/>
          <w:highlight w:val="none"/>
        </w:rPr>
      </w:pPr>
    </w:p>
    <w:p w14:paraId="03CA460C">
      <w:pPr>
        <w:snapToGrid w:val="0"/>
        <w:spacing w:before="240"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strike/>
          <w:color w:val="auto"/>
          <w:sz w:val="24"/>
          <w:highlight w:val="none"/>
        </w:rPr>
        <w:br w:type="textWrapping"/>
      </w:r>
    </w:p>
    <w:p w14:paraId="3ED08CAA">
      <w:pPr>
        <w:spacing w:line="360" w:lineRule="auto"/>
        <w:jc w:val="center"/>
        <w:rPr>
          <w:rFonts w:ascii="仿宋" w:hAnsi="仿宋" w:eastAsia="仿宋" w:cs="仿宋_GB2312"/>
          <w:strike/>
          <w:color w:val="auto"/>
          <w:sz w:val="24"/>
          <w:highlight w:val="none"/>
        </w:rPr>
      </w:pPr>
    </w:p>
    <w:p w14:paraId="536A78A8">
      <w:pPr>
        <w:spacing w:line="360" w:lineRule="auto"/>
        <w:jc w:val="center"/>
        <w:rPr>
          <w:rFonts w:ascii="仿宋" w:hAnsi="仿宋" w:eastAsia="仿宋" w:cs="仿宋_GB2312"/>
          <w:strike/>
          <w:color w:val="auto"/>
          <w:sz w:val="24"/>
          <w:highlight w:val="none"/>
        </w:rPr>
      </w:pPr>
    </w:p>
    <w:p w14:paraId="66CBFFF3">
      <w:pPr>
        <w:spacing w:line="360" w:lineRule="auto"/>
        <w:jc w:val="center"/>
        <w:rPr>
          <w:rFonts w:ascii="仿宋" w:hAnsi="仿宋" w:eastAsia="仿宋" w:cs="仿宋_GB2312"/>
          <w:strike/>
          <w:color w:val="auto"/>
          <w:sz w:val="24"/>
          <w:highlight w:val="none"/>
        </w:rPr>
      </w:pPr>
    </w:p>
    <w:p w14:paraId="6076746F">
      <w:pPr>
        <w:spacing w:line="360" w:lineRule="auto"/>
        <w:jc w:val="center"/>
        <w:rPr>
          <w:rFonts w:ascii="仿宋" w:hAnsi="仿宋" w:eastAsia="仿宋" w:cs="仿宋_GB2312"/>
          <w:strike/>
          <w:color w:val="auto"/>
          <w:sz w:val="24"/>
          <w:highlight w:val="none"/>
        </w:rPr>
      </w:pPr>
    </w:p>
    <w:p w14:paraId="2DC12C0E">
      <w:pPr>
        <w:spacing w:line="360" w:lineRule="auto"/>
        <w:jc w:val="center"/>
        <w:rPr>
          <w:rFonts w:ascii="仿宋" w:hAnsi="仿宋" w:eastAsia="仿宋" w:cs="仿宋_GB2312"/>
          <w:strike/>
          <w:color w:val="auto"/>
          <w:sz w:val="24"/>
          <w:highlight w:val="none"/>
        </w:rPr>
      </w:pPr>
    </w:p>
    <w:p w14:paraId="154205A7">
      <w:pPr>
        <w:spacing w:line="360" w:lineRule="auto"/>
        <w:jc w:val="center"/>
        <w:rPr>
          <w:rFonts w:ascii="仿宋" w:hAnsi="仿宋" w:eastAsia="仿宋" w:cs="仿宋_GB2312"/>
          <w:strike/>
          <w:color w:val="auto"/>
          <w:sz w:val="24"/>
          <w:highlight w:val="none"/>
        </w:rPr>
      </w:pPr>
    </w:p>
    <w:p w14:paraId="4EFB8F25">
      <w:pPr>
        <w:spacing w:line="360" w:lineRule="auto"/>
        <w:jc w:val="center"/>
        <w:rPr>
          <w:rFonts w:ascii="仿宋" w:hAnsi="仿宋" w:eastAsia="仿宋" w:cs="仿宋_GB2312"/>
          <w:strike/>
          <w:color w:val="auto"/>
          <w:sz w:val="24"/>
          <w:highlight w:val="none"/>
        </w:rPr>
      </w:pPr>
    </w:p>
    <w:p w14:paraId="4637AAC5">
      <w:pPr>
        <w:spacing w:line="360" w:lineRule="auto"/>
        <w:jc w:val="center"/>
        <w:rPr>
          <w:rFonts w:ascii="仿宋" w:hAnsi="仿宋" w:eastAsia="仿宋" w:cs="仿宋_GB2312"/>
          <w:strike/>
          <w:color w:val="auto"/>
          <w:sz w:val="24"/>
          <w:highlight w:val="none"/>
        </w:rPr>
      </w:pPr>
    </w:p>
    <w:p w14:paraId="272BCA36">
      <w:pPr>
        <w:pStyle w:val="40"/>
        <w:keepNext w:val="0"/>
        <w:pageBreakBefore w:val="0"/>
        <w:tabs>
          <w:tab w:val="clear" w:pos="720"/>
        </w:tabs>
        <w:snapToGrid w:val="0"/>
        <w:spacing w:before="2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六、中小企业声明函</w:t>
      </w:r>
    </w:p>
    <w:p w14:paraId="243911C3">
      <w:pPr>
        <w:pStyle w:val="8"/>
        <w:snapToGrid w:val="0"/>
        <w:spacing w:line="440" w:lineRule="exact"/>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（服务类样本）</w:t>
      </w:r>
    </w:p>
    <w:p w14:paraId="5A6D8C32">
      <w:pPr>
        <w:spacing w:line="440" w:lineRule="exact"/>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5A323C">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，从业人员人，营业收入为万元，资产总额为万元，属于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6DD70C81">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 xml:space="preserve">，属于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，从业人员人，营业收入为万元，资产总额为万元，属于 </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14:paraId="44715B2A">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72701E48">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6E2BD6C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0695BD53">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3E43BAC5">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14:paraId="1F4E921C">
      <w:pPr>
        <w:spacing w:line="360" w:lineRule="auto"/>
        <w:ind w:firstLine="354"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从业人员、营业收入、资产总额填报上一年度数据，无上一年度数据的新成立企业可不填报。</w:t>
      </w:r>
    </w:p>
    <w:p w14:paraId="77499847">
      <w:pPr>
        <w:spacing w:line="360" w:lineRule="auto"/>
        <w:ind w:right="420" w:firstLine="482" w:firstLineChars="200"/>
        <w:rPr>
          <w:rFonts w:ascii="仿宋" w:hAnsi="仿宋" w:eastAsia="仿宋" w:cs="宋体"/>
          <w:b/>
          <w:bCs/>
          <w:color w:val="auto"/>
          <w:sz w:val="24"/>
          <w:highlight w:val="none"/>
        </w:rPr>
      </w:pPr>
      <w:r>
        <w:rPr>
          <w:rFonts w:hint="eastAsia" w:ascii="仿宋" w:hAns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0960CC7E">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7A349A52">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65516927">
      <w:pPr>
        <w:snapToGrid w:val="0"/>
        <w:spacing w:line="360" w:lineRule="auto"/>
        <w:rPr>
          <w:rFonts w:ascii="宋体" w:hAnsi="宋体" w:cs="宋体"/>
          <w:b/>
          <w:color w:val="auto"/>
          <w:kern w:val="0"/>
          <w:sz w:val="32"/>
          <w:szCs w:val="32"/>
          <w:highlight w:val="none"/>
        </w:rPr>
      </w:pPr>
    </w:p>
    <w:p w14:paraId="7B053561">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（联合体投标成员单位均需提供）</w:t>
      </w:r>
    </w:p>
    <w:p w14:paraId="391AF5F7">
      <w:pPr>
        <w:pStyle w:val="40"/>
        <w:keepNext w:val="0"/>
        <w:pageBreakBefore w:val="0"/>
        <w:tabs>
          <w:tab w:val="clear" w:pos="720"/>
        </w:tabs>
        <w:snapToGrid w:val="0"/>
        <w:spacing w:before="240"/>
        <w:outlineLvl w:val="9"/>
        <w:rPr>
          <w:rFonts w:ascii="仿宋" w:hAnsi="仿宋" w:eastAsia="仿宋"/>
          <w:b w:val="0"/>
          <w:color w:val="auto"/>
          <w:spacing w:val="6"/>
          <w:sz w:val="32"/>
          <w:szCs w:val="32"/>
          <w:highlight w:val="none"/>
        </w:rPr>
      </w:pPr>
      <w:r>
        <w:rPr>
          <w:rFonts w:hint="eastAsia" w:ascii="仿宋" w:hAnsi="仿宋" w:eastAsia="仿宋" w:cs="仿宋_GB2312"/>
          <w:b w:val="0"/>
          <w:color w:val="auto"/>
          <w:sz w:val="32"/>
          <w:szCs w:val="32"/>
          <w:highlight w:val="none"/>
        </w:rPr>
        <w:br w:type="textWrapping"/>
      </w:r>
    </w:p>
    <w:p w14:paraId="43388AF1">
      <w:pPr>
        <w:widowControl/>
        <w:adjustRightInd/>
        <w:jc w:val="left"/>
        <w:rPr>
          <w:rFonts w:ascii="仿宋" w:hAnsi="仿宋" w:eastAsia="仿宋"/>
          <w:color w:val="auto"/>
          <w:spacing w:val="6"/>
          <w:kern w:val="44"/>
          <w:sz w:val="32"/>
          <w:szCs w:val="32"/>
          <w:highlight w:val="none"/>
        </w:rPr>
      </w:pPr>
      <w:r>
        <w:rPr>
          <w:rFonts w:ascii="仿宋" w:hAnsi="仿宋" w:eastAsia="仿宋"/>
          <w:b/>
          <w:color w:val="auto"/>
          <w:spacing w:val="6"/>
          <w:sz w:val="32"/>
          <w:szCs w:val="32"/>
          <w:highlight w:val="none"/>
        </w:rPr>
        <w:br w:type="page"/>
      </w:r>
    </w:p>
    <w:p w14:paraId="01136A91">
      <w:pPr>
        <w:pStyle w:val="40"/>
        <w:keepNext w:val="0"/>
        <w:pageBreakBefore w:val="0"/>
        <w:tabs>
          <w:tab w:val="clear" w:pos="720"/>
        </w:tabs>
        <w:snapToGrid w:val="0"/>
        <w:spacing w:before="240"/>
        <w:outlineLvl w:val="9"/>
        <w:rPr>
          <w:rFonts w:ascii="仿宋" w:hAnsi="仿宋" w:eastAsia="仿宋"/>
          <w:b w:val="0"/>
          <w:color w:val="auto"/>
          <w:spacing w:val="6"/>
          <w:sz w:val="32"/>
          <w:szCs w:val="32"/>
          <w:highlight w:val="none"/>
        </w:rPr>
      </w:pPr>
      <w:r>
        <w:rPr>
          <w:rFonts w:hint="eastAsia" w:ascii="仿宋" w:hAnsi="仿宋" w:eastAsia="仿宋"/>
          <w:b w:val="0"/>
          <w:color w:val="auto"/>
          <w:spacing w:val="6"/>
          <w:sz w:val="32"/>
          <w:szCs w:val="32"/>
          <w:highlight w:val="none"/>
        </w:rPr>
        <w:t>七、残疾人福利性单位声明函（如有）</w:t>
      </w:r>
    </w:p>
    <w:p w14:paraId="35ABFD0F">
      <w:pPr>
        <w:spacing w:line="360" w:lineRule="auto"/>
        <w:rPr>
          <w:rFonts w:ascii="仿宋" w:hAnsi="仿宋" w:eastAsia="仿宋"/>
          <w:b/>
          <w:color w:val="auto"/>
          <w:spacing w:val="6"/>
          <w:sz w:val="30"/>
          <w:szCs w:val="30"/>
          <w:highlight w:val="none"/>
        </w:rPr>
      </w:pPr>
    </w:p>
    <w:p w14:paraId="6BA1BAC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E9BC4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208E4CA7">
      <w:pPr>
        <w:spacing w:line="360" w:lineRule="auto"/>
        <w:ind w:firstLine="480" w:firstLineChars="200"/>
        <w:rPr>
          <w:rFonts w:ascii="仿宋" w:hAnsi="仿宋" w:eastAsia="仿宋" w:cs="仿宋_GB2312"/>
          <w:color w:val="auto"/>
          <w:sz w:val="24"/>
          <w:highlight w:val="none"/>
        </w:rPr>
      </w:pPr>
    </w:p>
    <w:p w14:paraId="0D81550F">
      <w:pPr>
        <w:spacing w:line="360" w:lineRule="auto"/>
        <w:ind w:firstLine="480" w:firstLineChars="200"/>
        <w:rPr>
          <w:rFonts w:ascii="仿宋" w:hAnsi="仿宋" w:eastAsia="仿宋" w:cs="仿宋_GB2312"/>
          <w:color w:val="auto"/>
          <w:sz w:val="24"/>
          <w:highlight w:val="none"/>
        </w:rPr>
      </w:pPr>
    </w:p>
    <w:p w14:paraId="0EED6F98">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14:paraId="694CFBCB">
      <w:pPr>
        <w:pStyle w:val="40"/>
        <w:keepNext w:val="0"/>
        <w:pageBreakBefore w:val="0"/>
        <w:tabs>
          <w:tab w:val="clear" w:pos="720"/>
        </w:tabs>
        <w:snapToGrid w:val="0"/>
        <w:jc w:val="both"/>
        <w:outlineLvl w:val="9"/>
        <w:rPr>
          <w:rFonts w:ascii="仿宋" w:hAnsi="仿宋" w:eastAsia="仿宋" w:cs="仿宋_GB2312"/>
          <w:color w:val="auto"/>
          <w:sz w:val="24"/>
          <w:highlight w:val="none"/>
        </w:rPr>
      </w:pPr>
    </w:p>
    <w:p w14:paraId="7551777D">
      <w:pPr>
        <w:snapToGrid w:val="0"/>
        <w:spacing w:line="360" w:lineRule="auto"/>
        <w:rPr>
          <w:rFonts w:ascii="宋体" w:hAnsi="宋体" w:cs="宋体"/>
          <w:b/>
          <w:color w:val="auto"/>
          <w:kern w:val="0"/>
          <w:sz w:val="32"/>
          <w:szCs w:val="32"/>
          <w:highlight w:val="none"/>
        </w:rPr>
      </w:pPr>
    </w:p>
    <w:p w14:paraId="269F9847">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（联合体投标成员单位均需提供）</w:t>
      </w:r>
    </w:p>
    <w:p w14:paraId="6182E8D5">
      <w:pPr>
        <w:spacing w:line="360" w:lineRule="auto"/>
        <w:jc w:val="center"/>
        <w:outlineLvl w:val="1"/>
        <w:rPr>
          <w:rFonts w:ascii="仿宋" w:hAnsi="仿宋" w:eastAsia="仿宋" w:cs="仿宋_GB2312"/>
          <w:color w:val="auto"/>
          <w:sz w:val="24"/>
          <w:highlight w:val="none"/>
        </w:rPr>
      </w:pPr>
    </w:p>
    <w:p w14:paraId="74DFCFD5">
      <w:pPr>
        <w:rPr>
          <w:rFonts w:ascii="仿宋" w:hAnsi="仿宋" w:eastAsia="仿宋" w:cs="仿宋_GB2312"/>
          <w:color w:val="auto"/>
          <w:sz w:val="24"/>
          <w:highlight w:val="none"/>
        </w:rPr>
      </w:pPr>
    </w:p>
    <w:p w14:paraId="4BC0107C">
      <w:pPr>
        <w:rPr>
          <w:rFonts w:ascii="仿宋" w:hAnsi="仿宋" w:eastAsia="仿宋" w:cs="仿宋_GB2312"/>
          <w:color w:val="auto"/>
          <w:sz w:val="24"/>
          <w:highlight w:val="none"/>
        </w:rPr>
      </w:pPr>
    </w:p>
    <w:p w14:paraId="422D5819">
      <w:pPr>
        <w:rPr>
          <w:rFonts w:ascii="仿宋" w:hAnsi="仿宋" w:eastAsia="仿宋" w:cs="仿宋_GB2312"/>
          <w:color w:val="auto"/>
          <w:sz w:val="24"/>
          <w:highlight w:val="none"/>
        </w:rPr>
      </w:pPr>
    </w:p>
    <w:p w14:paraId="5014DC64">
      <w:pPr>
        <w:rPr>
          <w:rFonts w:ascii="仿宋" w:hAnsi="仿宋" w:eastAsia="仿宋" w:cs="仿宋_GB2312"/>
          <w:color w:val="auto"/>
          <w:sz w:val="24"/>
          <w:highlight w:val="none"/>
        </w:rPr>
      </w:pPr>
    </w:p>
    <w:p w14:paraId="1E6A791A">
      <w:pPr>
        <w:rPr>
          <w:rFonts w:ascii="仿宋" w:hAnsi="仿宋" w:eastAsia="仿宋" w:cs="仿宋_GB2312"/>
          <w:color w:val="auto"/>
          <w:sz w:val="24"/>
          <w:highlight w:val="none"/>
        </w:rPr>
      </w:pPr>
    </w:p>
    <w:p w14:paraId="11B4EB6B">
      <w:pPr>
        <w:rPr>
          <w:rFonts w:ascii="仿宋" w:hAnsi="仿宋" w:eastAsia="仿宋" w:cs="仿宋_GB2312"/>
          <w:color w:val="auto"/>
          <w:sz w:val="24"/>
          <w:highlight w:val="none"/>
        </w:rPr>
      </w:pPr>
    </w:p>
    <w:p w14:paraId="003BF212">
      <w:pPr>
        <w:rPr>
          <w:rFonts w:ascii="仿宋" w:hAnsi="仿宋" w:eastAsia="仿宋" w:cs="仿宋_GB2312"/>
          <w:color w:val="auto"/>
          <w:sz w:val="24"/>
          <w:highlight w:val="none"/>
        </w:rPr>
      </w:pPr>
    </w:p>
    <w:p w14:paraId="6D270EF9">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14:paraId="664067A5">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5EF8D554">
      <w:pPr>
        <w:spacing w:line="360" w:lineRule="auto"/>
        <w:jc w:val="center"/>
        <w:rPr>
          <w:rFonts w:ascii="仿宋" w:hAnsi="仿宋" w:eastAsia="仿宋" w:cs="仿宋_GB2312"/>
          <w:b/>
          <w:color w:val="auto"/>
          <w:kern w:val="0"/>
          <w:sz w:val="24"/>
          <w:highlight w:val="none"/>
        </w:rPr>
      </w:pPr>
    </w:p>
    <w:p w14:paraId="491D2DF0">
      <w:pPr>
        <w:spacing w:line="360" w:lineRule="auto"/>
        <w:jc w:val="center"/>
        <w:outlineLvl w:val="1"/>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1EE0E613">
      <w:pPr>
        <w:spacing w:line="360" w:lineRule="auto"/>
        <w:ind w:firstLine="480" w:firstLineChars="200"/>
        <w:outlineLvl w:val="0"/>
        <w:rPr>
          <w:rFonts w:ascii="仿宋" w:hAnsi="仿宋" w:eastAsia="仿宋" w:cs="仿宋_GB2312"/>
          <w:b/>
          <w:color w:val="auto"/>
          <w:kern w:val="0"/>
          <w:sz w:val="24"/>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1AACB49E">
      <w:pPr>
        <w:spacing w:line="360" w:lineRule="auto"/>
        <w:ind w:firstLine="480" w:firstLineChars="2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zh-CN"/>
        </w:rPr>
        <w:t>评分对应表………………………………………………………</w:t>
      </w:r>
      <w:r>
        <w:rPr>
          <w:rFonts w:hint="eastAsia" w:ascii="仿宋" w:hAnsi="仿宋" w:eastAsia="仿宋" w:cs="仿宋_GB2312"/>
          <w:color w:val="auto"/>
          <w:sz w:val="24"/>
          <w:highlight w:val="none"/>
        </w:rPr>
        <w:t>（页码）</w:t>
      </w:r>
    </w:p>
    <w:p w14:paraId="70089044">
      <w:pPr>
        <w:spacing w:line="360" w:lineRule="auto"/>
        <w:ind w:firstLine="480" w:firstLineChars="2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s="仿宋_GB2312"/>
          <w:color w:val="auto"/>
          <w:sz w:val="24"/>
          <w:highlight w:val="none"/>
          <w:lang w:val="zh-CN"/>
        </w:rPr>
        <w:t>投标产品规格配置清单…………………………………………</w:t>
      </w:r>
      <w:r>
        <w:rPr>
          <w:rFonts w:hint="eastAsia" w:ascii="仿宋" w:hAnsi="仿宋" w:eastAsia="仿宋" w:cs="仿宋_GB2312"/>
          <w:color w:val="auto"/>
          <w:sz w:val="24"/>
          <w:highlight w:val="none"/>
        </w:rPr>
        <w:t>（页码）</w:t>
      </w:r>
    </w:p>
    <w:p w14:paraId="35FC5B71">
      <w:pPr>
        <w:spacing w:line="360" w:lineRule="auto"/>
        <w:ind w:firstLine="480" w:firstLineChars="200"/>
        <w:outlineLvl w:val="0"/>
        <w:rPr>
          <w:rFonts w:ascii="仿宋" w:hAnsi="仿宋" w:eastAsia="仿宋" w:cs="仿宋_GB2312"/>
          <w:color w:val="auto"/>
          <w:sz w:val="24"/>
          <w:highlight w:val="none"/>
        </w:rPr>
      </w:pPr>
      <w:bookmarkStart w:id="430" w:name="OLE_LINK6"/>
      <w:bookmarkStart w:id="431" w:name="OLE_LINK7"/>
      <w:bookmarkStart w:id="432" w:name="OLE_LINK5"/>
      <w:r>
        <w:rPr>
          <w:rFonts w:hint="eastAsia" w:ascii="仿宋" w:hAnsi="仿宋" w:eastAsia="仿宋" w:cs="仿宋_GB2312"/>
          <w:color w:val="auto"/>
          <w:sz w:val="24"/>
          <w:highlight w:val="none"/>
        </w:rPr>
        <w:t>（4）技术响应表</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bookmarkEnd w:id="430"/>
      <w:bookmarkEnd w:id="431"/>
    </w:p>
    <w:bookmarkEnd w:id="432"/>
    <w:p w14:paraId="61054608">
      <w:pPr>
        <w:spacing w:line="360" w:lineRule="auto"/>
        <w:ind w:firstLine="480" w:firstLineChars="2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（5）商务响应表</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0001AF9">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sz w:val="24"/>
          <w:highlight w:val="none"/>
          <w:lang w:val="zh-CN"/>
        </w:rPr>
        <w:t>…</w:t>
      </w:r>
      <w:r>
        <w:rPr>
          <w:rFonts w:hint="eastAsia" w:ascii="仿宋" w:hAnsi="仿宋" w:eastAsia="仿宋" w:cs="仿宋_GB2312"/>
          <w:color w:val="auto"/>
          <w:kern w:val="0"/>
          <w:sz w:val="24"/>
          <w:highlight w:val="none"/>
        </w:rPr>
        <w:t>（页码）</w:t>
      </w:r>
    </w:p>
    <w:p w14:paraId="3E32F463">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（7）项目负责人情况表………………………………………………（页码）</w:t>
      </w:r>
    </w:p>
    <w:p w14:paraId="71D64E44">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（8）项目组人员名单…………………………………………………（页码）</w:t>
      </w:r>
    </w:p>
    <w:p w14:paraId="1F93A944">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（9）售后服务方案（如有）…………………………………………（页码）</w:t>
      </w:r>
    </w:p>
    <w:p w14:paraId="7E2F547C">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（10）</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6432B5A5">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（11）</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14:paraId="75B7206A">
      <w:pPr>
        <w:spacing w:line="360" w:lineRule="auto"/>
        <w:ind w:firstLine="602" w:firstLineChars="25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14:paraId="2838B52C">
      <w:pPr>
        <w:snapToGrid w:val="0"/>
        <w:spacing w:line="360" w:lineRule="auto"/>
        <w:jc w:val="center"/>
        <w:rPr>
          <w:rFonts w:ascii="仿宋" w:hAnsi="仿宋" w:eastAsia="仿宋" w:cs="仿宋_GB2312"/>
          <w:b/>
          <w:color w:val="auto"/>
          <w:kern w:val="0"/>
          <w:sz w:val="32"/>
          <w:szCs w:val="32"/>
          <w:highlight w:val="none"/>
          <w:lang w:val="zh-CN"/>
        </w:rPr>
      </w:pPr>
    </w:p>
    <w:p w14:paraId="4EE45DFF">
      <w:pPr>
        <w:snapToGrid w:val="0"/>
        <w:spacing w:line="360" w:lineRule="auto"/>
        <w:jc w:val="center"/>
        <w:rPr>
          <w:rFonts w:ascii="仿宋" w:hAnsi="仿宋" w:eastAsia="仿宋" w:cs="仿宋_GB2312"/>
          <w:b/>
          <w:color w:val="auto"/>
          <w:kern w:val="0"/>
          <w:sz w:val="32"/>
          <w:szCs w:val="32"/>
          <w:highlight w:val="none"/>
          <w:lang w:val="zh-CN"/>
        </w:rPr>
      </w:pPr>
    </w:p>
    <w:p w14:paraId="185A827E">
      <w:pPr>
        <w:snapToGrid w:val="0"/>
        <w:spacing w:line="360" w:lineRule="auto"/>
        <w:jc w:val="center"/>
        <w:rPr>
          <w:rFonts w:ascii="仿宋" w:hAnsi="仿宋" w:eastAsia="仿宋" w:cs="仿宋_GB2312"/>
          <w:b/>
          <w:color w:val="auto"/>
          <w:kern w:val="0"/>
          <w:sz w:val="32"/>
          <w:szCs w:val="32"/>
          <w:highlight w:val="none"/>
          <w:lang w:val="zh-CN"/>
        </w:rPr>
      </w:pPr>
    </w:p>
    <w:p w14:paraId="565174A6">
      <w:pPr>
        <w:snapToGrid w:val="0"/>
        <w:spacing w:line="360" w:lineRule="auto"/>
        <w:jc w:val="center"/>
        <w:rPr>
          <w:rFonts w:ascii="仿宋" w:hAnsi="仿宋" w:eastAsia="仿宋" w:cs="仿宋_GB2312"/>
          <w:b/>
          <w:color w:val="auto"/>
          <w:kern w:val="0"/>
          <w:sz w:val="32"/>
          <w:szCs w:val="32"/>
          <w:highlight w:val="none"/>
          <w:lang w:val="zh-CN"/>
        </w:rPr>
      </w:pPr>
    </w:p>
    <w:p w14:paraId="7004365C">
      <w:pPr>
        <w:spacing w:line="360" w:lineRule="auto"/>
        <w:rPr>
          <w:rFonts w:ascii="仿宋" w:hAnsi="仿宋" w:eastAsia="仿宋" w:cs="仿宋_GB2312"/>
          <w:color w:val="auto"/>
          <w:kern w:val="0"/>
          <w:sz w:val="24"/>
          <w:highlight w:val="none"/>
        </w:rPr>
      </w:pPr>
    </w:p>
    <w:p w14:paraId="130E932B">
      <w:pPr>
        <w:spacing w:line="360" w:lineRule="auto"/>
        <w:jc w:val="center"/>
        <w:rPr>
          <w:rFonts w:ascii="仿宋" w:hAnsi="仿宋" w:eastAsia="仿宋" w:cs="仿宋_GB2312"/>
          <w:b/>
          <w:bCs/>
          <w:color w:val="auto"/>
          <w:sz w:val="32"/>
          <w:szCs w:val="32"/>
          <w:highlight w:val="none"/>
        </w:rPr>
      </w:pPr>
    </w:p>
    <w:p w14:paraId="55B6C47E">
      <w:pPr>
        <w:spacing w:line="360" w:lineRule="auto"/>
        <w:jc w:val="center"/>
        <w:rPr>
          <w:rFonts w:ascii="仿宋" w:hAnsi="仿宋" w:eastAsia="仿宋" w:cs="仿宋_GB2312"/>
          <w:b/>
          <w:bCs/>
          <w:color w:val="auto"/>
          <w:sz w:val="32"/>
          <w:szCs w:val="32"/>
          <w:highlight w:val="none"/>
        </w:rPr>
      </w:pPr>
    </w:p>
    <w:p w14:paraId="380C6263">
      <w:pPr>
        <w:spacing w:line="360" w:lineRule="auto"/>
        <w:jc w:val="center"/>
        <w:rPr>
          <w:rFonts w:ascii="仿宋" w:hAnsi="仿宋" w:eastAsia="仿宋" w:cs="仿宋_GB2312"/>
          <w:b/>
          <w:bCs/>
          <w:color w:val="auto"/>
          <w:sz w:val="32"/>
          <w:szCs w:val="32"/>
          <w:highlight w:val="none"/>
        </w:rPr>
      </w:pPr>
    </w:p>
    <w:p w14:paraId="27D76731">
      <w:pPr>
        <w:spacing w:line="360" w:lineRule="auto"/>
        <w:jc w:val="center"/>
        <w:rPr>
          <w:rFonts w:ascii="仿宋" w:hAnsi="仿宋" w:eastAsia="仿宋" w:cs="仿宋_GB2312"/>
          <w:b/>
          <w:bCs/>
          <w:color w:val="auto"/>
          <w:sz w:val="32"/>
          <w:szCs w:val="32"/>
          <w:highlight w:val="none"/>
        </w:rPr>
      </w:pPr>
    </w:p>
    <w:p w14:paraId="5670DD69">
      <w:pPr>
        <w:spacing w:line="360" w:lineRule="auto"/>
        <w:jc w:val="center"/>
        <w:rPr>
          <w:rFonts w:ascii="仿宋" w:hAnsi="仿宋" w:eastAsia="仿宋" w:cs="仿宋_GB2312"/>
          <w:b/>
          <w:bCs/>
          <w:color w:val="auto"/>
          <w:sz w:val="32"/>
          <w:szCs w:val="32"/>
          <w:highlight w:val="none"/>
        </w:rPr>
      </w:pPr>
    </w:p>
    <w:p w14:paraId="127DF53B">
      <w:pPr>
        <w:spacing w:line="360" w:lineRule="auto"/>
        <w:jc w:val="center"/>
        <w:rPr>
          <w:rFonts w:ascii="仿宋" w:hAnsi="仿宋" w:eastAsia="仿宋" w:cs="仿宋_GB2312"/>
          <w:b/>
          <w:bCs/>
          <w:color w:val="auto"/>
          <w:sz w:val="32"/>
          <w:szCs w:val="32"/>
          <w:highlight w:val="none"/>
        </w:rPr>
      </w:pPr>
    </w:p>
    <w:p w14:paraId="41CB0724">
      <w:pPr>
        <w:snapToGrid w:val="0"/>
        <w:spacing w:line="360" w:lineRule="auto"/>
        <w:ind w:firstLine="3855" w:firstLineChars="1200"/>
        <w:outlineLvl w:val="1"/>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4FFCEA7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050EBDD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我方参加你方组织的（项目名称）（项目编号：）招标的有关活动，并对此项目进行投标。为此：</w:t>
      </w:r>
    </w:p>
    <w:p w14:paraId="174BA28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1、我方承诺投标有效期从提交投标文件的截止之日起___天（不少于90天），本投标文件在投标有效期满之前均具有约束力。</w:t>
      </w:r>
    </w:p>
    <w:p w14:paraId="5BB246A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2、我方承诺除技术响应表、商务响应表列出的偏离外，我方响应招标文件的全部要求。</w:t>
      </w:r>
    </w:p>
    <w:p w14:paraId="1A6731E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3、我方提交的所有投标文件、资料都是准确的和真实的。</w:t>
      </w:r>
    </w:p>
    <w:p w14:paraId="69E87AE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4、我方具有履行本项目合同所必需的设备和专业技术能力。如中标，我方将保证合同顺利履行。</w:t>
      </w:r>
    </w:p>
    <w:p w14:paraId="1F458B5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782DB80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6、如我方中标，我方承诺：</w:t>
      </w:r>
    </w:p>
    <w:p w14:paraId="130317A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6.1在收到中标通知书后，在中标通知书规定的期限内与你方签订合同； </w:t>
      </w:r>
    </w:p>
    <w:p w14:paraId="50AF86D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6.2在签订合同时不向你方提出附加条件； </w:t>
      </w:r>
    </w:p>
    <w:p w14:paraId="26D5BB2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6.3按照招标文件要求提交履约保证金； </w:t>
      </w:r>
    </w:p>
    <w:p w14:paraId="218C177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6.4在合同约定的期限内完成合同规定的全部义务。 </w:t>
      </w:r>
    </w:p>
    <w:p w14:paraId="5D6D5E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7、其他补充说明:___________。</w:t>
      </w:r>
    </w:p>
    <w:p w14:paraId="7E165089">
      <w:pPr>
        <w:spacing w:line="360" w:lineRule="auto"/>
        <w:ind w:firstLine="3600" w:firstLineChars="1500"/>
        <w:rPr>
          <w:rFonts w:ascii="仿宋" w:hAnsi="仿宋" w:eastAsia="仿宋" w:cs="宋体"/>
          <w:color w:val="auto"/>
          <w:sz w:val="24"/>
          <w:highlight w:val="none"/>
        </w:rPr>
      </w:pPr>
    </w:p>
    <w:p w14:paraId="098A48E4">
      <w:pPr>
        <w:spacing w:line="360" w:lineRule="auto"/>
        <w:ind w:firstLine="3600" w:firstLineChars="1500"/>
        <w:rPr>
          <w:rFonts w:ascii="仿宋" w:hAnsi="仿宋" w:eastAsia="仿宋" w:cs="宋体"/>
          <w:color w:val="auto"/>
          <w:sz w:val="24"/>
          <w:highlight w:val="none"/>
        </w:rPr>
      </w:pPr>
    </w:p>
    <w:p w14:paraId="27E721F1">
      <w:pPr>
        <w:spacing w:line="360" w:lineRule="auto"/>
        <w:ind w:firstLine="3600" w:firstLineChars="1500"/>
        <w:rPr>
          <w:rFonts w:ascii="仿宋" w:hAnsi="仿宋" w:eastAsia="仿宋" w:cs="宋体"/>
          <w:color w:val="auto"/>
          <w:sz w:val="24"/>
          <w:highlight w:val="none"/>
        </w:rPr>
      </w:pPr>
    </w:p>
    <w:p w14:paraId="18B6A8CC">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6650B65B">
      <w:pPr>
        <w:spacing w:line="360" w:lineRule="auto"/>
        <w:jc w:val="center"/>
        <w:outlineLvl w:val="2"/>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126A0FB">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7B71A373">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0A96268">
      <w:pPr>
        <w:snapToGrid w:val="0"/>
        <w:spacing w:line="360" w:lineRule="auto"/>
        <w:jc w:val="center"/>
        <w:rPr>
          <w:rFonts w:ascii="宋体" w:hAnsi="宋体" w:cs="宋体"/>
          <w:b/>
          <w:color w:val="auto"/>
          <w:kern w:val="0"/>
          <w:sz w:val="32"/>
          <w:szCs w:val="32"/>
          <w:highlight w:val="none"/>
        </w:rPr>
      </w:pPr>
    </w:p>
    <w:p w14:paraId="680C9CD9">
      <w:pPr>
        <w:snapToGrid w:val="0"/>
        <w:spacing w:line="360" w:lineRule="auto"/>
        <w:rPr>
          <w:rFonts w:ascii="宋体" w:hAnsi="宋体" w:cs="宋体"/>
          <w:color w:val="auto"/>
          <w:sz w:val="24"/>
          <w:highlight w:val="none"/>
        </w:rPr>
      </w:pPr>
    </w:p>
    <w:p w14:paraId="60026959">
      <w:pPr>
        <w:spacing w:line="360" w:lineRule="auto"/>
        <w:jc w:val="center"/>
        <w:outlineLvl w:val="1"/>
        <w:rPr>
          <w:rFonts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二、评分对应表</w:t>
      </w:r>
    </w:p>
    <w:p w14:paraId="1B063FA5">
      <w:pPr>
        <w:snapToGrid w:val="0"/>
        <w:rPr>
          <w:rFonts w:ascii="仿宋" w:hAnsi="仿宋" w:eastAsia="仿宋"/>
          <w:b/>
          <w:color w:val="auto"/>
          <w:sz w:val="30"/>
          <w:szCs w:val="30"/>
          <w:highlight w:val="none"/>
          <w:u w:val="singl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6E00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6EE1F393">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0FF99684">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26D81DDE">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14:paraId="0382A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DD7FD18">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14:paraId="405C6E62">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5E6E48E0">
            <w:pPr>
              <w:snapToGrid w:val="0"/>
              <w:spacing w:before="120" w:beforeLines="50"/>
              <w:rPr>
                <w:rFonts w:ascii="仿宋" w:hAnsi="仿宋" w:eastAsia="仿宋"/>
                <w:color w:val="auto"/>
                <w:sz w:val="24"/>
                <w:highlight w:val="none"/>
              </w:rPr>
            </w:pPr>
          </w:p>
        </w:tc>
      </w:tr>
      <w:tr w14:paraId="57F11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13CA1BFE">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tcPr>
          <w:p w14:paraId="04928307">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149F39B2">
            <w:pPr>
              <w:snapToGrid w:val="0"/>
              <w:spacing w:before="120" w:beforeLines="50"/>
              <w:ind w:left="43"/>
              <w:rPr>
                <w:rFonts w:ascii="仿宋" w:hAnsi="仿宋" w:eastAsia="仿宋"/>
                <w:color w:val="auto"/>
                <w:sz w:val="24"/>
                <w:highlight w:val="none"/>
              </w:rPr>
            </w:pPr>
          </w:p>
        </w:tc>
      </w:tr>
      <w:tr w14:paraId="30B39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13F191F">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7204F09D">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3B9A3922">
            <w:pPr>
              <w:snapToGrid w:val="0"/>
              <w:spacing w:before="120" w:beforeLines="50"/>
              <w:ind w:left="43"/>
              <w:rPr>
                <w:rFonts w:ascii="仿宋" w:hAnsi="仿宋" w:eastAsia="仿宋"/>
                <w:color w:val="auto"/>
                <w:sz w:val="24"/>
                <w:highlight w:val="none"/>
              </w:rPr>
            </w:pPr>
          </w:p>
        </w:tc>
      </w:tr>
      <w:tr w14:paraId="6551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66DB735">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53F8717A">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7DE6ACAA">
            <w:pPr>
              <w:snapToGrid w:val="0"/>
              <w:spacing w:before="120" w:beforeLines="50"/>
              <w:ind w:left="43"/>
              <w:rPr>
                <w:rFonts w:ascii="仿宋" w:hAnsi="仿宋" w:eastAsia="仿宋"/>
                <w:color w:val="auto"/>
                <w:sz w:val="24"/>
                <w:highlight w:val="none"/>
              </w:rPr>
            </w:pPr>
          </w:p>
        </w:tc>
      </w:tr>
      <w:tr w14:paraId="7896B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6E978E7">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28457C79">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04C9F924">
            <w:pPr>
              <w:snapToGrid w:val="0"/>
              <w:spacing w:before="120" w:beforeLines="50"/>
              <w:rPr>
                <w:rFonts w:ascii="仿宋" w:hAnsi="仿宋" w:eastAsia="仿宋"/>
                <w:color w:val="auto"/>
                <w:sz w:val="24"/>
                <w:highlight w:val="none"/>
              </w:rPr>
            </w:pPr>
          </w:p>
        </w:tc>
      </w:tr>
      <w:tr w14:paraId="323D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0331E7B">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56F95BFB">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3168708C">
            <w:pPr>
              <w:snapToGrid w:val="0"/>
              <w:spacing w:before="120" w:beforeLines="50"/>
              <w:rPr>
                <w:rFonts w:ascii="仿宋" w:hAnsi="仿宋" w:eastAsia="仿宋"/>
                <w:color w:val="auto"/>
                <w:sz w:val="24"/>
                <w:highlight w:val="none"/>
              </w:rPr>
            </w:pPr>
          </w:p>
        </w:tc>
      </w:tr>
      <w:tr w14:paraId="4D665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566A5AA3">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560D07F6">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274E8B2C">
            <w:pPr>
              <w:snapToGrid w:val="0"/>
              <w:spacing w:before="120" w:beforeLines="50"/>
              <w:rPr>
                <w:rFonts w:ascii="仿宋" w:hAnsi="仿宋" w:eastAsia="仿宋"/>
                <w:color w:val="auto"/>
                <w:sz w:val="24"/>
                <w:highlight w:val="none"/>
              </w:rPr>
            </w:pPr>
          </w:p>
        </w:tc>
      </w:tr>
      <w:tr w14:paraId="2C8D2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5B7C731E">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0397D278">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1364B981">
            <w:pPr>
              <w:snapToGrid w:val="0"/>
              <w:spacing w:before="120" w:beforeLines="50"/>
              <w:rPr>
                <w:rFonts w:ascii="仿宋" w:hAnsi="仿宋" w:eastAsia="仿宋"/>
                <w:color w:val="auto"/>
                <w:sz w:val="24"/>
                <w:highlight w:val="none"/>
              </w:rPr>
            </w:pPr>
          </w:p>
        </w:tc>
      </w:tr>
      <w:tr w14:paraId="023C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FD9055A">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5EEC2196">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66124972">
            <w:pPr>
              <w:snapToGrid w:val="0"/>
              <w:spacing w:before="120" w:beforeLines="50"/>
              <w:rPr>
                <w:rFonts w:ascii="仿宋" w:hAnsi="仿宋" w:eastAsia="仿宋"/>
                <w:color w:val="auto"/>
                <w:sz w:val="24"/>
                <w:highlight w:val="none"/>
              </w:rPr>
            </w:pPr>
          </w:p>
        </w:tc>
      </w:tr>
    </w:tbl>
    <w:p w14:paraId="790DACD1">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14:paraId="3292D54E">
      <w:pPr>
        <w:snapToGrid w:val="0"/>
        <w:spacing w:before="120" w:beforeLines="50"/>
        <w:rPr>
          <w:rFonts w:ascii="仿宋" w:hAnsi="仿宋" w:eastAsia="仿宋"/>
          <w:color w:val="auto"/>
          <w:sz w:val="30"/>
          <w:szCs w:val="30"/>
          <w:highlight w:val="none"/>
        </w:rPr>
      </w:pPr>
    </w:p>
    <w:p w14:paraId="28A24A84">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11C5EA84">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3E77A3A">
      <w:pPr>
        <w:spacing w:line="360" w:lineRule="auto"/>
        <w:rPr>
          <w:rFonts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p>
    <w:p w14:paraId="67A3F8C3">
      <w:pPr>
        <w:snapToGrid w:val="0"/>
        <w:jc w:val="center"/>
        <w:outlineLvl w:val="1"/>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三、投标产品规格配置清单</w:t>
      </w:r>
    </w:p>
    <w:p w14:paraId="6747597C">
      <w:pPr>
        <w:snapToGrid w:val="0"/>
        <w:spacing w:before="120" w:beforeLines="50"/>
        <w:rPr>
          <w:rFonts w:ascii="仿宋" w:hAnsi="仿宋" w:eastAsia="仿宋"/>
          <w:color w:val="auto"/>
          <w:sz w:val="24"/>
          <w:highlight w:val="none"/>
        </w:rPr>
      </w:pPr>
    </w:p>
    <w:tbl>
      <w:tblPr>
        <w:tblStyle w:val="17"/>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14:paraId="0896A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12D267C">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1DEC6012">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货物名称</w:t>
            </w:r>
          </w:p>
        </w:tc>
        <w:tc>
          <w:tcPr>
            <w:tcW w:w="755" w:type="dxa"/>
            <w:tcBorders>
              <w:top w:val="single" w:color="auto" w:sz="4" w:space="0"/>
              <w:left w:val="single" w:color="auto" w:sz="4" w:space="0"/>
              <w:bottom w:val="single" w:color="auto" w:sz="4" w:space="0"/>
              <w:right w:val="single" w:color="auto" w:sz="4" w:space="0"/>
            </w:tcBorders>
            <w:vAlign w:val="center"/>
          </w:tcPr>
          <w:p w14:paraId="27746229">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0B85D9E0">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EAF7E56">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产地（国产/进口）</w:t>
            </w:r>
          </w:p>
        </w:tc>
        <w:tc>
          <w:tcPr>
            <w:tcW w:w="1275" w:type="dxa"/>
            <w:tcBorders>
              <w:top w:val="single" w:color="auto" w:sz="4" w:space="0"/>
              <w:left w:val="single" w:color="auto" w:sz="4" w:space="0"/>
              <w:bottom w:val="single" w:color="auto" w:sz="4" w:space="0"/>
              <w:right w:val="single" w:color="auto" w:sz="4" w:space="0"/>
            </w:tcBorders>
            <w:vAlign w:val="center"/>
          </w:tcPr>
          <w:p w14:paraId="546CCB8B">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7778B732">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数量及单位</w:t>
            </w:r>
          </w:p>
        </w:tc>
        <w:tc>
          <w:tcPr>
            <w:tcW w:w="2268" w:type="dxa"/>
            <w:tcBorders>
              <w:top w:val="single" w:color="auto" w:sz="4" w:space="0"/>
              <w:left w:val="single" w:color="auto" w:sz="4" w:space="0"/>
              <w:bottom w:val="single" w:color="auto" w:sz="4" w:space="0"/>
              <w:right w:val="single" w:color="auto" w:sz="4" w:space="0"/>
            </w:tcBorders>
            <w:vAlign w:val="center"/>
          </w:tcPr>
          <w:p w14:paraId="210178D8">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性能及指标</w:t>
            </w:r>
          </w:p>
        </w:tc>
      </w:tr>
      <w:tr w14:paraId="2945C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8F73BA">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29E82C68">
            <w:pPr>
              <w:snapToGrid w:val="0"/>
              <w:spacing w:before="50" w:after="50"/>
              <w:jc w:val="center"/>
              <w:rPr>
                <w:rFonts w:ascii="仿宋" w:hAnsi="仿宋" w:eastAsia="仿宋"/>
                <w:color w:val="auto"/>
                <w:sz w:val="24"/>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75E5CE7">
            <w:pPr>
              <w:snapToGrid w:val="0"/>
              <w:spacing w:before="50" w:after="50"/>
              <w:jc w:val="center"/>
              <w:rPr>
                <w:rFonts w:ascii="仿宋" w:hAnsi="仿宋" w:eastAsia="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861EF2F">
            <w:pPr>
              <w:snapToGrid w:val="0"/>
              <w:spacing w:before="50" w:after="50"/>
              <w:jc w:val="center"/>
              <w:rPr>
                <w:rFonts w:ascii="仿宋" w:hAnsi="仿宋" w:eastAsia="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8A02303">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F6040E3">
            <w:pPr>
              <w:snapToGrid w:val="0"/>
              <w:spacing w:before="50" w:after="50"/>
              <w:jc w:val="center"/>
              <w:rPr>
                <w:rFonts w:ascii="仿宋" w:hAnsi="仿宋" w:eastAsia="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7DA173">
            <w:pPr>
              <w:snapToGrid w:val="0"/>
              <w:spacing w:before="50" w:after="50"/>
              <w:jc w:val="center"/>
              <w:rPr>
                <w:rFonts w:ascii="仿宋" w:hAnsi="仿宋" w:eastAsia="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016E7C3">
            <w:pPr>
              <w:snapToGrid w:val="0"/>
              <w:spacing w:before="50" w:after="50"/>
              <w:jc w:val="center"/>
              <w:rPr>
                <w:rFonts w:ascii="仿宋" w:hAnsi="仿宋" w:eastAsia="仿宋"/>
                <w:color w:val="auto"/>
                <w:sz w:val="24"/>
                <w:highlight w:val="none"/>
              </w:rPr>
            </w:pPr>
          </w:p>
        </w:tc>
      </w:tr>
      <w:tr w14:paraId="0BCBA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02B69E4">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582382CB">
            <w:pPr>
              <w:snapToGrid w:val="0"/>
              <w:spacing w:before="50" w:after="50"/>
              <w:jc w:val="center"/>
              <w:rPr>
                <w:rFonts w:ascii="仿宋" w:hAnsi="仿宋" w:eastAsia="仿宋"/>
                <w:color w:val="auto"/>
                <w:sz w:val="24"/>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DA6114B">
            <w:pPr>
              <w:snapToGrid w:val="0"/>
              <w:spacing w:before="50" w:after="50"/>
              <w:jc w:val="center"/>
              <w:rPr>
                <w:rFonts w:ascii="仿宋" w:hAnsi="仿宋" w:eastAsia="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EB87A38">
            <w:pPr>
              <w:snapToGrid w:val="0"/>
              <w:spacing w:before="50" w:after="50"/>
              <w:jc w:val="center"/>
              <w:rPr>
                <w:rFonts w:ascii="仿宋" w:hAnsi="仿宋" w:eastAsia="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54AE030">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D9AD042">
            <w:pPr>
              <w:snapToGrid w:val="0"/>
              <w:spacing w:before="50" w:after="50"/>
              <w:jc w:val="center"/>
              <w:rPr>
                <w:rFonts w:ascii="仿宋" w:hAnsi="仿宋" w:eastAsia="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0EE279">
            <w:pPr>
              <w:snapToGrid w:val="0"/>
              <w:spacing w:before="50" w:after="50"/>
              <w:jc w:val="center"/>
              <w:rPr>
                <w:rFonts w:ascii="仿宋" w:hAnsi="仿宋" w:eastAsia="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288284">
            <w:pPr>
              <w:snapToGrid w:val="0"/>
              <w:spacing w:before="50" w:after="50"/>
              <w:jc w:val="center"/>
              <w:rPr>
                <w:rFonts w:ascii="仿宋" w:hAnsi="仿宋" w:eastAsia="仿宋"/>
                <w:color w:val="auto"/>
                <w:sz w:val="24"/>
                <w:highlight w:val="none"/>
              </w:rPr>
            </w:pPr>
          </w:p>
        </w:tc>
      </w:tr>
      <w:tr w14:paraId="5CDA3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B31AAC0">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17926B5F">
            <w:pPr>
              <w:snapToGrid w:val="0"/>
              <w:spacing w:before="50" w:after="50"/>
              <w:jc w:val="center"/>
              <w:rPr>
                <w:rFonts w:ascii="仿宋" w:hAnsi="仿宋" w:eastAsia="仿宋"/>
                <w:color w:val="auto"/>
                <w:sz w:val="24"/>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7509392">
            <w:pPr>
              <w:snapToGrid w:val="0"/>
              <w:spacing w:before="50" w:after="50"/>
              <w:jc w:val="center"/>
              <w:rPr>
                <w:rFonts w:ascii="仿宋" w:hAnsi="仿宋" w:eastAsia="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BF0A382">
            <w:pPr>
              <w:snapToGrid w:val="0"/>
              <w:spacing w:before="50" w:after="50"/>
              <w:jc w:val="center"/>
              <w:rPr>
                <w:rFonts w:ascii="仿宋" w:hAnsi="仿宋" w:eastAsia="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01F34A6">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CBD82ED">
            <w:pPr>
              <w:snapToGrid w:val="0"/>
              <w:spacing w:before="50" w:after="50"/>
              <w:jc w:val="center"/>
              <w:rPr>
                <w:rFonts w:ascii="仿宋" w:hAnsi="仿宋" w:eastAsia="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C3C1DF9">
            <w:pPr>
              <w:snapToGrid w:val="0"/>
              <w:spacing w:before="50" w:after="50"/>
              <w:jc w:val="center"/>
              <w:rPr>
                <w:rFonts w:ascii="仿宋" w:hAnsi="仿宋" w:eastAsia="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FFC52A7">
            <w:pPr>
              <w:snapToGrid w:val="0"/>
              <w:spacing w:before="50" w:after="50"/>
              <w:jc w:val="center"/>
              <w:rPr>
                <w:rFonts w:ascii="仿宋" w:hAnsi="仿宋" w:eastAsia="仿宋"/>
                <w:color w:val="auto"/>
                <w:sz w:val="24"/>
                <w:highlight w:val="none"/>
              </w:rPr>
            </w:pPr>
          </w:p>
        </w:tc>
      </w:tr>
      <w:tr w14:paraId="1EB1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D6BB54E">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14:paraId="73E6E281">
            <w:pPr>
              <w:snapToGrid w:val="0"/>
              <w:spacing w:before="50" w:after="50"/>
              <w:jc w:val="center"/>
              <w:rPr>
                <w:rFonts w:ascii="仿宋" w:hAnsi="仿宋" w:eastAsia="仿宋"/>
                <w:color w:val="auto"/>
                <w:sz w:val="24"/>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1B6F97F">
            <w:pPr>
              <w:snapToGrid w:val="0"/>
              <w:spacing w:before="50" w:after="50"/>
              <w:jc w:val="center"/>
              <w:rPr>
                <w:rFonts w:ascii="仿宋" w:hAnsi="仿宋" w:eastAsia="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AC09E84">
            <w:pPr>
              <w:snapToGrid w:val="0"/>
              <w:spacing w:before="50" w:after="50"/>
              <w:jc w:val="center"/>
              <w:rPr>
                <w:rFonts w:ascii="仿宋" w:hAnsi="仿宋" w:eastAsia="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D6AA40F">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6CE13F2">
            <w:pPr>
              <w:snapToGrid w:val="0"/>
              <w:spacing w:before="50" w:after="50"/>
              <w:jc w:val="center"/>
              <w:rPr>
                <w:rFonts w:ascii="仿宋" w:hAnsi="仿宋" w:eastAsia="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348FE4">
            <w:pPr>
              <w:snapToGrid w:val="0"/>
              <w:spacing w:before="50" w:after="50"/>
              <w:jc w:val="center"/>
              <w:rPr>
                <w:rFonts w:ascii="仿宋" w:hAnsi="仿宋" w:eastAsia="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13A20F9">
            <w:pPr>
              <w:snapToGrid w:val="0"/>
              <w:spacing w:before="50" w:after="50"/>
              <w:jc w:val="center"/>
              <w:rPr>
                <w:rFonts w:ascii="仿宋" w:hAnsi="仿宋" w:eastAsia="仿宋"/>
                <w:color w:val="auto"/>
                <w:sz w:val="24"/>
                <w:highlight w:val="none"/>
              </w:rPr>
            </w:pPr>
          </w:p>
        </w:tc>
      </w:tr>
    </w:tbl>
    <w:p w14:paraId="299CC147">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注：如果本项目涉及硬件设备采购，须在商务技术文件中提供此配置清单。</w:t>
      </w:r>
    </w:p>
    <w:p w14:paraId="07CEA6DA">
      <w:pPr>
        <w:snapToGrid w:val="0"/>
        <w:spacing w:before="120" w:beforeLines="50"/>
        <w:rPr>
          <w:rFonts w:ascii="仿宋" w:hAnsi="仿宋" w:eastAsia="仿宋"/>
          <w:color w:val="auto"/>
          <w:sz w:val="30"/>
          <w:szCs w:val="30"/>
          <w:highlight w:val="none"/>
        </w:rPr>
      </w:pPr>
    </w:p>
    <w:p w14:paraId="3CFBB68A">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7069CC1">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66D9FE35">
      <w:pPr>
        <w:snapToGrid w:val="0"/>
        <w:spacing w:before="50" w:after="50"/>
        <w:rPr>
          <w:rFonts w:ascii="仿宋" w:hAnsi="仿宋" w:eastAsia="仿宋" w:cs="仿宋_GB2312"/>
          <w:color w:val="auto"/>
          <w:kern w:val="0"/>
          <w:sz w:val="24"/>
          <w:highlight w:val="none"/>
        </w:rPr>
      </w:pPr>
    </w:p>
    <w:p w14:paraId="25059C05">
      <w:pPr>
        <w:snapToGrid w:val="0"/>
        <w:spacing w:before="50" w:after="50"/>
        <w:rPr>
          <w:rFonts w:ascii="仿宋" w:hAnsi="仿宋" w:eastAsia="仿宋" w:cs="仿宋_GB2312"/>
          <w:color w:val="auto"/>
          <w:kern w:val="0"/>
          <w:sz w:val="24"/>
          <w:highlight w:val="none"/>
        </w:rPr>
      </w:pPr>
    </w:p>
    <w:p w14:paraId="4ECCE7E9">
      <w:pPr>
        <w:snapToGrid w:val="0"/>
        <w:spacing w:before="50" w:after="50"/>
        <w:rPr>
          <w:rFonts w:ascii="仿宋" w:hAnsi="仿宋" w:eastAsia="仿宋" w:cs="仿宋_GB2312"/>
          <w:color w:val="auto"/>
          <w:kern w:val="0"/>
          <w:sz w:val="24"/>
          <w:highlight w:val="none"/>
        </w:rPr>
      </w:pPr>
    </w:p>
    <w:p w14:paraId="2D481554">
      <w:pPr>
        <w:snapToGrid w:val="0"/>
        <w:spacing w:before="50" w:after="50"/>
        <w:rPr>
          <w:rFonts w:ascii="仿宋" w:hAnsi="仿宋" w:eastAsia="仿宋" w:cs="仿宋_GB2312"/>
          <w:color w:val="auto"/>
          <w:kern w:val="0"/>
          <w:sz w:val="24"/>
          <w:highlight w:val="none"/>
        </w:rPr>
      </w:pPr>
    </w:p>
    <w:p w14:paraId="517E139B">
      <w:pPr>
        <w:snapToGrid w:val="0"/>
        <w:spacing w:before="50" w:after="50"/>
        <w:rPr>
          <w:rFonts w:ascii="仿宋" w:hAnsi="仿宋" w:eastAsia="仿宋" w:cs="仿宋_GB2312"/>
          <w:color w:val="auto"/>
          <w:kern w:val="0"/>
          <w:sz w:val="24"/>
          <w:highlight w:val="none"/>
        </w:rPr>
      </w:pPr>
    </w:p>
    <w:p w14:paraId="70E831A1">
      <w:pPr>
        <w:snapToGrid w:val="0"/>
        <w:spacing w:before="50" w:after="50"/>
        <w:rPr>
          <w:rFonts w:ascii="仿宋" w:hAnsi="仿宋" w:eastAsia="仿宋" w:cs="仿宋_GB2312"/>
          <w:color w:val="auto"/>
          <w:kern w:val="0"/>
          <w:sz w:val="24"/>
          <w:highlight w:val="none"/>
        </w:rPr>
      </w:pPr>
    </w:p>
    <w:p w14:paraId="08726FBB">
      <w:pPr>
        <w:snapToGrid w:val="0"/>
        <w:spacing w:before="50" w:after="50"/>
        <w:rPr>
          <w:rFonts w:ascii="仿宋" w:hAnsi="仿宋" w:eastAsia="仿宋" w:cs="仿宋_GB2312"/>
          <w:color w:val="auto"/>
          <w:kern w:val="0"/>
          <w:sz w:val="24"/>
          <w:highlight w:val="none"/>
        </w:rPr>
      </w:pPr>
    </w:p>
    <w:p w14:paraId="5D3429C2">
      <w:pPr>
        <w:snapToGrid w:val="0"/>
        <w:spacing w:before="50" w:after="50"/>
        <w:rPr>
          <w:rFonts w:ascii="仿宋" w:hAnsi="仿宋" w:eastAsia="仿宋" w:cs="仿宋_GB2312"/>
          <w:color w:val="auto"/>
          <w:kern w:val="0"/>
          <w:sz w:val="24"/>
          <w:highlight w:val="none"/>
        </w:rPr>
      </w:pPr>
    </w:p>
    <w:p w14:paraId="03AD5D38">
      <w:pPr>
        <w:snapToGrid w:val="0"/>
        <w:spacing w:before="50" w:after="50"/>
        <w:rPr>
          <w:rFonts w:ascii="仿宋" w:hAnsi="仿宋" w:eastAsia="仿宋" w:cs="仿宋_GB2312"/>
          <w:color w:val="auto"/>
          <w:kern w:val="0"/>
          <w:sz w:val="24"/>
          <w:highlight w:val="none"/>
        </w:rPr>
      </w:pPr>
    </w:p>
    <w:p w14:paraId="36EDC6B5">
      <w:pPr>
        <w:snapToGrid w:val="0"/>
        <w:spacing w:before="50" w:after="50"/>
        <w:rPr>
          <w:rFonts w:ascii="仿宋" w:hAnsi="仿宋" w:eastAsia="仿宋" w:cs="仿宋_GB2312"/>
          <w:color w:val="auto"/>
          <w:kern w:val="0"/>
          <w:sz w:val="24"/>
          <w:highlight w:val="none"/>
        </w:rPr>
      </w:pPr>
    </w:p>
    <w:p w14:paraId="48E769EB">
      <w:pPr>
        <w:snapToGrid w:val="0"/>
        <w:spacing w:before="50" w:after="50"/>
        <w:rPr>
          <w:rFonts w:ascii="仿宋" w:hAnsi="仿宋" w:eastAsia="仿宋" w:cs="仿宋_GB2312"/>
          <w:color w:val="auto"/>
          <w:kern w:val="0"/>
          <w:sz w:val="24"/>
          <w:highlight w:val="none"/>
        </w:rPr>
      </w:pPr>
    </w:p>
    <w:p w14:paraId="7E9D47EF">
      <w:pPr>
        <w:snapToGrid w:val="0"/>
        <w:spacing w:before="50" w:after="50"/>
        <w:rPr>
          <w:rFonts w:ascii="仿宋" w:hAnsi="仿宋" w:eastAsia="仿宋" w:cs="仿宋_GB2312"/>
          <w:color w:val="auto"/>
          <w:kern w:val="0"/>
          <w:sz w:val="24"/>
          <w:highlight w:val="none"/>
        </w:rPr>
      </w:pPr>
    </w:p>
    <w:p w14:paraId="4416EB8B">
      <w:pPr>
        <w:snapToGrid w:val="0"/>
        <w:spacing w:before="50" w:after="50"/>
        <w:rPr>
          <w:rFonts w:ascii="仿宋" w:hAnsi="仿宋" w:eastAsia="仿宋" w:cs="仿宋_GB2312"/>
          <w:color w:val="auto"/>
          <w:kern w:val="0"/>
          <w:sz w:val="24"/>
          <w:highlight w:val="none"/>
        </w:rPr>
      </w:pPr>
    </w:p>
    <w:p w14:paraId="7309960E">
      <w:pPr>
        <w:snapToGrid w:val="0"/>
        <w:spacing w:before="50" w:after="50"/>
        <w:rPr>
          <w:rFonts w:ascii="仿宋" w:hAnsi="仿宋" w:eastAsia="仿宋" w:cs="仿宋_GB2312"/>
          <w:color w:val="auto"/>
          <w:kern w:val="0"/>
          <w:sz w:val="24"/>
          <w:highlight w:val="none"/>
        </w:rPr>
      </w:pPr>
    </w:p>
    <w:p w14:paraId="53B8B93E">
      <w:pPr>
        <w:snapToGrid w:val="0"/>
        <w:spacing w:before="50" w:after="50"/>
        <w:rPr>
          <w:rFonts w:ascii="仿宋" w:hAnsi="仿宋" w:eastAsia="仿宋" w:cs="仿宋_GB2312"/>
          <w:color w:val="auto"/>
          <w:kern w:val="0"/>
          <w:sz w:val="24"/>
          <w:highlight w:val="none"/>
        </w:rPr>
      </w:pPr>
    </w:p>
    <w:p w14:paraId="5A016B45">
      <w:pPr>
        <w:snapToGrid w:val="0"/>
        <w:spacing w:before="50" w:after="50"/>
        <w:rPr>
          <w:rFonts w:ascii="仿宋" w:hAnsi="仿宋" w:eastAsia="仿宋" w:cs="仿宋_GB2312"/>
          <w:color w:val="auto"/>
          <w:kern w:val="0"/>
          <w:sz w:val="24"/>
          <w:highlight w:val="none"/>
        </w:rPr>
      </w:pPr>
    </w:p>
    <w:p w14:paraId="2C6BC00C">
      <w:pPr>
        <w:snapToGrid w:val="0"/>
        <w:spacing w:before="50" w:after="50"/>
        <w:rPr>
          <w:rFonts w:ascii="仿宋" w:hAnsi="仿宋" w:eastAsia="仿宋" w:cs="仿宋_GB2312"/>
          <w:color w:val="auto"/>
          <w:kern w:val="0"/>
          <w:sz w:val="24"/>
          <w:highlight w:val="none"/>
        </w:rPr>
      </w:pPr>
    </w:p>
    <w:p w14:paraId="097C155C">
      <w:pPr>
        <w:snapToGrid w:val="0"/>
        <w:spacing w:before="50" w:after="50"/>
        <w:jc w:val="center"/>
        <w:outlineLvl w:val="1"/>
        <w:rPr>
          <w:rFonts w:ascii="仿宋" w:hAnsi="仿宋" w:eastAsia="仿宋"/>
          <w:b/>
          <w:bCs/>
          <w:color w:val="auto"/>
          <w:spacing w:val="6"/>
          <w:sz w:val="32"/>
          <w:szCs w:val="32"/>
          <w:highlight w:val="none"/>
        </w:rPr>
      </w:pPr>
      <w:r>
        <w:rPr>
          <w:rFonts w:hint="eastAsia" w:ascii="仿宋" w:hAnsi="仿宋" w:eastAsia="仿宋" w:cs="仿宋_GB2312"/>
          <w:color w:val="auto"/>
          <w:kern w:val="0"/>
          <w:sz w:val="24"/>
          <w:highlight w:val="none"/>
        </w:rPr>
        <w:br w:type="page"/>
      </w:r>
      <w:r>
        <w:rPr>
          <w:rFonts w:hint="eastAsia" w:ascii="仿宋" w:hAnsi="仿宋" w:eastAsia="仿宋"/>
          <w:b/>
          <w:bCs/>
          <w:color w:val="auto"/>
          <w:spacing w:val="6"/>
          <w:sz w:val="32"/>
          <w:szCs w:val="32"/>
          <w:highlight w:val="none"/>
        </w:rPr>
        <w:t>四、技术响应表</w:t>
      </w:r>
    </w:p>
    <w:p w14:paraId="778C12C3">
      <w:pPr>
        <w:rPr>
          <w:rFonts w:ascii="Arial" w:hAnsi="Arial" w:eastAsia="黑体" w:cs="Arial"/>
          <w:snapToGrid w:val="0"/>
          <w:color w:val="auto"/>
          <w:kern w:val="0"/>
          <w:szCs w:val="21"/>
          <w:highlight w:val="non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327FF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14:paraId="1CBF8E0B">
            <w:pPr>
              <w:snapToGrid w:val="0"/>
              <w:spacing w:before="50" w:after="50"/>
              <w:jc w:val="left"/>
              <w:rPr>
                <w:rFonts w:ascii="仿宋" w:hAnsi="仿宋" w:eastAsia="仿宋"/>
                <w:color w:val="auto"/>
                <w:sz w:val="24"/>
                <w:highlight w:val="none"/>
              </w:rPr>
            </w:pPr>
            <w:bookmarkStart w:id="433" w:name="_Toc64369807"/>
            <w:r>
              <w:rPr>
                <w:rFonts w:hint="eastAsia" w:ascii="仿宋" w:hAnsi="仿宋" w:eastAsia="仿宋"/>
                <w:color w:val="auto"/>
                <w:sz w:val="24"/>
                <w:highlight w:val="none"/>
              </w:rPr>
              <w:t>服务部分</w:t>
            </w:r>
            <w:bookmarkEnd w:id="433"/>
          </w:p>
        </w:tc>
      </w:tr>
      <w:tr w14:paraId="13C9C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14:paraId="4B1A9C21">
            <w:pPr>
              <w:snapToGrid w:val="0"/>
              <w:spacing w:before="50" w:after="50"/>
              <w:jc w:val="center"/>
              <w:rPr>
                <w:rFonts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vAlign w:val="center"/>
          </w:tcPr>
          <w:p w14:paraId="33D28637">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14:paraId="1B165DDC">
            <w:pPr>
              <w:snapToGrid w:val="0"/>
              <w:spacing w:before="50" w:after="50"/>
              <w:jc w:val="center"/>
              <w:rPr>
                <w:rFonts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14:paraId="0EB6E0C6">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vAlign w:val="center"/>
          </w:tcPr>
          <w:p w14:paraId="633199D8">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14:paraId="2658E7FE">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vAlign w:val="center"/>
          </w:tcPr>
          <w:p w14:paraId="2C5740F7">
            <w:pPr>
              <w:snapToGrid w:val="0"/>
              <w:spacing w:before="50" w:after="50"/>
              <w:jc w:val="center"/>
              <w:rPr>
                <w:rFonts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14:paraId="3A81BBEB">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37"/>
          </w:p>
        </w:tc>
      </w:tr>
      <w:tr w14:paraId="1616B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14:paraId="0308D0AB">
            <w:pPr>
              <w:snapToGrid w:val="0"/>
              <w:spacing w:before="50" w:after="50"/>
              <w:jc w:val="center"/>
              <w:rPr>
                <w:rFonts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vAlign w:val="center"/>
          </w:tcPr>
          <w:p w14:paraId="7E730C3A">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2B170F56">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775A84F">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B1A8825">
            <w:pPr>
              <w:snapToGrid w:val="0"/>
              <w:spacing w:before="50" w:after="50"/>
              <w:jc w:val="center"/>
              <w:rPr>
                <w:rFonts w:ascii="仿宋" w:hAnsi="仿宋" w:eastAsia="仿宋"/>
                <w:color w:val="auto"/>
                <w:sz w:val="24"/>
                <w:highlight w:val="none"/>
              </w:rPr>
            </w:pPr>
          </w:p>
        </w:tc>
      </w:tr>
      <w:tr w14:paraId="7264D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3B7DDC31">
            <w:pPr>
              <w:snapToGrid w:val="0"/>
              <w:spacing w:before="50" w:after="50"/>
              <w:jc w:val="center"/>
              <w:rPr>
                <w:rFonts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vAlign w:val="center"/>
          </w:tcPr>
          <w:p w14:paraId="7A15FE91">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5C59A481">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26B0D9">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F7AEF9D">
            <w:pPr>
              <w:snapToGrid w:val="0"/>
              <w:spacing w:before="50" w:after="50"/>
              <w:jc w:val="center"/>
              <w:rPr>
                <w:rFonts w:ascii="仿宋" w:hAnsi="仿宋" w:eastAsia="仿宋"/>
                <w:color w:val="auto"/>
                <w:sz w:val="24"/>
                <w:highlight w:val="none"/>
              </w:rPr>
            </w:pPr>
          </w:p>
        </w:tc>
      </w:tr>
      <w:tr w14:paraId="2275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28B88342">
            <w:pPr>
              <w:snapToGrid w:val="0"/>
              <w:spacing w:before="50" w:after="50"/>
              <w:jc w:val="center"/>
              <w:rPr>
                <w:rFonts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vAlign w:val="center"/>
          </w:tcPr>
          <w:p w14:paraId="32EE5F4A">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11A69AEE">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044063">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C14DA08">
            <w:pPr>
              <w:snapToGrid w:val="0"/>
              <w:spacing w:before="50" w:after="50"/>
              <w:jc w:val="center"/>
              <w:rPr>
                <w:rFonts w:ascii="仿宋" w:hAnsi="仿宋" w:eastAsia="仿宋"/>
                <w:color w:val="auto"/>
                <w:sz w:val="24"/>
                <w:highlight w:val="none"/>
              </w:rPr>
            </w:pPr>
          </w:p>
        </w:tc>
      </w:tr>
    </w:tbl>
    <w:p w14:paraId="79826F82">
      <w:pPr>
        <w:snapToGrid w:val="0"/>
        <w:spacing w:before="120" w:beforeLines="50"/>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14:paraId="7B284B54">
      <w:pPr>
        <w:snapToGrid w:val="0"/>
        <w:spacing w:before="120" w:beforeLines="50"/>
        <w:rPr>
          <w:rFonts w:ascii="仿宋" w:hAnsi="仿宋" w:eastAsia="仿宋" w:cs="仿宋_GB2312"/>
          <w:color w:val="auto"/>
          <w:sz w:val="24"/>
          <w:highlight w:val="none"/>
        </w:rPr>
      </w:pPr>
    </w:p>
    <w:p w14:paraId="77A0DD59">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0E4E8E3A">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777745A3">
      <w:pPr>
        <w:snapToGrid w:val="0"/>
        <w:spacing w:before="50" w:after="120" w:afterLines="50"/>
        <w:jc w:val="center"/>
        <w:rPr>
          <w:rFonts w:ascii="仿宋" w:eastAsia="仿宋"/>
          <w:b/>
          <w:bCs/>
          <w:color w:val="auto"/>
          <w:sz w:val="30"/>
          <w:szCs w:val="30"/>
          <w:highlight w:val="none"/>
        </w:rPr>
      </w:pPr>
    </w:p>
    <w:p w14:paraId="14467396">
      <w:pPr>
        <w:snapToGrid w:val="0"/>
        <w:spacing w:before="50" w:after="120" w:afterLines="50"/>
        <w:jc w:val="center"/>
        <w:rPr>
          <w:rFonts w:ascii="仿宋" w:eastAsia="仿宋"/>
          <w:b/>
          <w:color w:val="auto"/>
          <w:spacing w:val="40"/>
          <w:kern w:val="0"/>
          <w:sz w:val="36"/>
          <w:szCs w:val="36"/>
          <w:highlight w:val="none"/>
        </w:rPr>
      </w:pPr>
    </w:p>
    <w:p w14:paraId="41CCC3B5">
      <w:pPr>
        <w:snapToGrid w:val="0"/>
        <w:spacing w:before="50" w:after="120" w:afterLines="50"/>
        <w:jc w:val="center"/>
        <w:rPr>
          <w:rFonts w:ascii="仿宋" w:eastAsia="仿宋"/>
          <w:b/>
          <w:color w:val="auto"/>
          <w:spacing w:val="40"/>
          <w:kern w:val="0"/>
          <w:sz w:val="36"/>
          <w:szCs w:val="36"/>
          <w:highlight w:val="none"/>
        </w:rPr>
      </w:pPr>
    </w:p>
    <w:p w14:paraId="315AB69C">
      <w:pPr>
        <w:snapToGrid w:val="0"/>
        <w:spacing w:before="50" w:after="120" w:afterLines="50"/>
        <w:jc w:val="center"/>
        <w:rPr>
          <w:rFonts w:ascii="仿宋" w:eastAsia="仿宋"/>
          <w:b/>
          <w:color w:val="auto"/>
          <w:spacing w:val="40"/>
          <w:kern w:val="0"/>
          <w:sz w:val="36"/>
          <w:szCs w:val="36"/>
          <w:highlight w:val="none"/>
        </w:rPr>
      </w:pPr>
    </w:p>
    <w:p w14:paraId="7E114E8A">
      <w:pPr>
        <w:snapToGrid w:val="0"/>
        <w:spacing w:before="50" w:after="120" w:afterLines="50"/>
        <w:jc w:val="center"/>
        <w:rPr>
          <w:rFonts w:ascii="仿宋" w:eastAsia="仿宋"/>
          <w:b/>
          <w:color w:val="auto"/>
          <w:spacing w:val="40"/>
          <w:kern w:val="0"/>
          <w:sz w:val="36"/>
          <w:szCs w:val="36"/>
          <w:highlight w:val="none"/>
        </w:rPr>
      </w:pPr>
    </w:p>
    <w:p w14:paraId="5C825FEB">
      <w:pPr>
        <w:snapToGrid w:val="0"/>
        <w:spacing w:before="50" w:after="120" w:afterLines="50"/>
        <w:jc w:val="center"/>
        <w:rPr>
          <w:rFonts w:ascii="仿宋" w:eastAsia="仿宋"/>
          <w:b/>
          <w:color w:val="auto"/>
          <w:spacing w:val="40"/>
          <w:kern w:val="0"/>
          <w:sz w:val="36"/>
          <w:szCs w:val="36"/>
          <w:highlight w:val="none"/>
        </w:rPr>
      </w:pPr>
    </w:p>
    <w:p w14:paraId="67E4E7CA">
      <w:pPr>
        <w:snapToGrid w:val="0"/>
        <w:spacing w:before="50" w:after="120" w:afterLines="50"/>
        <w:jc w:val="center"/>
        <w:rPr>
          <w:rFonts w:ascii="仿宋" w:eastAsia="仿宋"/>
          <w:b/>
          <w:color w:val="auto"/>
          <w:spacing w:val="40"/>
          <w:kern w:val="0"/>
          <w:sz w:val="36"/>
          <w:szCs w:val="36"/>
          <w:highlight w:val="none"/>
        </w:rPr>
      </w:pPr>
    </w:p>
    <w:p w14:paraId="70ECC7AB">
      <w:pPr>
        <w:snapToGrid w:val="0"/>
        <w:spacing w:before="50" w:after="120" w:afterLines="50"/>
        <w:jc w:val="center"/>
        <w:rPr>
          <w:rFonts w:ascii="仿宋" w:eastAsia="仿宋"/>
          <w:b/>
          <w:color w:val="auto"/>
          <w:spacing w:val="40"/>
          <w:kern w:val="0"/>
          <w:sz w:val="36"/>
          <w:szCs w:val="36"/>
          <w:highlight w:val="none"/>
        </w:rPr>
      </w:pPr>
    </w:p>
    <w:p w14:paraId="0C5448D7">
      <w:pPr>
        <w:snapToGrid w:val="0"/>
        <w:spacing w:before="50" w:after="120" w:afterLines="50"/>
        <w:rPr>
          <w:rFonts w:ascii="仿宋" w:eastAsia="仿宋"/>
          <w:b/>
          <w:color w:val="auto"/>
          <w:spacing w:val="40"/>
          <w:kern w:val="0"/>
          <w:sz w:val="36"/>
          <w:szCs w:val="36"/>
          <w:highlight w:val="none"/>
        </w:rPr>
      </w:pPr>
    </w:p>
    <w:p w14:paraId="7BDE2247">
      <w:pPr>
        <w:snapToGrid w:val="0"/>
        <w:jc w:val="center"/>
        <w:rPr>
          <w:rFonts w:ascii="仿宋" w:eastAsia="仿宋"/>
          <w:b/>
          <w:color w:val="auto"/>
          <w:spacing w:val="40"/>
          <w:kern w:val="0"/>
          <w:sz w:val="36"/>
          <w:szCs w:val="36"/>
          <w:highlight w:val="none"/>
        </w:rPr>
      </w:pPr>
    </w:p>
    <w:p w14:paraId="51E318AE">
      <w:pPr>
        <w:jc w:val="center"/>
        <w:outlineLvl w:val="1"/>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五、商务响应表</w:t>
      </w:r>
    </w:p>
    <w:p w14:paraId="55A92899">
      <w:pPr>
        <w:rPr>
          <w:rFonts w:ascii="Arial" w:hAnsi="Arial" w:eastAsia="黑体" w:cs="Arial"/>
          <w:snapToGrid w:val="0"/>
          <w:color w:val="auto"/>
          <w:kern w:val="0"/>
          <w:szCs w:val="21"/>
          <w:highlight w:val="non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7D8F4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14:paraId="1460F0CE">
            <w:pPr>
              <w:snapToGrid w:val="0"/>
              <w:spacing w:before="50" w:after="50"/>
              <w:jc w:val="center"/>
              <w:rPr>
                <w:rFonts w:ascii="仿宋" w:hAnsi="仿宋" w:eastAsia="仿宋"/>
                <w:color w:val="auto"/>
                <w:sz w:val="24"/>
                <w:highlight w:val="none"/>
              </w:rPr>
            </w:pPr>
            <w:bookmarkStart w:id="441" w:name="_Toc64369815"/>
            <w:r>
              <w:rPr>
                <w:rFonts w:hint="eastAsia" w:ascii="仿宋" w:hAnsi="仿宋" w:eastAsia="仿宋"/>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vAlign w:val="center"/>
          </w:tcPr>
          <w:p w14:paraId="12A40D73">
            <w:pPr>
              <w:snapToGrid w:val="0"/>
              <w:spacing w:before="120" w:beforeLines="50" w:after="50"/>
              <w:jc w:val="center"/>
              <w:rPr>
                <w:rFonts w:ascii="仿宋" w:hAnsi="仿宋" w:eastAsia="仿宋"/>
                <w:color w:val="auto"/>
                <w:sz w:val="24"/>
                <w:highlight w:val="none"/>
              </w:rPr>
            </w:pPr>
            <w:bookmarkStart w:id="442" w:name="_Toc64369816"/>
            <w:r>
              <w:rPr>
                <w:rFonts w:hint="eastAsia" w:ascii="仿宋" w:hAnsi="仿宋" w:eastAsia="仿宋"/>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vAlign w:val="center"/>
          </w:tcPr>
          <w:p w14:paraId="6A215EA7">
            <w:pPr>
              <w:snapToGrid w:val="0"/>
              <w:spacing w:before="120" w:beforeLines="50" w:after="50"/>
              <w:jc w:val="center"/>
              <w:rPr>
                <w:rFonts w:ascii="仿宋" w:hAnsi="仿宋" w:eastAsia="仿宋"/>
                <w:color w:val="auto"/>
                <w:sz w:val="24"/>
                <w:highlight w:val="none"/>
              </w:rPr>
            </w:pPr>
            <w:bookmarkStart w:id="443" w:name="_Toc64369817"/>
            <w:r>
              <w:rPr>
                <w:rFonts w:hint="eastAsia" w:ascii="仿宋" w:hAnsi="仿宋" w:eastAsia="仿宋"/>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vAlign w:val="center"/>
          </w:tcPr>
          <w:p w14:paraId="14AC7D3D">
            <w:pPr>
              <w:snapToGrid w:val="0"/>
              <w:spacing w:before="120" w:beforeLines="50" w:after="50"/>
              <w:jc w:val="center"/>
              <w:rPr>
                <w:rFonts w:ascii="仿宋" w:hAnsi="仿宋" w:eastAsia="仿宋"/>
                <w:color w:val="auto"/>
                <w:sz w:val="24"/>
                <w:highlight w:val="none"/>
              </w:rPr>
            </w:pPr>
            <w:bookmarkStart w:id="444" w:name="_Toc64369818"/>
            <w:r>
              <w:rPr>
                <w:rFonts w:hint="eastAsia" w:ascii="仿宋" w:hAnsi="仿宋" w:eastAsia="仿宋"/>
                <w:color w:val="auto"/>
                <w:sz w:val="24"/>
                <w:highlight w:val="none"/>
              </w:rPr>
              <w:t>偏离情况</w:t>
            </w:r>
            <w:bookmarkEnd w:id="444"/>
          </w:p>
        </w:tc>
      </w:tr>
      <w:tr w14:paraId="273D7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49E000DD">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服务期限</w:t>
            </w:r>
          </w:p>
        </w:tc>
        <w:tc>
          <w:tcPr>
            <w:tcW w:w="3299" w:type="dxa"/>
            <w:tcBorders>
              <w:top w:val="single" w:color="auto" w:sz="4" w:space="0"/>
              <w:left w:val="single" w:color="auto" w:sz="4" w:space="0"/>
              <w:bottom w:val="single" w:color="auto" w:sz="4" w:space="0"/>
              <w:right w:val="single" w:color="auto" w:sz="4" w:space="0"/>
            </w:tcBorders>
            <w:vAlign w:val="center"/>
          </w:tcPr>
          <w:p w14:paraId="4AADF9EE">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29F673E1">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BC47A79">
            <w:pPr>
              <w:snapToGrid w:val="0"/>
              <w:spacing w:before="120" w:after="120"/>
              <w:jc w:val="center"/>
              <w:rPr>
                <w:rFonts w:ascii="仿宋" w:hAnsi="仿宋" w:eastAsia="仿宋"/>
                <w:color w:val="auto"/>
                <w:sz w:val="24"/>
                <w:highlight w:val="none"/>
              </w:rPr>
            </w:pPr>
          </w:p>
        </w:tc>
      </w:tr>
      <w:tr w14:paraId="017EF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0C34F1F4">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14:paraId="35F2614F">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4AA48CE4">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E514FFF">
            <w:pPr>
              <w:snapToGrid w:val="0"/>
              <w:spacing w:before="120" w:after="120"/>
              <w:jc w:val="center"/>
              <w:rPr>
                <w:rFonts w:ascii="仿宋" w:hAnsi="仿宋" w:eastAsia="仿宋"/>
                <w:color w:val="auto"/>
                <w:sz w:val="24"/>
                <w:highlight w:val="none"/>
              </w:rPr>
            </w:pPr>
          </w:p>
        </w:tc>
      </w:tr>
      <w:tr w14:paraId="428F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5DF43112">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vAlign w:val="center"/>
          </w:tcPr>
          <w:p w14:paraId="19C3F071">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1B0A3623">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4909A47">
            <w:pPr>
              <w:snapToGrid w:val="0"/>
              <w:spacing w:before="120" w:after="120"/>
              <w:jc w:val="center"/>
              <w:rPr>
                <w:rFonts w:ascii="仿宋" w:hAnsi="仿宋" w:eastAsia="仿宋"/>
                <w:color w:val="auto"/>
                <w:sz w:val="24"/>
                <w:highlight w:val="none"/>
              </w:rPr>
            </w:pPr>
          </w:p>
        </w:tc>
      </w:tr>
      <w:tr w14:paraId="0B8AE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777E03A5">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检查、考核</w:t>
            </w:r>
          </w:p>
        </w:tc>
        <w:tc>
          <w:tcPr>
            <w:tcW w:w="3299" w:type="dxa"/>
            <w:tcBorders>
              <w:top w:val="single" w:color="auto" w:sz="4" w:space="0"/>
              <w:left w:val="single" w:color="auto" w:sz="4" w:space="0"/>
              <w:bottom w:val="single" w:color="auto" w:sz="4" w:space="0"/>
              <w:right w:val="single" w:color="auto" w:sz="4" w:space="0"/>
            </w:tcBorders>
            <w:vAlign w:val="center"/>
          </w:tcPr>
          <w:p w14:paraId="10791135">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35FF7A10">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nil"/>
              <w:right w:val="single" w:color="auto" w:sz="4" w:space="0"/>
            </w:tcBorders>
          </w:tcPr>
          <w:p w14:paraId="73C6CD6F">
            <w:pPr>
              <w:snapToGrid w:val="0"/>
              <w:spacing w:before="120" w:after="120"/>
              <w:jc w:val="center"/>
              <w:rPr>
                <w:rFonts w:ascii="仿宋" w:hAnsi="仿宋" w:eastAsia="仿宋"/>
                <w:color w:val="auto"/>
                <w:sz w:val="24"/>
                <w:highlight w:val="none"/>
              </w:rPr>
            </w:pPr>
          </w:p>
        </w:tc>
      </w:tr>
      <w:tr w14:paraId="06AF0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1815E2E1">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质量要求</w:t>
            </w:r>
          </w:p>
        </w:tc>
        <w:tc>
          <w:tcPr>
            <w:tcW w:w="3299" w:type="dxa"/>
            <w:tcBorders>
              <w:top w:val="single" w:color="auto" w:sz="4" w:space="0"/>
              <w:left w:val="single" w:color="auto" w:sz="4" w:space="0"/>
              <w:bottom w:val="single" w:color="auto" w:sz="4" w:space="0"/>
              <w:right w:val="single" w:color="auto" w:sz="4" w:space="0"/>
            </w:tcBorders>
            <w:vAlign w:val="center"/>
          </w:tcPr>
          <w:p w14:paraId="2F802166">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677ED9DA">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nil"/>
              <w:right w:val="single" w:color="auto" w:sz="4" w:space="0"/>
            </w:tcBorders>
          </w:tcPr>
          <w:p w14:paraId="02FF88F8">
            <w:pPr>
              <w:snapToGrid w:val="0"/>
              <w:spacing w:before="120" w:after="120"/>
              <w:jc w:val="center"/>
              <w:rPr>
                <w:rFonts w:ascii="仿宋" w:hAnsi="仿宋" w:eastAsia="仿宋"/>
                <w:color w:val="auto"/>
                <w:sz w:val="24"/>
                <w:highlight w:val="none"/>
              </w:rPr>
            </w:pPr>
          </w:p>
        </w:tc>
      </w:tr>
      <w:tr w14:paraId="07732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2885EE72">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其他要求</w:t>
            </w:r>
          </w:p>
        </w:tc>
        <w:tc>
          <w:tcPr>
            <w:tcW w:w="3299" w:type="dxa"/>
            <w:tcBorders>
              <w:top w:val="single" w:color="auto" w:sz="4" w:space="0"/>
              <w:left w:val="single" w:color="auto" w:sz="4" w:space="0"/>
              <w:bottom w:val="single" w:color="auto" w:sz="4" w:space="0"/>
              <w:right w:val="single" w:color="auto" w:sz="4" w:space="0"/>
            </w:tcBorders>
            <w:vAlign w:val="center"/>
          </w:tcPr>
          <w:p w14:paraId="58AF4FB2">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44DF1BE6">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nil"/>
              <w:right w:val="single" w:color="auto" w:sz="4" w:space="0"/>
            </w:tcBorders>
          </w:tcPr>
          <w:p w14:paraId="53F805A6">
            <w:pPr>
              <w:snapToGrid w:val="0"/>
              <w:spacing w:before="120" w:after="120"/>
              <w:jc w:val="center"/>
              <w:rPr>
                <w:rFonts w:ascii="仿宋" w:hAnsi="仿宋" w:eastAsia="仿宋"/>
                <w:color w:val="auto"/>
                <w:sz w:val="24"/>
                <w:highlight w:val="none"/>
              </w:rPr>
            </w:pPr>
          </w:p>
        </w:tc>
      </w:tr>
      <w:tr w14:paraId="5E356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5400BB01">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vAlign w:val="center"/>
          </w:tcPr>
          <w:p w14:paraId="10D5832E">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0A4FE26B">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nil"/>
              <w:right w:val="single" w:color="auto" w:sz="4" w:space="0"/>
            </w:tcBorders>
          </w:tcPr>
          <w:p w14:paraId="7D7B9178">
            <w:pPr>
              <w:snapToGrid w:val="0"/>
              <w:spacing w:before="120" w:after="120"/>
              <w:jc w:val="center"/>
              <w:rPr>
                <w:rFonts w:ascii="仿宋" w:hAnsi="仿宋" w:eastAsia="仿宋"/>
                <w:color w:val="auto"/>
                <w:sz w:val="24"/>
                <w:highlight w:val="none"/>
              </w:rPr>
            </w:pPr>
          </w:p>
        </w:tc>
      </w:tr>
      <w:tr w14:paraId="45127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71EF2B40">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其他</w:t>
            </w:r>
          </w:p>
        </w:tc>
        <w:tc>
          <w:tcPr>
            <w:tcW w:w="3299" w:type="dxa"/>
            <w:tcBorders>
              <w:top w:val="single" w:color="auto" w:sz="4" w:space="0"/>
              <w:left w:val="single" w:color="auto" w:sz="4" w:space="0"/>
              <w:bottom w:val="single" w:color="auto" w:sz="4" w:space="0"/>
              <w:right w:val="single" w:color="auto" w:sz="4" w:space="0"/>
            </w:tcBorders>
            <w:vAlign w:val="center"/>
          </w:tcPr>
          <w:p w14:paraId="533F3EBC">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578034BC">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nil"/>
              <w:right w:val="single" w:color="auto" w:sz="4" w:space="0"/>
            </w:tcBorders>
          </w:tcPr>
          <w:p w14:paraId="51D37AD9">
            <w:pPr>
              <w:snapToGrid w:val="0"/>
              <w:spacing w:before="120" w:after="120"/>
              <w:jc w:val="center"/>
              <w:rPr>
                <w:rFonts w:ascii="仿宋" w:hAnsi="仿宋" w:eastAsia="仿宋"/>
                <w:color w:val="auto"/>
                <w:sz w:val="24"/>
                <w:highlight w:val="none"/>
              </w:rPr>
            </w:pPr>
          </w:p>
        </w:tc>
      </w:tr>
      <w:tr w14:paraId="18A94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7" w:type="dxa"/>
            <w:tcBorders>
              <w:top w:val="single" w:color="auto" w:sz="4" w:space="0"/>
              <w:left w:val="single" w:color="auto" w:sz="4" w:space="0"/>
              <w:bottom w:val="single" w:color="auto" w:sz="4" w:space="0"/>
              <w:right w:val="single" w:color="auto" w:sz="4" w:space="0"/>
            </w:tcBorders>
            <w:vAlign w:val="center"/>
          </w:tcPr>
          <w:p w14:paraId="37A68D48">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vAlign w:val="center"/>
          </w:tcPr>
          <w:p w14:paraId="2E9863D4">
            <w:pPr>
              <w:snapToGrid w:val="0"/>
              <w:spacing w:before="120" w:after="120"/>
              <w:jc w:val="center"/>
              <w:rPr>
                <w:rFonts w:ascii="仿宋" w:hAnsi="仿宋" w:eastAsia="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34443695">
            <w:pPr>
              <w:snapToGrid w:val="0"/>
              <w:spacing w:before="120" w:after="12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D1449B">
            <w:pPr>
              <w:snapToGrid w:val="0"/>
              <w:spacing w:before="120" w:after="120"/>
              <w:jc w:val="center"/>
              <w:rPr>
                <w:rFonts w:ascii="仿宋" w:hAnsi="仿宋" w:eastAsia="仿宋"/>
                <w:color w:val="auto"/>
                <w:sz w:val="24"/>
                <w:highlight w:val="none"/>
              </w:rPr>
            </w:pPr>
          </w:p>
        </w:tc>
      </w:tr>
    </w:tbl>
    <w:p w14:paraId="68D74180">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500EB5CE">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14:paraId="48C9B32F">
      <w:pPr>
        <w:spacing w:line="360" w:lineRule="auto"/>
        <w:ind w:right="4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14:paraId="5C28A1CB">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EA625BC">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450E72DA">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六、项目组织实施方案</w:t>
      </w:r>
    </w:p>
    <w:p w14:paraId="3219AE73">
      <w:pPr>
        <w:autoSpaceDE w:val="0"/>
        <w:autoSpaceDN w:val="0"/>
        <w:spacing w:line="360" w:lineRule="auto"/>
        <w:jc w:val="center"/>
        <w:outlineLvl w:val="2"/>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7E4B06EF">
      <w:pPr>
        <w:autoSpaceDE w:val="0"/>
        <w:autoSpaceDN w:val="0"/>
        <w:spacing w:line="360" w:lineRule="auto"/>
        <w:jc w:val="center"/>
        <w:outlineLvl w:val="1"/>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七、项目负责人情况表</w:t>
      </w:r>
    </w:p>
    <w:p w14:paraId="1215DAFB">
      <w:pPr>
        <w:spacing w:line="360" w:lineRule="auto"/>
        <w:jc w:val="center"/>
        <w:rPr>
          <w:rFonts w:ascii="仿宋" w:hAnsi="仿宋" w:eastAsia="仿宋" w:cs="仿宋_GB2312"/>
          <w:color w:val="auto"/>
          <w:sz w:val="24"/>
          <w:highlight w:val="none"/>
        </w:rPr>
      </w:pPr>
    </w:p>
    <w:tbl>
      <w:tblPr>
        <w:tblStyle w:val="17"/>
        <w:tblW w:w="9072" w:type="dxa"/>
        <w:tblInd w:w="108" w:type="dxa"/>
        <w:tblLayout w:type="fixed"/>
        <w:tblCellMar>
          <w:top w:w="0" w:type="dxa"/>
          <w:left w:w="108" w:type="dxa"/>
          <w:bottom w:w="0" w:type="dxa"/>
          <w:right w:w="108" w:type="dxa"/>
        </w:tblCellMar>
      </w:tblPr>
      <w:tblGrid>
        <w:gridCol w:w="1953"/>
        <w:gridCol w:w="1308"/>
        <w:gridCol w:w="5811"/>
      </w:tblGrid>
      <w:tr w14:paraId="431E504E">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60F380EF">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38F78D02">
            <w:pPr>
              <w:autoSpaceDE w:val="0"/>
              <w:autoSpaceDN w:val="0"/>
              <w:spacing w:line="360" w:lineRule="auto"/>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14:paraId="64068466">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1916F766">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2B8A4693">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14:paraId="3C0D66AC">
            <w:pPr>
              <w:autoSpaceDE w:val="0"/>
              <w:autoSpaceDN w:val="0"/>
              <w:spacing w:line="360" w:lineRule="auto"/>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50EBEF4F">
            <w:pPr>
              <w:autoSpaceDE w:val="0"/>
              <w:autoSpaceDN w:val="0"/>
              <w:spacing w:line="360" w:lineRule="auto"/>
              <w:jc w:val="center"/>
              <w:rPr>
                <w:rFonts w:ascii="仿宋" w:hAnsi="仿宋" w:eastAsia="仿宋" w:cs="仿宋_GB2312"/>
                <w:color w:val="auto"/>
                <w:sz w:val="24"/>
                <w:highlight w:val="none"/>
              </w:rPr>
            </w:pPr>
          </w:p>
        </w:tc>
      </w:tr>
      <w:tr w14:paraId="1C60B368">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456F85E4">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14:paraId="1DEF06F9">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D974804">
            <w:pPr>
              <w:autoSpaceDE w:val="0"/>
              <w:autoSpaceDN w:val="0"/>
              <w:spacing w:line="360" w:lineRule="auto"/>
              <w:jc w:val="center"/>
              <w:rPr>
                <w:rFonts w:ascii="仿宋" w:hAnsi="仿宋" w:eastAsia="仿宋" w:cs="仿宋_GB2312"/>
                <w:color w:val="auto"/>
                <w:sz w:val="24"/>
                <w:highlight w:val="none"/>
              </w:rPr>
            </w:pPr>
          </w:p>
        </w:tc>
      </w:tr>
      <w:tr w14:paraId="1046FEED">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461AB824">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14:paraId="2BA6DE83">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7B478B8">
            <w:pPr>
              <w:autoSpaceDE w:val="0"/>
              <w:autoSpaceDN w:val="0"/>
              <w:spacing w:line="360" w:lineRule="auto"/>
              <w:jc w:val="center"/>
              <w:rPr>
                <w:rFonts w:ascii="仿宋" w:hAnsi="仿宋" w:eastAsia="仿宋" w:cs="仿宋_GB2312"/>
                <w:color w:val="auto"/>
                <w:sz w:val="24"/>
                <w:highlight w:val="none"/>
              </w:rPr>
            </w:pPr>
          </w:p>
        </w:tc>
      </w:tr>
      <w:tr w14:paraId="67C9DD24">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166F3602">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14:paraId="61298EF6">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01B2A264">
            <w:pPr>
              <w:autoSpaceDE w:val="0"/>
              <w:autoSpaceDN w:val="0"/>
              <w:spacing w:line="360" w:lineRule="auto"/>
              <w:jc w:val="center"/>
              <w:rPr>
                <w:rFonts w:ascii="仿宋" w:hAnsi="仿宋" w:eastAsia="仿宋" w:cs="仿宋_GB2312"/>
                <w:color w:val="auto"/>
                <w:sz w:val="24"/>
                <w:highlight w:val="none"/>
              </w:rPr>
            </w:pPr>
          </w:p>
        </w:tc>
      </w:tr>
      <w:tr w14:paraId="145A26D9">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26452F00">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14:paraId="3BB3A1AC">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979BAD1">
            <w:pPr>
              <w:autoSpaceDE w:val="0"/>
              <w:autoSpaceDN w:val="0"/>
              <w:spacing w:line="360" w:lineRule="auto"/>
              <w:jc w:val="center"/>
              <w:rPr>
                <w:rFonts w:ascii="仿宋" w:hAnsi="仿宋" w:eastAsia="仿宋" w:cs="仿宋_GB2312"/>
                <w:color w:val="auto"/>
                <w:sz w:val="24"/>
                <w:highlight w:val="none"/>
              </w:rPr>
            </w:pPr>
          </w:p>
        </w:tc>
      </w:tr>
      <w:tr w14:paraId="6675DB5F">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1550FC7C">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14:paraId="62DB2362">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A6F0F54">
            <w:pPr>
              <w:autoSpaceDE w:val="0"/>
              <w:autoSpaceDN w:val="0"/>
              <w:spacing w:line="360" w:lineRule="auto"/>
              <w:jc w:val="center"/>
              <w:rPr>
                <w:rFonts w:ascii="仿宋" w:hAnsi="仿宋" w:eastAsia="仿宋" w:cs="仿宋_GB2312"/>
                <w:color w:val="auto"/>
                <w:sz w:val="24"/>
                <w:highlight w:val="none"/>
              </w:rPr>
            </w:pPr>
          </w:p>
        </w:tc>
      </w:tr>
      <w:tr w14:paraId="4EC306F3">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38AF4409">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14:paraId="6380B9BD">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65FE35F2">
            <w:pPr>
              <w:autoSpaceDE w:val="0"/>
              <w:autoSpaceDN w:val="0"/>
              <w:spacing w:line="360" w:lineRule="auto"/>
              <w:jc w:val="center"/>
              <w:rPr>
                <w:rFonts w:ascii="仿宋" w:hAnsi="仿宋" w:eastAsia="仿宋" w:cs="仿宋_GB2312"/>
                <w:color w:val="auto"/>
                <w:sz w:val="24"/>
                <w:highlight w:val="none"/>
              </w:rPr>
            </w:pPr>
          </w:p>
        </w:tc>
      </w:tr>
      <w:tr w14:paraId="47F949C9">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43C5B473">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14:paraId="419ED9B0">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8B1DB00">
            <w:pPr>
              <w:autoSpaceDE w:val="0"/>
              <w:autoSpaceDN w:val="0"/>
              <w:spacing w:line="360" w:lineRule="auto"/>
              <w:jc w:val="center"/>
              <w:rPr>
                <w:rFonts w:ascii="仿宋" w:hAnsi="仿宋" w:eastAsia="仿宋" w:cs="仿宋_GB2312"/>
                <w:color w:val="auto"/>
                <w:sz w:val="24"/>
                <w:highlight w:val="none"/>
              </w:rPr>
            </w:pPr>
          </w:p>
        </w:tc>
      </w:tr>
      <w:tr w14:paraId="3FECAEB7">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64519968">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14:paraId="56B7DC00">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68068861">
            <w:pPr>
              <w:autoSpaceDE w:val="0"/>
              <w:autoSpaceDN w:val="0"/>
              <w:spacing w:line="360" w:lineRule="auto"/>
              <w:jc w:val="center"/>
              <w:rPr>
                <w:rFonts w:ascii="仿宋" w:hAnsi="仿宋" w:eastAsia="仿宋" w:cs="仿宋_GB2312"/>
                <w:color w:val="auto"/>
                <w:sz w:val="24"/>
                <w:highlight w:val="none"/>
              </w:rPr>
            </w:pPr>
          </w:p>
        </w:tc>
      </w:tr>
    </w:tbl>
    <w:p w14:paraId="7DAD4F61">
      <w:pPr>
        <w:spacing w:line="360" w:lineRule="auto"/>
        <w:ind w:right="420"/>
        <w:rPr>
          <w:rFonts w:ascii="仿宋" w:hAnsi="仿宋" w:eastAsia="仿宋" w:cs="仿宋_GB2312"/>
          <w:color w:val="auto"/>
          <w:sz w:val="24"/>
          <w:highlight w:val="none"/>
        </w:rPr>
      </w:pPr>
    </w:p>
    <w:p w14:paraId="7F240D57">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371791AA">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2AB85AD3">
      <w:pPr>
        <w:spacing w:line="360" w:lineRule="auto"/>
        <w:jc w:val="center"/>
        <w:outlineLvl w:val="1"/>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八、项目组人员名单</w:t>
      </w:r>
    </w:p>
    <w:p w14:paraId="58A2D0D3">
      <w:pPr>
        <w:spacing w:line="360" w:lineRule="auto"/>
        <w:rPr>
          <w:rFonts w:ascii="仿宋" w:hAnsi="仿宋" w:eastAsia="仿宋" w:cs="仿宋_GB2312"/>
          <w:color w:val="auto"/>
          <w:sz w:val="24"/>
          <w:highlight w:val="none"/>
        </w:rPr>
      </w:pPr>
    </w:p>
    <w:tbl>
      <w:tblPr>
        <w:tblStyle w:val="17"/>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50C45ADD">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3C9B355A">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537EDFBA">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065F0335">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7A1A36E5">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1256E52B">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06C69195">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55CF6198">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195DA961">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724E1B6B">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14:paraId="6BC9C770">
            <w:pPr>
              <w:autoSpaceDE w:val="0"/>
              <w:autoSpaceDN w:val="0"/>
              <w:spacing w:line="360" w:lineRule="auto"/>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57D5D94D">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6E5D9B97">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3CCE024F">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75623F4A">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2CE5642A">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81DB995">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42D12880">
            <w:pPr>
              <w:autoSpaceDE w:val="0"/>
              <w:autoSpaceDN w:val="0"/>
              <w:spacing w:line="360" w:lineRule="auto"/>
              <w:rPr>
                <w:rFonts w:ascii="仿宋" w:hAnsi="仿宋" w:eastAsia="仿宋" w:cs="仿宋_GB2312"/>
                <w:color w:val="auto"/>
                <w:sz w:val="24"/>
                <w:highlight w:val="none"/>
              </w:rPr>
            </w:pPr>
          </w:p>
        </w:tc>
      </w:tr>
      <w:tr w14:paraId="4CB66960">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14:paraId="184CAD95">
            <w:pPr>
              <w:autoSpaceDE w:val="0"/>
              <w:autoSpaceDN w:val="0"/>
              <w:spacing w:line="360" w:lineRule="auto"/>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209DBBF9">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28821CE0">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0A8C3EC">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EE38EF0">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3CDE1AF8">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52207FE7">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071823CF">
            <w:pPr>
              <w:autoSpaceDE w:val="0"/>
              <w:autoSpaceDN w:val="0"/>
              <w:spacing w:line="360" w:lineRule="auto"/>
              <w:rPr>
                <w:rFonts w:ascii="仿宋" w:hAnsi="仿宋" w:eastAsia="仿宋" w:cs="仿宋_GB2312"/>
                <w:color w:val="auto"/>
                <w:sz w:val="24"/>
                <w:highlight w:val="none"/>
              </w:rPr>
            </w:pPr>
          </w:p>
        </w:tc>
      </w:tr>
    </w:tbl>
    <w:p w14:paraId="7608DEFA">
      <w:pPr>
        <w:autoSpaceDE w:val="0"/>
        <w:autoSpaceDN w:val="0"/>
        <w:spacing w:line="360" w:lineRule="auto"/>
        <w:ind w:firstLine="4578" w:firstLineChars="1900"/>
        <w:rPr>
          <w:rFonts w:ascii="仿宋" w:hAnsi="仿宋" w:eastAsia="仿宋" w:cs="仿宋_GB2312"/>
          <w:b/>
          <w:color w:val="auto"/>
          <w:sz w:val="24"/>
          <w:highlight w:val="none"/>
        </w:rPr>
      </w:pPr>
    </w:p>
    <w:p w14:paraId="7A098DD4">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78894CFA">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31515125">
      <w:pPr>
        <w:spacing w:line="360" w:lineRule="auto"/>
        <w:jc w:val="center"/>
        <w:outlineLvl w:val="1"/>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九、售后服务方案（如有）</w:t>
      </w:r>
    </w:p>
    <w:p w14:paraId="326F9D3E">
      <w:pPr>
        <w:autoSpaceDE w:val="0"/>
        <w:autoSpaceDN w:val="0"/>
        <w:spacing w:line="360" w:lineRule="auto"/>
        <w:jc w:val="center"/>
        <w:outlineLvl w:val="2"/>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409170F9">
      <w:pPr>
        <w:spacing w:line="360" w:lineRule="auto"/>
        <w:rPr>
          <w:rFonts w:ascii="仿宋" w:hAnsi="仿宋" w:eastAsia="仿宋" w:cs="仿宋_GB2312"/>
          <w:color w:val="auto"/>
          <w:sz w:val="24"/>
          <w:highlight w:val="none"/>
        </w:rPr>
      </w:pPr>
    </w:p>
    <w:p w14:paraId="091C999B">
      <w:pPr>
        <w:spacing w:line="360" w:lineRule="auto"/>
        <w:rPr>
          <w:rFonts w:ascii="仿宋" w:hAnsi="仿宋" w:eastAsia="仿宋" w:cs="仿宋_GB2312"/>
          <w:b/>
          <w:bCs/>
          <w:color w:val="auto"/>
          <w:sz w:val="32"/>
          <w:szCs w:val="32"/>
          <w:highlight w:val="none"/>
        </w:rPr>
      </w:pPr>
    </w:p>
    <w:p w14:paraId="2F1BB947">
      <w:pPr>
        <w:spacing w:line="360" w:lineRule="auto"/>
        <w:jc w:val="center"/>
        <w:outlineLvl w:val="1"/>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br w:type="textWrapping"/>
      </w:r>
      <w:r>
        <w:rPr>
          <w:rFonts w:hint="eastAsia" w:ascii="仿宋" w:hAnsi="仿宋" w:eastAsia="仿宋" w:cs="仿宋_GB2312"/>
          <w:b/>
          <w:bCs/>
          <w:color w:val="auto"/>
          <w:sz w:val="32"/>
          <w:szCs w:val="32"/>
          <w:highlight w:val="none"/>
        </w:rPr>
        <w:t>十、</w:t>
      </w:r>
      <w:r>
        <w:rPr>
          <w:rFonts w:hint="eastAsia" w:ascii="仿宋" w:hAnsi="仿宋" w:eastAsia="仿宋" w:cs="仿宋_GB2312"/>
          <w:b/>
          <w:color w:val="auto"/>
          <w:kern w:val="0"/>
          <w:sz w:val="32"/>
          <w:szCs w:val="32"/>
          <w:highlight w:val="none"/>
          <w:lang w:val="zh-CN"/>
        </w:rPr>
        <w:t>优惠条件及特殊承诺（如有）</w:t>
      </w:r>
    </w:p>
    <w:p w14:paraId="37CC23B4">
      <w:pPr>
        <w:spacing w:line="360" w:lineRule="auto"/>
        <w:jc w:val="center"/>
        <w:outlineLvl w:val="2"/>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221A5EA8">
      <w:pPr>
        <w:autoSpaceDE w:val="0"/>
        <w:autoSpaceDN w:val="0"/>
        <w:spacing w:line="360" w:lineRule="auto"/>
        <w:ind w:firstLine="120"/>
        <w:rPr>
          <w:rFonts w:ascii="仿宋" w:hAnsi="仿宋" w:eastAsia="仿宋" w:cs="仿宋_GB2312"/>
          <w:color w:val="auto"/>
          <w:kern w:val="0"/>
          <w:sz w:val="24"/>
          <w:highlight w:val="none"/>
        </w:rPr>
      </w:pPr>
    </w:p>
    <w:p w14:paraId="41DA50B3">
      <w:pPr>
        <w:autoSpaceDE w:val="0"/>
        <w:autoSpaceDN w:val="0"/>
        <w:spacing w:line="360" w:lineRule="auto"/>
        <w:ind w:firstLine="120"/>
        <w:rPr>
          <w:rFonts w:ascii="仿宋" w:hAnsi="仿宋" w:eastAsia="仿宋" w:cs="仿宋_GB2312"/>
          <w:color w:val="auto"/>
          <w:sz w:val="24"/>
          <w:highlight w:val="none"/>
        </w:rPr>
      </w:pPr>
    </w:p>
    <w:p w14:paraId="48557AE3">
      <w:pPr>
        <w:spacing w:line="360" w:lineRule="auto"/>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textWrapping"/>
      </w:r>
      <w:r>
        <w:rPr>
          <w:rFonts w:hint="eastAsia" w:ascii="仿宋" w:hAnsi="仿宋" w:eastAsia="仿宋" w:cs="仿宋_GB2312"/>
          <w:b/>
          <w:bCs/>
          <w:color w:val="auto"/>
          <w:sz w:val="32"/>
          <w:szCs w:val="32"/>
          <w:highlight w:val="none"/>
        </w:rPr>
        <w:t>十一、投标人认为需要的其他商务技术文件或说明</w:t>
      </w:r>
    </w:p>
    <w:p w14:paraId="791D80A1">
      <w:pPr>
        <w:spacing w:line="360" w:lineRule="auto"/>
        <w:jc w:val="center"/>
        <w:outlineLvl w:val="2"/>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D8964CF">
      <w:pPr>
        <w:spacing w:line="360" w:lineRule="auto"/>
        <w:jc w:val="center"/>
        <w:rPr>
          <w:rFonts w:ascii="仿宋" w:hAnsi="仿宋" w:eastAsia="仿宋" w:cs="仿宋_GB2312"/>
          <w:color w:val="auto"/>
          <w:sz w:val="24"/>
          <w:highlight w:val="none"/>
        </w:rPr>
      </w:pPr>
    </w:p>
    <w:p w14:paraId="56CBC388">
      <w:pPr>
        <w:spacing w:line="360" w:lineRule="auto"/>
        <w:rPr>
          <w:rFonts w:ascii="仿宋" w:hAnsi="仿宋" w:eastAsia="仿宋" w:cs="仿宋_GB2312"/>
          <w:b/>
          <w:bCs/>
          <w:color w:val="auto"/>
          <w:sz w:val="30"/>
          <w:szCs w:val="30"/>
          <w:highlight w:val="none"/>
        </w:rPr>
      </w:pPr>
    </w:p>
    <w:p w14:paraId="63087E8B">
      <w:pPr>
        <w:snapToGrid w:val="0"/>
        <w:spacing w:line="360" w:lineRule="auto"/>
        <w:rPr>
          <w:rFonts w:ascii="仿宋" w:hAnsi="仿宋" w:eastAsia="仿宋" w:cs="仿宋_GB2312"/>
          <w:color w:val="auto"/>
          <w:kern w:val="44"/>
          <w:sz w:val="24"/>
          <w:szCs w:val="20"/>
          <w:highlight w:val="none"/>
        </w:rPr>
      </w:pPr>
    </w:p>
    <w:p w14:paraId="5CF7EAAF">
      <w:pPr>
        <w:snapToGrid w:val="0"/>
        <w:spacing w:line="360" w:lineRule="auto"/>
        <w:rPr>
          <w:rFonts w:ascii="仿宋" w:hAnsi="仿宋" w:eastAsia="仿宋" w:cs="仿宋_GB2312"/>
          <w:color w:val="auto"/>
          <w:kern w:val="44"/>
          <w:sz w:val="24"/>
          <w:szCs w:val="20"/>
          <w:highlight w:val="none"/>
        </w:rPr>
      </w:pPr>
    </w:p>
    <w:p w14:paraId="667B3FB1">
      <w:pPr>
        <w:snapToGrid w:val="0"/>
        <w:spacing w:line="360" w:lineRule="auto"/>
        <w:rPr>
          <w:rFonts w:ascii="仿宋" w:hAnsi="仿宋" w:eastAsia="仿宋" w:cs="仿宋_GB2312"/>
          <w:color w:val="auto"/>
          <w:kern w:val="44"/>
          <w:sz w:val="24"/>
          <w:szCs w:val="20"/>
          <w:highlight w:val="none"/>
        </w:rPr>
      </w:pPr>
    </w:p>
    <w:p w14:paraId="07D6F74D">
      <w:pPr>
        <w:snapToGrid w:val="0"/>
        <w:spacing w:line="360" w:lineRule="auto"/>
        <w:rPr>
          <w:rFonts w:ascii="仿宋" w:hAnsi="仿宋" w:eastAsia="仿宋" w:cs="仿宋_GB2312"/>
          <w:color w:val="auto"/>
          <w:kern w:val="44"/>
          <w:sz w:val="24"/>
          <w:szCs w:val="20"/>
          <w:highlight w:val="none"/>
        </w:rPr>
      </w:pPr>
    </w:p>
    <w:p w14:paraId="69A25AFB">
      <w:pPr>
        <w:snapToGrid w:val="0"/>
        <w:spacing w:line="360" w:lineRule="auto"/>
        <w:rPr>
          <w:rFonts w:ascii="仿宋" w:hAnsi="仿宋" w:eastAsia="仿宋" w:cs="仿宋_GB2312"/>
          <w:color w:val="auto"/>
          <w:kern w:val="44"/>
          <w:sz w:val="24"/>
          <w:szCs w:val="20"/>
          <w:highlight w:val="none"/>
        </w:rPr>
      </w:pPr>
    </w:p>
    <w:p w14:paraId="5C57F308">
      <w:pPr>
        <w:snapToGrid w:val="0"/>
        <w:spacing w:line="360" w:lineRule="auto"/>
        <w:rPr>
          <w:rFonts w:ascii="仿宋" w:hAnsi="仿宋" w:eastAsia="仿宋" w:cs="仿宋_GB2312"/>
          <w:color w:val="auto"/>
          <w:kern w:val="44"/>
          <w:sz w:val="24"/>
          <w:szCs w:val="20"/>
          <w:highlight w:val="none"/>
        </w:rPr>
      </w:pPr>
    </w:p>
    <w:p w14:paraId="68E31600">
      <w:pPr>
        <w:pStyle w:val="7"/>
        <w:rPr>
          <w:color w:val="auto"/>
          <w:highlight w:val="none"/>
          <w:lang w:val="en-US"/>
        </w:rPr>
      </w:pPr>
    </w:p>
    <w:p w14:paraId="754C5065">
      <w:pPr>
        <w:pStyle w:val="7"/>
        <w:rPr>
          <w:color w:val="auto"/>
          <w:highlight w:val="none"/>
          <w:lang w:val="en-US"/>
        </w:rPr>
      </w:pPr>
    </w:p>
    <w:p w14:paraId="4C534FE0">
      <w:pPr>
        <w:tabs>
          <w:tab w:val="left" w:pos="2430"/>
        </w:tabs>
        <w:rPr>
          <w:rFonts w:ascii="仿宋" w:hAnsi="仿宋" w:eastAsia="仿宋" w:cs="仿宋_GB2312"/>
          <w:color w:val="auto"/>
          <w:sz w:val="24"/>
          <w:highlight w:val="none"/>
        </w:rPr>
      </w:pPr>
      <w:r>
        <w:rPr>
          <w:rFonts w:ascii="仿宋" w:hAnsi="仿宋" w:eastAsia="仿宋" w:cs="仿宋_GB2312"/>
          <w:color w:val="auto"/>
          <w:sz w:val="24"/>
          <w:highlight w:val="none"/>
        </w:rPr>
        <w:tab/>
      </w:r>
    </w:p>
    <w:p w14:paraId="6812536A">
      <w:pPr>
        <w:pStyle w:val="7"/>
        <w:rPr>
          <w:color w:val="auto"/>
          <w:highlight w:val="none"/>
          <w:lang w:val="en-US"/>
        </w:rPr>
      </w:pPr>
    </w:p>
    <w:p w14:paraId="745D55D6">
      <w:pPr>
        <w:pStyle w:val="7"/>
        <w:rPr>
          <w:color w:val="auto"/>
          <w:highlight w:val="none"/>
          <w:lang w:val="en-US"/>
        </w:rPr>
      </w:pPr>
    </w:p>
    <w:p w14:paraId="3146F6A3">
      <w:pPr>
        <w:pStyle w:val="7"/>
        <w:rPr>
          <w:color w:val="auto"/>
          <w:highlight w:val="none"/>
          <w:lang w:val="en-US"/>
        </w:rPr>
      </w:pPr>
    </w:p>
    <w:p w14:paraId="1404DE47">
      <w:pPr>
        <w:pStyle w:val="7"/>
        <w:rPr>
          <w:color w:val="auto"/>
          <w:highlight w:val="none"/>
          <w:lang w:val="en-US"/>
        </w:rPr>
      </w:pPr>
    </w:p>
    <w:p w14:paraId="2CE29444">
      <w:pPr>
        <w:pStyle w:val="7"/>
        <w:rPr>
          <w:color w:val="auto"/>
          <w:highlight w:val="none"/>
          <w:lang w:val="en-US"/>
        </w:rPr>
      </w:pPr>
    </w:p>
    <w:p w14:paraId="3935D326">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3B08C038">
      <w:pPr>
        <w:spacing w:line="360" w:lineRule="auto"/>
        <w:jc w:val="center"/>
        <w:outlineLvl w:val="0"/>
        <w:rPr>
          <w:rFonts w:ascii="仿宋" w:hAnsi="仿宋" w:eastAsia="仿宋" w:cs="仿宋_GB2312"/>
          <w:b/>
          <w:color w:val="auto"/>
          <w:kern w:val="0"/>
          <w:sz w:val="24"/>
          <w:highlight w:val="none"/>
        </w:rPr>
      </w:pPr>
    </w:p>
    <w:p w14:paraId="263B1080">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1D17FA61">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（1）投标（开标）一览表……………………………………………………（页码）</w:t>
      </w:r>
    </w:p>
    <w:p w14:paraId="025E50A9">
      <w:pPr>
        <w:spacing w:line="360" w:lineRule="auto"/>
        <w:ind w:left="2"/>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(2) 投标人针对报价需要说明的其他文件和说明（如有，格式自拟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7072CC49">
      <w:pPr>
        <w:spacing w:line="360" w:lineRule="auto"/>
        <w:ind w:left="2" w:firstLine="480" w:firstLineChars="200"/>
        <w:rPr>
          <w:rFonts w:ascii="仿宋" w:hAnsi="仿宋" w:eastAsia="仿宋" w:cs="仿宋_GB2312"/>
          <w:color w:val="auto"/>
          <w:sz w:val="24"/>
          <w:highlight w:val="none"/>
        </w:rPr>
      </w:pPr>
    </w:p>
    <w:p w14:paraId="596CD13A">
      <w:pPr>
        <w:spacing w:line="360" w:lineRule="auto"/>
        <w:ind w:left="2" w:firstLine="480" w:firstLineChars="200"/>
        <w:rPr>
          <w:rFonts w:ascii="仿宋" w:hAnsi="仿宋" w:eastAsia="仿宋" w:cs="仿宋_GB2312"/>
          <w:color w:val="auto"/>
          <w:sz w:val="24"/>
          <w:highlight w:val="none"/>
        </w:rPr>
      </w:pPr>
    </w:p>
    <w:p w14:paraId="0A17C846">
      <w:pPr>
        <w:pStyle w:val="7"/>
        <w:rPr>
          <w:color w:val="auto"/>
          <w:highlight w:val="none"/>
          <w:lang w:val="en-US"/>
        </w:rPr>
      </w:pPr>
    </w:p>
    <w:p w14:paraId="02015F64">
      <w:pPr>
        <w:pStyle w:val="7"/>
        <w:rPr>
          <w:color w:val="auto"/>
          <w:highlight w:val="none"/>
          <w:lang w:val="en-US"/>
        </w:rPr>
      </w:pPr>
    </w:p>
    <w:p w14:paraId="1EE64D07">
      <w:pPr>
        <w:pStyle w:val="7"/>
        <w:rPr>
          <w:color w:val="auto"/>
          <w:highlight w:val="none"/>
          <w:lang w:val="en-US"/>
        </w:rPr>
      </w:pPr>
    </w:p>
    <w:p w14:paraId="3400905D">
      <w:pPr>
        <w:pStyle w:val="7"/>
        <w:rPr>
          <w:color w:val="auto"/>
          <w:highlight w:val="none"/>
          <w:lang w:val="en-US"/>
        </w:rPr>
      </w:pPr>
    </w:p>
    <w:p w14:paraId="49DAE577">
      <w:pPr>
        <w:pStyle w:val="7"/>
        <w:rPr>
          <w:color w:val="auto"/>
          <w:highlight w:val="none"/>
          <w:lang w:val="en-US"/>
        </w:rPr>
      </w:pPr>
    </w:p>
    <w:p w14:paraId="51E3E86E">
      <w:pPr>
        <w:pStyle w:val="7"/>
        <w:rPr>
          <w:color w:val="auto"/>
          <w:highlight w:val="none"/>
          <w:lang w:val="en-US"/>
        </w:rPr>
      </w:pPr>
    </w:p>
    <w:p w14:paraId="34CFC5BC">
      <w:pPr>
        <w:pStyle w:val="7"/>
        <w:rPr>
          <w:color w:val="auto"/>
          <w:highlight w:val="none"/>
          <w:lang w:val="en-US"/>
        </w:rPr>
      </w:pPr>
    </w:p>
    <w:p w14:paraId="589CF9F7">
      <w:pPr>
        <w:pStyle w:val="7"/>
        <w:rPr>
          <w:color w:val="auto"/>
          <w:highlight w:val="none"/>
          <w:lang w:val="en-US"/>
        </w:rPr>
      </w:pPr>
    </w:p>
    <w:p w14:paraId="5DCDDDB6">
      <w:pPr>
        <w:pStyle w:val="7"/>
        <w:rPr>
          <w:color w:val="auto"/>
          <w:highlight w:val="none"/>
          <w:lang w:val="en-US"/>
        </w:rPr>
      </w:pPr>
    </w:p>
    <w:p w14:paraId="0696C1FA">
      <w:pPr>
        <w:pStyle w:val="7"/>
        <w:rPr>
          <w:color w:val="auto"/>
          <w:highlight w:val="none"/>
          <w:lang w:val="en-US"/>
        </w:rPr>
      </w:pPr>
    </w:p>
    <w:p w14:paraId="342833FA">
      <w:pPr>
        <w:pStyle w:val="7"/>
        <w:rPr>
          <w:color w:val="auto"/>
          <w:highlight w:val="none"/>
          <w:lang w:val="en-US"/>
        </w:rPr>
      </w:pPr>
    </w:p>
    <w:p w14:paraId="69D0BBD9">
      <w:pPr>
        <w:pStyle w:val="7"/>
        <w:rPr>
          <w:color w:val="auto"/>
          <w:highlight w:val="none"/>
          <w:lang w:val="en-US"/>
        </w:rPr>
      </w:pPr>
    </w:p>
    <w:p w14:paraId="4811C490">
      <w:pPr>
        <w:pStyle w:val="7"/>
        <w:rPr>
          <w:color w:val="auto"/>
          <w:highlight w:val="none"/>
          <w:lang w:val="en-US"/>
        </w:rPr>
      </w:pPr>
    </w:p>
    <w:p w14:paraId="322FDEAF">
      <w:pPr>
        <w:pStyle w:val="7"/>
        <w:rPr>
          <w:color w:val="auto"/>
          <w:highlight w:val="none"/>
          <w:lang w:val="en-US"/>
        </w:rPr>
      </w:pPr>
    </w:p>
    <w:p w14:paraId="577468B3">
      <w:pPr>
        <w:pStyle w:val="7"/>
        <w:rPr>
          <w:color w:val="auto"/>
          <w:highlight w:val="none"/>
          <w:lang w:val="en-US"/>
        </w:rPr>
      </w:pPr>
    </w:p>
    <w:p w14:paraId="78210A32">
      <w:pPr>
        <w:pStyle w:val="7"/>
        <w:rPr>
          <w:color w:val="auto"/>
          <w:highlight w:val="none"/>
          <w:lang w:val="en-US"/>
        </w:rPr>
      </w:pPr>
    </w:p>
    <w:p w14:paraId="3823A833">
      <w:pPr>
        <w:pStyle w:val="7"/>
        <w:rPr>
          <w:color w:val="auto"/>
          <w:highlight w:val="none"/>
          <w:lang w:val="en-US"/>
        </w:rPr>
      </w:pPr>
    </w:p>
    <w:p w14:paraId="6DEEE0DE">
      <w:pPr>
        <w:pStyle w:val="7"/>
        <w:rPr>
          <w:color w:val="auto"/>
          <w:highlight w:val="none"/>
          <w:lang w:val="en-US"/>
        </w:rPr>
      </w:pPr>
    </w:p>
    <w:p w14:paraId="64C4D3C7">
      <w:pPr>
        <w:pStyle w:val="7"/>
        <w:rPr>
          <w:color w:val="auto"/>
          <w:highlight w:val="none"/>
          <w:lang w:val="en-US"/>
        </w:rPr>
      </w:pPr>
    </w:p>
    <w:p w14:paraId="59F1928B">
      <w:pPr>
        <w:pStyle w:val="7"/>
        <w:rPr>
          <w:color w:val="auto"/>
          <w:highlight w:val="none"/>
          <w:lang w:val="en-US"/>
        </w:rPr>
      </w:pPr>
    </w:p>
    <w:p w14:paraId="3E2B292B">
      <w:pPr>
        <w:widowControl/>
        <w:adjustRightInd/>
        <w:jc w:val="left"/>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br w:type="page"/>
      </w:r>
    </w:p>
    <w:p w14:paraId="4F27952C">
      <w:pPr>
        <w:widowControl/>
        <w:adjustRightInd/>
        <w:jc w:val="center"/>
        <w:rPr>
          <w:rFonts w:ascii="宋体" w:hAnsi="Arial" w:cs="Arial"/>
          <w:snapToGrid w:val="0"/>
          <w:color w:val="auto"/>
          <w:sz w:val="24"/>
          <w:szCs w:val="21"/>
          <w:highlight w:val="none"/>
        </w:rPr>
      </w:pPr>
      <w:r>
        <w:rPr>
          <w:rFonts w:hint="eastAsia" w:ascii="仿宋" w:hAnsi="仿宋" w:eastAsia="仿宋" w:cs="仿宋_GB2312"/>
          <w:color w:val="auto"/>
          <w:sz w:val="32"/>
          <w:szCs w:val="32"/>
          <w:highlight w:val="none"/>
        </w:rPr>
        <w:t>一、开标一览表(报价表)</w:t>
      </w:r>
    </w:p>
    <w:p w14:paraId="33338F1B">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14:paraId="42F00B28">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17"/>
        <w:tblW w:w="8322"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52"/>
        <w:gridCol w:w="1134"/>
        <w:gridCol w:w="1134"/>
        <w:gridCol w:w="1134"/>
        <w:gridCol w:w="992"/>
        <w:gridCol w:w="992"/>
        <w:gridCol w:w="992"/>
      </w:tblGrid>
      <w:tr w14:paraId="0427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0469328B">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52" w:type="dxa"/>
            <w:vAlign w:val="center"/>
          </w:tcPr>
          <w:p w14:paraId="539B4035">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服务内容</w:t>
            </w:r>
          </w:p>
        </w:tc>
        <w:tc>
          <w:tcPr>
            <w:tcW w:w="1134" w:type="dxa"/>
            <w:vAlign w:val="center"/>
          </w:tcPr>
          <w:p w14:paraId="1DF787EB">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经济合作社审计年度</w:t>
            </w:r>
          </w:p>
        </w:tc>
        <w:tc>
          <w:tcPr>
            <w:tcW w:w="1134" w:type="dxa"/>
            <w:vAlign w:val="center"/>
          </w:tcPr>
          <w:p w14:paraId="5CEB4FF8">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社/年/元</w:t>
            </w:r>
          </w:p>
        </w:tc>
        <w:tc>
          <w:tcPr>
            <w:tcW w:w="1134" w:type="dxa"/>
            <w:vAlign w:val="center"/>
          </w:tcPr>
          <w:p w14:paraId="55D0D84E">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强村公司审计年度</w:t>
            </w:r>
          </w:p>
        </w:tc>
        <w:tc>
          <w:tcPr>
            <w:tcW w:w="992" w:type="dxa"/>
          </w:tcPr>
          <w:p w14:paraId="227D7D57">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公司/年/元</w:t>
            </w:r>
          </w:p>
        </w:tc>
        <w:tc>
          <w:tcPr>
            <w:tcW w:w="992" w:type="dxa"/>
          </w:tcPr>
          <w:p w14:paraId="2DC3593F">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总价</w:t>
            </w:r>
          </w:p>
          <w:p w14:paraId="5E1D039E">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（元）</w:t>
            </w:r>
          </w:p>
        </w:tc>
        <w:tc>
          <w:tcPr>
            <w:tcW w:w="992" w:type="dxa"/>
            <w:vAlign w:val="center"/>
          </w:tcPr>
          <w:p w14:paraId="17BCE5B4">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p>
        </w:tc>
      </w:tr>
      <w:tr w14:paraId="5F71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663E7C82">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452" w:type="dxa"/>
            <w:vAlign w:val="center"/>
          </w:tcPr>
          <w:p w14:paraId="15B82F7D">
            <w:pPr>
              <w:snapToGrid w:val="0"/>
              <w:spacing w:line="360" w:lineRule="auto"/>
              <w:jc w:val="center"/>
              <w:rPr>
                <w:rFonts w:ascii="仿宋" w:hAnsi="仿宋" w:eastAsia="仿宋" w:cs="仿宋_GB2312"/>
                <w:color w:val="auto"/>
                <w:sz w:val="24"/>
                <w:highlight w:val="none"/>
              </w:rPr>
            </w:pPr>
          </w:p>
        </w:tc>
        <w:tc>
          <w:tcPr>
            <w:tcW w:w="1134" w:type="dxa"/>
            <w:vAlign w:val="center"/>
          </w:tcPr>
          <w:p w14:paraId="637DAFCC">
            <w:pPr>
              <w:snapToGrid w:val="0"/>
              <w:spacing w:line="360" w:lineRule="auto"/>
              <w:jc w:val="center"/>
              <w:rPr>
                <w:rFonts w:ascii="仿宋" w:hAnsi="仿宋" w:eastAsia="仿宋" w:cs="仿宋_GB2312"/>
                <w:color w:val="auto"/>
                <w:sz w:val="24"/>
                <w:highlight w:val="none"/>
              </w:rPr>
            </w:pPr>
          </w:p>
        </w:tc>
        <w:tc>
          <w:tcPr>
            <w:tcW w:w="1134" w:type="dxa"/>
            <w:vAlign w:val="center"/>
          </w:tcPr>
          <w:p w14:paraId="5790B0EC">
            <w:pPr>
              <w:spacing w:line="360" w:lineRule="auto"/>
              <w:jc w:val="center"/>
              <w:rPr>
                <w:rFonts w:ascii="仿宋" w:hAnsi="仿宋" w:eastAsia="仿宋" w:cs="仿宋_GB2312"/>
                <w:color w:val="auto"/>
                <w:sz w:val="24"/>
                <w:highlight w:val="none"/>
              </w:rPr>
            </w:pPr>
          </w:p>
        </w:tc>
        <w:tc>
          <w:tcPr>
            <w:tcW w:w="1134" w:type="dxa"/>
            <w:vAlign w:val="center"/>
          </w:tcPr>
          <w:p w14:paraId="1D1FC31E">
            <w:pPr>
              <w:spacing w:line="360" w:lineRule="auto"/>
              <w:jc w:val="center"/>
              <w:rPr>
                <w:rFonts w:ascii="仿宋" w:hAnsi="仿宋" w:eastAsia="仿宋" w:cs="仿宋_GB2312"/>
                <w:color w:val="auto"/>
                <w:sz w:val="24"/>
                <w:highlight w:val="none"/>
              </w:rPr>
            </w:pPr>
          </w:p>
        </w:tc>
        <w:tc>
          <w:tcPr>
            <w:tcW w:w="992" w:type="dxa"/>
          </w:tcPr>
          <w:p w14:paraId="3812411A">
            <w:pPr>
              <w:spacing w:line="360" w:lineRule="auto"/>
              <w:jc w:val="center"/>
              <w:rPr>
                <w:rFonts w:ascii="仿宋" w:hAnsi="仿宋" w:eastAsia="仿宋" w:cs="仿宋_GB2312"/>
                <w:color w:val="auto"/>
                <w:sz w:val="24"/>
                <w:highlight w:val="none"/>
              </w:rPr>
            </w:pPr>
          </w:p>
        </w:tc>
        <w:tc>
          <w:tcPr>
            <w:tcW w:w="992" w:type="dxa"/>
          </w:tcPr>
          <w:p w14:paraId="7EDA1076">
            <w:pPr>
              <w:spacing w:line="360" w:lineRule="auto"/>
              <w:jc w:val="center"/>
              <w:rPr>
                <w:rFonts w:ascii="仿宋" w:hAnsi="仿宋" w:eastAsia="仿宋" w:cs="仿宋_GB2312"/>
                <w:color w:val="auto"/>
                <w:sz w:val="24"/>
                <w:highlight w:val="none"/>
              </w:rPr>
            </w:pPr>
          </w:p>
        </w:tc>
        <w:tc>
          <w:tcPr>
            <w:tcW w:w="992" w:type="dxa"/>
            <w:vAlign w:val="center"/>
          </w:tcPr>
          <w:p w14:paraId="6ADF5503">
            <w:pPr>
              <w:spacing w:line="360" w:lineRule="auto"/>
              <w:jc w:val="center"/>
              <w:rPr>
                <w:rFonts w:ascii="仿宋" w:hAnsi="仿宋" w:eastAsia="仿宋" w:cs="仿宋_GB2312"/>
                <w:color w:val="auto"/>
                <w:sz w:val="24"/>
                <w:highlight w:val="none"/>
              </w:rPr>
            </w:pPr>
          </w:p>
        </w:tc>
      </w:tr>
      <w:tr w14:paraId="0CA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14687D8A">
            <w:pPr>
              <w:spacing w:line="360" w:lineRule="auto"/>
              <w:jc w:val="center"/>
              <w:rPr>
                <w:rFonts w:ascii="仿宋" w:hAnsi="仿宋" w:eastAsia="仿宋"/>
                <w:b/>
                <w:color w:val="auto"/>
                <w:sz w:val="24"/>
                <w:highlight w:val="none"/>
              </w:rPr>
            </w:pPr>
          </w:p>
        </w:tc>
        <w:tc>
          <w:tcPr>
            <w:tcW w:w="1452" w:type="dxa"/>
            <w:vAlign w:val="center"/>
          </w:tcPr>
          <w:p w14:paraId="74EC7924">
            <w:pPr>
              <w:snapToGrid w:val="0"/>
              <w:spacing w:line="360" w:lineRule="auto"/>
              <w:jc w:val="center"/>
              <w:rPr>
                <w:rFonts w:ascii="仿宋" w:hAnsi="仿宋" w:eastAsia="仿宋" w:cs="仿宋_GB2312"/>
                <w:color w:val="auto"/>
                <w:sz w:val="24"/>
                <w:highlight w:val="none"/>
              </w:rPr>
            </w:pPr>
          </w:p>
        </w:tc>
        <w:tc>
          <w:tcPr>
            <w:tcW w:w="1134" w:type="dxa"/>
            <w:vAlign w:val="center"/>
          </w:tcPr>
          <w:p w14:paraId="46AEB5AA">
            <w:pPr>
              <w:snapToGrid w:val="0"/>
              <w:spacing w:line="360" w:lineRule="auto"/>
              <w:jc w:val="center"/>
              <w:rPr>
                <w:rFonts w:ascii="仿宋" w:hAnsi="仿宋" w:eastAsia="仿宋" w:cs="仿宋_GB2312"/>
                <w:color w:val="auto"/>
                <w:sz w:val="24"/>
                <w:highlight w:val="none"/>
              </w:rPr>
            </w:pPr>
          </w:p>
        </w:tc>
        <w:tc>
          <w:tcPr>
            <w:tcW w:w="1134" w:type="dxa"/>
            <w:vAlign w:val="center"/>
          </w:tcPr>
          <w:p w14:paraId="462F3DD7">
            <w:pPr>
              <w:spacing w:line="360" w:lineRule="auto"/>
              <w:jc w:val="center"/>
              <w:rPr>
                <w:rFonts w:ascii="仿宋" w:hAnsi="仿宋" w:eastAsia="仿宋" w:cs="仿宋_GB2312"/>
                <w:color w:val="auto"/>
                <w:sz w:val="24"/>
                <w:highlight w:val="none"/>
              </w:rPr>
            </w:pPr>
          </w:p>
        </w:tc>
        <w:tc>
          <w:tcPr>
            <w:tcW w:w="1134" w:type="dxa"/>
            <w:vAlign w:val="center"/>
          </w:tcPr>
          <w:p w14:paraId="28433477">
            <w:pPr>
              <w:spacing w:line="360" w:lineRule="auto"/>
              <w:jc w:val="center"/>
              <w:rPr>
                <w:rFonts w:ascii="仿宋" w:hAnsi="仿宋" w:eastAsia="仿宋" w:cs="仿宋_GB2312"/>
                <w:color w:val="auto"/>
                <w:sz w:val="24"/>
                <w:highlight w:val="none"/>
              </w:rPr>
            </w:pPr>
          </w:p>
        </w:tc>
        <w:tc>
          <w:tcPr>
            <w:tcW w:w="992" w:type="dxa"/>
          </w:tcPr>
          <w:p w14:paraId="285433FA">
            <w:pPr>
              <w:spacing w:line="360" w:lineRule="auto"/>
              <w:jc w:val="center"/>
              <w:rPr>
                <w:rFonts w:ascii="仿宋" w:hAnsi="仿宋" w:eastAsia="仿宋" w:cs="仿宋_GB2312"/>
                <w:color w:val="auto"/>
                <w:sz w:val="24"/>
                <w:highlight w:val="none"/>
              </w:rPr>
            </w:pPr>
          </w:p>
        </w:tc>
        <w:tc>
          <w:tcPr>
            <w:tcW w:w="992" w:type="dxa"/>
          </w:tcPr>
          <w:p w14:paraId="3536FBBA">
            <w:pPr>
              <w:spacing w:line="360" w:lineRule="auto"/>
              <w:jc w:val="center"/>
              <w:rPr>
                <w:rFonts w:ascii="仿宋" w:hAnsi="仿宋" w:eastAsia="仿宋" w:cs="仿宋_GB2312"/>
                <w:color w:val="auto"/>
                <w:sz w:val="24"/>
                <w:highlight w:val="none"/>
              </w:rPr>
            </w:pPr>
          </w:p>
        </w:tc>
        <w:tc>
          <w:tcPr>
            <w:tcW w:w="992" w:type="dxa"/>
            <w:vAlign w:val="center"/>
          </w:tcPr>
          <w:p w14:paraId="5F9DA2EA">
            <w:pPr>
              <w:spacing w:line="360" w:lineRule="auto"/>
              <w:jc w:val="center"/>
              <w:rPr>
                <w:rFonts w:ascii="仿宋" w:hAnsi="仿宋" w:eastAsia="仿宋" w:cs="仿宋_GB2312"/>
                <w:color w:val="auto"/>
                <w:sz w:val="24"/>
                <w:highlight w:val="none"/>
              </w:rPr>
            </w:pPr>
          </w:p>
        </w:tc>
      </w:tr>
      <w:tr w14:paraId="5080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2C815BE4">
            <w:pPr>
              <w:spacing w:line="360" w:lineRule="auto"/>
              <w:jc w:val="center"/>
              <w:rPr>
                <w:rFonts w:ascii="仿宋" w:hAnsi="仿宋" w:eastAsia="仿宋"/>
                <w:b/>
                <w:color w:val="auto"/>
                <w:sz w:val="24"/>
                <w:highlight w:val="none"/>
              </w:rPr>
            </w:pPr>
          </w:p>
        </w:tc>
        <w:tc>
          <w:tcPr>
            <w:tcW w:w="1452" w:type="dxa"/>
            <w:vAlign w:val="center"/>
          </w:tcPr>
          <w:p w14:paraId="0B050913">
            <w:pPr>
              <w:snapToGrid w:val="0"/>
              <w:spacing w:line="360" w:lineRule="auto"/>
              <w:jc w:val="center"/>
              <w:rPr>
                <w:rFonts w:ascii="仿宋" w:hAnsi="仿宋" w:eastAsia="仿宋" w:cs="仿宋_GB2312"/>
                <w:color w:val="auto"/>
                <w:sz w:val="24"/>
                <w:highlight w:val="none"/>
              </w:rPr>
            </w:pPr>
          </w:p>
        </w:tc>
        <w:tc>
          <w:tcPr>
            <w:tcW w:w="1134" w:type="dxa"/>
            <w:vAlign w:val="center"/>
          </w:tcPr>
          <w:p w14:paraId="439BEE95">
            <w:pPr>
              <w:snapToGrid w:val="0"/>
              <w:spacing w:line="360" w:lineRule="auto"/>
              <w:jc w:val="center"/>
              <w:rPr>
                <w:rFonts w:ascii="仿宋" w:hAnsi="仿宋" w:eastAsia="仿宋" w:cs="仿宋_GB2312"/>
                <w:color w:val="auto"/>
                <w:sz w:val="24"/>
                <w:highlight w:val="none"/>
              </w:rPr>
            </w:pPr>
          </w:p>
        </w:tc>
        <w:tc>
          <w:tcPr>
            <w:tcW w:w="1134" w:type="dxa"/>
            <w:vAlign w:val="center"/>
          </w:tcPr>
          <w:p w14:paraId="7132360B">
            <w:pPr>
              <w:spacing w:line="360" w:lineRule="auto"/>
              <w:jc w:val="center"/>
              <w:rPr>
                <w:rFonts w:ascii="仿宋" w:hAnsi="仿宋" w:eastAsia="仿宋" w:cs="仿宋_GB2312"/>
                <w:color w:val="auto"/>
                <w:sz w:val="24"/>
                <w:highlight w:val="none"/>
              </w:rPr>
            </w:pPr>
          </w:p>
        </w:tc>
        <w:tc>
          <w:tcPr>
            <w:tcW w:w="1134" w:type="dxa"/>
            <w:vAlign w:val="center"/>
          </w:tcPr>
          <w:p w14:paraId="7A987B16">
            <w:pPr>
              <w:spacing w:line="360" w:lineRule="auto"/>
              <w:jc w:val="center"/>
              <w:rPr>
                <w:rFonts w:ascii="仿宋" w:hAnsi="仿宋" w:eastAsia="仿宋" w:cs="仿宋_GB2312"/>
                <w:color w:val="auto"/>
                <w:sz w:val="24"/>
                <w:highlight w:val="none"/>
              </w:rPr>
            </w:pPr>
          </w:p>
        </w:tc>
        <w:tc>
          <w:tcPr>
            <w:tcW w:w="992" w:type="dxa"/>
          </w:tcPr>
          <w:p w14:paraId="1D9418F2">
            <w:pPr>
              <w:spacing w:line="360" w:lineRule="auto"/>
              <w:jc w:val="center"/>
              <w:rPr>
                <w:rFonts w:ascii="仿宋" w:hAnsi="仿宋" w:eastAsia="仿宋" w:cs="仿宋_GB2312"/>
                <w:color w:val="auto"/>
                <w:sz w:val="24"/>
                <w:highlight w:val="none"/>
              </w:rPr>
            </w:pPr>
          </w:p>
        </w:tc>
        <w:tc>
          <w:tcPr>
            <w:tcW w:w="992" w:type="dxa"/>
          </w:tcPr>
          <w:p w14:paraId="38855DE9">
            <w:pPr>
              <w:spacing w:line="360" w:lineRule="auto"/>
              <w:jc w:val="center"/>
              <w:rPr>
                <w:rFonts w:ascii="仿宋" w:hAnsi="仿宋" w:eastAsia="仿宋" w:cs="仿宋_GB2312"/>
                <w:color w:val="auto"/>
                <w:sz w:val="24"/>
                <w:highlight w:val="none"/>
              </w:rPr>
            </w:pPr>
          </w:p>
        </w:tc>
        <w:tc>
          <w:tcPr>
            <w:tcW w:w="992" w:type="dxa"/>
            <w:vAlign w:val="center"/>
          </w:tcPr>
          <w:p w14:paraId="57C3DC2C">
            <w:pPr>
              <w:spacing w:line="360" w:lineRule="auto"/>
              <w:jc w:val="center"/>
              <w:rPr>
                <w:rFonts w:ascii="仿宋" w:hAnsi="仿宋" w:eastAsia="仿宋" w:cs="仿宋_GB2312"/>
                <w:color w:val="auto"/>
                <w:sz w:val="24"/>
                <w:highlight w:val="none"/>
              </w:rPr>
            </w:pPr>
          </w:p>
        </w:tc>
      </w:tr>
      <w:tr w14:paraId="2AA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338C543E">
            <w:pPr>
              <w:spacing w:line="360" w:lineRule="auto"/>
              <w:jc w:val="center"/>
              <w:rPr>
                <w:rFonts w:ascii="仿宋" w:hAnsi="仿宋" w:eastAsia="仿宋"/>
                <w:b/>
                <w:color w:val="auto"/>
                <w:sz w:val="24"/>
                <w:highlight w:val="none"/>
              </w:rPr>
            </w:pPr>
          </w:p>
        </w:tc>
        <w:tc>
          <w:tcPr>
            <w:tcW w:w="1452" w:type="dxa"/>
            <w:vAlign w:val="center"/>
          </w:tcPr>
          <w:p w14:paraId="74B3B939">
            <w:pPr>
              <w:snapToGrid w:val="0"/>
              <w:spacing w:line="360" w:lineRule="auto"/>
              <w:jc w:val="center"/>
              <w:rPr>
                <w:rFonts w:ascii="仿宋" w:hAnsi="仿宋" w:eastAsia="仿宋" w:cs="仿宋_GB2312"/>
                <w:color w:val="auto"/>
                <w:sz w:val="24"/>
                <w:highlight w:val="none"/>
              </w:rPr>
            </w:pPr>
          </w:p>
        </w:tc>
        <w:tc>
          <w:tcPr>
            <w:tcW w:w="1134" w:type="dxa"/>
            <w:vAlign w:val="center"/>
          </w:tcPr>
          <w:p w14:paraId="1953B2F8">
            <w:pPr>
              <w:snapToGrid w:val="0"/>
              <w:spacing w:line="360" w:lineRule="auto"/>
              <w:jc w:val="center"/>
              <w:rPr>
                <w:rFonts w:ascii="仿宋" w:hAnsi="仿宋" w:eastAsia="仿宋" w:cs="仿宋_GB2312"/>
                <w:color w:val="auto"/>
                <w:sz w:val="24"/>
                <w:highlight w:val="none"/>
              </w:rPr>
            </w:pPr>
          </w:p>
        </w:tc>
        <w:tc>
          <w:tcPr>
            <w:tcW w:w="1134" w:type="dxa"/>
            <w:vAlign w:val="center"/>
          </w:tcPr>
          <w:p w14:paraId="087C58ED">
            <w:pPr>
              <w:spacing w:line="360" w:lineRule="auto"/>
              <w:jc w:val="center"/>
              <w:rPr>
                <w:rFonts w:ascii="仿宋" w:hAnsi="仿宋" w:eastAsia="仿宋" w:cs="仿宋_GB2312"/>
                <w:color w:val="auto"/>
                <w:sz w:val="24"/>
                <w:highlight w:val="none"/>
              </w:rPr>
            </w:pPr>
          </w:p>
        </w:tc>
        <w:tc>
          <w:tcPr>
            <w:tcW w:w="1134" w:type="dxa"/>
            <w:vAlign w:val="center"/>
          </w:tcPr>
          <w:p w14:paraId="01F509D2">
            <w:pPr>
              <w:spacing w:line="360" w:lineRule="auto"/>
              <w:jc w:val="center"/>
              <w:rPr>
                <w:rFonts w:ascii="仿宋" w:hAnsi="仿宋" w:eastAsia="仿宋" w:cs="仿宋_GB2312"/>
                <w:color w:val="auto"/>
                <w:sz w:val="24"/>
                <w:highlight w:val="none"/>
              </w:rPr>
            </w:pPr>
          </w:p>
        </w:tc>
        <w:tc>
          <w:tcPr>
            <w:tcW w:w="992" w:type="dxa"/>
          </w:tcPr>
          <w:p w14:paraId="6ADEB4E1">
            <w:pPr>
              <w:spacing w:line="360" w:lineRule="auto"/>
              <w:jc w:val="center"/>
              <w:rPr>
                <w:rFonts w:ascii="仿宋" w:hAnsi="仿宋" w:eastAsia="仿宋" w:cs="仿宋_GB2312"/>
                <w:color w:val="auto"/>
                <w:sz w:val="24"/>
                <w:highlight w:val="none"/>
              </w:rPr>
            </w:pPr>
          </w:p>
        </w:tc>
        <w:tc>
          <w:tcPr>
            <w:tcW w:w="992" w:type="dxa"/>
          </w:tcPr>
          <w:p w14:paraId="0D5925E5">
            <w:pPr>
              <w:spacing w:line="360" w:lineRule="auto"/>
              <w:jc w:val="center"/>
              <w:rPr>
                <w:rFonts w:ascii="仿宋" w:hAnsi="仿宋" w:eastAsia="仿宋" w:cs="仿宋_GB2312"/>
                <w:color w:val="auto"/>
                <w:sz w:val="24"/>
                <w:highlight w:val="none"/>
              </w:rPr>
            </w:pPr>
          </w:p>
        </w:tc>
        <w:tc>
          <w:tcPr>
            <w:tcW w:w="992" w:type="dxa"/>
            <w:vAlign w:val="center"/>
          </w:tcPr>
          <w:p w14:paraId="1FEF44BE">
            <w:pPr>
              <w:spacing w:line="360" w:lineRule="auto"/>
              <w:jc w:val="center"/>
              <w:rPr>
                <w:rFonts w:ascii="仿宋" w:hAnsi="仿宋" w:eastAsia="仿宋" w:cs="仿宋_GB2312"/>
                <w:color w:val="auto"/>
                <w:sz w:val="24"/>
                <w:highlight w:val="none"/>
              </w:rPr>
            </w:pPr>
          </w:p>
        </w:tc>
      </w:tr>
      <w:tr w14:paraId="71A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22" w:type="dxa"/>
            <w:gridSpan w:val="8"/>
          </w:tcPr>
          <w:p w14:paraId="30A6C5BB">
            <w:pPr>
              <w:spacing w:line="360" w:lineRule="auto"/>
              <w:jc w:val="left"/>
              <w:rPr>
                <w:rFonts w:ascii="仿宋" w:hAnsi="仿宋" w:eastAsia="仿宋" w:cs="仿宋_GB2312"/>
                <w:color w:val="auto"/>
                <w:sz w:val="24"/>
                <w:highlight w:val="none"/>
              </w:rPr>
            </w:pPr>
            <w:r>
              <w:rPr>
                <w:rFonts w:hint="eastAsia" w:ascii="仿宋" w:hAnsi="仿宋" w:eastAsia="仿宋"/>
                <w:b/>
                <w:color w:val="auto"/>
                <w:sz w:val="24"/>
                <w:highlight w:val="none"/>
              </w:rPr>
              <w:t>投标总价合计金额大写：                              小写： ￥</w:t>
            </w:r>
          </w:p>
        </w:tc>
      </w:tr>
    </w:tbl>
    <w:p w14:paraId="41DAEADA">
      <w:pP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注：1、农村集体经济审计最高限价为每村（社）每年3350元，村集体控股强村公司审计最高限价为每个每年1550元 。否则投标无效。</w:t>
      </w:r>
    </w:p>
    <w:p w14:paraId="2B1F452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2、投标人需按本表格式填写，不得自行更</w:t>
      </w:r>
      <w:r>
        <w:rPr>
          <w:rFonts w:hint="eastAsia" w:ascii="仿宋" w:hAnsi="仿宋" w:eastAsia="仿宋"/>
          <w:color w:val="auto"/>
          <w:sz w:val="24"/>
          <w:highlight w:val="none"/>
        </w:rPr>
        <w:t>改，如无对应内容，则填写：“无或/”。</w:t>
      </w:r>
    </w:p>
    <w:p w14:paraId="2E42761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仿宋_GB2312"/>
          <w:color w:val="auto"/>
          <w:kern w:val="0"/>
          <w:sz w:val="24"/>
          <w:highlight w:val="none"/>
          <w:lang w:val="zh-CN"/>
        </w:rPr>
        <w:t>3、有关本项目实施所涉及的一切费用（详见前附表）均计入报价。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4AC1EDC4">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25FB6596">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szCs w:val="22"/>
          <w:highlight w:val="none"/>
          <w:lang w:val="zh-CN"/>
        </w:rPr>
        <w:t>5、</w:t>
      </w:r>
      <w:r>
        <w:rPr>
          <w:rFonts w:hint="eastAsia" w:ascii="仿宋" w:hAnsi="仿宋" w:eastAsia="仿宋"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4A303FB3">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6、</w:t>
      </w:r>
      <w:r>
        <w:rPr>
          <w:rFonts w:hint="eastAsia" w:ascii="仿宋" w:hAnsi="仿宋" w:eastAsia="仿宋" w:cs="仿宋_GB2312"/>
          <w:color w:val="auto"/>
          <w:sz w:val="24"/>
          <w:highlight w:val="none"/>
        </w:rPr>
        <w:t>报价低于项目预算50%的，应当在报价文件中详细阐述不影响产品质量或者诚信履约的具体原因</w:t>
      </w:r>
    </w:p>
    <w:p w14:paraId="20EAA96A">
      <w:pPr>
        <w:spacing w:line="360" w:lineRule="auto"/>
        <w:ind w:right="1200" w:firstLine="10440" w:firstLineChars="4350"/>
        <w:jc w:val="right"/>
        <w:rPr>
          <w:rFonts w:ascii="仿宋" w:hAnsi="仿宋" w:eastAsia="仿宋" w:cs="仿宋_GB2312"/>
          <w:color w:val="auto"/>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投投标人名称（电子签名）：                                                                                   日期：  年   月   日</w:t>
      </w:r>
    </w:p>
    <w:p w14:paraId="3F2E257A">
      <w:pPr>
        <w:jc w:val="center"/>
        <w:rPr>
          <w:rFonts w:ascii="仿宋" w:hAnsi="仿宋" w:eastAsia="仿宋"/>
          <w:b/>
          <w:color w:val="auto"/>
          <w:spacing w:val="6"/>
          <w:sz w:val="32"/>
          <w:szCs w:val="32"/>
          <w:highlight w:val="none"/>
        </w:rPr>
      </w:pPr>
    </w:p>
    <w:p w14:paraId="361A6A80">
      <w:pPr>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二、投标人针对报价需要说明的其他文件和说明</w:t>
      </w:r>
    </w:p>
    <w:p w14:paraId="02AE994F">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（报价低于项目预算50%的，应当在报价文件中详细阐述不影响产品质量或者诚信履约的具体原因。）</w:t>
      </w:r>
    </w:p>
    <w:p w14:paraId="6E31A9E2">
      <w:pPr>
        <w:snapToGrid w:val="0"/>
        <w:spacing w:line="360" w:lineRule="auto"/>
        <w:rPr>
          <w:rFonts w:ascii="仿宋" w:hAnsi="仿宋" w:eastAsia="仿宋" w:cs="仿宋_GB2312"/>
          <w:b/>
          <w:color w:val="auto"/>
          <w:kern w:val="44"/>
          <w:sz w:val="24"/>
          <w:szCs w:val="20"/>
          <w:highlight w:val="none"/>
        </w:rPr>
      </w:pPr>
    </w:p>
    <w:p w14:paraId="651DF7D3">
      <w:pPr>
        <w:snapToGrid w:val="0"/>
        <w:spacing w:line="360" w:lineRule="auto"/>
        <w:rPr>
          <w:rFonts w:ascii="仿宋" w:hAnsi="仿宋" w:eastAsia="仿宋" w:cs="仿宋_GB2312"/>
          <w:b/>
          <w:color w:val="auto"/>
          <w:kern w:val="44"/>
          <w:sz w:val="24"/>
          <w:szCs w:val="20"/>
          <w:highlight w:val="none"/>
        </w:rPr>
      </w:pPr>
    </w:p>
    <w:p w14:paraId="1D36A0CF">
      <w:pPr>
        <w:snapToGrid w:val="0"/>
        <w:spacing w:line="360" w:lineRule="auto"/>
        <w:rPr>
          <w:rFonts w:ascii="仿宋" w:hAnsi="仿宋" w:eastAsia="仿宋" w:cs="仿宋_GB2312"/>
          <w:b/>
          <w:color w:val="auto"/>
          <w:kern w:val="44"/>
          <w:sz w:val="24"/>
          <w:szCs w:val="20"/>
          <w:highlight w:val="none"/>
        </w:rPr>
      </w:pPr>
    </w:p>
    <w:p w14:paraId="5D995A58">
      <w:pPr>
        <w:pStyle w:val="7"/>
        <w:rPr>
          <w:rFonts w:ascii="仿宋" w:hAnsi="仿宋" w:eastAsia="仿宋" w:cs="仿宋_GB2312"/>
          <w:snapToGrid/>
          <w:color w:val="auto"/>
          <w:szCs w:val="24"/>
          <w:highlight w:val="none"/>
          <w:lang w:val="en-US"/>
        </w:rPr>
      </w:pPr>
    </w:p>
    <w:bookmarkEnd w:id="0"/>
    <w:p w14:paraId="02ECF2D7">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50A922E1">
      <w:pPr>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29F29F96">
      <w:pPr>
        <w:jc w:val="center"/>
        <w:outlineLvl w:val="0"/>
        <w:rPr>
          <w:color w:val="auto"/>
          <w:sz w:val="40"/>
          <w:highlight w:val="none"/>
        </w:rPr>
      </w:pPr>
      <w:r>
        <w:rPr>
          <w:rFonts w:hint="eastAsia"/>
          <w:color w:val="auto"/>
          <w:sz w:val="40"/>
          <w:highlight w:val="none"/>
        </w:rPr>
        <w:t>样品（演示）授权委托书</w:t>
      </w:r>
    </w:p>
    <w:p w14:paraId="47E41645">
      <w:pPr>
        <w:jc w:val="center"/>
        <w:rPr>
          <w:color w:val="auto"/>
          <w:sz w:val="40"/>
          <w:highlight w:val="none"/>
        </w:rPr>
      </w:pPr>
    </w:p>
    <w:p w14:paraId="074570F3">
      <w:pPr>
        <w:snapToGrid w:val="0"/>
        <w:spacing w:line="360" w:lineRule="auto"/>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14:paraId="4ABCA37F">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兹委派先生/女士，身份证号：</w:t>
      </w:r>
    </w:p>
    <w:p w14:paraId="2B177CB1">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手机：，代表我公司前来递交</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【项目编号：】投标样品或参加演示，并全权负责标后取回样品等其他处理事宜。</w:t>
      </w:r>
    </w:p>
    <w:p w14:paraId="10F2D847">
      <w:pPr>
        <w:snapToGrid w:val="0"/>
        <w:spacing w:line="360" w:lineRule="auto"/>
        <w:jc w:val="left"/>
        <w:rPr>
          <w:rFonts w:ascii="仿宋" w:hAnsi="仿宋" w:eastAsia="仿宋" w:cs="仿宋"/>
          <w:color w:val="auto"/>
          <w:kern w:val="0"/>
          <w:sz w:val="24"/>
          <w:highlight w:val="none"/>
          <w:lang w:val="zh-CN"/>
        </w:rPr>
      </w:pPr>
    </w:p>
    <w:p w14:paraId="0E9A6AE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03622BB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14:paraId="4A9D8230">
      <w:pPr>
        <w:snapToGrid w:val="0"/>
        <w:spacing w:line="360" w:lineRule="auto"/>
        <w:rPr>
          <w:rFonts w:ascii="仿宋" w:hAnsi="仿宋" w:eastAsia="仿宋" w:cs="仿宋"/>
          <w:color w:val="auto"/>
          <w:kern w:val="0"/>
          <w:sz w:val="24"/>
          <w:highlight w:val="none"/>
        </w:rPr>
      </w:pPr>
    </w:p>
    <w:p w14:paraId="239C7CBA">
      <w:pPr>
        <w:snapToGrid w:val="0"/>
        <w:spacing w:line="360" w:lineRule="auto"/>
        <w:ind w:right="24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18A5FC48">
      <w:pPr>
        <w:snapToGrid w:val="0"/>
        <w:spacing w:line="360" w:lineRule="auto"/>
        <w:ind w:right="240"/>
        <w:jc w:val="right"/>
        <w:rPr>
          <w:rFonts w:ascii="仿宋" w:hAnsi="仿宋" w:eastAsia="仿宋" w:cs="仿宋"/>
          <w:color w:val="auto"/>
          <w:kern w:val="0"/>
          <w:sz w:val="24"/>
          <w:highlight w:val="none"/>
          <w:lang w:val="zh-CN"/>
        </w:rPr>
      </w:pPr>
    </w:p>
    <w:p w14:paraId="1267E5E5">
      <w:pPr>
        <w:snapToGrid w:val="0"/>
        <w:spacing w:line="360" w:lineRule="auto"/>
        <w:ind w:right="240"/>
        <w:jc w:val="right"/>
        <w:rPr>
          <w:rFonts w:ascii="仿宋" w:hAnsi="仿宋" w:eastAsia="仿宋" w:cs="仿宋"/>
          <w:color w:val="auto"/>
          <w:kern w:val="0"/>
          <w:sz w:val="24"/>
          <w:highlight w:val="none"/>
          <w:lang w:val="zh-CN"/>
        </w:rPr>
      </w:pPr>
    </w:p>
    <w:p w14:paraId="5686DFD2">
      <w:pPr>
        <w:snapToGrid w:val="0"/>
        <w:spacing w:line="360" w:lineRule="auto"/>
        <w:ind w:right="240"/>
        <w:jc w:val="right"/>
        <w:rPr>
          <w:rFonts w:ascii="仿宋" w:hAnsi="仿宋" w:eastAsia="仿宋" w:cs="仿宋"/>
          <w:color w:val="auto"/>
          <w:kern w:val="0"/>
          <w:sz w:val="24"/>
          <w:highlight w:val="none"/>
          <w:lang w:val="zh-CN"/>
        </w:rPr>
      </w:pPr>
    </w:p>
    <w:p w14:paraId="1A83A5D7">
      <w:pPr>
        <w:snapToGrid w:val="0"/>
        <w:spacing w:line="360" w:lineRule="auto"/>
        <w:ind w:right="240"/>
        <w:jc w:val="right"/>
        <w:rPr>
          <w:rFonts w:ascii="仿宋" w:hAnsi="仿宋" w:eastAsia="仿宋" w:cs="仿宋"/>
          <w:color w:val="auto"/>
          <w:kern w:val="0"/>
          <w:sz w:val="24"/>
          <w:highlight w:val="none"/>
          <w:lang w:val="zh-CN"/>
        </w:rPr>
      </w:pPr>
    </w:p>
    <w:p w14:paraId="0CD53EF6">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14:paraId="4E483F16">
      <w:pPr>
        <w:snapToGrid w:val="0"/>
        <w:spacing w:line="360" w:lineRule="auto"/>
        <w:ind w:right="240"/>
        <w:jc w:val="left"/>
        <w:rPr>
          <w:rFonts w:ascii="仿宋" w:hAnsi="仿宋" w:eastAsia="仿宋" w:cs="仿宋"/>
          <w:color w:val="auto"/>
          <w:kern w:val="0"/>
          <w:sz w:val="24"/>
          <w:highlight w:val="none"/>
          <w:lang w:val="zh-CN"/>
        </w:rPr>
      </w:pPr>
    </w:p>
    <w:p w14:paraId="10B8B715">
      <w:pPr>
        <w:snapToGrid w:val="0"/>
        <w:spacing w:line="360" w:lineRule="auto"/>
        <w:ind w:right="240"/>
        <w:jc w:val="left"/>
        <w:rPr>
          <w:rFonts w:ascii="仿宋" w:hAnsi="仿宋" w:eastAsia="仿宋" w:cs="仿宋"/>
          <w:color w:val="auto"/>
          <w:kern w:val="0"/>
          <w:sz w:val="24"/>
          <w:highlight w:val="none"/>
          <w:lang w:val="zh-CN"/>
        </w:rPr>
      </w:pPr>
    </w:p>
    <w:p w14:paraId="647FACF8">
      <w:pPr>
        <w:snapToGrid w:val="0"/>
        <w:spacing w:line="360" w:lineRule="auto"/>
        <w:ind w:right="240"/>
        <w:jc w:val="left"/>
        <w:rPr>
          <w:rFonts w:ascii="仿宋" w:hAnsi="仿宋" w:eastAsia="仿宋" w:cs="仿宋"/>
          <w:color w:val="auto"/>
          <w:kern w:val="0"/>
          <w:sz w:val="24"/>
          <w:highlight w:val="none"/>
          <w:lang w:val="zh-CN"/>
        </w:rPr>
      </w:pPr>
    </w:p>
    <w:p w14:paraId="73A2F486">
      <w:pPr>
        <w:snapToGrid w:val="0"/>
        <w:spacing w:line="360" w:lineRule="auto"/>
        <w:ind w:right="240"/>
        <w:jc w:val="left"/>
        <w:rPr>
          <w:rFonts w:ascii="仿宋" w:hAnsi="仿宋" w:eastAsia="仿宋" w:cs="仿宋"/>
          <w:color w:val="auto"/>
          <w:kern w:val="0"/>
          <w:sz w:val="24"/>
          <w:highlight w:val="none"/>
          <w:lang w:val="zh-CN"/>
        </w:rPr>
      </w:pPr>
    </w:p>
    <w:p w14:paraId="7C4E3356">
      <w:pPr>
        <w:snapToGrid w:val="0"/>
        <w:spacing w:line="360" w:lineRule="auto"/>
        <w:ind w:right="240"/>
        <w:jc w:val="left"/>
        <w:rPr>
          <w:rFonts w:ascii="仿宋" w:hAnsi="仿宋" w:eastAsia="仿宋" w:cs="仿宋"/>
          <w:color w:val="auto"/>
          <w:kern w:val="0"/>
          <w:sz w:val="24"/>
          <w:highlight w:val="none"/>
          <w:lang w:val="zh-CN"/>
        </w:rPr>
      </w:pPr>
    </w:p>
    <w:p w14:paraId="45CA4CB4">
      <w:pPr>
        <w:snapToGrid w:val="0"/>
        <w:spacing w:line="360" w:lineRule="auto"/>
        <w:ind w:right="240"/>
        <w:jc w:val="left"/>
        <w:rPr>
          <w:rFonts w:ascii="仿宋" w:hAnsi="仿宋" w:eastAsia="仿宋" w:cs="仿宋"/>
          <w:color w:val="auto"/>
          <w:kern w:val="0"/>
          <w:sz w:val="24"/>
          <w:highlight w:val="none"/>
          <w:lang w:val="zh-CN"/>
        </w:rPr>
      </w:pPr>
    </w:p>
    <w:p w14:paraId="0C5F625A">
      <w:pPr>
        <w:snapToGrid w:val="0"/>
        <w:spacing w:line="360" w:lineRule="auto"/>
        <w:ind w:right="240"/>
        <w:jc w:val="left"/>
        <w:rPr>
          <w:rFonts w:ascii="仿宋" w:hAnsi="仿宋" w:eastAsia="仿宋" w:cs="仿宋"/>
          <w:color w:val="auto"/>
          <w:kern w:val="0"/>
          <w:sz w:val="24"/>
          <w:highlight w:val="none"/>
          <w:lang w:val="zh-CN"/>
        </w:rPr>
      </w:pPr>
    </w:p>
    <w:p w14:paraId="3B375D2F">
      <w:pPr>
        <w:snapToGrid w:val="0"/>
        <w:spacing w:line="360" w:lineRule="auto"/>
        <w:ind w:right="240"/>
        <w:jc w:val="left"/>
        <w:rPr>
          <w:rFonts w:ascii="仿宋" w:hAnsi="仿宋" w:eastAsia="仿宋" w:cs="仿宋"/>
          <w:color w:val="auto"/>
          <w:kern w:val="0"/>
          <w:sz w:val="24"/>
          <w:highlight w:val="none"/>
          <w:lang w:val="zh-CN"/>
        </w:rPr>
      </w:pPr>
    </w:p>
    <w:p w14:paraId="3730A17B">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10F8DD58">
      <w:pPr>
        <w:spacing w:line="360" w:lineRule="auto"/>
        <w:rPr>
          <w:rFonts w:ascii="仿宋" w:hAnsi="仿宋" w:eastAsia="仿宋" w:cs="仿宋_GB2312"/>
          <w:b/>
          <w:color w:val="auto"/>
          <w:sz w:val="24"/>
          <w:highlight w:val="none"/>
        </w:rPr>
      </w:pPr>
    </w:p>
    <w:p w14:paraId="04B512AA">
      <w:pPr>
        <w:spacing w:line="360" w:lineRule="auto"/>
        <w:rPr>
          <w:rFonts w:ascii="仿宋" w:hAnsi="仿宋" w:eastAsia="仿宋" w:cs="仿宋_GB2312"/>
          <w:b/>
          <w:color w:val="auto"/>
          <w:sz w:val="24"/>
          <w:highlight w:val="none"/>
        </w:rPr>
      </w:pPr>
    </w:p>
    <w:p w14:paraId="2D968D26">
      <w:pPr>
        <w:spacing w:line="360" w:lineRule="auto"/>
        <w:rPr>
          <w:rFonts w:ascii="仿宋" w:hAnsi="仿宋" w:eastAsia="仿宋" w:cs="仿宋_GB2312"/>
          <w:b/>
          <w:color w:val="auto"/>
          <w:sz w:val="24"/>
          <w:highlight w:val="none"/>
        </w:rPr>
      </w:pPr>
    </w:p>
    <w:p w14:paraId="29A3BC10">
      <w:pPr>
        <w:spacing w:line="360" w:lineRule="auto"/>
        <w:jc w:val="left"/>
        <w:outlineLvl w:val="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A390FF7">
      <w:pPr>
        <w:spacing w:line="360" w:lineRule="auto"/>
        <w:jc w:val="center"/>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1AFB21">
      <w:pPr>
        <w:snapToGrid w:val="0"/>
        <w:spacing w:before="240" w:beforeLines="100" w:line="360" w:lineRule="auto"/>
        <w:outlineLvl w:val="1"/>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1234E3B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single"/>
        </w:rPr>
        <w:t>_________________________</w:t>
      </w:r>
    </w:p>
    <w:p w14:paraId="2638536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41650AA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 xml:space="preserve">_____________________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0106504B">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single"/>
        </w:rPr>
        <w:t>____________________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7C7A17E2">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3D3723AD">
      <w:pPr>
        <w:snapToGrid w:val="0"/>
        <w:spacing w:line="360" w:lineRule="auto"/>
        <w:outlineLvl w:val="1"/>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0C6AB901">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single"/>
        </w:rPr>
        <w:t>_________________________________________</w:t>
      </w:r>
    </w:p>
    <w:p w14:paraId="11B304C2">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single"/>
        </w:rPr>
        <w:t>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single"/>
        </w:rPr>
        <w:t>_____________</w:t>
      </w:r>
    </w:p>
    <w:p w14:paraId="1E90293D">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single"/>
        </w:rPr>
        <w:t>____________________________________________</w:t>
      </w:r>
    </w:p>
    <w:p w14:paraId="62815210">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single"/>
        </w:rPr>
        <w:t>_______________</w:t>
      </w:r>
    </w:p>
    <w:p w14:paraId="6AB043E6">
      <w:pPr>
        <w:snapToGrid w:val="0"/>
        <w:spacing w:line="360" w:lineRule="auto"/>
        <w:outlineLvl w:val="1"/>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2BC2CDBA">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single"/>
        </w:rPr>
        <w:t>_________________________________________________________________</w:t>
      </w:r>
    </w:p>
    <w:p w14:paraId="3EA96826">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single"/>
        </w:rPr>
        <w:t>__________________________________________________________________</w:t>
      </w:r>
    </w:p>
    <w:p w14:paraId="5EE33EAF">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02326EAB">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single"/>
        </w:rPr>
        <w:t>__________________________________________________________________</w:t>
      </w:r>
    </w:p>
    <w:p w14:paraId="0D84396C">
      <w:pPr>
        <w:snapToGrid w:val="0"/>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57E2A44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06873C4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316D15A">
      <w:pPr>
        <w:snapToGrid w:val="0"/>
        <w:spacing w:line="360" w:lineRule="auto"/>
        <w:outlineLvl w:val="1"/>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4D6B1B44">
      <w:pPr>
        <w:snapToGrid w:val="0"/>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请求：</w:t>
      </w:r>
      <w:r>
        <w:rPr>
          <w:rFonts w:hint="eastAsia" w:ascii="仿宋" w:hAnsi="仿宋" w:eastAsia="仿宋" w:cs="宋体"/>
          <w:bCs/>
          <w:color w:val="auto"/>
          <w:sz w:val="24"/>
          <w:highlight w:val="none"/>
          <w:u w:val="words"/>
        </w:rPr>
        <w:t>______________________________________________________________________</w:t>
      </w:r>
    </w:p>
    <w:p w14:paraId="452999FE">
      <w:pPr>
        <w:spacing w:line="360" w:lineRule="auto"/>
        <w:rPr>
          <w:rFonts w:ascii="仿宋" w:hAnsi="仿宋" w:eastAsia="仿宋" w:cs="宋体"/>
          <w:color w:val="auto"/>
          <w:sz w:val="24"/>
          <w:highlight w:val="none"/>
        </w:rPr>
      </w:pPr>
    </w:p>
    <w:p w14:paraId="1AA708C1">
      <w:pPr>
        <w:spacing w:line="360" w:lineRule="auto"/>
        <w:rPr>
          <w:rFonts w:ascii="仿宋" w:hAnsi="仿宋" w:eastAsia="仿宋" w:cs="宋体"/>
          <w:color w:val="auto"/>
          <w:sz w:val="24"/>
          <w:highlight w:val="none"/>
        </w:rPr>
      </w:pPr>
    </w:p>
    <w:p w14:paraId="5D04F5E5">
      <w:pPr>
        <w:spacing w:line="360" w:lineRule="auto"/>
        <w:rPr>
          <w:rFonts w:ascii="仿宋" w:hAnsi="仿宋" w:eastAsia="仿宋" w:cs="宋体"/>
          <w:color w:val="auto"/>
          <w:sz w:val="24"/>
          <w:highlight w:val="none"/>
        </w:rPr>
      </w:pPr>
    </w:p>
    <w:p w14:paraId="66CABE8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4324E3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53AB2302">
      <w:pPr>
        <w:spacing w:line="360" w:lineRule="auto"/>
        <w:rPr>
          <w:rFonts w:ascii="仿宋" w:hAnsi="仿宋" w:eastAsia="仿宋" w:cs="宋体"/>
          <w:b/>
          <w:color w:val="auto"/>
          <w:sz w:val="24"/>
          <w:highlight w:val="none"/>
        </w:rPr>
      </w:pPr>
    </w:p>
    <w:p w14:paraId="67D9AEF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0D8D3F4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17EFA80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813264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7BE4956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08EF87D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D75158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93FC8B">
      <w:pPr>
        <w:widowControl/>
        <w:spacing w:line="360" w:lineRule="auto"/>
        <w:ind w:firstLine="600" w:firstLineChars="200"/>
        <w:jc w:val="left"/>
        <w:rPr>
          <w:rFonts w:ascii="宋体" w:hAnsi="宋体" w:cs="宋体"/>
          <w:color w:val="auto"/>
          <w:sz w:val="30"/>
          <w:szCs w:val="30"/>
          <w:highlight w:val="none"/>
        </w:rPr>
      </w:pPr>
    </w:p>
    <w:p w14:paraId="20515281">
      <w:pPr>
        <w:spacing w:line="360" w:lineRule="auto"/>
        <w:jc w:val="center"/>
        <w:rPr>
          <w:rFonts w:ascii="宋体" w:hAnsi="宋体" w:cs="宋体"/>
          <w:b/>
          <w:color w:val="auto"/>
          <w:spacing w:val="6"/>
          <w:sz w:val="32"/>
          <w:szCs w:val="32"/>
          <w:highlight w:val="none"/>
        </w:rPr>
      </w:pPr>
    </w:p>
    <w:p w14:paraId="21F224D8">
      <w:pPr>
        <w:spacing w:line="360" w:lineRule="auto"/>
        <w:jc w:val="center"/>
        <w:rPr>
          <w:rFonts w:ascii="宋体" w:hAnsi="宋体" w:cs="宋体"/>
          <w:b/>
          <w:color w:val="auto"/>
          <w:spacing w:val="6"/>
          <w:sz w:val="32"/>
          <w:szCs w:val="32"/>
          <w:highlight w:val="none"/>
        </w:rPr>
      </w:pPr>
    </w:p>
    <w:p w14:paraId="416314D1">
      <w:pPr>
        <w:spacing w:line="360" w:lineRule="auto"/>
        <w:jc w:val="center"/>
        <w:rPr>
          <w:rFonts w:ascii="宋体" w:hAnsi="宋体" w:cs="宋体"/>
          <w:b/>
          <w:color w:val="auto"/>
          <w:spacing w:val="6"/>
          <w:sz w:val="32"/>
          <w:szCs w:val="32"/>
          <w:highlight w:val="none"/>
        </w:rPr>
      </w:pPr>
    </w:p>
    <w:p w14:paraId="463A4BDA">
      <w:pPr>
        <w:spacing w:line="360" w:lineRule="auto"/>
        <w:jc w:val="center"/>
        <w:rPr>
          <w:rFonts w:ascii="宋体" w:hAnsi="宋体" w:cs="宋体"/>
          <w:b/>
          <w:color w:val="auto"/>
          <w:spacing w:val="6"/>
          <w:sz w:val="32"/>
          <w:szCs w:val="32"/>
          <w:highlight w:val="none"/>
        </w:rPr>
      </w:pPr>
    </w:p>
    <w:p w14:paraId="280BCEFC">
      <w:pPr>
        <w:spacing w:line="360" w:lineRule="auto"/>
        <w:jc w:val="center"/>
        <w:rPr>
          <w:rFonts w:ascii="宋体" w:hAnsi="宋体" w:cs="宋体"/>
          <w:b/>
          <w:color w:val="auto"/>
          <w:spacing w:val="6"/>
          <w:sz w:val="32"/>
          <w:szCs w:val="32"/>
          <w:highlight w:val="none"/>
        </w:rPr>
      </w:pPr>
    </w:p>
    <w:p w14:paraId="05D14726">
      <w:pPr>
        <w:spacing w:line="360" w:lineRule="auto"/>
        <w:jc w:val="center"/>
        <w:rPr>
          <w:rFonts w:ascii="宋体" w:hAnsi="宋体" w:cs="宋体"/>
          <w:b/>
          <w:color w:val="auto"/>
          <w:spacing w:val="6"/>
          <w:sz w:val="32"/>
          <w:szCs w:val="32"/>
          <w:highlight w:val="none"/>
        </w:rPr>
      </w:pPr>
    </w:p>
    <w:p w14:paraId="7CD1E94E">
      <w:pPr>
        <w:spacing w:line="360" w:lineRule="auto"/>
        <w:jc w:val="center"/>
        <w:rPr>
          <w:rFonts w:ascii="宋体" w:hAnsi="宋体" w:cs="宋体"/>
          <w:b/>
          <w:color w:val="auto"/>
          <w:spacing w:val="6"/>
          <w:sz w:val="32"/>
          <w:szCs w:val="32"/>
          <w:highlight w:val="none"/>
        </w:rPr>
      </w:pPr>
    </w:p>
    <w:p w14:paraId="497A667A">
      <w:pPr>
        <w:spacing w:line="360" w:lineRule="auto"/>
        <w:jc w:val="center"/>
        <w:rPr>
          <w:rFonts w:ascii="宋体" w:hAnsi="宋体" w:cs="宋体"/>
          <w:b/>
          <w:color w:val="auto"/>
          <w:spacing w:val="6"/>
          <w:sz w:val="32"/>
          <w:szCs w:val="32"/>
          <w:highlight w:val="none"/>
        </w:rPr>
      </w:pPr>
    </w:p>
    <w:p w14:paraId="18949A33">
      <w:pPr>
        <w:spacing w:line="360" w:lineRule="auto"/>
        <w:jc w:val="center"/>
        <w:rPr>
          <w:rFonts w:ascii="宋体" w:hAnsi="宋体" w:cs="宋体"/>
          <w:b/>
          <w:color w:val="auto"/>
          <w:spacing w:val="6"/>
          <w:sz w:val="32"/>
          <w:szCs w:val="32"/>
          <w:highlight w:val="none"/>
        </w:rPr>
      </w:pPr>
    </w:p>
    <w:p w14:paraId="4604EDE9">
      <w:pPr>
        <w:spacing w:line="360" w:lineRule="auto"/>
        <w:jc w:val="center"/>
        <w:rPr>
          <w:rFonts w:ascii="宋体" w:hAnsi="宋体" w:cs="宋体"/>
          <w:b/>
          <w:color w:val="auto"/>
          <w:spacing w:val="6"/>
          <w:sz w:val="32"/>
          <w:szCs w:val="32"/>
          <w:highlight w:val="none"/>
        </w:rPr>
      </w:pPr>
    </w:p>
    <w:p w14:paraId="1F7E1B4F">
      <w:pPr>
        <w:spacing w:line="360" w:lineRule="auto"/>
        <w:jc w:val="center"/>
        <w:rPr>
          <w:rFonts w:ascii="宋体" w:hAnsi="宋体" w:cs="宋体"/>
          <w:b/>
          <w:color w:val="auto"/>
          <w:spacing w:val="6"/>
          <w:sz w:val="32"/>
          <w:szCs w:val="32"/>
          <w:highlight w:val="none"/>
        </w:rPr>
      </w:pPr>
    </w:p>
    <w:p w14:paraId="3AB07062">
      <w:pPr>
        <w:spacing w:line="360" w:lineRule="auto"/>
        <w:jc w:val="center"/>
        <w:rPr>
          <w:rFonts w:ascii="宋体" w:hAnsi="宋体" w:cs="宋体"/>
          <w:b/>
          <w:color w:val="auto"/>
          <w:spacing w:val="6"/>
          <w:sz w:val="32"/>
          <w:szCs w:val="32"/>
          <w:highlight w:val="none"/>
        </w:rPr>
      </w:pPr>
    </w:p>
    <w:p w14:paraId="255EDC06">
      <w:pPr>
        <w:spacing w:line="360" w:lineRule="auto"/>
        <w:jc w:val="left"/>
        <w:rPr>
          <w:rFonts w:ascii="宋体" w:hAnsi="宋体" w:cs="宋体"/>
          <w:b/>
          <w:color w:val="auto"/>
          <w:spacing w:val="6"/>
          <w:sz w:val="32"/>
          <w:szCs w:val="32"/>
          <w:highlight w:val="none"/>
        </w:rPr>
      </w:pPr>
    </w:p>
    <w:p w14:paraId="11014065">
      <w:pPr>
        <w:spacing w:line="360" w:lineRule="auto"/>
        <w:jc w:val="left"/>
        <w:rPr>
          <w:rFonts w:ascii="宋体" w:hAnsi="宋体" w:cs="宋体"/>
          <w:b/>
          <w:color w:val="auto"/>
          <w:spacing w:val="6"/>
          <w:sz w:val="32"/>
          <w:szCs w:val="32"/>
          <w:highlight w:val="none"/>
        </w:rPr>
      </w:pPr>
    </w:p>
    <w:p w14:paraId="65B77E25">
      <w:pPr>
        <w:spacing w:line="360" w:lineRule="auto"/>
        <w:jc w:val="left"/>
        <w:outlineLvl w:val="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FFF1B42">
      <w:pPr>
        <w:spacing w:line="360" w:lineRule="auto"/>
        <w:jc w:val="center"/>
        <w:rPr>
          <w:rFonts w:ascii="宋体" w:hAnsi="宋体" w:cs="宋体"/>
          <w:b/>
          <w:color w:val="auto"/>
          <w:sz w:val="24"/>
          <w:highlight w:val="none"/>
        </w:rPr>
      </w:pPr>
    </w:p>
    <w:p w14:paraId="7653CCAA">
      <w:pPr>
        <w:spacing w:line="360" w:lineRule="auto"/>
        <w:jc w:val="center"/>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660F624">
      <w:pPr>
        <w:spacing w:line="360" w:lineRule="auto"/>
        <w:outlineLvl w:val="1"/>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71F74E9">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words"/>
        </w:rPr>
        <w:t>__________________________________</w:t>
      </w:r>
    </w:p>
    <w:p w14:paraId="2C579C8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39D44128">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w:t>
      </w:r>
    </w:p>
    <w:p w14:paraId="1BB0CAF3">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3D3719EF">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499011C3">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words"/>
        </w:rPr>
        <w:t>_______________________________</w:t>
      </w:r>
    </w:p>
    <w:p w14:paraId="0AB40F33">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5EF888B7">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5B65DD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50ADE080">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0C68641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words"/>
        </w:rPr>
        <w:t>__________________________________</w:t>
      </w:r>
    </w:p>
    <w:p w14:paraId="0554400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49AA32A3">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____________</w:t>
      </w:r>
    </w:p>
    <w:p w14:paraId="0EC28535">
      <w:pPr>
        <w:spacing w:line="360" w:lineRule="auto"/>
        <w:outlineLvl w:val="1"/>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07F736AB">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words"/>
        </w:rPr>
        <w:t>__________________________________</w:t>
      </w:r>
    </w:p>
    <w:p w14:paraId="29F335C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words"/>
        </w:rPr>
        <w:t>_____________________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words"/>
        </w:rPr>
        <w:t>______________</w:t>
      </w:r>
    </w:p>
    <w:p w14:paraId="255E65B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words"/>
        </w:rPr>
        <w:t>__________________________________</w:t>
      </w:r>
    </w:p>
    <w:p w14:paraId="118FB13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words"/>
        </w:rPr>
        <w:t>__________________________________</w:t>
      </w:r>
    </w:p>
    <w:p w14:paraId="27F4910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采购文件公告:是/否    公告期限：</w:t>
      </w:r>
      <w:r>
        <w:rPr>
          <w:rFonts w:hint="eastAsia" w:ascii="仿宋" w:hAnsi="仿宋" w:eastAsia="仿宋" w:cs="宋体"/>
          <w:color w:val="auto"/>
          <w:sz w:val="24"/>
          <w:highlight w:val="none"/>
          <w:u w:val="words"/>
        </w:rPr>
        <w:t>_________________</w:t>
      </w:r>
    </w:p>
    <w:p w14:paraId="7EF4C3B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采购结果公告:是/否    公告期限：</w:t>
      </w:r>
      <w:r>
        <w:rPr>
          <w:rFonts w:hint="eastAsia" w:ascii="仿宋" w:hAnsi="仿宋" w:eastAsia="仿宋" w:cs="宋体"/>
          <w:color w:val="auto"/>
          <w:sz w:val="24"/>
          <w:highlight w:val="none"/>
          <w:u w:val="words"/>
        </w:rPr>
        <w:t>_________________</w:t>
      </w:r>
    </w:p>
    <w:p w14:paraId="581CAE2A">
      <w:pPr>
        <w:spacing w:line="360" w:lineRule="auto"/>
        <w:outlineLvl w:val="1"/>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7B418FF0">
      <w:pPr>
        <w:spacing w:line="360" w:lineRule="auto"/>
        <w:ind w:firstLine="480" w:firstLineChars="200"/>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words"/>
        </w:rPr>
        <w:t>_____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words"/>
        </w:rPr>
        <w:t>__________________</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words"/>
        </w:rPr>
        <w:t>__________________________________________________________________________</w:t>
      </w:r>
    </w:p>
    <w:p w14:paraId="5B4E7ED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采购人/代理机构于</w:t>
      </w:r>
      <w:r>
        <w:rPr>
          <w:rFonts w:hint="eastAsia" w:ascii="仿宋" w:hAnsi="仿宋" w:eastAsia="仿宋" w:cs="宋体"/>
          <w:color w:val="auto"/>
          <w:sz w:val="24"/>
          <w:highlight w:val="none"/>
          <w:u w:val="words"/>
        </w:rPr>
        <w:t>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日,就质疑事项作出了答复/没有在法定期限内作出答复。</w:t>
      </w:r>
    </w:p>
    <w:p w14:paraId="2C574DE9">
      <w:pPr>
        <w:spacing w:line="360" w:lineRule="auto"/>
        <w:outlineLvl w:val="1"/>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3746EA9E">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words"/>
        </w:rPr>
        <w:t>________________________________________________________________</w:t>
      </w:r>
    </w:p>
    <w:p w14:paraId="0459DFE5">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words"/>
        </w:rPr>
        <w:t>__________________________________________________________________</w:t>
      </w:r>
    </w:p>
    <w:p w14:paraId="02915E58">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444D513F">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words"/>
        </w:rPr>
        <w:t>__________________________________________________________________</w:t>
      </w:r>
    </w:p>
    <w:p w14:paraId="4C60E77B">
      <w:pPr>
        <w:spacing w:line="360" w:lineRule="auto"/>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6AA684A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71032B6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34DA726">
      <w:pPr>
        <w:spacing w:line="360" w:lineRule="auto"/>
        <w:outlineLvl w:val="1"/>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7AC94FE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words"/>
        </w:rPr>
        <w:t>______________________________________________________________________</w:t>
      </w:r>
    </w:p>
    <w:p w14:paraId="214D950F">
      <w:pPr>
        <w:spacing w:line="360" w:lineRule="auto"/>
        <w:rPr>
          <w:rFonts w:ascii="仿宋" w:hAnsi="仿宋" w:eastAsia="仿宋" w:cs="宋体"/>
          <w:color w:val="auto"/>
          <w:sz w:val="24"/>
          <w:highlight w:val="none"/>
          <w:u w:val="single"/>
        </w:rPr>
      </w:pPr>
    </w:p>
    <w:p w14:paraId="2E173DED">
      <w:pPr>
        <w:spacing w:line="360" w:lineRule="auto"/>
        <w:rPr>
          <w:rFonts w:ascii="仿宋" w:hAnsi="仿宋" w:eastAsia="仿宋" w:cs="宋体"/>
          <w:color w:val="auto"/>
          <w:sz w:val="24"/>
          <w:highlight w:val="none"/>
        </w:rPr>
      </w:pPr>
    </w:p>
    <w:p w14:paraId="3113C5E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59FFAC9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9B66BB">
      <w:pPr>
        <w:spacing w:line="360" w:lineRule="auto"/>
        <w:rPr>
          <w:rFonts w:ascii="仿宋" w:hAnsi="仿宋" w:eastAsia="仿宋" w:cs="宋体"/>
          <w:b/>
          <w:color w:val="auto"/>
          <w:sz w:val="24"/>
          <w:highlight w:val="none"/>
        </w:rPr>
      </w:pPr>
    </w:p>
    <w:p w14:paraId="1919851F">
      <w:pPr>
        <w:spacing w:line="360" w:lineRule="auto"/>
        <w:rPr>
          <w:rFonts w:ascii="仿宋" w:hAnsi="仿宋" w:eastAsia="仿宋" w:cs="宋体"/>
          <w:b/>
          <w:color w:val="auto"/>
          <w:sz w:val="24"/>
          <w:highlight w:val="none"/>
        </w:rPr>
      </w:pPr>
    </w:p>
    <w:p w14:paraId="4C0F51F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0EF9E68E">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22177CA9">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774036D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5CFD909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BA0568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7526CA8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01E89E5B">
      <w:pPr>
        <w:widowControl/>
        <w:spacing w:line="360" w:lineRule="auto"/>
        <w:ind w:firstLine="480" w:firstLineChars="200"/>
        <w:jc w:val="left"/>
        <w:rPr>
          <w:rFonts w:ascii="宋体" w:hAnsi="宋体"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C9F10C">
      <w:pPr>
        <w:spacing w:line="360" w:lineRule="auto"/>
        <w:rPr>
          <w:rFonts w:ascii="宋体" w:hAnsi="宋体" w:cs="宋体"/>
          <w:b/>
          <w:color w:val="auto"/>
          <w:sz w:val="24"/>
          <w:highlight w:val="none"/>
        </w:rPr>
      </w:pPr>
    </w:p>
    <w:p w14:paraId="618CC6A6">
      <w:pPr>
        <w:spacing w:line="360" w:lineRule="auto"/>
        <w:rPr>
          <w:rFonts w:ascii="仿宋" w:hAnsi="仿宋" w:eastAsia="仿宋" w:cs="仿宋_GB2312"/>
          <w:b/>
          <w:color w:val="auto"/>
          <w:sz w:val="24"/>
          <w:highlight w:val="none"/>
        </w:rPr>
      </w:pPr>
    </w:p>
    <w:p w14:paraId="20BFBA7E">
      <w:pPr>
        <w:rPr>
          <w:rFonts w:ascii="仿宋" w:hAnsi="仿宋" w:eastAsia="仿宋" w:cs="仿宋"/>
          <w:color w:val="auto"/>
          <w:highlight w:val="none"/>
        </w:rPr>
      </w:pPr>
    </w:p>
    <w:bookmarkEnd w:id="445"/>
    <w:sectPr>
      <w:headerReference r:id="rId8" w:type="default"/>
      <w:footerReference r:id="rId9"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A1DF">
    <w:pPr>
      <w:pStyle w:val="1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AE57">
    <w:pPr>
      <w:pStyle w:val="11"/>
      <w:framePr w:wrap="around" w:vAnchor="text" w:hAnchor="margin" w:xAlign="right" w:y="1"/>
      <w:rPr>
        <w:rStyle w:val="20"/>
      </w:rPr>
    </w:pPr>
    <w:r>
      <w:fldChar w:fldCharType="begin"/>
    </w:r>
    <w:r>
      <w:rPr>
        <w:rStyle w:val="20"/>
      </w:rPr>
      <w:instrText xml:space="preserve">PAGE  </w:instrText>
    </w:r>
    <w:r>
      <w:fldChar w:fldCharType="end"/>
    </w:r>
  </w:p>
  <w:p w14:paraId="5AEE2C1D">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BA77">
    <w:pPr>
      <w:pStyle w:val="1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23BD">
    <w:pPr>
      <w:pStyle w:val="1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63B464B9">
    <w:pPr>
      <w:rPr>
        <w:rFonts w:ascii="仿宋_GB2312" w:eastAsia="仿宋_GB2312"/>
      </w:rPr>
    </w:pPr>
  </w:p>
  <w:p w14:paraId="0A8368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9765">
    <w:pPr>
      <w:pStyle w:val="12"/>
      <w:jc w:val="right"/>
    </w:pPr>
    <w:r>
      <w:rPr>
        <w:rFonts w:hint="eastAsia"/>
      </w:rPr>
      <w:t>绍兴市柯桥区政府采购公开招标文件</w:t>
    </w:r>
  </w:p>
  <w:p w14:paraId="377AFD0E">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A9F7">
    <w:pPr>
      <w:pStyle w:val="12"/>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F467">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BCB527F"/>
    <w:multiLevelType w:val="multilevel"/>
    <w:tmpl w:val="5BCB527F"/>
    <w:lvl w:ilvl="0" w:tentative="0">
      <w:start w:val="1"/>
      <w:numFmt w:val="japaneseCounting"/>
      <w:lvlText w:val="%1、"/>
      <w:lvlJc w:val="left"/>
      <w:pPr>
        <w:ind w:left="3772" w:hanging="720"/>
      </w:pPr>
      <w:rPr>
        <w:rFonts w:hint="default"/>
      </w:rPr>
    </w:lvl>
    <w:lvl w:ilvl="1" w:tentative="0">
      <w:start w:val="1"/>
      <w:numFmt w:val="lowerLetter"/>
      <w:lvlText w:val="%2)"/>
      <w:lvlJc w:val="left"/>
      <w:pPr>
        <w:ind w:left="3892" w:hanging="420"/>
      </w:pPr>
    </w:lvl>
    <w:lvl w:ilvl="2" w:tentative="0">
      <w:start w:val="1"/>
      <w:numFmt w:val="lowerRoman"/>
      <w:lvlText w:val="%3."/>
      <w:lvlJc w:val="right"/>
      <w:pPr>
        <w:ind w:left="4312" w:hanging="420"/>
      </w:pPr>
    </w:lvl>
    <w:lvl w:ilvl="3" w:tentative="0">
      <w:start w:val="1"/>
      <w:numFmt w:val="decimal"/>
      <w:lvlText w:val="%4."/>
      <w:lvlJc w:val="left"/>
      <w:pPr>
        <w:ind w:left="4732" w:hanging="420"/>
      </w:pPr>
    </w:lvl>
    <w:lvl w:ilvl="4" w:tentative="0">
      <w:start w:val="1"/>
      <w:numFmt w:val="lowerLetter"/>
      <w:lvlText w:val="%5)"/>
      <w:lvlJc w:val="left"/>
      <w:pPr>
        <w:ind w:left="5152" w:hanging="420"/>
      </w:pPr>
    </w:lvl>
    <w:lvl w:ilvl="5" w:tentative="0">
      <w:start w:val="1"/>
      <w:numFmt w:val="lowerRoman"/>
      <w:lvlText w:val="%6."/>
      <w:lvlJc w:val="right"/>
      <w:pPr>
        <w:ind w:left="5572" w:hanging="420"/>
      </w:pPr>
    </w:lvl>
    <w:lvl w:ilvl="6" w:tentative="0">
      <w:start w:val="1"/>
      <w:numFmt w:val="decimal"/>
      <w:lvlText w:val="%7."/>
      <w:lvlJc w:val="left"/>
      <w:pPr>
        <w:ind w:left="5992" w:hanging="420"/>
      </w:pPr>
    </w:lvl>
    <w:lvl w:ilvl="7" w:tentative="0">
      <w:start w:val="1"/>
      <w:numFmt w:val="lowerLetter"/>
      <w:lvlText w:val="%8)"/>
      <w:lvlJc w:val="left"/>
      <w:pPr>
        <w:ind w:left="6412" w:hanging="420"/>
      </w:pPr>
    </w:lvl>
    <w:lvl w:ilvl="8" w:tentative="0">
      <w:start w:val="1"/>
      <w:numFmt w:val="lowerRoman"/>
      <w:lvlText w:val="%9."/>
      <w:lvlJc w:val="right"/>
      <w:pPr>
        <w:ind w:left="683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316590"/>
    <w:rsid w:val="00007784"/>
    <w:rsid w:val="00013062"/>
    <w:rsid w:val="000218C9"/>
    <w:rsid w:val="000263E5"/>
    <w:rsid w:val="000319B7"/>
    <w:rsid w:val="00040C9A"/>
    <w:rsid w:val="00042858"/>
    <w:rsid w:val="00057FE0"/>
    <w:rsid w:val="00060774"/>
    <w:rsid w:val="00063F5E"/>
    <w:rsid w:val="000766C4"/>
    <w:rsid w:val="00084CCF"/>
    <w:rsid w:val="0008586A"/>
    <w:rsid w:val="0008682C"/>
    <w:rsid w:val="00091931"/>
    <w:rsid w:val="00091C94"/>
    <w:rsid w:val="00094040"/>
    <w:rsid w:val="00094FE6"/>
    <w:rsid w:val="000A3AB3"/>
    <w:rsid w:val="000A6F65"/>
    <w:rsid w:val="000A7488"/>
    <w:rsid w:val="000B0471"/>
    <w:rsid w:val="000B3D72"/>
    <w:rsid w:val="000C0A86"/>
    <w:rsid w:val="000C6BC1"/>
    <w:rsid w:val="000D3A2D"/>
    <w:rsid w:val="000E7C13"/>
    <w:rsid w:val="00114B03"/>
    <w:rsid w:val="00115434"/>
    <w:rsid w:val="00115D1B"/>
    <w:rsid w:val="00122287"/>
    <w:rsid w:val="001223C7"/>
    <w:rsid w:val="00122DB5"/>
    <w:rsid w:val="00131C06"/>
    <w:rsid w:val="00136636"/>
    <w:rsid w:val="001450E8"/>
    <w:rsid w:val="0017551D"/>
    <w:rsid w:val="00176F7A"/>
    <w:rsid w:val="0017790A"/>
    <w:rsid w:val="00186904"/>
    <w:rsid w:val="00190C1F"/>
    <w:rsid w:val="0019224D"/>
    <w:rsid w:val="001B075B"/>
    <w:rsid w:val="001C045D"/>
    <w:rsid w:val="001C2C31"/>
    <w:rsid w:val="001C40A1"/>
    <w:rsid w:val="001C76A3"/>
    <w:rsid w:val="001D1670"/>
    <w:rsid w:val="001D350F"/>
    <w:rsid w:val="001D4B5E"/>
    <w:rsid w:val="001D69E1"/>
    <w:rsid w:val="001D6E1B"/>
    <w:rsid w:val="001E2E5A"/>
    <w:rsid w:val="001E74F4"/>
    <w:rsid w:val="001F0318"/>
    <w:rsid w:val="001F09D7"/>
    <w:rsid w:val="001F235D"/>
    <w:rsid w:val="001F6D75"/>
    <w:rsid w:val="00204F9F"/>
    <w:rsid w:val="00206090"/>
    <w:rsid w:val="00206462"/>
    <w:rsid w:val="00206789"/>
    <w:rsid w:val="00220D43"/>
    <w:rsid w:val="0022172D"/>
    <w:rsid w:val="002218C8"/>
    <w:rsid w:val="002250B4"/>
    <w:rsid w:val="00231EDB"/>
    <w:rsid w:val="00235ED0"/>
    <w:rsid w:val="00237164"/>
    <w:rsid w:val="00246996"/>
    <w:rsid w:val="00253466"/>
    <w:rsid w:val="00253B4C"/>
    <w:rsid w:val="002558E4"/>
    <w:rsid w:val="00257737"/>
    <w:rsid w:val="00260A6B"/>
    <w:rsid w:val="0027156E"/>
    <w:rsid w:val="00272AA1"/>
    <w:rsid w:val="002749F1"/>
    <w:rsid w:val="00275807"/>
    <w:rsid w:val="00276F03"/>
    <w:rsid w:val="002825BE"/>
    <w:rsid w:val="0029299D"/>
    <w:rsid w:val="002C4326"/>
    <w:rsid w:val="002C6CAF"/>
    <w:rsid w:val="002D1CA3"/>
    <w:rsid w:val="002D2472"/>
    <w:rsid w:val="002E2975"/>
    <w:rsid w:val="002F05B5"/>
    <w:rsid w:val="002F49C7"/>
    <w:rsid w:val="003020AB"/>
    <w:rsid w:val="00303B82"/>
    <w:rsid w:val="003076F0"/>
    <w:rsid w:val="0031060F"/>
    <w:rsid w:val="00316590"/>
    <w:rsid w:val="00320553"/>
    <w:rsid w:val="00320F2A"/>
    <w:rsid w:val="00332797"/>
    <w:rsid w:val="00336A53"/>
    <w:rsid w:val="00337887"/>
    <w:rsid w:val="003425D4"/>
    <w:rsid w:val="003460F2"/>
    <w:rsid w:val="00353763"/>
    <w:rsid w:val="00355A51"/>
    <w:rsid w:val="00355A73"/>
    <w:rsid w:val="00356A6D"/>
    <w:rsid w:val="003630EE"/>
    <w:rsid w:val="00386762"/>
    <w:rsid w:val="0039122C"/>
    <w:rsid w:val="003A0A07"/>
    <w:rsid w:val="003C31F2"/>
    <w:rsid w:val="003C38B6"/>
    <w:rsid w:val="003F4B64"/>
    <w:rsid w:val="0042084A"/>
    <w:rsid w:val="0042111C"/>
    <w:rsid w:val="00425EE4"/>
    <w:rsid w:val="00437C1A"/>
    <w:rsid w:val="004403D6"/>
    <w:rsid w:val="00453B0D"/>
    <w:rsid w:val="0046306D"/>
    <w:rsid w:val="0047465A"/>
    <w:rsid w:val="00480E12"/>
    <w:rsid w:val="00482453"/>
    <w:rsid w:val="00485E23"/>
    <w:rsid w:val="004875B2"/>
    <w:rsid w:val="004A3E07"/>
    <w:rsid w:val="004B3D7C"/>
    <w:rsid w:val="004B4A6C"/>
    <w:rsid w:val="004C7FB2"/>
    <w:rsid w:val="004E0940"/>
    <w:rsid w:val="004E0F52"/>
    <w:rsid w:val="004E21C4"/>
    <w:rsid w:val="004E6FAD"/>
    <w:rsid w:val="004F6389"/>
    <w:rsid w:val="00521BBA"/>
    <w:rsid w:val="00527304"/>
    <w:rsid w:val="00531458"/>
    <w:rsid w:val="00532A3B"/>
    <w:rsid w:val="00535AF5"/>
    <w:rsid w:val="00536388"/>
    <w:rsid w:val="00554499"/>
    <w:rsid w:val="00554AEF"/>
    <w:rsid w:val="00566884"/>
    <w:rsid w:val="005747C2"/>
    <w:rsid w:val="00587EB6"/>
    <w:rsid w:val="00594E1D"/>
    <w:rsid w:val="005A51BC"/>
    <w:rsid w:val="005A7D05"/>
    <w:rsid w:val="005B01BF"/>
    <w:rsid w:val="005B5F4B"/>
    <w:rsid w:val="005C4205"/>
    <w:rsid w:val="005C702C"/>
    <w:rsid w:val="005D2195"/>
    <w:rsid w:val="005D4EDE"/>
    <w:rsid w:val="005E2F90"/>
    <w:rsid w:val="005F367A"/>
    <w:rsid w:val="00600156"/>
    <w:rsid w:val="006013D6"/>
    <w:rsid w:val="006065FF"/>
    <w:rsid w:val="00610FA5"/>
    <w:rsid w:val="00614A67"/>
    <w:rsid w:val="00624F9C"/>
    <w:rsid w:val="00632EA0"/>
    <w:rsid w:val="00643083"/>
    <w:rsid w:val="0065433B"/>
    <w:rsid w:val="0065702F"/>
    <w:rsid w:val="0066708D"/>
    <w:rsid w:val="006675BD"/>
    <w:rsid w:val="006941CC"/>
    <w:rsid w:val="00696104"/>
    <w:rsid w:val="006C2A82"/>
    <w:rsid w:val="006D2628"/>
    <w:rsid w:val="006D2784"/>
    <w:rsid w:val="006D4887"/>
    <w:rsid w:val="006E5AE1"/>
    <w:rsid w:val="006F43B7"/>
    <w:rsid w:val="00727728"/>
    <w:rsid w:val="0073038D"/>
    <w:rsid w:val="007331AC"/>
    <w:rsid w:val="00740D5A"/>
    <w:rsid w:val="007417A8"/>
    <w:rsid w:val="007432DC"/>
    <w:rsid w:val="00744386"/>
    <w:rsid w:val="00747F4C"/>
    <w:rsid w:val="00754A2F"/>
    <w:rsid w:val="0076092B"/>
    <w:rsid w:val="007662B5"/>
    <w:rsid w:val="00771634"/>
    <w:rsid w:val="00782440"/>
    <w:rsid w:val="0078365D"/>
    <w:rsid w:val="00786856"/>
    <w:rsid w:val="007908D0"/>
    <w:rsid w:val="0079112C"/>
    <w:rsid w:val="007921A4"/>
    <w:rsid w:val="00796A0C"/>
    <w:rsid w:val="007A4DCB"/>
    <w:rsid w:val="007A5A02"/>
    <w:rsid w:val="007C607D"/>
    <w:rsid w:val="007C7B3A"/>
    <w:rsid w:val="007E2BB8"/>
    <w:rsid w:val="007F0DD3"/>
    <w:rsid w:val="007F7329"/>
    <w:rsid w:val="00810351"/>
    <w:rsid w:val="00816476"/>
    <w:rsid w:val="00846B96"/>
    <w:rsid w:val="008508C6"/>
    <w:rsid w:val="00856DDB"/>
    <w:rsid w:val="00865393"/>
    <w:rsid w:val="008653E3"/>
    <w:rsid w:val="00867B44"/>
    <w:rsid w:val="00867DC8"/>
    <w:rsid w:val="0088367F"/>
    <w:rsid w:val="00892EA9"/>
    <w:rsid w:val="008A24BC"/>
    <w:rsid w:val="008A3134"/>
    <w:rsid w:val="008A5449"/>
    <w:rsid w:val="008A5F36"/>
    <w:rsid w:val="008B3701"/>
    <w:rsid w:val="008B3B42"/>
    <w:rsid w:val="008B41AA"/>
    <w:rsid w:val="008E28D7"/>
    <w:rsid w:val="008F26C5"/>
    <w:rsid w:val="008F731E"/>
    <w:rsid w:val="00917106"/>
    <w:rsid w:val="009174B0"/>
    <w:rsid w:val="0092509A"/>
    <w:rsid w:val="00931E2D"/>
    <w:rsid w:val="0093540F"/>
    <w:rsid w:val="009357CA"/>
    <w:rsid w:val="009456AF"/>
    <w:rsid w:val="00962010"/>
    <w:rsid w:val="00963E2E"/>
    <w:rsid w:val="00970344"/>
    <w:rsid w:val="00970848"/>
    <w:rsid w:val="00972061"/>
    <w:rsid w:val="00981AE2"/>
    <w:rsid w:val="00983A6A"/>
    <w:rsid w:val="00992913"/>
    <w:rsid w:val="00993C1C"/>
    <w:rsid w:val="009A029D"/>
    <w:rsid w:val="009A2018"/>
    <w:rsid w:val="009C0DD8"/>
    <w:rsid w:val="009C4ECE"/>
    <w:rsid w:val="009D21BE"/>
    <w:rsid w:val="009F4882"/>
    <w:rsid w:val="009F54AE"/>
    <w:rsid w:val="009F5BFA"/>
    <w:rsid w:val="009F5C37"/>
    <w:rsid w:val="009F7A53"/>
    <w:rsid w:val="00A26381"/>
    <w:rsid w:val="00A4034A"/>
    <w:rsid w:val="00A475DC"/>
    <w:rsid w:val="00A51998"/>
    <w:rsid w:val="00A64A1F"/>
    <w:rsid w:val="00A678FB"/>
    <w:rsid w:val="00A75442"/>
    <w:rsid w:val="00A8011F"/>
    <w:rsid w:val="00A94BE2"/>
    <w:rsid w:val="00AB5B2D"/>
    <w:rsid w:val="00AB5BB5"/>
    <w:rsid w:val="00AD66AA"/>
    <w:rsid w:val="00AD6CB3"/>
    <w:rsid w:val="00AD6E88"/>
    <w:rsid w:val="00AF419A"/>
    <w:rsid w:val="00AF5E83"/>
    <w:rsid w:val="00B04690"/>
    <w:rsid w:val="00B07CDA"/>
    <w:rsid w:val="00B124EF"/>
    <w:rsid w:val="00B2043E"/>
    <w:rsid w:val="00B21E85"/>
    <w:rsid w:val="00B266E9"/>
    <w:rsid w:val="00B448C2"/>
    <w:rsid w:val="00B47859"/>
    <w:rsid w:val="00B500DC"/>
    <w:rsid w:val="00B659DC"/>
    <w:rsid w:val="00B72F8F"/>
    <w:rsid w:val="00B76C97"/>
    <w:rsid w:val="00B8143A"/>
    <w:rsid w:val="00B83CAB"/>
    <w:rsid w:val="00B8455C"/>
    <w:rsid w:val="00BA1F82"/>
    <w:rsid w:val="00BC35F7"/>
    <w:rsid w:val="00BD1BB9"/>
    <w:rsid w:val="00BD285D"/>
    <w:rsid w:val="00BD2FD4"/>
    <w:rsid w:val="00BD3993"/>
    <w:rsid w:val="00BD59DD"/>
    <w:rsid w:val="00BD601B"/>
    <w:rsid w:val="00BE30B3"/>
    <w:rsid w:val="00BF6E74"/>
    <w:rsid w:val="00C153CC"/>
    <w:rsid w:val="00C16611"/>
    <w:rsid w:val="00C20C70"/>
    <w:rsid w:val="00C315A0"/>
    <w:rsid w:val="00C3372B"/>
    <w:rsid w:val="00C4179A"/>
    <w:rsid w:val="00C52EC2"/>
    <w:rsid w:val="00C77C91"/>
    <w:rsid w:val="00C8702D"/>
    <w:rsid w:val="00C93CAD"/>
    <w:rsid w:val="00C97948"/>
    <w:rsid w:val="00CB31EC"/>
    <w:rsid w:val="00CB359D"/>
    <w:rsid w:val="00CC0E4D"/>
    <w:rsid w:val="00CC50CD"/>
    <w:rsid w:val="00CD54C0"/>
    <w:rsid w:val="00CD6939"/>
    <w:rsid w:val="00CE1810"/>
    <w:rsid w:val="00CE7785"/>
    <w:rsid w:val="00CE7EF2"/>
    <w:rsid w:val="00CF0BFD"/>
    <w:rsid w:val="00CF1A1C"/>
    <w:rsid w:val="00CF207A"/>
    <w:rsid w:val="00CF40DB"/>
    <w:rsid w:val="00D01852"/>
    <w:rsid w:val="00D02B42"/>
    <w:rsid w:val="00D061A5"/>
    <w:rsid w:val="00D1608D"/>
    <w:rsid w:val="00D1731C"/>
    <w:rsid w:val="00D30327"/>
    <w:rsid w:val="00D458FE"/>
    <w:rsid w:val="00D516A3"/>
    <w:rsid w:val="00D64B66"/>
    <w:rsid w:val="00D66E5F"/>
    <w:rsid w:val="00D73884"/>
    <w:rsid w:val="00D91D36"/>
    <w:rsid w:val="00D94B57"/>
    <w:rsid w:val="00D96164"/>
    <w:rsid w:val="00D97C0C"/>
    <w:rsid w:val="00DA3178"/>
    <w:rsid w:val="00DA3380"/>
    <w:rsid w:val="00DA6C6D"/>
    <w:rsid w:val="00DA7F58"/>
    <w:rsid w:val="00DB0268"/>
    <w:rsid w:val="00DB366F"/>
    <w:rsid w:val="00DB474A"/>
    <w:rsid w:val="00DB7B00"/>
    <w:rsid w:val="00DC0F29"/>
    <w:rsid w:val="00DC4884"/>
    <w:rsid w:val="00DC5E01"/>
    <w:rsid w:val="00DC7617"/>
    <w:rsid w:val="00DD6340"/>
    <w:rsid w:val="00DE0575"/>
    <w:rsid w:val="00DE69DA"/>
    <w:rsid w:val="00DF0142"/>
    <w:rsid w:val="00DF4578"/>
    <w:rsid w:val="00E17C24"/>
    <w:rsid w:val="00E31B2A"/>
    <w:rsid w:val="00E44780"/>
    <w:rsid w:val="00E50B71"/>
    <w:rsid w:val="00E65E27"/>
    <w:rsid w:val="00E65F9D"/>
    <w:rsid w:val="00E66B6A"/>
    <w:rsid w:val="00E90DAA"/>
    <w:rsid w:val="00E92785"/>
    <w:rsid w:val="00E93D9D"/>
    <w:rsid w:val="00EA0361"/>
    <w:rsid w:val="00EA26B0"/>
    <w:rsid w:val="00EA5E53"/>
    <w:rsid w:val="00EA6217"/>
    <w:rsid w:val="00EB16FE"/>
    <w:rsid w:val="00EB21B3"/>
    <w:rsid w:val="00EB7FCA"/>
    <w:rsid w:val="00EC0CBC"/>
    <w:rsid w:val="00EC2966"/>
    <w:rsid w:val="00ED3B5C"/>
    <w:rsid w:val="00ED3C1F"/>
    <w:rsid w:val="00EE5A8E"/>
    <w:rsid w:val="00EF2A5E"/>
    <w:rsid w:val="00F000D4"/>
    <w:rsid w:val="00F03F86"/>
    <w:rsid w:val="00F040D8"/>
    <w:rsid w:val="00F34F48"/>
    <w:rsid w:val="00F43C56"/>
    <w:rsid w:val="00F44F28"/>
    <w:rsid w:val="00F467B7"/>
    <w:rsid w:val="00F47F2F"/>
    <w:rsid w:val="00F67261"/>
    <w:rsid w:val="00F71777"/>
    <w:rsid w:val="00F82212"/>
    <w:rsid w:val="00F86BB8"/>
    <w:rsid w:val="00FB08FF"/>
    <w:rsid w:val="00FB48F2"/>
    <w:rsid w:val="00FB6D3F"/>
    <w:rsid w:val="00FC0DAF"/>
    <w:rsid w:val="00FC75CA"/>
    <w:rsid w:val="00FD29EA"/>
    <w:rsid w:val="00FE0777"/>
    <w:rsid w:val="00FE3887"/>
    <w:rsid w:val="00FF2CCA"/>
    <w:rsid w:val="01B01E69"/>
    <w:rsid w:val="033D124F"/>
    <w:rsid w:val="0AAD7F98"/>
    <w:rsid w:val="0B7A2363"/>
    <w:rsid w:val="0BD02D72"/>
    <w:rsid w:val="0C005150"/>
    <w:rsid w:val="0C206374"/>
    <w:rsid w:val="0FE62C18"/>
    <w:rsid w:val="105C2E66"/>
    <w:rsid w:val="118F1F5E"/>
    <w:rsid w:val="13346AFE"/>
    <w:rsid w:val="137455F6"/>
    <w:rsid w:val="137E6AD4"/>
    <w:rsid w:val="14846AB8"/>
    <w:rsid w:val="157A5491"/>
    <w:rsid w:val="158E55F7"/>
    <w:rsid w:val="162E6AF4"/>
    <w:rsid w:val="16BE50DE"/>
    <w:rsid w:val="17E3018B"/>
    <w:rsid w:val="18C811C0"/>
    <w:rsid w:val="19BFA8D9"/>
    <w:rsid w:val="1A0B45BA"/>
    <w:rsid w:val="1A5C5E81"/>
    <w:rsid w:val="1A7B49D4"/>
    <w:rsid w:val="1C282642"/>
    <w:rsid w:val="1C814CE0"/>
    <w:rsid w:val="1D311D4D"/>
    <w:rsid w:val="1E1259E5"/>
    <w:rsid w:val="1EFC7BF9"/>
    <w:rsid w:val="1F050471"/>
    <w:rsid w:val="1F4D04ED"/>
    <w:rsid w:val="21AF29C5"/>
    <w:rsid w:val="22060B15"/>
    <w:rsid w:val="220E0280"/>
    <w:rsid w:val="22233C11"/>
    <w:rsid w:val="23C30761"/>
    <w:rsid w:val="26370F52"/>
    <w:rsid w:val="27793DA3"/>
    <w:rsid w:val="27AD0450"/>
    <w:rsid w:val="27B81FB9"/>
    <w:rsid w:val="27C863B5"/>
    <w:rsid w:val="282564E0"/>
    <w:rsid w:val="28F5727D"/>
    <w:rsid w:val="2A0C4A0C"/>
    <w:rsid w:val="2AADB2EF"/>
    <w:rsid w:val="2AFC6512"/>
    <w:rsid w:val="2D73A3A9"/>
    <w:rsid w:val="30021C66"/>
    <w:rsid w:val="309148BA"/>
    <w:rsid w:val="32B50B21"/>
    <w:rsid w:val="33030C32"/>
    <w:rsid w:val="350C62B6"/>
    <w:rsid w:val="355E1A10"/>
    <w:rsid w:val="36FD4AD5"/>
    <w:rsid w:val="37545E2C"/>
    <w:rsid w:val="388C435B"/>
    <w:rsid w:val="39392B72"/>
    <w:rsid w:val="3A063F4A"/>
    <w:rsid w:val="3AEF11D8"/>
    <w:rsid w:val="3B9778E9"/>
    <w:rsid w:val="3C6ECD7B"/>
    <w:rsid w:val="3EDA7CAE"/>
    <w:rsid w:val="3FB027F4"/>
    <w:rsid w:val="3FBD0F0A"/>
    <w:rsid w:val="3FC7509C"/>
    <w:rsid w:val="3FD21A1B"/>
    <w:rsid w:val="406F5742"/>
    <w:rsid w:val="407A5A66"/>
    <w:rsid w:val="40B81ECF"/>
    <w:rsid w:val="40C50AD3"/>
    <w:rsid w:val="418E003B"/>
    <w:rsid w:val="434F237B"/>
    <w:rsid w:val="443261F1"/>
    <w:rsid w:val="45234802"/>
    <w:rsid w:val="46BF20A2"/>
    <w:rsid w:val="472707CD"/>
    <w:rsid w:val="474A0981"/>
    <w:rsid w:val="476544F2"/>
    <w:rsid w:val="484F65BE"/>
    <w:rsid w:val="48E32CA1"/>
    <w:rsid w:val="49B25BBC"/>
    <w:rsid w:val="4B7D3B6A"/>
    <w:rsid w:val="4D36009F"/>
    <w:rsid w:val="4DD97EB9"/>
    <w:rsid w:val="4EAB224C"/>
    <w:rsid w:val="4FF81FAF"/>
    <w:rsid w:val="50C82CD5"/>
    <w:rsid w:val="51BB3C07"/>
    <w:rsid w:val="51E967F2"/>
    <w:rsid w:val="51EB1CF5"/>
    <w:rsid w:val="53354792"/>
    <w:rsid w:val="53506A9C"/>
    <w:rsid w:val="56627F00"/>
    <w:rsid w:val="574A0177"/>
    <w:rsid w:val="59C21EAE"/>
    <w:rsid w:val="59E3007C"/>
    <w:rsid w:val="5C1E705A"/>
    <w:rsid w:val="5C31453F"/>
    <w:rsid w:val="5D2CE52F"/>
    <w:rsid w:val="5DB156F0"/>
    <w:rsid w:val="5F05116A"/>
    <w:rsid w:val="5FFEA9ED"/>
    <w:rsid w:val="61ED3573"/>
    <w:rsid w:val="62C90580"/>
    <w:rsid w:val="63344972"/>
    <w:rsid w:val="63B27505"/>
    <w:rsid w:val="64AD224A"/>
    <w:rsid w:val="6539182F"/>
    <w:rsid w:val="65807490"/>
    <w:rsid w:val="66BA7787"/>
    <w:rsid w:val="67684184"/>
    <w:rsid w:val="685D6511"/>
    <w:rsid w:val="69D6563F"/>
    <w:rsid w:val="6A6CB3FE"/>
    <w:rsid w:val="6AAF8654"/>
    <w:rsid w:val="6B7F3DB6"/>
    <w:rsid w:val="6BA73B4D"/>
    <w:rsid w:val="6BB24663"/>
    <w:rsid w:val="6C120F5B"/>
    <w:rsid w:val="6DD13995"/>
    <w:rsid w:val="6E1A2CAB"/>
    <w:rsid w:val="6E93303F"/>
    <w:rsid w:val="6FB1BB80"/>
    <w:rsid w:val="6FBE1A22"/>
    <w:rsid w:val="6FE7476A"/>
    <w:rsid w:val="708FC9E0"/>
    <w:rsid w:val="71CE021E"/>
    <w:rsid w:val="73A87D4E"/>
    <w:rsid w:val="75D2595E"/>
    <w:rsid w:val="7694444C"/>
    <w:rsid w:val="771FDC62"/>
    <w:rsid w:val="773BE88A"/>
    <w:rsid w:val="77FB1357"/>
    <w:rsid w:val="77FFF2FF"/>
    <w:rsid w:val="77FFF73C"/>
    <w:rsid w:val="79F6CD99"/>
    <w:rsid w:val="7C576CBA"/>
    <w:rsid w:val="7CD7B7D5"/>
    <w:rsid w:val="7DFB3E3D"/>
    <w:rsid w:val="7EDE43E7"/>
    <w:rsid w:val="7EEF1690"/>
    <w:rsid w:val="7F731AA8"/>
    <w:rsid w:val="7F9E11DA"/>
    <w:rsid w:val="7FA73707"/>
    <w:rsid w:val="7FDF670F"/>
    <w:rsid w:val="7FF5E1D8"/>
    <w:rsid w:val="7FFD62C1"/>
    <w:rsid w:val="8CD799E4"/>
    <w:rsid w:val="9DBD9AEA"/>
    <w:rsid w:val="A5C7AE03"/>
    <w:rsid w:val="A7F5A3E0"/>
    <w:rsid w:val="AAE8082D"/>
    <w:rsid w:val="AEBFA954"/>
    <w:rsid w:val="B3EF71E0"/>
    <w:rsid w:val="BB2FC142"/>
    <w:rsid w:val="BDDD1176"/>
    <w:rsid w:val="BEC52A6C"/>
    <w:rsid w:val="BF6B5BFF"/>
    <w:rsid w:val="BFEB9C39"/>
    <w:rsid w:val="BFEC53F1"/>
    <w:rsid w:val="BFFDF026"/>
    <w:rsid w:val="C58F434E"/>
    <w:rsid w:val="CDEADCE9"/>
    <w:rsid w:val="CEF761E0"/>
    <w:rsid w:val="CEFFBBFE"/>
    <w:rsid w:val="D7FFB8AD"/>
    <w:rsid w:val="DD8D3424"/>
    <w:rsid w:val="DF1777E8"/>
    <w:rsid w:val="DFC7932C"/>
    <w:rsid w:val="DFFB34CB"/>
    <w:rsid w:val="DFFF86F6"/>
    <w:rsid w:val="DFFFA6D6"/>
    <w:rsid w:val="EADF4EE1"/>
    <w:rsid w:val="EBCFCA9C"/>
    <w:rsid w:val="EE559EDF"/>
    <w:rsid w:val="EEFCACF2"/>
    <w:rsid w:val="EEFFE949"/>
    <w:rsid w:val="EF3EF211"/>
    <w:rsid w:val="EF659713"/>
    <w:rsid w:val="EFF349F3"/>
    <w:rsid w:val="EFFF2D43"/>
    <w:rsid w:val="F37F1624"/>
    <w:rsid w:val="F3BFA237"/>
    <w:rsid w:val="F3FF90ED"/>
    <w:rsid w:val="F59F8967"/>
    <w:rsid w:val="F6D13665"/>
    <w:rsid w:val="F7AE2428"/>
    <w:rsid w:val="F7CDDF70"/>
    <w:rsid w:val="F7DD1AFB"/>
    <w:rsid w:val="FD7FD34A"/>
    <w:rsid w:val="FEDDE63C"/>
    <w:rsid w:val="FEFF736F"/>
    <w:rsid w:val="FFCD48F4"/>
    <w:rsid w:val="FFCDE730"/>
    <w:rsid w:val="FFD73347"/>
    <w:rsid w:val="FFFFA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6"/>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24"/>
    <w:qFormat/>
    <w:uiPriority w:val="0"/>
    <w:pPr>
      <w:jc w:val="left"/>
    </w:p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link w:val="38"/>
    <w:qFormat/>
    <w:uiPriority w:val="0"/>
    <w:pPr>
      <w:spacing w:line="480" w:lineRule="exact"/>
      <w:ind w:firstLine="480" w:firstLineChars="200"/>
    </w:pPr>
    <w:rPr>
      <w:rFonts w:ascii="宋体" w:hAnsi="宋体"/>
      <w:sz w:val="24"/>
    </w:rPr>
  </w:style>
  <w:style w:type="paragraph" w:styleId="9">
    <w:name w:val="Plain Text"/>
    <w:basedOn w:val="1"/>
    <w:link w:val="37"/>
    <w:qFormat/>
    <w:uiPriority w:val="0"/>
    <w:pPr>
      <w:widowControl/>
      <w:overflowPunct w:val="0"/>
      <w:autoSpaceDE w:val="0"/>
      <w:autoSpaceDN w:val="0"/>
      <w:jc w:val="left"/>
      <w:textAlignment w:val="baseline"/>
    </w:pPr>
    <w:rPr>
      <w:rFonts w:ascii="宋体" w:hAnsi="Courier New"/>
      <w:kern w:val="0"/>
      <w:szCs w:val="21"/>
    </w:rPr>
  </w:style>
  <w:style w:type="paragraph" w:styleId="10">
    <w:name w:val="Balloon Text"/>
    <w:basedOn w:val="1"/>
    <w:link w:val="26"/>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99"/>
    <w:pPr>
      <w:widowControl/>
      <w:ind w:left="1000"/>
      <w:jc w:val="left"/>
    </w:pPr>
    <w:rPr>
      <w:kern w:val="0"/>
      <w:sz w:val="18"/>
      <w:szCs w:val="20"/>
    </w:rPr>
  </w:style>
  <w:style w:type="paragraph" w:styleId="14">
    <w:name w:val="Title"/>
    <w:basedOn w:val="1"/>
    <w:link w:val="30"/>
    <w:qFormat/>
    <w:uiPriority w:val="0"/>
    <w:pPr>
      <w:widowControl/>
      <w:overflowPunct w:val="0"/>
      <w:autoSpaceDE w:val="0"/>
      <w:autoSpaceDN w:val="0"/>
      <w:jc w:val="center"/>
      <w:textAlignment w:val="baseline"/>
    </w:pPr>
    <w:rPr>
      <w:b/>
      <w:kern w:val="0"/>
      <w:sz w:val="24"/>
      <w:szCs w:val="20"/>
      <w:lang w:val="en-GB"/>
    </w:rPr>
  </w:style>
  <w:style w:type="paragraph" w:styleId="15">
    <w:name w:val="annotation subject"/>
    <w:basedOn w:val="6"/>
    <w:next w:val="6"/>
    <w:link w:val="25"/>
    <w:qFormat/>
    <w:uiPriority w:val="0"/>
    <w:rPr>
      <w:b/>
      <w:bCs/>
    </w:rPr>
  </w:style>
  <w:style w:type="paragraph" w:styleId="16">
    <w:name w:val="Body Text First Indent"/>
    <w:basedOn w:val="7"/>
    <w:next w:val="13"/>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character" w:styleId="22">
    <w:name w:val="annotation reference"/>
    <w:basedOn w:val="19"/>
    <w:qFormat/>
    <w:uiPriority w:val="99"/>
    <w:rPr>
      <w:sz w:val="21"/>
      <w:szCs w:val="21"/>
    </w:rPr>
  </w:style>
  <w:style w:type="paragraph" w:customStyle="1" w:styleId="23">
    <w:name w:val="正文2"/>
    <w:basedOn w:val="1"/>
    <w:link w:val="39"/>
    <w:qFormat/>
    <w:uiPriority w:val="0"/>
    <w:pPr>
      <w:spacing w:before="156" w:line="360" w:lineRule="auto"/>
      <w:ind w:firstLine="510" w:firstLineChars="200"/>
    </w:pPr>
    <w:rPr>
      <w:sz w:val="24"/>
      <w:szCs w:val="20"/>
    </w:rPr>
  </w:style>
  <w:style w:type="character" w:customStyle="1" w:styleId="24">
    <w:name w:val="批注文字 Char"/>
    <w:basedOn w:val="19"/>
    <w:link w:val="6"/>
    <w:qFormat/>
    <w:uiPriority w:val="0"/>
    <w:rPr>
      <w:kern w:val="2"/>
      <w:sz w:val="21"/>
      <w:szCs w:val="24"/>
    </w:rPr>
  </w:style>
  <w:style w:type="character" w:customStyle="1" w:styleId="25">
    <w:name w:val="批注主题 Char"/>
    <w:basedOn w:val="24"/>
    <w:link w:val="15"/>
    <w:qFormat/>
    <w:uiPriority w:val="0"/>
    <w:rPr>
      <w:b/>
      <w:bCs/>
      <w:kern w:val="2"/>
      <w:sz w:val="21"/>
      <w:szCs w:val="24"/>
    </w:rPr>
  </w:style>
  <w:style w:type="character" w:customStyle="1" w:styleId="26">
    <w:name w:val="批注框文本 Char"/>
    <w:basedOn w:val="19"/>
    <w:link w:val="10"/>
    <w:qFormat/>
    <w:uiPriority w:val="0"/>
    <w:rPr>
      <w:kern w:val="2"/>
      <w:sz w:val="18"/>
      <w:szCs w:val="18"/>
    </w:rPr>
  </w:style>
  <w:style w:type="character" w:customStyle="1" w:styleId="27">
    <w:name w:val="标题 2 Char"/>
    <w:basedOn w:val="19"/>
    <w:link w:val="3"/>
    <w:semiHidden/>
    <w:qFormat/>
    <w:uiPriority w:val="0"/>
    <w:rPr>
      <w:rFonts w:asciiTheme="majorHAnsi" w:hAnsiTheme="majorHAnsi" w:eastAsiaTheme="majorEastAsia" w:cstheme="majorBidi"/>
      <w:b/>
      <w:bCs/>
      <w:kern w:val="2"/>
      <w:sz w:val="32"/>
      <w:szCs w:val="32"/>
    </w:rPr>
  </w:style>
  <w:style w:type="character" w:customStyle="1" w:styleId="28">
    <w:name w:val="页脚 Char"/>
    <w:link w:val="11"/>
    <w:qFormat/>
    <w:uiPriority w:val="99"/>
    <w:rPr>
      <w:kern w:val="2"/>
      <w:sz w:val="18"/>
      <w:szCs w:val="18"/>
    </w:rPr>
  </w:style>
  <w:style w:type="character" w:customStyle="1" w:styleId="29">
    <w:name w:val="页眉 Char"/>
    <w:link w:val="12"/>
    <w:qFormat/>
    <w:uiPriority w:val="99"/>
    <w:rPr>
      <w:kern w:val="2"/>
      <w:sz w:val="18"/>
      <w:szCs w:val="18"/>
    </w:rPr>
  </w:style>
  <w:style w:type="character" w:customStyle="1" w:styleId="30">
    <w:name w:val="标题 Char"/>
    <w:basedOn w:val="19"/>
    <w:link w:val="14"/>
    <w:qFormat/>
    <w:uiPriority w:val="0"/>
    <w:rPr>
      <w:b/>
      <w:sz w:val="24"/>
      <w:lang w:val="en-GB"/>
    </w:rPr>
  </w:style>
  <w:style w:type="character" w:customStyle="1" w:styleId="31">
    <w:name w:val="页脚 Char2"/>
    <w:qFormat/>
    <w:uiPriority w:val="99"/>
    <w:rPr>
      <w:kern w:val="2"/>
      <w:sz w:val="18"/>
      <w:szCs w:val="18"/>
    </w:rPr>
  </w:style>
  <w:style w:type="character" w:customStyle="1" w:styleId="32">
    <w:name w:val="页眉 Char2"/>
    <w:qFormat/>
    <w:uiPriority w:val="99"/>
    <w:rPr>
      <w:kern w:val="2"/>
      <w:sz w:val="18"/>
      <w:szCs w:val="18"/>
    </w:rPr>
  </w:style>
  <w:style w:type="character" w:customStyle="1" w:styleId="33">
    <w:name w:val="标题 1 Char"/>
    <w:basedOn w:val="19"/>
    <w:link w:val="2"/>
    <w:qFormat/>
    <w:uiPriority w:val="0"/>
    <w:rPr>
      <w:b/>
      <w:bCs/>
      <w:kern w:val="44"/>
      <w:sz w:val="44"/>
      <w:szCs w:val="44"/>
    </w:rPr>
  </w:style>
  <w:style w:type="character" w:customStyle="1" w:styleId="34">
    <w:name w:val="font11"/>
    <w:basedOn w:val="19"/>
    <w:qFormat/>
    <w:uiPriority w:val="0"/>
    <w:rPr>
      <w:rFonts w:hint="eastAsia" w:ascii="宋体" w:hAnsi="宋体" w:eastAsia="宋体" w:cs="宋体"/>
      <w:color w:val="000000"/>
      <w:sz w:val="22"/>
      <w:szCs w:val="22"/>
      <w:u w:val="none"/>
    </w:rPr>
  </w:style>
  <w:style w:type="character" w:customStyle="1" w:styleId="35">
    <w:name w:val="font01"/>
    <w:basedOn w:val="19"/>
    <w:qFormat/>
    <w:uiPriority w:val="0"/>
    <w:rPr>
      <w:rFonts w:hint="eastAsia" w:ascii="宋体" w:hAnsi="宋体" w:eastAsia="宋体" w:cs="宋体"/>
      <w:color w:val="000000"/>
      <w:sz w:val="22"/>
      <w:szCs w:val="22"/>
      <w:u w:val="none"/>
    </w:rPr>
  </w:style>
  <w:style w:type="character" w:customStyle="1" w:styleId="36">
    <w:name w:val="正文缩进 Char"/>
    <w:link w:val="5"/>
    <w:qFormat/>
    <w:uiPriority w:val="0"/>
    <w:rPr>
      <w:rFonts w:ascii="宋体"/>
      <w:snapToGrid w:val="0"/>
      <w:color w:val="000000"/>
      <w:kern w:val="28"/>
      <w:sz w:val="28"/>
    </w:rPr>
  </w:style>
  <w:style w:type="character" w:customStyle="1" w:styleId="37">
    <w:name w:val="纯文本 Char"/>
    <w:link w:val="9"/>
    <w:qFormat/>
    <w:uiPriority w:val="0"/>
    <w:rPr>
      <w:rFonts w:ascii="宋体" w:hAnsi="Courier New"/>
      <w:sz w:val="21"/>
      <w:szCs w:val="21"/>
    </w:rPr>
  </w:style>
  <w:style w:type="character" w:customStyle="1" w:styleId="38">
    <w:name w:val="正文文本缩进 Char"/>
    <w:link w:val="8"/>
    <w:qFormat/>
    <w:uiPriority w:val="0"/>
    <w:rPr>
      <w:rFonts w:ascii="宋体" w:hAnsi="宋体"/>
      <w:kern w:val="2"/>
      <w:sz w:val="24"/>
      <w:szCs w:val="24"/>
    </w:rPr>
  </w:style>
  <w:style w:type="character" w:customStyle="1" w:styleId="39">
    <w:name w:val="正文2 Char Char"/>
    <w:link w:val="23"/>
    <w:qFormat/>
    <w:uiPriority w:val="0"/>
    <w:rPr>
      <w:kern w:val="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1">
    <w:name w:val="正文文本缩进 Char1"/>
    <w:qFormat/>
    <w:uiPriority w:val="0"/>
    <w:rPr>
      <w:rFonts w:ascii="宋体" w:hAnsi="宋体"/>
      <w:kern w:val="2"/>
      <w:sz w:val="24"/>
      <w:szCs w:val="24"/>
    </w:rPr>
  </w:style>
  <w:style w:type="paragraph" w:styleId="42">
    <w:name w:val="List Paragraph"/>
    <w:basedOn w:val="1"/>
    <w:unhideWhenUsed/>
    <w:qFormat/>
    <w:uiPriority w:val="99"/>
    <w:pPr>
      <w:ind w:firstLine="420" w:firstLineChars="200"/>
    </w:pPr>
  </w:style>
  <w:style w:type="character" w:customStyle="1" w:styleId="43">
    <w:name w:val="15"/>
    <w:basedOn w:val="19"/>
    <w:qFormat/>
    <w:uiPriority w:val="0"/>
    <w:rPr>
      <w:rFonts w:hint="default" w:ascii="Times New Roman" w:hAnsi="Times New Roman" w:cs="Times New Roman"/>
    </w:rPr>
  </w:style>
  <w:style w:type="character" w:customStyle="1" w:styleId="44">
    <w:name w:val="10"/>
    <w:basedOn w:val="19"/>
    <w:qFormat/>
    <w:uiPriority w:val="0"/>
    <w:rPr>
      <w:rFonts w:hint="default" w:ascii="Times New Roman" w:hAnsi="Times New Roman" w:cs="Times New Roman"/>
    </w:rPr>
  </w:style>
  <w:style w:type="paragraph" w:customStyle="1" w:styleId="45">
    <w:name w:val="正文段"/>
    <w:basedOn w:val="1"/>
    <w:qFormat/>
    <w:uiPriority w:val="0"/>
    <w:pPr>
      <w:widowControl/>
      <w:snapToGrid w:val="0"/>
      <w:spacing w:afterLines="50"/>
      <w:ind w:firstLine="200" w:firstLineChars="200"/>
    </w:pPr>
    <w:rPr>
      <w:kern w:val="0"/>
      <w:sz w:val="24"/>
      <w:szCs w:val="20"/>
    </w:rPr>
  </w:style>
  <w:style w:type="character" w:customStyle="1" w:styleId="46">
    <w:name w:val="批注文字 Char1"/>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878</Words>
  <Characters>995</Characters>
  <Lines>291</Lines>
  <Paragraphs>82</Paragraphs>
  <TotalTime>102</TotalTime>
  <ScaleCrop>false</ScaleCrop>
  <LinksUpToDate>false</LinksUpToDate>
  <CharactersWithSpaces>1006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2024-11-30T16:10:00Z</dcterms:created>
  <dc:creator>Administrator</dc:creator>
  <cp:lastModifiedBy>东</cp:lastModifiedBy>
  <cp:lastPrinted>2024-01-21T16:00:00Z</cp:lastPrinted>
  <dcterms:modified xsi:type="dcterms:W3CDTF">2025-04-03T07:34:27Z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E3B9F22EA37F487A842B0B6A0A7B0C23_13</vt:lpwstr>
  </property>
  <property fmtid="{D5CDD505-2E9C-101B-9397-08002B2CF9AE}" pid="4" name="KSOTemplateDocerSaveRecord">
    <vt:lpwstr>eyJoZGlkIjoiMGFlMGNjMDkyYjgzNGQ3NzlhODk3YTU2NjUxMjZmODEiLCJ1c2VySWQiOiI0MTkxNTkzNTgifQ==</vt:lpwstr>
  </property>
</Properties>
</file>