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bCs/>
          <w:sz w:val="36"/>
          <w:szCs w:val="40"/>
          <w:lang w:eastAsia="zh-CN"/>
        </w:rPr>
      </w:pPr>
      <w:r>
        <w:rPr>
          <w:rFonts w:hint="eastAsia" w:ascii="黑体" w:hAnsi="黑体" w:eastAsia="黑体"/>
          <w:b/>
          <w:bCs/>
          <w:sz w:val="36"/>
          <w:szCs w:val="40"/>
          <w:lang w:eastAsia="zh-CN"/>
        </w:rPr>
        <w:t>绍兴市医疗保障局上虞分局</w:t>
      </w:r>
    </w:p>
    <w:p>
      <w:pPr>
        <w:jc w:val="center"/>
        <w:rPr>
          <w:rFonts w:ascii="黑体" w:hAnsi="黑体" w:eastAsia="黑体"/>
          <w:b/>
          <w:bCs/>
          <w:sz w:val="36"/>
          <w:szCs w:val="40"/>
        </w:rPr>
      </w:pPr>
      <w:r>
        <w:rPr>
          <w:rFonts w:hint="eastAsia" w:ascii="黑体" w:hAnsi="黑体" w:eastAsia="黑体"/>
          <w:b/>
          <w:bCs/>
          <w:sz w:val="36"/>
          <w:szCs w:val="40"/>
          <w:lang w:val="en-US" w:eastAsia="zh-CN"/>
        </w:rPr>
        <w:t>2025年</w:t>
      </w:r>
      <w:r>
        <w:rPr>
          <w:rFonts w:hint="eastAsia" w:ascii="黑体" w:hAnsi="黑体" w:eastAsia="黑体"/>
          <w:b/>
          <w:bCs/>
          <w:sz w:val="36"/>
          <w:szCs w:val="40"/>
        </w:rPr>
        <w:t>医保基金第三方大数据监管服务项目方案</w:t>
      </w:r>
    </w:p>
    <w:p>
      <w:pPr>
        <w:pStyle w:val="4"/>
      </w:pPr>
      <w:r>
        <w:rPr>
          <w:rFonts w:hint="eastAsia"/>
        </w:rPr>
        <w:t>一、项目背景</w:t>
      </w:r>
    </w:p>
    <w:p>
      <w:pPr>
        <w:spacing w:line="560" w:lineRule="exact"/>
        <w:ind w:firstLine="560" w:firstLineChars="200"/>
        <w:rPr>
          <w:rFonts w:hint="eastAsia" w:ascii="仿宋" w:hAnsi="仿宋" w:eastAsia="仿宋"/>
          <w:color w:val="auto"/>
          <w:sz w:val="28"/>
          <w:szCs w:val="28"/>
          <w:highlight w:val="none"/>
        </w:rPr>
      </w:pPr>
      <w:bookmarkStart w:id="0" w:name="_GoBack"/>
      <w:r>
        <w:rPr>
          <w:rFonts w:hint="eastAsia" w:ascii="仿宋" w:hAnsi="仿宋" w:eastAsia="仿宋"/>
          <w:color w:val="auto"/>
          <w:sz w:val="28"/>
          <w:szCs w:val="28"/>
          <w:highlight w:val="none"/>
        </w:rPr>
        <w:t>医保基金作为民众的 “看病钱”“救命钱”，其安全与合理使用至关重要。近年来，随着我国医疗保障体系不断完善，医保覆盖范围持续扩大，医保基金规模日益增长。然而，医保领域违法违规行为也时有发生，严重损害了医保基金的安全和参保群众的利益。从“无锡虹桥医院欺诈骗保”、“哈尔滨4家药店假处方”等一</w:t>
      </w:r>
      <w:r>
        <w:rPr>
          <w:rFonts w:hint="eastAsia" w:ascii="仿宋" w:hAnsi="仿宋" w:eastAsia="仿宋"/>
          <w:color w:val="auto"/>
          <w:sz w:val="28"/>
          <w:szCs w:val="28"/>
          <w:highlight w:val="none"/>
          <w:lang w:eastAsia="zh-CN"/>
        </w:rPr>
        <w:t>系列</w:t>
      </w:r>
      <w:r>
        <w:rPr>
          <w:rFonts w:hint="eastAsia" w:ascii="仿宋" w:hAnsi="仿宋" w:eastAsia="仿宋"/>
          <w:color w:val="auto"/>
          <w:sz w:val="28"/>
          <w:szCs w:val="28"/>
          <w:highlight w:val="none"/>
        </w:rPr>
        <w:t>报道以及国家局年度重点工作安排上，医保基金监管工作既重要又艰巨，传统的监管手段已举步维艰。必须与时俱进引入大数据技术，大幅提升监管效率，全方位打击欺诈骗保、过度医疗、不合理用药等浪费医保基金的违法违规行为。在互联网+、大数据和人工智能飞速发展的今天，基于大数据和人工智能开展医保基金监管工作不仅可行,同时也势在必行。</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在此背景下，为贯彻《医疗保障基金使用监督管理条例》（国务院令第735号），落实《关于加强医疗保障基金使用常态化监管的实施意见》（国办发〔2023〕17号）、《国家医疗保障局关于开展2025年定点医药机构违法违规使用医保基金自查自纠工作的通知》（医保函〔2025〕2号）等通知要求，</w:t>
      </w:r>
      <w:r>
        <w:rPr>
          <w:rFonts w:hint="eastAsia" w:ascii="仿宋" w:hAnsi="仿宋" w:eastAsia="仿宋"/>
          <w:color w:val="auto"/>
          <w:sz w:val="28"/>
          <w:szCs w:val="28"/>
          <w:highlight w:val="none"/>
          <w:lang w:val="en-US" w:eastAsia="zh-CN"/>
        </w:rPr>
        <w:t>继续</w:t>
      </w:r>
      <w:r>
        <w:rPr>
          <w:rFonts w:hint="eastAsia" w:ascii="仿宋" w:hAnsi="仿宋" w:eastAsia="仿宋"/>
          <w:color w:val="auto"/>
          <w:sz w:val="28"/>
          <w:szCs w:val="28"/>
          <w:highlight w:val="none"/>
        </w:rPr>
        <w:t>引入第三方专业力量，借助先进的技术和丰富的经验，为医保基金监管提供创新的解决方案，具有重要的现实意义。</w:t>
      </w:r>
    </w:p>
    <w:p>
      <w:pPr>
        <w:pStyle w:val="4"/>
        <w:rPr>
          <w:color w:val="auto"/>
          <w:highlight w:val="none"/>
        </w:rPr>
      </w:pPr>
      <w:r>
        <w:rPr>
          <w:rFonts w:hint="eastAsia"/>
          <w:color w:val="auto"/>
          <w:highlight w:val="none"/>
        </w:rPr>
        <w:t>二、项目目标</w:t>
      </w:r>
    </w:p>
    <w:p>
      <w:pPr>
        <w:spacing w:line="56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为贯彻落实党中央、国务院关于医保基金监管的决策部署和省委省政府的工作安排，以及上级医保部门出台的一系列监管政策实施文件，结合近年来</w:t>
      </w:r>
      <w:r>
        <w:rPr>
          <w:rFonts w:hint="eastAsia" w:ascii="仿宋" w:hAnsi="仿宋" w:eastAsia="仿宋"/>
          <w:color w:val="auto"/>
          <w:sz w:val="28"/>
          <w:szCs w:val="28"/>
          <w:highlight w:val="none"/>
          <w:lang w:val="en-US" w:eastAsia="zh-CN"/>
        </w:rPr>
        <w:t>上虞</w:t>
      </w:r>
      <w:r>
        <w:rPr>
          <w:rFonts w:hint="eastAsia" w:ascii="仿宋" w:hAnsi="仿宋" w:eastAsia="仿宋"/>
          <w:color w:val="auto"/>
          <w:sz w:val="28"/>
          <w:szCs w:val="28"/>
          <w:highlight w:val="none"/>
          <w:lang w:eastAsia="zh-CN"/>
        </w:rPr>
        <w:t>医保基金监管实际工作成效，进一步提升综合监管能力和创新举措。通过引入第三方大数据分析与协查服务，进一步规范</w:t>
      </w:r>
      <w:r>
        <w:rPr>
          <w:rFonts w:hint="eastAsia" w:ascii="仿宋" w:hAnsi="仿宋" w:eastAsia="仿宋"/>
          <w:color w:val="auto"/>
          <w:sz w:val="28"/>
          <w:szCs w:val="28"/>
          <w:highlight w:val="none"/>
          <w:lang w:val="en-US" w:eastAsia="zh-CN"/>
        </w:rPr>
        <w:t>上虞区</w:t>
      </w:r>
      <w:r>
        <w:rPr>
          <w:rFonts w:hint="eastAsia" w:ascii="仿宋" w:hAnsi="仿宋" w:eastAsia="仿宋"/>
          <w:color w:val="auto"/>
          <w:sz w:val="28"/>
          <w:szCs w:val="28"/>
          <w:highlight w:val="none"/>
          <w:lang w:eastAsia="zh-CN"/>
        </w:rPr>
        <w:t>定点医药机构医药服务行为以及参保人员的就医行为，增强医患双方遵守医保政策的自觉性，保障我</w:t>
      </w:r>
      <w:r>
        <w:rPr>
          <w:rFonts w:hint="eastAsia" w:ascii="仿宋" w:hAnsi="仿宋" w:eastAsia="仿宋"/>
          <w:color w:val="auto"/>
          <w:sz w:val="28"/>
          <w:szCs w:val="28"/>
          <w:highlight w:val="none"/>
          <w:lang w:val="en-US" w:eastAsia="zh-CN"/>
        </w:rPr>
        <w:t>区</w:t>
      </w:r>
      <w:r>
        <w:rPr>
          <w:rFonts w:hint="eastAsia" w:ascii="仿宋" w:hAnsi="仿宋" w:eastAsia="仿宋"/>
          <w:color w:val="auto"/>
          <w:sz w:val="28"/>
          <w:szCs w:val="28"/>
          <w:highlight w:val="none"/>
          <w:lang w:eastAsia="zh-CN"/>
        </w:rPr>
        <w:t>医保基金安全运行，实现优化医药机构运营环境，强化医保基金风险管理，确保我区医保事业的可持续发展。</w:t>
      </w:r>
    </w:p>
    <w:p>
      <w:pPr>
        <w:pStyle w:val="4"/>
        <w:rPr>
          <w:color w:val="auto"/>
          <w:highlight w:val="none"/>
        </w:rPr>
      </w:pPr>
      <w:r>
        <w:rPr>
          <w:rFonts w:hint="eastAsia"/>
          <w:color w:val="auto"/>
          <w:highlight w:val="none"/>
        </w:rPr>
        <w:t>三、服务内容</w:t>
      </w:r>
    </w:p>
    <w:p>
      <w:pPr>
        <w:ind w:firstLine="560" w:firstLineChars="200"/>
        <w:rPr>
          <w:rFonts w:hint="eastAsia" w:ascii="仿宋" w:hAnsi="仿宋" w:eastAsia="仿宋"/>
          <w:color w:val="auto"/>
          <w:sz w:val="28"/>
          <w:szCs w:val="32"/>
          <w:highlight w:val="none"/>
          <w:lang w:eastAsia="zh-CN"/>
        </w:rPr>
      </w:pPr>
      <w:r>
        <w:rPr>
          <w:rFonts w:hint="eastAsia" w:ascii="仿宋" w:hAnsi="仿宋" w:eastAsia="仿宋"/>
          <w:color w:val="auto"/>
          <w:sz w:val="28"/>
          <w:szCs w:val="32"/>
          <w:highlight w:val="none"/>
          <w:lang w:eastAsia="zh-CN"/>
        </w:rPr>
        <w:t>绍兴市医疗保障局上虞分局202</w:t>
      </w:r>
      <w:r>
        <w:rPr>
          <w:rFonts w:hint="eastAsia" w:ascii="仿宋" w:hAnsi="仿宋" w:eastAsia="仿宋"/>
          <w:color w:val="auto"/>
          <w:sz w:val="28"/>
          <w:szCs w:val="32"/>
          <w:highlight w:val="none"/>
          <w:lang w:val="en-US" w:eastAsia="zh-CN"/>
        </w:rPr>
        <w:t>5</w:t>
      </w:r>
      <w:r>
        <w:rPr>
          <w:rFonts w:hint="eastAsia" w:ascii="仿宋" w:hAnsi="仿宋" w:eastAsia="仿宋"/>
          <w:color w:val="auto"/>
          <w:sz w:val="28"/>
          <w:szCs w:val="32"/>
          <w:highlight w:val="none"/>
          <w:lang w:eastAsia="zh-CN"/>
        </w:rPr>
        <w:t>年医保基金第三方大数据监管服务项目服务内容如下：</w:t>
      </w:r>
    </w:p>
    <w:p>
      <w:pPr>
        <w:ind w:firstLine="560" w:firstLineChars="200"/>
        <w:rPr>
          <w:rFonts w:hint="eastAsia" w:ascii="仿宋" w:hAnsi="仿宋" w:eastAsia="仿宋"/>
          <w:color w:val="auto"/>
          <w:sz w:val="28"/>
          <w:szCs w:val="32"/>
          <w:highlight w:val="none"/>
          <w:lang w:eastAsia="zh-CN"/>
        </w:rPr>
      </w:pPr>
      <w:r>
        <w:rPr>
          <w:rFonts w:hint="eastAsia" w:ascii="仿宋" w:hAnsi="仿宋" w:eastAsia="仿宋"/>
          <w:color w:val="auto"/>
          <w:sz w:val="28"/>
          <w:szCs w:val="32"/>
          <w:highlight w:val="none"/>
          <w:lang w:eastAsia="zh-CN"/>
        </w:rPr>
        <w:t>1、针对上虞区医保定点医疗机构和零售药店的2023年</w:t>
      </w:r>
      <w:r>
        <w:rPr>
          <w:rFonts w:hint="eastAsia" w:ascii="仿宋" w:hAnsi="仿宋" w:eastAsia="仿宋"/>
          <w:color w:val="auto"/>
          <w:sz w:val="28"/>
          <w:szCs w:val="32"/>
          <w:highlight w:val="none"/>
          <w:lang w:val="en-US" w:eastAsia="zh-CN"/>
        </w:rPr>
        <w:t>和2024年的</w:t>
      </w:r>
      <w:r>
        <w:rPr>
          <w:rFonts w:hint="eastAsia" w:ascii="仿宋" w:hAnsi="仿宋" w:eastAsia="仿宋"/>
          <w:color w:val="auto"/>
          <w:sz w:val="28"/>
          <w:szCs w:val="32"/>
          <w:highlight w:val="none"/>
          <w:lang w:eastAsia="zh-CN"/>
        </w:rPr>
        <w:t>医保基金使用情况（如遇上级部门要求或特殊情况，检查时间可往前追溯），开展医保基金日常监管和检查工作，依托第三方公司大数据技术在医保数据专区中进行全面审核，查找不合理、不合规的医疗、医药行为，并对不合理、不合规的医疗、医药行为进行分析，说明疑似违规情形及现场检查方法，形成大数据分析报告，并派出专人配合绍兴市医疗保障局上虞分局完成有关违法违规问题事项的核实工作。检查内容按照《医疗保障基金使用监督管理条例》第三十八条、四十条、四十一条相关要求，</w:t>
      </w:r>
      <w:r>
        <w:rPr>
          <w:rFonts w:hint="eastAsia" w:ascii="仿宋" w:hAnsi="仿宋" w:eastAsia="仿宋"/>
          <w:color w:val="auto"/>
          <w:sz w:val="28"/>
          <w:szCs w:val="32"/>
          <w:highlight w:val="none"/>
          <w:lang w:val="en-US" w:eastAsia="zh-CN"/>
        </w:rPr>
        <w:t>结合国家局、省局“关于开展2025年定点医药机构违法违规使用医保基金自查自纠工作的通知”中的医疗机构九大医学领域违规事项清单及零售药店常见问题</w:t>
      </w:r>
      <w:r>
        <w:rPr>
          <w:rFonts w:hint="eastAsia" w:ascii="仿宋" w:hAnsi="仿宋" w:eastAsia="仿宋"/>
          <w:color w:val="auto"/>
          <w:sz w:val="28"/>
          <w:szCs w:val="32"/>
          <w:highlight w:val="none"/>
          <w:lang w:eastAsia="zh-CN"/>
        </w:rPr>
        <w:t>、国家（省、市）飞检发现问题及上级医保部门要求的重点监管内容等为重点检查内容。</w:t>
      </w:r>
    </w:p>
    <w:p>
      <w:pPr>
        <w:ind w:firstLine="560" w:firstLineChars="200"/>
        <w:rPr>
          <w:rFonts w:hint="eastAsia" w:ascii="仿宋" w:hAnsi="仿宋" w:eastAsia="仿宋"/>
          <w:color w:val="auto"/>
          <w:sz w:val="28"/>
          <w:szCs w:val="32"/>
          <w:highlight w:val="none"/>
          <w:lang w:eastAsia="zh-CN"/>
        </w:rPr>
      </w:pPr>
      <w:r>
        <w:rPr>
          <w:rFonts w:hint="eastAsia" w:ascii="仿宋" w:hAnsi="仿宋" w:eastAsia="仿宋"/>
          <w:color w:val="auto"/>
          <w:sz w:val="28"/>
          <w:szCs w:val="32"/>
          <w:highlight w:val="none"/>
          <w:lang w:eastAsia="zh-CN"/>
        </w:rPr>
        <w:t>2、协助绍兴市医疗保障局上虞分局完成国家、省、市交办和投诉、举报案件相关工作。</w:t>
      </w:r>
    </w:p>
    <w:p>
      <w:pPr>
        <w:ind w:firstLine="560" w:firstLineChars="200"/>
        <w:rPr>
          <w:rFonts w:ascii="仿宋" w:hAnsi="仿宋" w:eastAsia="仿宋"/>
          <w:color w:val="auto"/>
          <w:sz w:val="28"/>
          <w:szCs w:val="32"/>
          <w:highlight w:val="none"/>
        </w:rPr>
      </w:pPr>
      <w:r>
        <w:rPr>
          <w:rFonts w:hint="eastAsia" w:ascii="仿宋" w:hAnsi="仿宋" w:eastAsia="仿宋"/>
          <w:color w:val="auto"/>
          <w:sz w:val="28"/>
          <w:szCs w:val="32"/>
          <w:highlight w:val="none"/>
          <w:lang w:eastAsia="zh-CN"/>
        </w:rPr>
        <w:t>3、协助绍兴市医疗保障局上虞分局完成其他医保基金监管相关工作。</w:t>
      </w:r>
    </w:p>
    <w:p>
      <w:pPr>
        <w:pStyle w:val="4"/>
        <w:rPr>
          <w:color w:val="auto"/>
          <w:highlight w:val="none"/>
        </w:rPr>
      </w:pPr>
      <w:r>
        <w:rPr>
          <w:rFonts w:hint="eastAsia"/>
          <w:color w:val="auto"/>
          <w:highlight w:val="none"/>
        </w:rPr>
        <w:t>四、服务要求</w:t>
      </w:r>
    </w:p>
    <w:p>
      <w:pPr>
        <w:spacing w:line="360" w:lineRule="auto"/>
        <w:ind w:firstLine="560" w:firstLineChars="200"/>
        <w:contextualSpacing/>
        <w:rPr>
          <w:rFonts w:ascii="仿宋" w:hAnsi="仿宋" w:eastAsia="仿宋"/>
          <w:color w:val="auto"/>
          <w:sz w:val="28"/>
          <w:szCs w:val="32"/>
          <w:highlight w:val="none"/>
        </w:rPr>
      </w:pPr>
      <w:r>
        <w:rPr>
          <w:rFonts w:ascii="仿宋" w:hAnsi="仿宋" w:eastAsia="仿宋"/>
          <w:color w:val="auto"/>
          <w:sz w:val="28"/>
          <w:szCs w:val="32"/>
          <w:highlight w:val="none"/>
        </w:rPr>
        <w:t>1</w:t>
      </w:r>
      <w:r>
        <w:rPr>
          <w:rFonts w:hint="eastAsia" w:ascii="仿宋" w:hAnsi="仿宋" w:eastAsia="仿宋"/>
          <w:color w:val="auto"/>
          <w:sz w:val="28"/>
          <w:szCs w:val="32"/>
          <w:highlight w:val="none"/>
        </w:rPr>
        <w:t>、服务期限</w:t>
      </w:r>
    </w:p>
    <w:p>
      <w:pPr>
        <w:spacing w:line="360" w:lineRule="auto"/>
        <w:ind w:firstLine="560" w:firstLineChars="200"/>
        <w:contextualSpacing/>
        <w:rPr>
          <w:rFonts w:hint="eastAsia" w:ascii="仿宋" w:hAnsi="仿宋" w:eastAsia="仿宋"/>
          <w:color w:val="auto"/>
          <w:sz w:val="28"/>
          <w:szCs w:val="32"/>
          <w:highlight w:val="none"/>
          <w:lang w:val="en-US" w:eastAsia="zh-CN"/>
        </w:rPr>
      </w:pPr>
      <w:r>
        <w:rPr>
          <w:rFonts w:hint="eastAsia" w:ascii="仿宋" w:hAnsi="仿宋" w:eastAsia="仿宋"/>
          <w:color w:val="auto"/>
          <w:sz w:val="28"/>
          <w:szCs w:val="32"/>
          <w:highlight w:val="none"/>
        </w:rPr>
        <w:t>自合同签订之日起</w:t>
      </w:r>
      <w:r>
        <w:rPr>
          <w:rFonts w:hint="eastAsia" w:ascii="仿宋" w:hAnsi="仿宋" w:eastAsia="仿宋"/>
          <w:color w:val="auto"/>
          <w:sz w:val="28"/>
          <w:szCs w:val="32"/>
          <w:highlight w:val="none"/>
          <w:lang w:val="en-US" w:eastAsia="zh-CN"/>
        </w:rPr>
        <w:t>至2025年12月前完成</w:t>
      </w:r>
      <w:r>
        <w:rPr>
          <w:rFonts w:hint="eastAsia" w:ascii="仿宋" w:hAnsi="仿宋" w:eastAsia="仿宋"/>
          <w:color w:val="auto"/>
          <w:sz w:val="28"/>
          <w:szCs w:val="32"/>
          <w:highlight w:val="none"/>
        </w:rPr>
        <w:t>。</w:t>
      </w:r>
      <w:r>
        <w:rPr>
          <w:rFonts w:hint="eastAsia" w:ascii="仿宋" w:hAnsi="仿宋" w:eastAsia="仿宋"/>
          <w:color w:val="auto"/>
          <w:sz w:val="28"/>
          <w:szCs w:val="32"/>
          <w:highlight w:val="none"/>
          <w:lang w:eastAsia="zh-CN"/>
        </w:rPr>
        <w:t>同时，若有工作需要，请中标单位配合做好</w:t>
      </w:r>
      <w:r>
        <w:rPr>
          <w:rFonts w:hint="eastAsia" w:ascii="仿宋" w:hAnsi="仿宋" w:eastAsia="仿宋"/>
          <w:color w:val="auto"/>
          <w:sz w:val="28"/>
          <w:szCs w:val="32"/>
          <w:highlight w:val="none"/>
          <w:lang w:val="en-US" w:eastAsia="zh-CN"/>
        </w:rPr>
        <w:t>2026年1月至3月底的数据分析相关工作。</w:t>
      </w:r>
    </w:p>
    <w:p>
      <w:pPr>
        <w:spacing w:line="360" w:lineRule="auto"/>
        <w:ind w:firstLine="560" w:firstLineChars="200"/>
        <w:contextualSpacing/>
        <w:rPr>
          <w:rFonts w:ascii="仿宋" w:hAnsi="仿宋" w:eastAsia="仿宋"/>
          <w:color w:val="auto"/>
          <w:sz w:val="28"/>
          <w:szCs w:val="32"/>
          <w:highlight w:val="none"/>
        </w:rPr>
      </w:pPr>
      <w:r>
        <w:rPr>
          <w:rFonts w:hint="eastAsia" w:ascii="仿宋" w:hAnsi="仿宋" w:eastAsia="仿宋"/>
          <w:color w:val="auto"/>
          <w:sz w:val="28"/>
          <w:szCs w:val="32"/>
          <w:highlight w:val="none"/>
        </w:rPr>
        <w:t>2、人员要求</w:t>
      </w:r>
    </w:p>
    <w:p>
      <w:pPr>
        <w:spacing w:line="360" w:lineRule="auto"/>
        <w:ind w:firstLine="560" w:firstLineChars="200"/>
        <w:contextualSpacing/>
        <w:rPr>
          <w:rFonts w:ascii="仿宋" w:hAnsi="仿宋" w:eastAsia="仿宋"/>
          <w:color w:val="auto"/>
          <w:sz w:val="28"/>
          <w:szCs w:val="32"/>
          <w:highlight w:val="none"/>
        </w:rPr>
      </w:pPr>
      <w:r>
        <w:rPr>
          <w:rFonts w:hint="eastAsia" w:ascii="仿宋" w:hAnsi="仿宋" w:eastAsia="仿宋"/>
          <w:color w:val="auto"/>
          <w:sz w:val="28"/>
          <w:szCs w:val="32"/>
          <w:highlight w:val="none"/>
        </w:rPr>
        <w:t>本项目要求供应商组建专业服务团队，并配备具有计算机技术和大数据分析等相关专业技术人员，具有医学和药学等相关专业技术人员，具有会计和审计等相关专业技术人员，要求服务团队具有相关工作经验。本项目要求供应商派出不少于2人配合</w:t>
      </w:r>
      <w:r>
        <w:rPr>
          <w:rFonts w:hint="eastAsia" w:ascii="仿宋" w:hAnsi="仿宋" w:eastAsia="仿宋"/>
          <w:color w:val="auto"/>
          <w:sz w:val="28"/>
          <w:szCs w:val="32"/>
          <w:highlight w:val="none"/>
          <w:lang w:val="en-US" w:eastAsia="zh-CN"/>
        </w:rPr>
        <w:t>完成</w:t>
      </w:r>
      <w:r>
        <w:rPr>
          <w:rFonts w:hint="eastAsia" w:ascii="仿宋" w:hAnsi="仿宋" w:eastAsia="仿宋"/>
          <w:color w:val="auto"/>
          <w:sz w:val="28"/>
          <w:szCs w:val="32"/>
          <w:highlight w:val="none"/>
          <w:lang w:eastAsia="zh-CN"/>
        </w:rPr>
        <w:t>绍兴市医疗保障局上虞分局</w:t>
      </w:r>
      <w:r>
        <w:rPr>
          <w:rFonts w:hint="eastAsia" w:ascii="仿宋" w:hAnsi="仿宋" w:eastAsia="仿宋"/>
          <w:color w:val="auto"/>
          <w:sz w:val="28"/>
          <w:szCs w:val="32"/>
          <w:highlight w:val="none"/>
        </w:rPr>
        <w:t>的相关工作。</w:t>
      </w:r>
    </w:p>
    <w:p>
      <w:pPr>
        <w:spacing w:line="360" w:lineRule="auto"/>
        <w:ind w:firstLine="560" w:firstLineChars="200"/>
        <w:contextualSpacing/>
        <w:rPr>
          <w:rFonts w:ascii="仿宋" w:hAnsi="仿宋" w:eastAsia="仿宋"/>
          <w:color w:val="auto"/>
          <w:sz w:val="28"/>
          <w:szCs w:val="32"/>
          <w:highlight w:val="none"/>
        </w:rPr>
      </w:pPr>
      <w:r>
        <w:rPr>
          <w:rFonts w:ascii="仿宋" w:hAnsi="仿宋" w:eastAsia="仿宋"/>
          <w:color w:val="auto"/>
          <w:sz w:val="28"/>
          <w:szCs w:val="32"/>
          <w:highlight w:val="none"/>
        </w:rPr>
        <w:t>3</w:t>
      </w:r>
      <w:r>
        <w:rPr>
          <w:rFonts w:hint="eastAsia" w:ascii="仿宋" w:hAnsi="仿宋" w:eastAsia="仿宋"/>
          <w:color w:val="auto"/>
          <w:sz w:val="28"/>
          <w:szCs w:val="32"/>
          <w:highlight w:val="none"/>
        </w:rPr>
        <w:t>、保密要求</w:t>
      </w:r>
    </w:p>
    <w:p>
      <w:pPr>
        <w:spacing w:line="360" w:lineRule="auto"/>
        <w:ind w:firstLine="560" w:firstLineChars="200"/>
        <w:contextualSpacing/>
        <w:rPr>
          <w:rFonts w:ascii="仿宋" w:hAnsi="仿宋" w:eastAsia="仿宋"/>
          <w:color w:val="auto"/>
          <w:sz w:val="28"/>
          <w:szCs w:val="32"/>
          <w:highlight w:val="none"/>
        </w:rPr>
      </w:pPr>
      <w:r>
        <w:rPr>
          <w:rFonts w:hint="eastAsia" w:ascii="仿宋" w:hAnsi="仿宋" w:eastAsia="仿宋"/>
          <w:color w:val="auto"/>
          <w:sz w:val="28"/>
          <w:szCs w:val="32"/>
          <w:highlight w:val="none"/>
        </w:rPr>
        <w:t>供应商必须承诺对本项目所涉及的所有电子数据、文件材料以及由采购方提供的所有内部资料、文档、被检查单位商业秘密以及有关工作秘密和信息予以保密；未经采购方书面许可，不得以任何形式向第三方透露本项目的任何内容；供应商必须按照</w:t>
      </w:r>
      <w:r>
        <w:rPr>
          <w:rFonts w:hint="eastAsia" w:ascii="仿宋" w:hAnsi="仿宋" w:eastAsia="仿宋"/>
          <w:color w:val="auto"/>
          <w:sz w:val="28"/>
          <w:szCs w:val="32"/>
          <w:highlight w:val="none"/>
          <w:lang w:eastAsia="zh-CN"/>
        </w:rPr>
        <w:t>绍兴市医疗保障局上虞分局</w:t>
      </w:r>
      <w:r>
        <w:rPr>
          <w:rFonts w:hint="eastAsia" w:ascii="仿宋" w:hAnsi="仿宋" w:eastAsia="仿宋"/>
          <w:color w:val="auto"/>
          <w:sz w:val="28"/>
          <w:szCs w:val="32"/>
          <w:highlight w:val="none"/>
        </w:rPr>
        <w:t>的要求签订相关保密协议，接受</w:t>
      </w:r>
      <w:r>
        <w:rPr>
          <w:rFonts w:hint="eastAsia" w:ascii="仿宋" w:hAnsi="仿宋" w:eastAsia="仿宋"/>
          <w:color w:val="auto"/>
          <w:sz w:val="28"/>
          <w:szCs w:val="32"/>
          <w:highlight w:val="none"/>
          <w:lang w:eastAsia="zh-CN"/>
        </w:rPr>
        <w:t>绍兴市医疗保障局上虞分局</w:t>
      </w:r>
      <w:r>
        <w:rPr>
          <w:rFonts w:hint="eastAsia" w:ascii="仿宋" w:hAnsi="仿宋" w:eastAsia="仿宋"/>
          <w:color w:val="auto"/>
          <w:sz w:val="28"/>
          <w:szCs w:val="32"/>
          <w:highlight w:val="none"/>
        </w:rPr>
        <w:t>指派的第三方信息技术公司对数据保密工作的检查。</w:t>
      </w:r>
    </w:p>
    <w:p>
      <w:pPr>
        <w:spacing w:line="360" w:lineRule="auto"/>
        <w:ind w:firstLine="560" w:firstLineChars="200"/>
        <w:contextualSpacing/>
        <w:rPr>
          <w:rFonts w:ascii="仿宋" w:hAnsi="仿宋" w:eastAsia="仿宋"/>
          <w:color w:val="auto"/>
          <w:sz w:val="28"/>
          <w:szCs w:val="32"/>
          <w:highlight w:val="none"/>
        </w:rPr>
      </w:pPr>
      <w:r>
        <w:rPr>
          <w:rFonts w:ascii="仿宋" w:hAnsi="仿宋" w:eastAsia="仿宋"/>
          <w:color w:val="auto"/>
          <w:sz w:val="28"/>
          <w:szCs w:val="32"/>
          <w:highlight w:val="none"/>
        </w:rPr>
        <w:t>4</w:t>
      </w:r>
      <w:r>
        <w:rPr>
          <w:rFonts w:hint="eastAsia" w:ascii="仿宋" w:hAnsi="仿宋" w:eastAsia="仿宋"/>
          <w:color w:val="auto"/>
          <w:sz w:val="28"/>
          <w:szCs w:val="32"/>
          <w:highlight w:val="none"/>
        </w:rPr>
        <w:t>、自主知识产权要求</w:t>
      </w:r>
    </w:p>
    <w:p>
      <w:pPr>
        <w:spacing w:line="360" w:lineRule="auto"/>
        <w:ind w:firstLine="560" w:firstLineChars="200"/>
        <w:contextualSpacing/>
        <w:rPr>
          <w:rFonts w:ascii="仿宋" w:hAnsi="仿宋" w:eastAsia="仿宋"/>
          <w:color w:val="auto"/>
          <w:sz w:val="28"/>
          <w:szCs w:val="32"/>
          <w:highlight w:val="none"/>
        </w:rPr>
      </w:pPr>
      <w:r>
        <w:rPr>
          <w:rFonts w:hint="eastAsia" w:ascii="仿宋" w:hAnsi="仿宋" w:eastAsia="仿宋"/>
          <w:color w:val="auto"/>
          <w:sz w:val="28"/>
          <w:szCs w:val="32"/>
          <w:highlight w:val="none"/>
        </w:rPr>
        <w:t>为保证本项目的服务质量以及提升相关数据资料的安全性和保密性，在本项目服务过程中，要求供应商所使用的大数据相关软件平台必须具有自主知识产权，并提供相关软件著作权证书。</w:t>
      </w:r>
    </w:p>
    <w:p>
      <w:pPr>
        <w:pStyle w:val="4"/>
        <w:rPr>
          <w:color w:val="auto"/>
          <w:highlight w:val="none"/>
        </w:rPr>
      </w:pPr>
      <w:r>
        <w:rPr>
          <w:rFonts w:hint="eastAsia"/>
          <w:color w:val="auto"/>
          <w:highlight w:val="none"/>
        </w:rPr>
        <w:t>五、项目预算</w:t>
      </w:r>
    </w:p>
    <w:p>
      <w:pPr>
        <w:spacing w:line="56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绍兴市医疗保障局上虞分局</w:t>
      </w:r>
      <w:r>
        <w:rPr>
          <w:rFonts w:hint="eastAsia" w:ascii="仿宋" w:hAnsi="仿宋" w:eastAsia="仿宋"/>
          <w:color w:val="auto"/>
          <w:sz w:val="28"/>
          <w:szCs w:val="28"/>
          <w:highlight w:val="none"/>
          <w:lang w:val="en-US" w:eastAsia="zh-CN"/>
        </w:rPr>
        <w:t>2025年</w:t>
      </w:r>
      <w:r>
        <w:rPr>
          <w:rFonts w:hint="eastAsia" w:ascii="仿宋" w:hAnsi="仿宋" w:eastAsia="仿宋"/>
          <w:color w:val="auto"/>
          <w:sz w:val="28"/>
          <w:szCs w:val="28"/>
          <w:highlight w:val="none"/>
        </w:rPr>
        <w:t>医保基金第三方大数据监管服务项目预算</w:t>
      </w:r>
      <w:r>
        <w:rPr>
          <w:rFonts w:hint="eastAsia" w:ascii="仿宋" w:hAnsi="仿宋" w:eastAsia="仿宋"/>
          <w:color w:val="auto"/>
          <w:sz w:val="28"/>
          <w:szCs w:val="28"/>
          <w:highlight w:val="none"/>
          <w:lang w:val="en-US" w:eastAsia="zh-CN"/>
        </w:rPr>
        <w:t>40</w:t>
      </w:r>
      <w:r>
        <w:rPr>
          <w:rFonts w:hint="eastAsia" w:ascii="仿宋" w:hAnsi="仿宋" w:eastAsia="仿宋"/>
          <w:color w:val="auto"/>
          <w:sz w:val="28"/>
          <w:szCs w:val="28"/>
          <w:highlight w:val="none"/>
        </w:rPr>
        <w:t>万元。</w:t>
      </w:r>
    </w:p>
    <w:p>
      <w:pPr>
        <w:pStyle w:val="4"/>
        <w:rPr>
          <w:color w:val="auto"/>
          <w:highlight w:val="none"/>
        </w:rPr>
      </w:pPr>
      <w:r>
        <w:rPr>
          <w:rFonts w:hint="eastAsia"/>
          <w:color w:val="auto"/>
          <w:highlight w:val="none"/>
        </w:rPr>
        <w:t>六、绩效考核</w:t>
      </w:r>
    </w:p>
    <w:p>
      <w:pPr>
        <w:ind w:firstLine="560" w:firstLineChars="200"/>
        <w:rPr>
          <w:rFonts w:ascii="仿宋" w:hAnsi="仿宋" w:eastAsia="仿宋"/>
          <w:color w:val="auto"/>
          <w:sz w:val="28"/>
          <w:szCs w:val="32"/>
          <w:highlight w:val="none"/>
        </w:rPr>
      </w:pPr>
      <w:r>
        <w:rPr>
          <w:rFonts w:hint="eastAsia" w:ascii="仿宋" w:hAnsi="仿宋" w:eastAsia="仿宋"/>
          <w:color w:val="auto"/>
          <w:sz w:val="28"/>
          <w:szCs w:val="28"/>
          <w:highlight w:val="none"/>
          <w:lang w:eastAsia="zh-CN"/>
        </w:rPr>
        <w:t>绍兴市医疗保障局上虞分局</w:t>
      </w:r>
      <w:r>
        <w:rPr>
          <w:rFonts w:hint="eastAsia" w:ascii="仿宋" w:hAnsi="仿宋" w:eastAsia="仿宋"/>
          <w:color w:val="auto"/>
          <w:sz w:val="28"/>
          <w:szCs w:val="28"/>
          <w:highlight w:val="none"/>
          <w:lang w:val="en-US" w:eastAsia="zh-CN"/>
        </w:rPr>
        <w:t>2025年</w:t>
      </w:r>
      <w:r>
        <w:rPr>
          <w:rFonts w:hint="eastAsia" w:ascii="仿宋" w:hAnsi="仿宋" w:eastAsia="仿宋"/>
          <w:color w:val="auto"/>
          <w:sz w:val="28"/>
          <w:szCs w:val="28"/>
          <w:highlight w:val="none"/>
        </w:rPr>
        <w:t>医保基金第三方大数据监管服务项目</w:t>
      </w:r>
      <w:r>
        <w:rPr>
          <w:rFonts w:hint="eastAsia" w:ascii="仿宋" w:hAnsi="仿宋" w:eastAsia="仿宋"/>
          <w:color w:val="auto"/>
          <w:sz w:val="28"/>
          <w:szCs w:val="32"/>
          <w:highlight w:val="none"/>
        </w:rPr>
        <w:t>绩效考核目标为协助追回（拒付）医保基金不少于</w:t>
      </w:r>
      <w:r>
        <w:rPr>
          <w:rFonts w:hint="eastAsia" w:ascii="仿宋" w:hAnsi="仿宋" w:eastAsia="仿宋"/>
          <w:color w:val="auto"/>
          <w:sz w:val="28"/>
          <w:szCs w:val="32"/>
          <w:highlight w:val="none"/>
          <w:lang w:val="en-US" w:eastAsia="zh-CN"/>
        </w:rPr>
        <w:t>23</w:t>
      </w:r>
      <w:r>
        <w:rPr>
          <w:rFonts w:hint="eastAsia" w:ascii="仿宋" w:hAnsi="仿宋" w:eastAsia="仿宋"/>
          <w:color w:val="auto"/>
          <w:sz w:val="28"/>
          <w:szCs w:val="32"/>
          <w:highlight w:val="none"/>
        </w:rPr>
        <w:t>0万元（含处罚款等）。</w:t>
      </w:r>
    </w:p>
    <w:p>
      <w:pPr>
        <w:pStyle w:val="4"/>
        <w:rPr>
          <w:color w:val="auto"/>
          <w:highlight w:val="none"/>
        </w:rPr>
      </w:pPr>
      <w:r>
        <w:rPr>
          <w:rFonts w:hint="eastAsia"/>
          <w:color w:val="auto"/>
          <w:highlight w:val="none"/>
          <w:lang w:val="en-US" w:eastAsia="zh-CN"/>
        </w:rPr>
        <w:t>七</w:t>
      </w:r>
      <w:r>
        <w:rPr>
          <w:rFonts w:hint="eastAsia"/>
          <w:color w:val="auto"/>
          <w:highlight w:val="none"/>
        </w:rPr>
        <w:t>、采购方案</w:t>
      </w:r>
    </w:p>
    <w:p>
      <w:pPr>
        <w:ind w:left="560"/>
        <w:rPr>
          <w:rFonts w:ascii="仿宋" w:hAnsi="仿宋" w:eastAsia="仿宋"/>
          <w:color w:val="auto"/>
          <w:sz w:val="28"/>
          <w:szCs w:val="28"/>
          <w:highlight w:val="none"/>
        </w:rPr>
      </w:pPr>
      <w:r>
        <w:rPr>
          <w:rFonts w:hint="eastAsia" w:ascii="仿宋" w:hAnsi="仿宋" w:eastAsia="仿宋"/>
          <w:color w:val="auto"/>
          <w:sz w:val="28"/>
          <w:szCs w:val="28"/>
          <w:highlight w:val="none"/>
        </w:rPr>
        <w:t>1、采购方式</w:t>
      </w:r>
    </w:p>
    <w:p>
      <w:pPr>
        <w:spacing w:line="360" w:lineRule="auto"/>
        <w:ind w:firstLine="560" w:firstLineChars="200"/>
        <w:contextualSpacing/>
        <w:rPr>
          <w:rFonts w:ascii="仿宋" w:hAnsi="仿宋" w:eastAsia="仿宋"/>
          <w:color w:val="auto"/>
          <w:sz w:val="28"/>
          <w:szCs w:val="28"/>
          <w:highlight w:val="none"/>
        </w:rPr>
      </w:pPr>
      <w:r>
        <w:rPr>
          <w:rFonts w:hint="eastAsia" w:ascii="仿宋" w:hAnsi="仿宋" w:eastAsia="仿宋"/>
          <w:color w:val="auto"/>
          <w:sz w:val="28"/>
          <w:szCs w:val="28"/>
          <w:highlight w:val="none"/>
        </w:rPr>
        <w:t>由于本项目属于政府向社会力量购买第三方专业服务，</w:t>
      </w:r>
      <w:r>
        <w:rPr>
          <w:rFonts w:hint="eastAsia" w:ascii="仿宋" w:hAnsi="仿宋" w:eastAsia="仿宋"/>
          <w:color w:val="auto"/>
          <w:sz w:val="28"/>
          <w:szCs w:val="28"/>
          <w:highlight w:val="none"/>
          <w:lang w:val="en-US" w:eastAsia="zh-CN"/>
        </w:rPr>
        <w:t>因此本项目专门面向中小微企业，所属行业为软件与信息技术服务业，</w:t>
      </w:r>
      <w:r>
        <w:rPr>
          <w:rFonts w:hint="eastAsia" w:ascii="仿宋" w:hAnsi="仿宋" w:eastAsia="仿宋"/>
          <w:color w:val="auto"/>
          <w:sz w:val="28"/>
          <w:szCs w:val="28"/>
          <w:highlight w:val="none"/>
        </w:rPr>
        <w:t>拟采用委托招标代理机构，以竞争性磋商采购方式完成本项目的政府采购招标工作。</w:t>
      </w:r>
    </w:p>
    <w:p>
      <w:pPr>
        <w:numPr>
          <w:ilvl w:val="0"/>
          <w:numId w:val="1"/>
        </w:numPr>
        <w:ind w:left="56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评审标准</w:t>
      </w:r>
    </w:p>
    <w:p>
      <w:pPr>
        <w:numPr>
          <w:ilvl w:val="0"/>
          <w:numId w:val="0"/>
        </w:num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2.1报价部分</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0 分）</w:t>
      </w:r>
    </w:p>
    <w:p>
      <w:pPr>
        <w:spacing w:line="360" w:lineRule="auto"/>
        <w:ind w:firstLine="560" w:firstLineChars="200"/>
        <w:contextualSpacing/>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有效的投标报价中的最低价为评标基准价，按照下列公式计算每个投标人的投标价格得分。投标报价得分＝（评标基准价/投标报价）×价格权重×100%。</w:t>
      </w:r>
    </w:p>
    <w:p>
      <w:pPr>
        <w:numPr>
          <w:ilvl w:val="0"/>
          <w:numId w:val="0"/>
        </w:num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2.2商务技术（ 80 分）</w:t>
      </w:r>
    </w:p>
    <w:tbl>
      <w:tblPr>
        <w:tblStyle w:val="10"/>
        <w:tblW w:w="9319" w:type="dxa"/>
        <w:tblInd w:w="-5" w:type="dxa"/>
        <w:tblLayout w:type="fixed"/>
        <w:tblCellMar>
          <w:top w:w="0" w:type="dxa"/>
          <w:left w:w="108" w:type="dxa"/>
          <w:bottom w:w="0" w:type="dxa"/>
          <w:right w:w="108" w:type="dxa"/>
        </w:tblCellMar>
      </w:tblPr>
      <w:tblGrid>
        <w:gridCol w:w="1119"/>
        <w:gridCol w:w="450"/>
        <w:gridCol w:w="1270"/>
        <w:gridCol w:w="5700"/>
        <w:gridCol w:w="780"/>
      </w:tblGrid>
      <w:tr>
        <w:tblPrEx>
          <w:tblCellMar>
            <w:top w:w="0" w:type="dxa"/>
            <w:left w:w="108" w:type="dxa"/>
            <w:bottom w:w="0" w:type="dxa"/>
            <w:right w:w="108" w:type="dxa"/>
          </w:tblCellMar>
        </w:tblPrEx>
        <w:trPr>
          <w:trHeight w:val="90" w:hRule="atLeast"/>
        </w:trPr>
        <w:tc>
          <w:tcPr>
            <w:tcW w:w="111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contextualSpacing/>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类别</w:t>
            </w:r>
          </w:p>
        </w:tc>
        <w:tc>
          <w:tcPr>
            <w:tcW w:w="45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contextualSpacing/>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70" w:type="dxa"/>
            <w:tcBorders>
              <w:top w:val="single" w:color="auto" w:sz="4" w:space="0"/>
              <w:left w:val="nil"/>
              <w:bottom w:val="single" w:color="auto" w:sz="4" w:space="0"/>
              <w:right w:val="single" w:color="auto" w:sz="4" w:space="0"/>
            </w:tcBorders>
            <w:noWrap w:val="0"/>
            <w:vAlign w:val="center"/>
          </w:tcPr>
          <w:p>
            <w:pPr>
              <w:widowControl/>
              <w:spacing w:line="360" w:lineRule="auto"/>
              <w:contextualSpacing/>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评审项目</w:t>
            </w:r>
          </w:p>
        </w:tc>
        <w:tc>
          <w:tcPr>
            <w:tcW w:w="5700" w:type="dxa"/>
            <w:tcBorders>
              <w:top w:val="single" w:color="auto" w:sz="4" w:space="0"/>
              <w:left w:val="nil"/>
              <w:bottom w:val="single" w:color="auto" w:sz="4" w:space="0"/>
              <w:right w:val="single" w:color="auto" w:sz="4" w:space="0"/>
            </w:tcBorders>
            <w:noWrap w:val="0"/>
            <w:vAlign w:val="center"/>
          </w:tcPr>
          <w:p>
            <w:pPr>
              <w:widowControl/>
              <w:spacing w:line="360" w:lineRule="auto"/>
              <w:contextualSpacing/>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评审标准</w:t>
            </w:r>
          </w:p>
        </w:tc>
        <w:tc>
          <w:tcPr>
            <w:tcW w:w="780" w:type="dxa"/>
            <w:tcBorders>
              <w:top w:val="single" w:color="auto" w:sz="4" w:space="0"/>
              <w:left w:val="nil"/>
              <w:bottom w:val="single" w:color="auto" w:sz="4" w:space="0"/>
              <w:right w:val="single" w:color="auto" w:sz="4" w:space="0"/>
            </w:tcBorders>
            <w:noWrap w:val="0"/>
            <w:vAlign w:val="center"/>
          </w:tcPr>
          <w:p>
            <w:pPr>
              <w:widowControl/>
              <w:spacing w:line="360" w:lineRule="auto"/>
              <w:contextualSpacing/>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tblPrEx>
          <w:tblCellMar>
            <w:top w:w="0" w:type="dxa"/>
            <w:left w:w="108" w:type="dxa"/>
            <w:bottom w:w="0" w:type="dxa"/>
            <w:right w:w="108" w:type="dxa"/>
          </w:tblCellMar>
        </w:tblPrEx>
        <w:trPr>
          <w:trHeight w:val="1984" w:hRule="atLeast"/>
        </w:trPr>
        <w:tc>
          <w:tcPr>
            <w:tcW w:w="1119" w:type="dxa"/>
            <w:vMerge w:val="restart"/>
            <w:tcBorders>
              <w:top w:val="single" w:color="auto" w:sz="4" w:space="0"/>
              <w:left w:val="single" w:color="auto" w:sz="4" w:space="0"/>
              <w:right w:val="single" w:color="auto" w:sz="4" w:space="0"/>
            </w:tcBorders>
            <w:noWrap/>
            <w:vAlign w:val="center"/>
          </w:tcPr>
          <w:p>
            <w:pPr>
              <w:widowControl/>
              <w:spacing w:line="360" w:lineRule="auto"/>
              <w:contextualSpacing/>
              <w:jc w:val="center"/>
              <w:rPr>
                <w:rFonts w:hint="eastAsia" w:ascii="宋体" w:hAnsi="宋体" w:eastAsia="宋体" w:cs="宋体"/>
                <w:color w:val="auto"/>
                <w:sz w:val="24"/>
                <w:szCs w:val="24"/>
                <w:highlight w:val="none"/>
                <w:lang w:val="en-US" w:eastAsia="zh-CN"/>
              </w:rPr>
            </w:pPr>
            <w:r>
              <w:rPr>
                <w:rFonts w:hint="eastAsia" w:ascii="仿宋" w:hAnsi="仿宋" w:eastAsia="仿宋" w:cs="仿宋_GB2312"/>
                <w:color w:val="auto"/>
                <w:sz w:val="24"/>
                <w:highlight w:val="none"/>
                <w:lang w:val="en-US" w:eastAsia="zh-CN"/>
              </w:rPr>
              <w:t>资信部分</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en-US" w:eastAsia="zh-CN"/>
              </w:rPr>
              <w:t>10分</w:t>
            </w:r>
            <w:r>
              <w:rPr>
                <w:rFonts w:hint="eastAsia" w:ascii="仿宋" w:hAnsi="仿宋" w:eastAsia="仿宋" w:cs="仿宋_GB2312"/>
                <w:color w:val="auto"/>
                <w:sz w:val="24"/>
                <w:highlight w:val="none"/>
                <w:lang w:eastAsia="zh-CN"/>
              </w:rPr>
              <w:t>）</w:t>
            </w:r>
          </w:p>
        </w:tc>
        <w:tc>
          <w:tcPr>
            <w:tcW w:w="45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contextualSpacing/>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综合实力</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contextualSpacing/>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供应商具有软件成熟度认证CMMI3及以上，得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widowControl/>
              <w:spacing w:line="320" w:lineRule="atLeas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w:t>
            </w:r>
            <w:r>
              <w:rPr>
                <w:rFonts w:hint="eastAsia" w:ascii="宋体" w:hAnsi="宋体" w:eastAsia="宋体" w:cs="宋体"/>
                <w:color w:val="auto"/>
                <w:sz w:val="24"/>
                <w:szCs w:val="24"/>
                <w:highlight w:val="none"/>
                <w:lang w:val="en-US" w:eastAsia="zh-CN"/>
              </w:rPr>
              <w:t>具有有效期内的</w:t>
            </w:r>
            <w:r>
              <w:rPr>
                <w:rFonts w:hint="eastAsia" w:ascii="宋体" w:hAnsi="宋体" w:eastAsia="宋体" w:cs="宋体"/>
                <w:color w:val="auto"/>
                <w:sz w:val="24"/>
                <w:szCs w:val="24"/>
                <w:highlight w:val="none"/>
              </w:rPr>
              <w:t>ISO9001质量管理体系认证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ISO20000信息技术服务管理体系认证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ISO27001信息安全体系认证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ISO14001环境管理体系认证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ISO45001职业健康安全管理体系认证，每提供一个证书</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分。</w:t>
            </w:r>
          </w:p>
          <w:p>
            <w:pPr>
              <w:widowControl/>
              <w:spacing w:line="320" w:lineRule="atLeast"/>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备注:提供证书复印件盖公章。</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5.5</w:t>
            </w:r>
          </w:p>
        </w:tc>
      </w:tr>
      <w:tr>
        <w:tblPrEx>
          <w:tblCellMar>
            <w:top w:w="0" w:type="dxa"/>
            <w:left w:w="108" w:type="dxa"/>
            <w:bottom w:w="0" w:type="dxa"/>
            <w:right w:w="108" w:type="dxa"/>
          </w:tblCellMar>
        </w:tblPrEx>
        <w:trPr>
          <w:trHeight w:val="983" w:hRule="atLeast"/>
        </w:trPr>
        <w:tc>
          <w:tcPr>
            <w:tcW w:w="1119" w:type="dxa"/>
            <w:vMerge w:val="continue"/>
            <w:tcBorders>
              <w:left w:val="single" w:color="auto" w:sz="4" w:space="0"/>
              <w:right w:val="single" w:color="auto" w:sz="4" w:space="0"/>
            </w:tcBorders>
            <w:noWrap/>
            <w:vAlign w:val="center"/>
          </w:tcPr>
          <w:p>
            <w:pPr>
              <w:widowControl/>
              <w:spacing w:line="360" w:lineRule="auto"/>
              <w:contextualSpacing/>
              <w:jc w:val="center"/>
              <w:rPr>
                <w:rFonts w:hint="eastAsia" w:ascii="宋体" w:hAnsi="宋体" w:eastAsia="宋体" w:cs="宋体"/>
                <w:color w:val="auto"/>
                <w:sz w:val="24"/>
                <w:szCs w:val="24"/>
                <w:highlight w:val="none"/>
                <w:lang w:val="en-US" w:eastAsia="zh-CN"/>
              </w:rPr>
            </w:pPr>
          </w:p>
        </w:tc>
        <w:tc>
          <w:tcPr>
            <w:tcW w:w="45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contextualSpacing/>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1270" w:type="dxa"/>
            <w:tcBorders>
              <w:top w:val="single" w:color="auto" w:sz="4" w:space="0"/>
              <w:left w:val="nil"/>
              <w:bottom w:val="single" w:color="auto" w:sz="4" w:space="0"/>
              <w:right w:val="single" w:color="auto" w:sz="4" w:space="0"/>
            </w:tcBorders>
            <w:noWrap w:val="0"/>
            <w:vAlign w:val="center"/>
          </w:tcPr>
          <w:p>
            <w:pPr>
              <w:widowControl/>
              <w:spacing w:line="320" w:lineRule="atLeas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自主知识产权</w:t>
            </w:r>
          </w:p>
        </w:tc>
        <w:tc>
          <w:tcPr>
            <w:tcW w:w="5700" w:type="dxa"/>
            <w:tcBorders>
              <w:top w:val="single" w:color="auto" w:sz="4" w:space="0"/>
              <w:left w:val="nil"/>
              <w:bottom w:val="single" w:color="auto" w:sz="4" w:space="0"/>
              <w:right w:val="single" w:color="auto" w:sz="4" w:space="0"/>
            </w:tcBorders>
            <w:noWrap w:val="0"/>
            <w:vAlign w:val="center"/>
          </w:tcPr>
          <w:p>
            <w:pPr>
              <w:widowControl/>
              <w:spacing w:line="320" w:lineRule="atLeast"/>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供应商具有医保基金大数据监管平台、数据采集系统、大数据管理平台、大数据稽核平台、医保基金监管全流程管理系统等与医保基金监管业务相关的软件产品著作权登记证书，每提供一个证书得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5分</w:t>
            </w:r>
            <w:r>
              <w:rPr>
                <w:rFonts w:hint="eastAsia" w:ascii="宋体" w:hAnsi="宋体" w:eastAsia="宋体" w:cs="宋体"/>
                <w:color w:val="auto"/>
                <w:sz w:val="24"/>
                <w:szCs w:val="24"/>
                <w:highlight w:val="none"/>
                <w:lang w:eastAsia="zh-CN"/>
              </w:rPr>
              <w:t>（提供证书原件扫描件或彩色图片加盖单位公章）</w:t>
            </w:r>
          </w:p>
        </w:tc>
        <w:tc>
          <w:tcPr>
            <w:tcW w:w="780" w:type="dxa"/>
            <w:tcBorders>
              <w:top w:val="single" w:color="auto" w:sz="4" w:space="0"/>
              <w:left w:val="nil"/>
              <w:bottom w:val="single" w:color="auto" w:sz="4" w:space="0"/>
              <w:right w:val="single" w:color="auto" w:sz="4" w:space="0"/>
            </w:tcBorders>
            <w:noWrap w:val="0"/>
            <w:vAlign w:val="center"/>
          </w:tcPr>
          <w:p>
            <w:pPr>
              <w:widowControl/>
              <w:spacing w:line="360" w:lineRule="auto"/>
              <w:contextualSpacing/>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r>
      <w:tr>
        <w:tblPrEx>
          <w:tblCellMar>
            <w:top w:w="0" w:type="dxa"/>
            <w:left w:w="108" w:type="dxa"/>
            <w:bottom w:w="0" w:type="dxa"/>
            <w:right w:w="108" w:type="dxa"/>
          </w:tblCellMar>
        </w:tblPrEx>
        <w:trPr>
          <w:trHeight w:val="1114" w:hRule="atLeast"/>
        </w:trPr>
        <w:tc>
          <w:tcPr>
            <w:tcW w:w="1119" w:type="dxa"/>
            <w:vMerge w:val="continue"/>
            <w:tcBorders>
              <w:left w:val="single" w:color="auto" w:sz="4" w:space="0"/>
              <w:bottom w:val="single" w:color="auto" w:sz="4" w:space="0"/>
              <w:right w:val="single" w:color="auto" w:sz="4" w:space="0"/>
            </w:tcBorders>
            <w:noWrap/>
            <w:vAlign w:val="center"/>
          </w:tcPr>
          <w:p>
            <w:pPr>
              <w:widowControl/>
              <w:spacing w:line="360" w:lineRule="auto"/>
              <w:contextualSpacing/>
              <w:jc w:val="center"/>
              <w:rPr>
                <w:rFonts w:hint="eastAsia" w:ascii="宋体" w:hAnsi="宋体" w:eastAsia="宋体" w:cs="宋体"/>
                <w:color w:val="auto"/>
                <w:sz w:val="24"/>
                <w:szCs w:val="24"/>
                <w:highlight w:val="none"/>
                <w:lang w:val="en-US" w:eastAsia="zh-CN"/>
              </w:rPr>
            </w:pPr>
          </w:p>
        </w:tc>
        <w:tc>
          <w:tcPr>
            <w:tcW w:w="450" w:type="dxa"/>
            <w:tcBorders>
              <w:top w:val="nil"/>
              <w:left w:val="single" w:color="auto" w:sz="4" w:space="0"/>
              <w:bottom w:val="single" w:color="auto" w:sz="4" w:space="0"/>
              <w:right w:val="single" w:color="auto" w:sz="4" w:space="0"/>
            </w:tcBorders>
            <w:noWrap/>
            <w:vAlign w:val="center"/>
          </w:tcPr>
          <w:p>
            <w:pPr>
              <w:widowControl/>
              <w:spacing w:line="360" w:lineRule="auto"/>
              <w:contextualSpacing/>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270" w:type="dxa"/>
            <w:tcBorders>
              <w:top w:val="nil"/>
              <w:left w:val="nil"/>
              <w:bottom w:val="single" w:color="auto" w:sz="4" w:space="0"/>
              <w:right w:val="single" w:color="auto" w:sz="4" w:space="0"/>
            </w:tcBorders>
            <w:noWrap w:val="0"/>
            <w:vAlign w:val="center"/>
          </w:tcPr>
          <w:p>
            <w:pPr>
              <w:widowControl/>
              <w:spacing w:line="320" w:lineRule="atLeas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类似项目业绩</w:t>
            </w:r>
          </w:p>
        </w:tc>
        <w:tc>
          <w:tcPr>
            <w:tcW w:w="5700" w:type="dxa"/>
            <w:tcBorders>
              <w:top w:val="nil"/>
              <w:left w:val="nil"/>
              <w:bottom w:val="single" w:color="auto" w:sz="4" w:space="0"/>
              <w:right w:val="single" w:color="auto" w:sz="4" w:space="0"/>
            </w:tcBorders>
            <w:noWrap w:val="0"/>
            <w:vAlign w:val="center"/>
          </w:tcPr>
          <w:p>
            <w:pPr>
              <w:widowControl/>
              <w:spacing w:line="320" w:lineRule="atLeas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年1月至今完成</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类似</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业绩，提供合同复印件盖公章，同一业主单位只能计算一次。</w:t>
            </w:r>
          </w:p>
          <w:p>
            <w:pPr>
              <w:widowControl/>
              <w:spacing w:line="320" w:lineRule="atLeast"/>
              <w:contextualSpacing/>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每提供一个项目合同得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eastAsia="zh-CN"/>
              </w:rPr>
              <w:t>原件扫描件或彩色图片加盖单位公章</w:t>
            </w:r>
            <w:r>
              <w:rPr>
                <w:rFonts w:hint="eastAsia" w:ascii="宋体" w:hAnsi="宋体" w:eastAsia="宋体" w:cs="宋体"/>
                <w:color w:val="auto"/>
                <w:sz w:val="24"/>
                <w:szCs w:val="24"/>
                <w:highlight w:val="none"/>
              </w:rPr>
              <w:t>，同一业主单位只能计算一次。</w:t>
            </w:r>
            <w:r>
              <w:rPr>
                <w:rFonts w:hint="eastAsia" w:ascii="宋体" w:hAnsi="宋体" w:eastAsia="宋体" w:cs="宋体"/>
                <w:color w:val="auto"/>
                <w:sz w:val="24"/>
                <w:szCs w:val="24"/>
                <w:highlight w:val="none"/>
                <w:lang w:eastAsia="zh-CN"/>
              </w:rPr>
              <w:t>）</w:t>
            </w:r>
          </w:p>
        </w:tc>
        <w:tc>
          <w:tcPr>
            <w:tcW w:w="780" w:type="dxa"/>
            <w:tcBorders>
              <w:top w:val="nil"/>
              <w:left w:val="nil"/>
              <w:bottom w:val="single" w:color="auto" w:sz="4" w:space="0"/>
              <w:right w:val="single" w:color="auto" w:sz="4" w:space="0"/>
            </w:tcBorders>
            <w:noWrap w:val="0"/>
            <w:vAlign w:val="center"/>
          </w:tcPr>
          <w:p>
            <w:pPr>
              <w:widowControl/>
              <w:spacing w:line="360" w:lineRule="auto"/>
              <w:contextualSpacing/>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tblPrEx>
          <w:tblCellMar>
            <w:top w:w="0" w:type="dxa"/>
            <w:left w:w="108" w:type="dxa"/>
            <w:bottom w:w="0" w:type="dxa"/>
            <w:right w:w="108" w:type="dxa"/>
          </w:tblCellMar>
        </w:tblPrEx>
        <w:trPr>
          <w:trHeight w:val="841" w:hRule="atLeast"/>
        </w:trPr>
        <w:tc>
          <w:tcPr>
            <w:tcW w:w="1119" w:type="dxa"/>
            <w:vMerge w:val="restart"/>
            <w:tcBorders>
              <w:top w:val="single" w:color="auto" w:sz="4" w:space="0"/>
              <w:left w:val="single" w:color="auto" w:sz="4" w:space="0"/>
              <w:right w:val="single" w:color="auto" w:sz="4" w:space="0"/>
            </w:tcBorders>
            <w:noWrap/>
            <w:vAlign w:val="center"/>
          </w:tcPr>
          <w:p>
            <w:pPr>
              <w:widowControl/>
              <w:spacing w:line="360" w:lineRule="auto"/>
              <w:contextualSpacing/>
              <w:jc w:val="center"/>
              <w:rPr>
                <w:rFonts w:hint="eastAsia" w:ascii="宋体" w:hAnsi="宋体" w:eastAsia="宋体" w:cs="宋体"/>
                <w:color w:val="auto"/>
                <w:sz w:val="24"/>
                <w:szCs w:val="24"/>
                <w:highlight w:val="none"/>
                <w:lang w:val="en-US" w:eastAsia="zh-CN"/>
              </w:rPr>
            </w:pPr>
            <w:r>
              <w:rPr>
                <w:rFonts w:hint="eastAsia" w:ascii="仿宋" w:hAnsi="仿宋" w:eastAsia="仿宋" w:cs="仿宋_GB2312"/>
                <w:color w:val="auto"/>
                <w:sz w:val="24"/>
                <w:highlight w:val="none"/>
                <w:lang w:val="en-US" w:eastAsia="zh-CN"/>
              </w:rPr>
              <w:t>技术部分（70分）</w:t>
            </w:r>
          </w:p>
        </w:tc>
        <w:tc>
          <w:tcPr>
            <w:tcW w:w="45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contextualSpacing/>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contextualSpacing/>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总体方案</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contextualSpacing/>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根据对本项目的理解，制定科学合理的项目总体方案，包括但不仅限于①项目背景、②总体思路、③项目原则、④技术路线等方面，内容明确，每满足一项得1分，最高得4分，其他情况或者未提供的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仿宋" w:hAnsi="仿宋" w:eastAsia="仿宋"/>
                <w:color w:val="auto"/>
                <w:sz w:val="24"/>
                <w:highlight w:val="none"/>
              </w:rPr>
              <w:t>4</w:t>
            </w:r>
          </w:p>
        </w:tc>
      </w:tr>
      <w:tr>
        <w:tblPrEx>
          <w:tblCellMar>
            <w:top w:w="0" w:type="dxa"/>
            <w:left w:w="108" w:type="dxa"/>
            <w:bottom w:w="0" w:type="dxa"/>
            <w:right w:w="108" w:type="dxa"/>
          </w:tblCellMar>
        </w:tblPrEx>
        <w:trPr>
          <w:trHeight w:val="1561" w:hRule="atLeast"/>
        </w:trPr>
        <w:tc>
          <w:tcPr>
            <w:tcW w:w="1119" w:type="dxa"/>
            <w:vMerge w:val="continue"/>
            <w:tcBorders>
              <w:left w:val="single" w:color="auto" w:sz="4" w:space="0"/>
              <w:right w:val="single" w:color="auto" w:sz="4" w:space="0"/>
            </w:tcBorders>
            <w:noWrap/>
            <w:vAlign w:val="center"/>
          </w:tcPr>
          <w:p>
            <w:pPr>
              <w:widowControl/>
              <w:spacing w:line="360" w:lineRule="auto"/>
              <w:contextualSpacing/>
              <w:jc w:val="center"/>
              <w:rPr>
                <w:rFonts w:hint="eastAsia" w:ascii="宋体" w:hAnsi="宋体" w:eastAsia="宋体" w:cs="宋体"/>
                <w:color w:val="auto"/>
                <w:sz w:val="24"/>
                <w:szCs w:val="24"/>
                <w:highlight w:val="none"/>
                <w:lang w:val="en-US" w:eastAsia="zh-CN"/>
              </w:rPr>
            </w:pPr>
          </w:p>
        </w:tc>
        <w:tc>
          <w:tcPr>
            <w:tcW w:w="45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contextualSpacing/>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270" w:type="dxa"/>
            <w:tcBorders>
              <w:top w:val="single" w:color="auto" w:sz="4" w:space="0"/>
              <w:left w:val="nil"/>
              <w:bottom w:val="single" w:color="auto" w:sz="4" w:space="0"/>
              <w:right w:val="single" w:color="auto" w:sz="4" w:space="0"/>
            </w:tcBorders>
            <w:noWrap w:val="0"/>
            <w:vAlign w:val="center"/>
          </w:tcPr>
          <w:p>
            <w:pPr>
              <w:widowControl/>
              <w:spacing w:line="320" w:lineRule="atLeast"/>
              <w:contextualSpacing/>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数据处理及分析方案</w:t>
            </w:r>
          </w:p>
        </w:tc>
        <w:tc>
          <w:tcPr>
            <w:tcW w:w="5700" w:type="dxa"/>
            <w:tcBorders>
              <w:top w:val="single" w:color="auto" w:sz="4" w:space="0"/>
              <w:left w:val="nil"/>
              <w:bottom w:val="single" w:color="auto" w:sz="4" w:space="0"/>
              <w:right w:val="single" w:color="auto" w:sz="4" w:space="0"/>
            </w:tcBorders>
            <w:noWrap w:val="0"/>
            <w:vAlign w:val="center"/>
          </w:tcPr>
          <w:p>
            <w:pPr>
              <w:widowControl/>
              <w:spacing w:line="320" w:lineRule="atLeast"/>
              <w:contextualSpacing/>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供应商根据本项目需求，制定科学合理的数据处理和分析方案，包括但不仅限于①数据采集、②数据建模等方面，内容明确，满足采购需求的，每一项得3分，最高得6分，其他情况或者未提供的不得分。</w:t>
            </w:r>
          </w:p>
        </w:tc>
        <w:tc>
          <w:tcPr>
            <w:tcW w:w="78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仿宋" w:hAnsi="仿宋" w:eastAsia="仿宋"/>
                <w:color w:val="auto"/>
                <w:sz w:val="24"/>
                <w:highlight w:val="none"/>
              </w:rPr>
              <w:t>6</w:t>
            </w:r>
          </w:p>
        </w:tc>
      </w:tr>
      <w:tr>
        <w:tblPrEx>
          <w:tblCellMar>
            <w:top w:w="0" w:type="dxa"/>
            <w:left w:w="108" w:type="dxa"/>
            <w:bottom w:w="0" w:type="dxa"/>
            <w:right w:w="108" w:type="dxa"/>
          </w:tblCellMar>
        </w:tblPrEx>
        <w:trPr>
          <w:trHeight w:val="1833" w:hRule="atLeast"/>
        </w:trPr>
        <w:tc>
          <w:tcPr>
            <w:tcW w:w="1119" w:type="dxa"/>
            <w:vMerge w:val="continue"/>
            <w:tcBorders>
              <w:left w:val="single" w:color="auto" w:sz="4" w:space="0"/>
              <w:right w:val="single" w:color="auto" w:sz="4" w:space="0"/>
            </w:tcBorders>
            <w:noWrap/>
            <w:vAlign w:val="center"/>
          </w:tcPr>
          <w:p>
            <w:pPr>
              <w:widowControl/>
              <w:spacing w:line="360" w:lineRule="auto"/>
              <w:contextualSpacing/>
              <w:jc w:val="center"/>
              <w:rPr>
                <w:rFonts w:hint="eastAsia" w:ascii="宋体" w:hAnsi="宋体" w:eastAsia="宋体" w:cs="宋体"/>
                <w:color w:val="auto"/>
                <w:sz w:val="24"/>
                <w:szCs w:val="24"/>
                <w:highlight w:val="none"/>
                <w:lang w:val="en-US" w:eastAsia="zh-CN"/>
              </w:rPr>
            </w:pPr>
          </w:p>
        </w:tc>
        <w:tc>
          <w:tcPr>
            <w:tcW w:w="450" w:type="dxa"/>
            <w:vMerge w:val="restart"/>
            <w:tcBorders>
              <w:top w:val="single" w:color="auto" w:sz="4" w:space="0"/>
              <w:left w:val="single" w:color="auto" w:sz="4" w:space="0"/>
              <w:right w:val="single" w:color="auto" w:sz="4" w:space="0"/>
            </w:tcBorders>
            <w:noWrap/>
            <w:vAlign w:val="center"/>
          </w:tcPr>
          <w:p>
            <w:pPr>
              <w:widowControl/>
              <w:spacing w:line="360" w:lineRule="auto"/>
              <w:contextualSpacing/>
              <w:jc w:val="center"/>
              <w:rPr>
                <w:rFonts w:hint="eastAsia" w:ascii="宋体" w:hAnsi="宋体" w:eastAsia="宋体" w:cs="宋体"/>
                <w:color w:val="auto"/>
                <w:sz w:val="24"/>
                <w:szCs w:val="24"/>
                <w:highlight w:val="none"/>
                <w:lang w:val="en-US" w:eastAsia="zh-CN"/>
              </w:rPr>
            </w:pPr>
          </w:p>
          <w:p>
            <w:pPr>
              <w:widowControl/>
              <w:spacing w:line="360" w:lineRule="auto"/>
              <w:contextualSpacing/>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p>
            <w:pPr>
              <w:widowControl/>
              <w:spacing w:line="360" w:lineRule="auto"/>
              <w:contextualSpacing/>
              <w:jc w:val="center"/>
              <w:rPr>
                <w:rFonts w:hint="eastAsia" w:ascii="宋体" w:hAnsi="宋体" w:eastAsia="宋体" w:cs="宋体"/>
                <w:color w:val="auto"/>
                <w:sz w:val="24"/>
                <w:szCs w:val="24"/>
                <w:highlight w:val="none"/>
                <w:lang w:eastAsia="zh-CN"/>
              </w:rPr>
            </w:pPr>
          </w:p>
        </w:tc>
        <w:tc>
          <w:tcPr>
            <w:tcW w:w="12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contextualSpacing/>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监管服务方案</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contextualSpacing/>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根据本项目内容，制定科学合理的医保基金监管事项和方法体系方案，包含但不仅限于①药品监管事项、②材料监管事项、③医疗服务项目监管事项、④其他监管事项等方面，内容清晰、可行，满足采购需求的，每一项得4分，最高得16分，其他情况或者未提供的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仿宋" w:hAnsi="仿宋" w:eastAsia="仿宋"/>
                <w:color w:val="auto"/>
                <w:sz w:val="24"/>
                <w:highlight w:val="none"/>
              </w:rPr>
              <w:t>16</w:t>
            </w:r>
          </w:p>
        </w:tc>
      </w:tr>
      <w:tr>
        <w:tblPrEx>
          <w:tblCellMar>
            <w:top w:w="0" w:type="dxa"/>
            <w:left w:w="108" w:type="dxa"/>
            <w:bottom w:w="0" w:type="dxa"/>
            <w:right w:w="108" w:type="dxa"/>
          </w:tblCellMar>
        </w:tblPrEx>
        <w:trPr>
          <w:trHeight w:val="537" w:hRule="atLeast"/>
        </w:trPr>
        <w:tc>
          <w:tcPr>
            <w:tcW w:w="1119" w:type="dxa"/>
            <w:vMerge w:val="continue"/>
            <w:tcBorders>
              <w:left w:val="single" w:color="auto" w:sz="4" w:space="0"/>
              <w:right w:val="single" w:color="auto" w:sz="4" w:space="0"/>
            </w:tcBorders>
            <w:noWrap/>
            <w:vAlign w:val="center"/>
          </w:tcPr>
          <w:p>
            <w:pPr>
              <w:widowControl/>
              <w:spacing w:line="360" w:lineRule="auto"/>
              <w:contextualSpacing/>
              <w:jc w:val="center"/>
              <w:rPr>
                <w:rFonts w:hint="eastAsia" w:ascii="宋体" w:hAnsi="宋体" w:eastAsia="宋体" w:cs="宋体"/>
                <w:color w:val="auto"/>
                <w:sz w:val="24"/>
                <w:szCs w:val="24"/>
                <w:highlight w:val="none"/>
                <w:lang w:val="en-US" w:eastAsia="zh-CN"/>
              </w:rPr>
            </w:pPr>
          </w:p>
        </w:tc>
        <w:tc>
          <w:tcPr>
            <w:tcW w:w="450" w:type="dxa"/>
            <w:vMerge w:val="continue"/>
            <w:tcBorders>
              <w:left w:val="single" w:color="auto" w:sz="4" w:space="0"/>
              <w:bottom w:val="single" w:color="auto" w:sz="4" w:space="0"/>
              <w:right w:val="single" w:color="auto" w:sz="4" w:space="0"/>
            </w:tcBorders>
            <w:noWrap/>
            <w:vAlign w:val="center"/>
          </w:tcPr>
          <w:p>
            <w:pPr>
              <w:widowControl/>
              <w:spacing w:line="360" w:lineRule="auto"/>
              <w:contextualSpacing/>
              <w:jc w:val="center"/>
              <w:rPr>
                <w:rFonts w:hint="eastAsia" w:ascii="宋体" w:hAnsi="宋体" w:eastAsia="宋体" w:cs="宋体"/>
                <w:color w:val="auto"/>
                <w:sz w:val="24"/>
                <w:szCs w:val="24"/>
                <w:highlight w:val="none"/>
                <w:lang w:eastAsia="zh-CN"/>
              </w:rPr>
            </w:pPr>
          </w:p>
        </w:tc>
        <w:tc>
          <w:tcPr>
            <w:tcW w:w="12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contextualSpacing/>
              <w:rPr>
                <w:rFonts w:hint="eastAsia" w:ascii="宋体" w:hAnsi="宋体" w:cs="宋体"/>
                <w:color w:val="auto"/>
                <w:sz w:val="24"/>
                <w:szCs w:val="24"/>
                <w:highlight w:val="none"/>
                <w:lang w:val="en-US" w:eastAsia="zh-CN"/>
              </w:rPr>
            </w:pPr>
          </w:p>
        </w:tc>
        <w:tc>
          <w:tcPr>
            <w:tcW w:w="57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contextualSpacing/>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根据本项目需求，制定科学合理的项目服务方案，包括但不仅限于①分析报告、②报告评估、③问题落实等方面，内容明确、可行，满足采购需求的，每一项得2分，最高得6分，其他情况或者未提供的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4"/>
                <w:szCs w:val="24"/>
                <w:highlight w:val="none"/>
                <w:lang w:eastAsia="zh-CN"/>
              </w:rPr>
            </w:pPr>
            <w:r>
              <w:rPr>
                <w:rFonts w:hint="eastAsia" w:ascii="仿宋" w:hAnsi="仿宋" w:eastAsia="仿宋"/>
                <w:color w:val="auto"/>
                <w:sz w:val="24"/>
                <w:highlight w:val="none"/>
                <w:lang w:val="en-US" w:eastAsia="zh-CN"/>
              </w:rPr>
              <w:t>6</w:t>
            </w:r>
          </w:p>
        </w:tc>
      </w:tr>
      <w:tr>
        <w:tblPrEx>
          <w:tblCellMar>
            <w:top w:w="0" w:type="dxa"/>
            <w:left w:w="108" w:type="dxa"/>
            <w:bottom w:w="0" w:type="dxa"/>
            <w:right w:w="108" w:type="dxa"/>
          </w:tblCellMar>
        </w:tblPrEx>
        <w:trPr>
          <w:trHeight w:val="537" w:hRule="atLeast"/>
        </w:trPr>
        <w:tc>
          <w:tcPr>
            <w:tcW w:w="1119" w:type="dxa"/>
            <w:tcBorders>
              <w:left w:val="single" w:color="auto" w:sz="4" w:space="0"/>
              <w:right w:val="single" w:color="auto" w:sz="4" w:space="0"/>
            </w:tcBorders>
            <w:noWrap/>
            <w:vAlign w:val="center"/>
          </w:tcPr>
          <w:p>
            <w:pPr>
              <w:widowControl/>
              <w:spacing w:line="360" w:lineRule="auto"/>
              <w:contextualSpacing/>
              <w:jc w:val="center"/>
              <w:rPr>
                <w:rFonts w:hint="eastAsia" w:ascii="宋体" w:hAnsi="宋体" w:eastAsia="宋体" w:cs="宋体"/>
                <w:color w:val="auto"/>
                <w:sz w:val="24"/>
                <w:szCs w:val="24"/>
                <w:highlight w:val="none"/>
                <w:lang w:val="en-US" w:eastAsia="zh-CN"/>
              </w:rPr>
            </w:pPr>
          </w:p>
        </w:tc>
        <w:tc>
          <w:tcPr>
            <w:tcW w:w="450" w:type="dxa"/>
            <w:vMerge w:val="restart"/>
            <w:tcBorders>
              <w:top w:val="single" w:color="auto" w:sz="4" w:space="0"/>
              <w:left w:val="single" w:color="auto" w:sz="4" w:space="0"/>
              <w:right w:val="single" w:color="auto" w:sz="4" w:space="0"/>
            </w:tcBorders>
            <w:noWrap/>
            <w:vAlign w:val="center"/>
          </w:tcPr>
          <w:p>
            <w:pPr>
              <w:widowControl/>
              <w:spacing w:line="360" w:lineRule="auto"/>
              <w:contextualSpacing/>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2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contextualSpacing/>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项目实施方案</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contextualSpacing/>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根据本项目特点，制定科学合理的项目实施方案，包括但不仅限于①项目实施方式、②项目实施流程、③项目进度安排、④项目进度控制措施等方面，内容明确、合理，满足采购需求的，每一项得2分，最高得8分，其他情况或者未提供的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仿宋" w:hAnsi="仿宋" w:eastAsia="仿宋"/>
                <w:color w:val="auto"/>
                <w:sz w:val="24"/>
                <w:highlight w:val="none"/>
              </w:rPr>
              <w:t>8</w:t>
            </w:r>
          </w:p>
        </w:tc>
      </w:tr>
      <w:tr>
        <w:tblPrEx>
          <w:tblCellMar>
            <w:top w:w="0" w:type="dxa"/>
            <w:left w:w="108" w:type="dxa"/>
            <w:bottom w:w="0" w:type="dxa"/>
            <w:right w:w="108" w:type="dxa"/>
          </w:tblCellMar>
        </w:tblPrEx>
        <w:trPr>
          <w:trHeight w:val="537" w:hRule="atLeast"/>
        </w:trPr>
        <w:tc>
          <w:tcPr>
            <w:tcW w:w="1119" w:type="dxa"/>
            <w:tcBorders>
              <w:left w:val="single" w:color="auto" w:sz="4" w:space="0"/>
              <w:right w:val="single" w:color="auto" w:sz="4" w:space="0"/>
            </w:tcBorders>
            <w:noWrap/>
            <w:vAlign w:val="center"/>
          </w:tcPr>
          <w:p>
            <w:pPr>
              <w:widowControl/>
              <w:spacing w:line="360" w:lineRule="auto"/>
              <w:contextualSpacing/>
              <w:jc w:val="center"/>
              <w:rPr>
                <w:rFonts w:hint="eastAsia" w:ascii="宋体" w:hAnsi="宋体" w:eastAsia="宋体" w:cs="宋体"/>
                <w:color w:val="auto"/>
                <w:sz w:val="24"/>
                <w:szCs w:val="24"/>
                <w:highlight w:val="none"/>
                <w:lang w:val="en-US" w:eastAsia="zh-CN"/>
              </w:rPr>
            </w:pPr>
          </w:p>
        </w:tc>
        <w:tc>
          <w:tcPr>
            <w:tcW w:w="450" w:type="dxa"/>
            <w:vMerge w:val="continue"/>
            <w:tcBorders>
              <w:left w:val="single" w:color="auto" w:sz="4" w:space="0"/>
              <w:bottom w:val="single" w:color="auto" w:sz="4" w:space="0"/>
              <w:right w:val="single" w:color="auto" w:sz="4" w:space="0"/>
            </w:tcBorders>
            <w:noWrap/>
            <w:vAlign w:val="center"/>
          </w:tcPr>
          <w:p>
            <w:pPr>
              <w:widowControl/>
              <w:spacing w:line="360" w:lineRule="auto"/>
              <w:contextualSpacing/>
              <w:jc w:val="center"/>
              <w:rPr>
                <w:rFonts w:hint="eastAsia" w:ascii="宋体" w:hAnsi="宋体" w:eastAsia="宋体" w:cs="宋体"/>
                <w:color w:val="auto"/>
                <w:sz w:val="24"/>
                <w:szCs w:val="24"/>
                <w:highlight w:val="none"/>
                <w:lang w:val="en-US" w:eastAsia="zh-CN"/>
              </w:rPr>
            </w:pPr>
          </w:p>
        </w:tc>
        <w:tc>
          <w:tcPr>
            <w:tcW w:w="12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contextualSpacing/>
              <w:rPr>
                <w:rFonts w:hint="eastAsia" w:ascii="宋体" w:hAnsi="宋体" w:cs="宋体"/>
                <w:color w:val="auto"/>
                <w:sz w:val="24"/>
                <w:szCs w:val="24"/>
                <w:highlight w:val="none"/>
                <w:lang w:val="en-US" w:eastAsia="zh-CN"/>
              </w:rPr>
            </w:pPr>
          </w:p>
        </w:tc>
        <w:tc>
          <w:tcPr>
            <w:tcW w:w="57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contextualSpacing/>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供应商根据本项目需求，制定科学合理的项目实施方案，包括但不仅限于①项目组织管理、②项目质量管理、③项目保障措施等方面内容，每一项满足采购需求得4分，最高得12分，其他情况或者未提供的不得分。</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color w:val="auto"/>
                <w:sz w:val="24"/>
                <w:szCs w:val="24"/>
                <w:highlight w:val="none"/>
                <w:lang w:val="en-US"/>
              </w:rPr>
            </w:pPr>
            <w:r>
              <w:rPr>
                <w:rFonts w:hint="eastAsia" w:ascii="仿宋" w:hAnsi="仿宋" w:eastAsia="仿宋"/>
                <w:color w:val="auto"/>
                <w:sz w:val="24"/>
                <w:highlight w:val="none"/>
                <w:lang w:val="en-US" w:eastAsia="zh-CN"/>
              </w:rPr>
              <w:t>12</w:t>
            </w:r>
          </w:p>
        </w:tc>
      </w:tr>
      <w:tr>
        <w:tblPrEx>
          <w:tblCellMar>
            <w:top w:w="0" w:type="dxa"/>
            <w:left w:w="108" w:type="dxa"/>
            <w:bottom w:w="0" w:type="dxa"/>
            <w:right w:w="108" w:type="dxa"/>
          </w:tblCellMar>
        </w:tblPrEx>
        <w:trPr>
          <w:trHeight w:val="537" w:hRule="atLeast"/>
        </w:trPr>
        <w:tc>
          <w:tcPr>
            <w:tcW w:w="1119" w:type="dxa"/>
            <w:tcBorders>
              <w:left w:val="single" w:color="auto" w:sz="4" w:space="0"/>
              <w:right w:val="single" w:color="auto" w:sz="4" w:space="0"/>
            </w:tcBorders>
            <w:noWrap/>
            <w:vAlign w:val="center"/>
          </w:tcPr>
          <w:p>
            <w:pPr>
              <w:widowControl/>
              <w:spacing w:line="360" w:lineRule="auto"/>
              <w:contextualSpacing/>
              <w:jc w:val="center"/>
              <w:rPr>
                <w:rFonts w:hint="eastAsia" w:ascii="宋体" w:hAnsi="宋体" w:eastAsia="宋体" w:cs="宋体"/>
                <w:color w:val="auto"/>
                <w:sz w:val="24"/>
                <w:szCs w:val="24"/>
                <w:highlight w:val="none"/>
                <w:lang w:val="en-US" w:eastAsia="zh-CN"/>
              </w:rPr>
            </w:pPr>
          </w:p>
        </w:tc>
        <w:tc>
          <w:tcPr>
            <w:tcW w:w="45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contextualSpacing/>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contextualSpacing/>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服务人员配置</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contextualSpacing/>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1、项目负责人具有系统集成项目管理工程师或信息系统项目管理师证书以及相关工作经验和专业能力等进行打分；（4分）</w:t>
            </w:r>
          </w:p>
          <w:p>
            <w:pPr>
              <w:widowControl/>
              <w:spacing w:line="320" w:lineRule="atLeast"/>
              <w:contextualSpacing/>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2、项目团队中（不含项目负责人）具有计算机技术和大数据分析相关专业证书情况进行打分；（2分）</w:t>
            </w:r>
          </w:p>
          <w:p>
            <w:pPr>
              <w:widowControl/>
              <w:spacing w:line="320" w:lineRule="atLeast"/>
              <w:contextualSpacing/>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3、项目团队中（不含项目负责人）具有医学、药学、护理学等相关专业证书情况进行打分；（2分）</w:t>
            </w:r>
          </w:p>
          <w:p>
            <w:pPr>
              <w:widowControl/>
              <w:spacing w:line="320" w:lineRule="atLeast"/>
              <w:contextualSpacing/>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4、项目团队中（不含项目负责人）具有会计、审计等相关相关专业证书情况进行打分。（2分）</w:t>
            </w:r>
          </w:p>
          <w:p>
            <w:pPr>
              <w:widowControl/>
              <w:spacing w:line="320" w:lineRule="atLeast"/>
              <w:contextualSpacing/>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以上评审每人只能计算1个证书，需提供证书复印件并加盖公章，以及持证人近3个月以来在投标单位的社保缴纳证明材料，提供复印件并加盖公章。如由第三方代理社保事项的，则需提供委托代理协议复印件并加盖公章；人员不得与医学专家库人员重复）</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仿宋" w:hAnsi="仿宋" w:eastAsia="仿宋" w:cs="仿宋_GB2312"/>
                <w:color w:val="auto"/>
                <w:sz w:val="24"/>
                <w:highlight w:val="none"/>
              </w:rPr>
              <w:t>10</w:t>
            </w:r>
          </w:p>
        </w:tc>
      </w:tr>
      <w:tr>
        <w:tblPrEx>
          <w:tblCellMar>
            <w:top w:w="0" w:type="dxa"/>
            <w:left w:w="108" w:type="dxa"/>
            <w:bottom w:w="0" w:type="dxa"/>
            <w:right w:w="108" w:type="dxa"/>
          </w:tblCellMar>
        </w:tblPrEx>
        <w:trPr>
          <w:trHeight w:val="537" w:hRule="atLeast"/>
        </w:trPr>
        <w:tc>
          <w:tcPr>
            <w:tcW w:w="1119" w:type="dxa"/>
            <w:tcBorders>
              <w:left w:val="single" w:color="auto" w:sz="4" w:space="0"/>
              <w:bottom w:val="single" w:color="auto" w:sz="4" w:space="0"/>
              <w:right w:val="single" w:color="auto" w:sz="4" w:space="0"/>
            </w:tcBorders>
            <w:noWrap/>
            <w:vAlign w:val="center"/>
          </w:tcPr>
          <w:p>
            <w:pPr>
              <w:widowControl/>
              <w:spacing w:line="360" w:lineRule="auto"/>
              <w:contextualSpacing/>
              <w:jc w:val="center"/>
              <w:rPr>
                <w:rFonts w:hint="eastAsia" w:ascii="宋体" w:hAnsi="宋体" w:eastAsia="宋体" w:cs="宋体"/>
                <w:color w:val="auto"/>
                <w:sz w:val="24"/>
                <w:szCs w:val="24"/>
                <w:highlight w:val="none"/>
                <w:lang w:val="en-US" w:eastAsia="zh-CN"/>
              </w:rPr>
            </w:pPr>
          </w:p>
        </w:tc>
        <w:tc>
          <w:tcPr>
            <w:tcW w:w="45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contextualSpacing/>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contextualSpacing/>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医学专家库储备</w:t>
            </w:r>
          </w:p>
        </w:tc>
        <w:tc>
          <w:tcPr>
            <w:tcW w:w="57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atLeast"/>
              <w:contextualSpacing/>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投标人为本项目组建副高级别（含）以上职称的医学专家库，人数在20人（含）以上的，得8分；人数在10-19人的，得4分；少于10人的，不得分。</w:t>
            </w:r>
          </w:p>
          <w:p>
            <w:pPr>
              <w:widowControl/>
              <w:spacing w:line="320" w:lineRule="atLeast"/>
              <w:contextualSpacing/>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注：需提供专家库人员的合作/聘用协议及专家的相关资质证明。</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sz w:val="24"/>
                <w:szCs w:val="24"/>
                <w:highlight w:val="none"/>
              </w:rPr>
            </w:pPr>
            <w:r>
              <w:rPr>
                <w:rFonts w:hint="eastAsia" w:ascii="仿宋" w:hAnsi="仿宋" w:eastAsia="仿宋"/>
                <w:color w:val="auto"/>
                <w:sz w:val="24"/>
                <w:highlight w:val="none"/>
              </w:rPr>
              <w:t>8</w:t>
            </w:r>
          </w:p>
        </w:tc>
      </w:tr>
    </w:tbl>
    <w:p>
      <w:pPr>
        <w:rPr>
          <w:lang w:val="zh-CN"/>
        </w:rPr>
      </w:pPr>
    </w:p>
    <w:sectPr>
      <w:footerReference r:id="rId3" w:type="default"/>
      <w:pgSz w:w="11906" w:h="16838"/>
      <w:pgMar w:top="1440" w:right="1418" w:bottom="1440" w:left="1418" w:header="85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思源黑体 CN Bold">
    <w:panose1 w:val="020B08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宋体" w:hAnsi="宋体" w:eastAsia="宋体"/>
      </w:rPr>
    </w:sdtEndPr>
    <w:sdtContent>
      <w:p>
        <w:pPr>
          <w:pStyle w:val="7"/>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781C2"/>
    <w:multiLevelType w:val="singleLevel"/>
    <w:tmpl w:val="088781C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hY2I1MmFiODlkNjdlZTgwNjc0NmZiNDcyYzBkODMifQ=="/>
  </w:docVars>
  <w:rsids>
    <w:rsidRoot w:val="004B60D0"/>
    <w:rsid w:val="00000565"/>
    <w:rsid w:val="00020ABC"/>
    <w:rsid w:val="000A2AD8"/>
    <w:rsid w:val="001262FD"/>
    <w:rsid w:val="001433F6"/>
    <w:rsid w:val="00327FDC"/>
    <w:rsid w:val="00375687"/>
    <w:rsid w:val="004B60D0"/>
    <w:rsid w:val="00516DD5"/>
    <w:rsid w:val="005610CC"/>
    <w:rsid w:val="005D641A"/>
    <w:rsid w:val="005F2626"/>
    <w:rsid w:val="00633BEA"/>
    <w:rsid w:val="006B7C75"/>
    <w:rsid w:val="006C0EDA"/>
    <w:rsid w:val="007402CA"/>
    <w:rsid w:val="007D74B2"/>
    <w:rsid w:val="00866712"/>
    <w:rsid w:val="00877A5B"/>
    <w:rsid w:val="008B0CB3"/>
    <w:rsid w:val="009939EC"/>
    <w:rsid w:val="009D0E40"/>
    <w:rsid w:val="00A33F46"/>
    <w:rsid w:val="00A43EE2"/>
    <w:rsid w:val="00A45621"/>
    <w:rsid w:val="00B42095"/>
    <w:rsid w:val="00BF53B3"/>
    <w:rsid w:val="00C067E3"/>
    <w:rsid w:val="00C72156"/>
    <w:rsid w:val="00CA09B9"/>
    <w:rsid w:val="00CD50EB"/>
    <w:rsid w:val="00D044AC"/>
    <w:rsid w:val="00D06BD8"/>
    <w:rsid w:val="00D52117"/>
    <w:rsid w:val="00D943FA"/>
    <w:rsid w:val="00DC5914"/>
    <w:rsid w:val="00EC705D"/>
    <w:rsid w:val="00F76805"/>
    <w:rsid w:val="00FC2BE5"/>
    <w:rsid w:val="01FB40D3"/>
    <w:rsid w:val="02117D9A"/>
    <w:rsid w:val="03174F3D"/>
    <w:rsid w:val="050F622D"/>
    <w:rsid w:val="06094BAA"/>
    <w:rsid w:val="088A7F5F"/>
    <w:rsid w:val="091C32AD"/>
    <w:rsid w:val="0A456833"/>
    <w:rsid w:val="0AC57974"/>
    <w:rsid w:val="0BCA3494"/>
    <w:rsid w:val="0BCF75E0"/>
    <w:rsid w:val="0FFBC549"/>
    <w:rsid w:val="141C177E"/>
    <w:rsid w:val="142179C9"/>
    <w:rsid w:val="14EF5D19"/>
    <w:rsid w:val="15031B38"/>
    <w:rsid w:val="15D62A35"/>
    <w:rsid w:val="16D762CF"/>
    <w:rsid w:val="18506ACF"/>
    <w:rsid w:val="19CFE96B"/>
    <w:rsid w:val="1B811695"/>
    <w:rsid w:val="1C533032"/>
    <w:rsid w:val="1CAE2016"/>
    <w:rsid w:val="24580237"/>
    <w:rsid w:val="255816B9"/>
    <w:rsid w:val="25E940BF"/>
    <w:rsid w:val="2ADC41F2"/>
    <w:rsid w:val="2C55425C"/>
    <w:rsid w:val="2D5C161A"/>
    <w:rsid w:val="2EED2E72"/>
    <w:rsid w:val="2FE853E7"/>
    <w:rsid w:val="30B874AF"/>
    <w:rsid w:val="30E57614"/>
    <w:rsid w:val="3106646D"/>
    <w:rsid w:val="324070E7"/>
    <w:rsid w:val="357F059C"/>
    <w:rsid w:val="37DF17C6"/>
    <w:rsid w:val="38A47D32"/>
    <w:rsid w:val="3C7C1322"/>
    <w:rsid w:val="3ED74FA5"/>
    <w:rsid w:val="3F20694C"/>
    <w:rsid w:val="3FC917B6"/>
    <w:rsid w:val="410A340F"/>
    <w:rsid w:val="41210759"/>
    <w:rsid w:val="434A3F97"/>
    <w:rsid w:val="43D47D05"/>
    <w:rsid w:val="471C20EE"/>
    <w:rsid w:val="496833C9"/>
    <w:rsid w:val="4A78588E"/>
    <w:rsid w:val="4AF13B23"/>
    <w:rsid w:val="4D0E072B"/>
    <w:rsid w:val="51A96C75"/>
    <w:rsid w:val="51B64507"/>
    <w:rsid w:val="51D15A48"/>
    <w:rsid w:val="54024DE3"/>
    <w:rsid w:val="565A22EB"/>
    <w:rsid w:val="580469B3"/>
    <w:rsid w:val="5A663537"/>
    <w:rsid w:val="5B3E042E"/>
    <w:rsid w:val="5C8C6F77"/>
    <w:rsid w:val="5CFF3BED"/>
    <w:rsid w:val="5DB9539B"/>
    <w:rsid w:val="5E56783C"/>
    <w:rsid w:val="5E8048B9"/>
    <w:rsid w:val="5F0B0627"/>
    <w:rsid w:val="5F775CBC"/>
    <w:rsid w:val="616E7593"/>
    <w:rsid w:val="658E5B0E"/>
    <w:rsid w:val="66815672"/>
    <w:rsid w:val="681E3FB6"/>
    <w:rsid w:val="68FB5BB0"/>
    <w:rsid w:val="6B6FAF76"/>
    <w:rsid w:val="6DFBC21A"/>
    <w:rsid w:val="6E557B10"/>
    <w:rsid w:val="6E8C2E06"/>
    <w:rsid w:val="6F7E6BF3"/>
    <w:rsid w:val="6FFE1339"/>
    <w:rsid w:val="709A7A5C"/>
    <w:rsid w:val="709F1B1A"/>
    <w:rsid w:val="70EF0119"/>
    <w:rsid w:val="72C214EC"/>
    <w:rsid w:val="761C7166"/>
    <w:rsid w:val="777D8E46"/>
    <w:rsid w:val="77DFEC8A"/>
    <w:rsid w:val="78A91184"/>
    <w:rsid w:val="78CE2999"/>
    <w:rsid w:val="78F543CA"/>
    <w:rsid w:val="7A7540BC"/>
    <w:rsid w:val="7A8F7F06"/>
    <w:rsid w:val="7AF277F7"/>
    <w:rsid w:val="7BD9BD85"/>
    <w:rsid w:val="7E17093E"/>
    <w:rsid w:val="7E77762F"/>
    <w:rsid w:val="7EFF2165"/>
    <w:rsid w:val="7F0A04A3"/>
    <w:rsid w:val="7FF90630"/>
    <w:rsid w:val="8EFB211D"/>
    <w:rsid w:val="9CDD9C08"/>
    <w:rsid w:val="AEE50F3F"/>
    <w:rsid w:val="BCFF16DC"/>
    <w:rsid w:val="BFAC9B41"/>
    <w:rsid w:val="CD784E03"/>
    <w:rsid w:val="E6FE991E"/>
    <w:rsid w:val="FA97802B"/>
    <w:rsid w:val="FED80E68"/>
    <w:rsid w:val="FEEE1EE5"/>
    <w:rsid w:val="FFBE7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4"/>
    <w:autoRedefine/>
    <w:qFormat/>
    <w:uiPriority w:val="0"/>
    <w:pPr>
      <w:keepNext/>
      <w:keepLines/>
      <w:spacing w:before="340" w:after="330"/>
      <w:jc w:val="left"/>
      <w:outlineLvl w:val="0"/>
    </w:pPr>
    <w:rPr>
      <w:rFonts w:ascii="黑体" w:hAnsi="黑体" w:eastAsia="黑体"/>
      <w:b/>
      <w:bCs/>
      <w:kern w:val="44"/>
      <w:sz w:val="32"/>
      <w:szCs w:val="32"/>
    </w:rPr>
  </w:style>
  <w:style w:type="paragraph" w:styleId="5">
    <w:name w:val="heading 3"/>
    <w:basedOn w:val="1"/>
    <w:next w:val="1"/>
    <w:link w:val="12"/>
    <w:autoRedefine/>
    <w:unhideWhenUsed/>
    <w:qFormat/>
    <w:uiPriority w:val="9"/>
    <w:pPr>
      <w:keepNext/>
      <w:keepLines/>
      <w:spacing w:before="260" w:after="260" w:line="416" w:lineRule="auto"/>
      <w:jc w:val="left"/>
      <w:outlineLvl w:val="2"/>
    </w:pPr>
    <w:rPr>
      <w:rFonts w:eastAsia="隶书"/>
      <w:b/>
      <w:bCs/>
      <w:sz w:val="28"/>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6">
    <w:name w:val="Body Text Indent"/>
    <w:basedOn w:val="1"/>
    <w:next w:val="1"/>
    <w:autoRedefine/>
    <w:qFormat/>
    <w:uiPriority w:val="0"/>
    <w:pPr>
      <w:spacing w:line="480" w:lineRule="atLeast"/>
      <w:ind w:firstLine="570"/>
    </w:pPr>
    <w:rPr>
      <w:rFonts w:ascii="??" w:hAnsi="??" w:eastAsia="??"/>
      <w:sz w:val="28"/>
      <w:szCs w:val="28"/>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autoRedefine/>
    <w:qFormat/>
    <w:uiPriority w:val="0"/>
    <w:pPr>
      <w:adjustRightInd w:val="0"/>
      <w:snapToGrid w:val="0"/>
      <w:jc w:val="left"/>
    </w:pPr>
    <w:rPr>
      <w:sz w:val="18"/>
      <w:szCs w:val="24"/>
    </w:rPr>
  </w:style>
  <w:style w:type="character" w:customStyle="1" w:styleId="12">
    <w:name w:val="标题 3 字符"/>
    <w:basedOn w:val="11"/>
    <w:link w:val="5"/>
    <w:autoRedefine/>
    <w:qFormat/>
    <w:uiPriority w:val="9"/>
    <w:rPr>
      <w:rFonts w:eastAsia="隶书"/>
      <w:b/>
      <w:bCs/>
      <w:sz w:val="28"/>
      <w:szCs w:val="32"/>
    </w:rPr>
  </w:style>
  <w:style w:type="character" w:customStyle="1" w:styleId="13">
    <w:name w:val="标题 1 字符"/>
    <w:basedOn w:val="11"/>
    <w:autoRedefine/>
    <w:qFormat/>
    <w:uiPriority w:val="9"/>
    <w:rPr>
      <w:b/>
      <w:bCs/>
      <w:kern w:val="44"/>
      <w:sz w:val="44"/>
      <w:szCs w:val="44"/>
    </w:rPr>
  </w:style>
  <w:style w:type="character" w:customStyle="1" w:styleId="14">
    <w:name w:val="标题 1 字符1"/>
    <w:link w:val="4"/>
    <w:autoRedefine/>
    <w:qFormat/>
    <w:uiPriority w:val="0"/>
    <w:rPr>
      <w:rFonts w:ascii="黑体" w:hAnsi="黑体" w:eastAsia="黑体"/>
      <w:b/>
      <w:bCs/>
      <w:kern w:val="44"/>
      <w:sz w:val="32"/>
      <w:szCs w:val="32"/>
    </w:rPr>
  </w:style>
  <w:style w:type="character" w:customStyle="1" w:styleId="15">
    <w:name w:val="页眉 字符"/>
    <w:basedOn w:val="11"/>
    <w:link w:val="8"/>
    <w:autoRedefine/>
    <w:qFormat/>
    <w:uiPriority w:val="99"/>
    <w:rPr>
      <w:sz w:val="18"/>
      <w:szCs w:val="18"/>
    </w:rPr>
  </w:style>
  <w:style w:type="character" w:customStyle="1" w:styleId="16">
    <w:name w:val="页脚 字符"/>
    <w:basedOn w:val="11"/>
    <w:link w:val="7"/>
    <w:autoRedefine/>
    <w:qFormat/>
    <w:uiPriority w:val="99"/>
    <w:rPr>
      <w:sz w:val="18"/>
      <w:szCs w:val="18"/>
    </w:rPr>
  </w:style>
  <w:style w:type="paragraph" w:styleId="1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3400</Words>
  <Characters>3517</Characters>
  <Lines>26</Lines>
  <Paragraphs>7</Paragraphs>
  <TotalTime>4</TotalTime>
  <ScaleCrop>false</ScaleCrop>
  <LinksUpToDate>false</LinksUpToDate>
  <CharactersWithSpaces>3519</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2021-06-03T09:53:00Z</dcterms:created>
  <dc:creator>YX</dc:creator>
  <cp:lastModifiedBy>ybj</cp:lastModifiedBy>
  <dcterms:modified xsi:type="dcterms:W3CDTF">2025-02-24T16:38:29Z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6D7DF1331F5B41F5B1A9033A921AC9AB</vt:lpwstr>
  </property>
  <property fmtid="{D5CDD505-2E9C-101B-9397-08002B2CF9AE}" pid="4" name="KSOTemplateDocerSaveRecord">
    <vt:lpwstr>eyJoZGlkIjoiMzEwNTM5NzYwMDRjMzkwZTVkZjY2ODkwMGIxNGU0OTUiLCJ1c2VySWQiOiI0MjU1MTQ5NzQifQ==</vt:lpwstr>
  </property>
</Properties>
</file>