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874D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sz w:val="44"/>
          <w:szCs w:val="44"/>
        </w:rPr>
        <w:t>2</w:t>
      </w:r>
      <w:r>
        <w:rPr>
          <w:rFonts w:hint="eastAsia" w:ascii="方正小标宋简体" w:hAnsi="方正小标宋简体" w:eastAsia="方正小标宋简体" w:cs="方正小标宋简体"/>
          <w:color w:val="auto"/>
          <w:sz w:val="44"/>
          <w:szCs w:val="44"/>
          <w:u w:val="none"/>
          <w:lang w:val="en-US" w:eastAsia="zh-CN"/>
        </w:rPr>
        <w:t>025年度嵊州市绩效提级、锅炉对标整治及</w:t>
      </w:r>
    </w:p>
    <w:p w14:paraId="27828311">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auto"/>
          <w:sz w:val="44"/>
          <w:szCs w:val="44"/>
          <w:u w:val="none"/>
          <w:lang w:val="en-US" w:eastAsia="zh-CN"/>
        </w:rPr>
        <w:t>废弃排放口专项治理等项目技术服务</w:t>
      </w:r>
      <w:r>
        <w:rPr>
          <w:rFonts w:hint="eastAsia" w:ascii="方正小标宋简体" w:hAnsi="方正小标宋简体" w:eastAsia="方正小标宋简体" w:cs="方正小标宋简体"/>
          <w:sz w:val="44"/>
          <w:szCs w:val="44"/>
        </w:rPr>
        <w:t>采购公告附件</w:t>
      </w:r>
    </w:p>
    <w:p w14:paraId="2C9599C6">
      <w:pPr>
        <w:spacing w:line="560" w:lineRule="exact"/>
        <w:ind w:firstLine="480" w:firstLineChars="200"/>
        <w:rPr>
          <w:rFonts w:ascii="Times New Roman" w:hAnsi="Times New Roman" w:eastAsia="楷体" w:cs="Times New Roman"/>
          <w:sz w:val="24"/>
          <w:u w:val="single"/>
        </w:rPr>
      </w:pPr>
    </w:p>
    <w:p w14:paraId="0E5EDAF1">
      <w:pPr>
        <w:spacing w:line="500" w:lineRule="exact"/>
        <w:ind w:firstLine="562" w:firstLineChars="200"/>
        <w:rPr>
          <w:rFonts w:ascii="Times New Roman" w:hAnsi="Times New Roman" w:eastAsia="楷体" w:cs="Times New Roman"/>
          <w:b/>
          <w:sz w:val="28"/>
          <w:szCs w:val="28"/>
        </w:rPr>
      </w:pPr>
      <w:r>
        <w:rPr>
          <w:rFonts w:ascii="Times New Roman" w:hAnsi="Times New Roman" w:eastAsia="楷体" w:cs="Times New Roman"/>
          <w:b/>
          <w:sz w:val="28"/>
          <w:szCs w:val="28"/>
        </w:rPr>
        <w:t>一、项目要求</w:t>
      </w:r>
    </w:p>
    <w:p w14:paraId="0D0D3BAE">
      <w:pPr>
        <w:spacing w:line="500" w:lineRule="exact"/>
        <w:ind w:firstLine="560" w:firstLineChars="200"/>
        <w:rPr>
          <w:rFonts w:ascii="Times New Roman" w:hAnsi="Times New Roman" w:eastAsia="楷体" w:cs="Times New Roman"/>
          <w:sz w:val="28"/>
          <w:szCs w:val="28"/>
        </w:rPr>
      </w:pPr>
      <w:r>
        <w:rPr>
          <w:rFonts w:hint="eastAsia" w:ascii="Times New Roman" w:hAnsi="Times New Roman" w:eastAsia="楷体" w:cs="Times New Roman"/>
          <w:sz w:val="28"/>
          <w:szCs w:val="28"/>
        </w:rPr>
        <w:t>1.服务内容</w:t>
      </w:r>
    </w:p>
    <w:p w14:paraId="75CEC794">
      <w:pPr>
        <w:spacing w:line="500" w:lineRule="exact"/>
        <w:ind w:firstLine="560" w:firstLineChars="200"/>
        <w:rPr>
          <w:rFonts w:hint="default" w:ascii="Times New Roman" w:hAnsi="Times New Roman" w:eastAsia="楷体" w:cs="Times New Roman"/>
          <w:sz w:val="28"/>
          <w:szCs w:val="28"/>
          <w:lang w:val="en-US" w:eastAsia="zh-CN"/>
        </w:rPr>
      </w:pPr>
      <w:r>
        <w:rPr>
          <w:rFonts w:hint="eastAsia" w:ascii="Times New Roman" w:hAnsi="Times New Roman" w:eastAsia="楷体" w:cs="Times New Roman"/>
          <w:sz w:val="28"/>
          <w:szCs w:val="28"/>
          <w:lang w:val="en-US" w:eastAsia="zh-CN"/>
        </w:rPr>
        <w:t>根据《</w:t>
      </w:r>
      <w:r>
        <w:rPr>
          <w:rFonts w:hint="default" w:ascii="Times New Roman" w:hAnsi="Times New Roman" w:eastAsia="楷体" w:cs="Times New Roman"/>
          <w:sz w:val="28"/>
          <w:szCs w:val="28"/>
          <w:lang w:val="en-US" w:eastAsia="zh-CN"/>
        </w:rPr>
        <w:t>2025年</w:t>
      </w:r>
      <w:r>
        <w:rPr>
          <w:rFonts w:hint="eastAsia" w:ascii="Times New Roman" w:hAnsi="Times New Roman" w:eastAsia="楷体" w:cs="Times New Roman"/>
          <w:sz w:val="28"/>
          <w:szCs w:val="28"/>
          <w:lang w:val="en-US" w:eastAsia="zh-CN"/>
        </w:rPr>
        <w:t>嵊州市</w:t>
      </w:r>
      <w:r>
        <w:rPr>
          <w:rFonts w:hint="default" w:ascii="Times New Roman" w:hAnsi="Times New Roman" w:eastAsia="楷体" w:cs="Times New Roman"/>
          <w:sz w:val="28"/>
          <w:szCs w:val="28"/>
          <w:lang w:val="en-US" w:eastAsia="zh-CN"/>
        </w:rPr>
        <w:t>深化综合治气</w:t>
      </w:r>
      <w:r>
        <w:rPr>
          <w:rFonts w:hint="eastAsia" w:ascii="Times New Roman" w:hAnsi="Times New Roman" w:eastAsia="楷体" w:cs="Times New Roman"/>
          <w:sz w:val="28"/>
          <w:szCs w:val="28"/>
          <w:lang w:val="en-US" w:eastAsia="zh-CN"/>
        </w:rPr>
        <w:t>“</w:t>
      </w:r>
      <w:r>
        <w:rPr>
          <w:rFonts w:hint="default" w:ascii="Times New Roman" w:hAnsi="Times New Roman" w:eastAsia="楷体" w:cs="Times New Roman"/>
          <w:sz w:val="28"/>
          <w:szCs w:val="28"/>
          <w:lang w:val="en-US" w:eastAsia="zh-CN"/>
        </w:rPr>
        <w:t>8+1</w:t>
      </w:r>
      <w:r>
        <w:rPr>
          <w:rFonts w:hint="eastAsia" w:ascii="Times New Roman" w:hAnsi="Times New Roman" w:eastAsia="楷体" w:cs="Times New Roman"/>
          <w:sz w:val="28"/>
          <w:szCs w:val="28"/>
          <w:lang w:val="en-US" w:eastAsia="zh-CN"/>
        </w:rPr>
        <w:t>”</w:t>
      </w:r>
      <w:r>
        <w:rPr>
          <w:rFonts w:hint="default" w:ascii="Times New Roman" w:hAnsi="Times New Roman" w:eastAsia="楷体" w:cs="Times New Roman"/>
          <w:sz w:val="28"/>
          <w:szCs w:val="28"/>
          <w:lang w:val="en-US" w:eastAsia="zh-CN"/>
        </w:rPr>
        <w:t>系统提升方案</w:t>
      </w:r>
      <w:r>
        <w:rPr>
          <w:rFonts w:hint="eastAsia" w:ascii="Times New Roman" w:hAnsi="Times New Roman" w:eastAsia="楷体" w:cs="Times New Roman"/>
          <w:sz w:val="28"/>
          <w:szCs w:val="28"/>
          <w:lang w:val="en-US" w:eastAsia="zh-CN"/>
        </w:rPr>
        <w:t>》有关要求，为文件中涉及的绩效提级、锅炉对标整治、废弃排放口专项治理等项目提供技术服务，并完成上级下达的任务数。根据《2025年绍兴市深化综合治气“8+1”系统提升方案》，2025年嵊州市需完成绩效A/B级企业5家、绩效先进企业1家，锅炉对标整治1台、工业废气排放口专项治理30个。</w:t>
      </w:r>
    </w:p>
    <w:p w14:paraId="3CCAAC6E">
      <w:pPr>
        <w:spacing w:line="500" w:lineRule="exact"/>
        <w:ind w:firstLine="562" w:firstLineChars="200"/>
        <w:rPr>
          <w:rFonts w:ascii="Times New Roman" w:hAnsi="Times New Roman" w:eastAsia="楷体" w:cs="Times New Roman"/>
          <w:b/>
          <w:sz w:val="28"/>
          <w:szCs w:val="28"/>
        </w:rPr>
      </w:pPr>
      <w:r>
        <w:rPr>
          <w:rFonts w:ascii="Times New Roman" w:hAnsi="Times New Roman" w:eastAsia="楷体" w:cs="Times New Roman"/>
          <w:b/>
          <w:sz w:val="28"/>
          <w:szCs w:val="28"/>
        </w:rPr>
        <w:t>2</w:t>
      </w:r>
      <w:r>
        <w:rPr>
          <w:rFonts w:hint="eastAsia" w:ascii="Times New Roman" w:hAnsi="Times New Roman" w:eastAsia="楷体" w:cs="Times New Roman"/>
          <w:b/>
          <w:sz w:val="28"/>
          <w:szCs w:val="28"/>
        </w:rPr>
        <w:t>.</w:t>
      </w:r>
      <w:r>
        <w:rPr>
          <w:rFonts w:ascii="Times New Roman" w:hAnsi="Times New Roman" w:eastAsia="楷体" w:cs="Times New Roman"/>
          <w:b/>
          <w:sz w:val="28"/>
          <w:szCs w:val="28"/>
        </w:rPr>
        <w:t>服务时限和结算原则</w:t>
      </w:r>
    </w:p>
    <w:p w14:paraId="726208DE">
      <w:pPr>
        <w:spacing w:line="500" w:lineRule="exact"/>
        <w:ind w:firstLine="560" w:firstLineChars="200"/>
        <w:rPr>
          <w:rFonts w:hint="eastAsia" w:ascii="Times New Roman" w:hAnsi="Times New Roman" w:eastAsia="楷体" w:cs="Times New Roman"/>
          <w:sz w:val="28"/>
          <w:szCs w:val="28"/>
        </w:rPr>
      </w:pPr>
      <w:r>
        <w:rPr>
          <w:rFonts w:ascii="Times New Roman" w:hAnsi="Times New Roman" w:eastAsia="楷体" w:cs="Times New Roman"/>
          <w:sz w:val="28"/>
          <w:szCs w:val="28"/>
        </w:rPr>
        <w:t>该项目</w:t>
      </w:r>
      <w:r>
        <w:rPr>
          <w:rFonts w:hint="eastAsia" w:ascii="Times New Roman" w:hAnsi="Times New Roman" w:eastAsia="楷体" w:cs="Times New Roman"/>
          <w:sz w:val="28"/>
          <w:szCs w:val="28"/>
          <w:lang w:eastAsia="zh-CN"/>
        </w:rPr>
        <w:t>原则上</w:t>
      </w:r>
      <w:r>
        <w:rPr>
          <w:rFonts w:hint="eastAsia" w:ascii="Times New Roman" w:hAnsi="Times New Roman" w:eastAsia="楷体" w:cs="Times New Roman"/>
          <w:sz w:val="28"/>
          <w:szCs w:val="28"/>
        </w:rPr>
        <w:t>要求2025年</w:t>
      </w:r>
      <w:r>
        <w:rPr>
          <w:rFonts w:hint="eastAsia" w:ascii="Times New Roman" w:hAnsi="Times New Roman" w:eastAsia="楷体" w:cs="Times New Roman"/>
          <w:sz w:val="28"/>
          <w:szCs w:val="28"/>
          <w:lang w:val="en-US" w:eastAsia="zh-CN"/>
        </w:rPr>
        <w:t>6</w:t>
      </w:r>
      <w:r>
        <w:rPr>
          <w:rFonts w:hint="eastAsia" w:ascii="Times New Roman" w:hAnsi="Times New Roman" w:eastAsia="楷体" w:cs="Times New Roman"/>
          <w:sz w:val="28"/>
          <w:szCs w:val="28"/>
        </w:rPr>
        <w:t>月30月之前</w:t>
      </w:r>
      <w:r>
        <w:rPr>
          <w:rFonts w:hint="eastAsia" w:ascii="Times New Roman" w:hAnsi="Times New Roman" w:eastAsia="楷体" w:cs="Times New Roman"/>
          <w:sz w:val="28"/>
          <w:szCs w:val="28"/>
          <w:lang w:eastAsia="zh-CN"/>
        </w:rPr>
        <w:t>完成项目的</w:t>
      </w:r>
      <w:r>
        <w:rPr>
          <w:rFonts w:hint="eastAsia" w:ascii="Times New Roman" w:hAnsi="Times New Roman" w:eastAsia="楷体" w:cs="Times New Roman"/>
          <w:sz w:val="28"/>
          <w:szCs w:val="28"/>
          <w:lang w:val="en-US" w:eastAsia="zh-CN"/>
        </w:rPr>
        <w:t>60%，9月30日之前全部完成</w:t>
      </w:r>
      <w:r>
        <w:rPr>
          <w:rFonts w:hint="eastAsia" w:ascii="Times New Roman" w:hAnsi="Times New Roman" w:eastAsia="楷体" w:cs="Times New Roman"/>
          <w:sz w:val="28"/>
          <w:szCs w:val="28"/>
        </w:rPr>
        <w:t>。</w:t>
      </w:r>
      <w:r>
        <w:rPr>
          <w:rFonts w:hint="eastAsia" w:ascii="Times New Roman" w:hAnsi="Times New Roman" w:eastAsia="楷体" w:cs="Times New Roman"/>
          <w:sz w:val="28"/>
          <w:szCs w:val="28"/>
          <w:lang w:val="en-US" w:eastAsia="zh-CN"/>
        </w:rPr>
        <w:t>完成上级下达的绩效提级、锅炉对标整治及废弃排放口专项治理任务后一次性付清服务款项。</w:t>
      </w:r>
    </w:p>
    <w:p w14:paraId="554423DE">
      <w:pPr>
        <w:spacing w:line="500" w:lineRule="exact"/>
        <w:ind w:firstLine="562" w:firstLineChars="200"/>
        <w:rPr>
          <w:rFonts w:ascii="Times New Roman" w:hAnsi="Times New Roman" w:eastAsia="楷体" w:cs="Times New Roman"/>
          <w:b/>
          <w:bCs/>
          <w:sz w:val="28"/>
          <w:szCs w:val="28"/>
        </w:rPr>
      </w:pPr>
      <w:r>
        <w:rPr>
          <w:rFonts w:ascii="Times New Roman" w:hAnsi="Times New Roman" w:eastAsia="楷体" w:cs="Times New Roman"/>
          <w:b/>
          <w:bCs/>
          <w:sz w:val="28"/>
          <w:szCs w:val="28"/>
        </w:rPr>
        <w:t xml:space="preserve">  二、评分细则</w:t>
      </w:r>
    </w:p>
    <w:p w14:paraId="4E426EB1">
      <w:pPr>
        <w:spacing w:line="50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符合采购公告中特定资格要求的</w:t>
      </w:r>
      <w:r>
        <w:rPr>
          <w:rFonts w:hint="eastAsia" w:ascii="Times New Roman" w:hAnsi="Times New Roman" w:eastAsia="楷体" w:cs="Times New Roman"/>
          <w:sz w:val="28"/>
          <w:szCs w:val="28"/>
          <w:lang w:eastAsia="zh-CN"/>
        </w:rPr>
        <w:t>中标方</w:t>
      </w:r>
      <w:r>
        <w:rPr>
          <w:rFonts w:ascii="Times New Roman" w:hAnsi="Times New Roman" w:eastAsia="楷体" w:cs="Times New Roman"/>
          <w:sz w:val="28"/>
          <w:szCs w:val="28"/>
        </w:rPr>
        <w:t>为合格</w:t>
      </w:r>
      <w:r>
        <w:rPr>
          <w:rFonts w:hint="eastAsia" w:ascii="Times New Roman" w:hAnsi="Times New Roman" w:eastAsia="楷体" w:cs="Times New Roman"/>
          <w:sz w:val="28"/>
          <w:szCs w:val="28"/>
          <w:lang w:eastAsia="zh-CN"/>
        </w:rPr>
        <w:t>中标方</w:t>
      </w:r>
      <w:r>
        <w:rPr>
          <w:rFonts w:ascii="Times New Roman" w:hAnsi="Times New Roman" w:eastAsia="楷体" w:cs="Times New Roman"/>
          <w:sz w:val="28"/>
          <w:szCs w:val="28"/>
        </w:rPr>
        <w:t>。本次评标采用综合评分法，对合格</w:t>
      </w:r>
      <w:r>
        <w:rPr>
          <w:rFonts w:hint="eastAsia" w:ascii="Times New Roman" w:hAnsi="Times New Roman" w:eastAsia="楷体" w:cs="Times New Roman"/>
          <w:sz w:val="28"/>
          <w:szCs w:val="28"/>
          <w:lang w:eastAsia="zh-CN"/>
        </w:rPr>
        <w:t>中标方</w:t>
      </w:r>
      <w:r>
        <w:rPr>
          <w:rFonts w:ascii="Times New Roman" w:hAnsi="Times New Roman" w:eastAsia="楷体" w:cs="Times New Roman"/>
          <w:sz w:val="28"/>
          <w:szCs w:val="28"/>
        </w:rPr>
        <w:t>的评标得分为各项目汇总得分，中标候选资格按评标得分由高到低顺序排列。评分过程中采用四舍五入法，并保留小数2位。</w:t>
      </w:r>
    </w:p>
    <w:p w14:paraId="0AC988AF">
      <w:pPr>
        <w:spacing w:line="500" w:lineRule="exact"/>
        <w:ind w:firstLine="560" w:firstLineChars="200"/>
        <w:rPr>
          <w:rFonts w:ascii="Times New Roman" w:hAnsi="Times New Roman" w:eastAsia="楷体" w:cs="Times New Roman"/>
          <w:sz w:val="28"/>
          <w:szCs w:val="28"/>
        </w:rPr>
      </w:pPr>
      <w:bookmarkStart w:id="0" w:name="_Toc27561"/>
      <w:bookmarkStart w:id="1" w:name="_Toc522348370"/>
      <w:bookmarkStart w:id="2" w:name="_Toc2281"/>
      <w:r>
        <w:rPr>
          <w:rFonts w:ascii="Times New Roman" w:hAnsi="Times New Roman" w:eastAsia="楷体" w:cs="Times New Roman"/>
          <w:sz w:val="28"/>
          <w:szCs w:val="28"/>
        </w:rPr>
        <w:t>1</w:t>
      </w:r>
      <w:r>
        <w:rPr>
          <w:rFonts w:hint="eastAsia" w:ascii="Times New Roman" w:hAnsi="Times New Roman" w:eastAsia="楷体" w:cs="Times New Roman"/>
          <w:sz w:val="28"/>
          <w:szCs w:val="28"/>
        </w:rPr>
        <w:t>.</w:t>
      </w:r>
      <w:r>
        <w:rPr>
          <w:rFonts w:ascii="Times New Roman" w:hAnsi="Times New Roman" w:eastAsia="楷体" w:cs="Times New Roman"/>
          <w:sz w:val="28"/>
          <w:szCs w:val="28"/>
        </w:rPr>
        <w:t>分值的计算</w:t>
      </w:r>
      <w:bookmarkEnd w:id="0"/>
      <w:bookmarkEnd w:id="1"/>
      <w:bookmarkEnd w:id="2"/>
    </w:p>
    <w:p w14:paraId="3C2E749F">
      <w:pPr>
        <w:spacing w:line="50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满分为100分。其中商务技术分为</w:t>
      </w:r>
      <w:r>
        <w:rPr>
          <w:rFonts w:hint="eastAsia" w:ascii="Times New Roman" w:hAnsi="Times New Roman" w:eastAsia="楷体" w:cs="Times New Roman"/>
          <w:sz w:val="28"/>
          <w:szCs w:val="28"/>
        </w:rPr>
        <w:t>4</w:t>
      </w:r>
      <w:r>
        <w:rPr>
          <w:rFonts w:ascii="Times New Roman" w:hAnsi="Times New Roman" w:eastAsia="楷体" w:cs="Times New Roman"/>
          <w:sz w:val="28"/>
          <w:szCs w:val="28"/>
        </w:rPr>
        <w:t>0分，价格分为</w:t>
      </w:r>
      <w:r>
        <w:rPr>
          <w:rFonts w:hint="eastAsia" w:ascii="Times New Roman" w:hAnsi="Times New Roman" w:eastAsia="楷体" w:cs="Times New Roman"/>
          <w:sz w:val="28"/>
          <w:szCs w:val="28"/>
        </w:rPr>
        <w:t>6</w:t>
      </w:r>
      <w:r>
        <w:rPr>
          <w:rFonts w:ascii="Times New Roman" w:hAnsi="Times New Roman" w:eastAsia="楷体" w:cs="Times New Roman"/>
          <w:sz w:val="28"/>
          <w:szCs w:val="28"/>
        </w:rPr>
        <w:t>0分。总得分=商务技术得分+价格得分；商务技术得分为单位采购小组对照商务技术评分细则打出的分值；价格得分=（评标基准价/投标报价）*价格权值*100，评标基准价=有效报价中满足采购文件要求且投标价格最低的投标报价，价格权值=</w:t>
      </w:r>
      <w:r>
        <w:rPr>
          <w:rFonts w:hint="eastAsia" w:ascii="Times New Roman" w:hAnsi="Times New Roman" w:eastAsia="楷体" w:cs="Times New Roman"/>
          <w:sz w:val="28"/>
          <w:szCs w:val="28"/>
        </w:rPr>
        <w:t>6</w:t>
      </w:r>
      <w:r>
        <w:rPr>
          <w:rFonts w:ascii="Times New Roman" w:hAnsi="Times New Roman" w:eastAsia="楷体" w:cs="Times New Roman"/>
          <w:sz w:val="28"/>
          <w:szCs w:val="28"/>
        </w:rPr>
        <w:t>0%。</w:t>
      </w:r>
    </w:p>
    <w:p w14:paraId="3AFD80F0">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0" w:firstLineChars="0"/>
        <w:textAlignment w:val="auto"/>
        <w:rPr>
          <w:rFonts w:ascii="Times New Roman" w:hAnsi="Times New Roman" w:eastAsia="楷体" w:cs="Times New Roman"/>
          <w:sz w:val="28"/>
          <w:szCs w:val="28"/>
          <w:highlight w:val="none"/>
        </w:rPr>
      </w:pPr>
      <w:r>
        <w:rPr>
          <w:rFonts w:ascii="Times New Roman" w:hAnsi="Times New Roman" w:eastAsia="楷体" w:cs="Times New Roman"/>
          <w:sz w:val="28"/>
          <w:szCs w:val="28"/>
          <w:highlight w:val="none"/>
        </w:rPr>
        <w:t>商务技术分（</w:t>
      </w:r>
      <w:r>
        <w:rPr>
          <w:rFonts w:hint="eastAsia" w:ascii="Times New Roman" w:hAnsi="Times New Roman" w:eastAsia="楷体" w:cs="Times New Roman"/>
          <w:sz w:val="28"/>
          <w:szCs w:val="28"/>
          <w:highlight w:val="none"/>
        </w:rPr>
        <w:t>4</w:t>
      </w:r>
      <w:r>
        <w:rPr>
          <w:rFonts w:ascii="Times New Roman" w:hAnsi="Times New Roman" w:eastAsia="楷体" w:cs="Times New Roman"/>
          <w:sz w:val="28"/>
          <w:szCs w:val="28"/>
          <w:highlight w:val="none"/>
        </w:rPr>
        <w:t>0分）</w:t>
      </w:r>
    </w:p>
    <w:tbl>
      <w:tblPr>
        <w:tblStyle w:val="14"/>
        <w:tblW w:w="87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7"/>
        <w:gridCol w:w="6069"/>
        <w:gridCol w:w="1104"/>
      </w:tblGrid>
      <w:tr w14:paraId="33D31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67" w:type="dxa"/>
            <w:tcBorders>
              <w:top w:val="single" w:color="000000" w:sz="4" w:space="0"/>
              <w:left w:val="single" w:color="000000" w:sz="4" w:space="0"/>
              <w:bottom w:val="single" w:color="000000" w:sz="4" w:space="0"/>
              <w:right w:val="single" w:color="000000" w:sz="4" w:space="0"/>
            </w:tcBorders>
            <w:vAlign w:val="center"/>
          </w:tcPr>
          <w:p w14:paraId="446D59E0">
            <w:pPr>
              <w:pStyle w:val="27"/>
              <w:spacing w:before="0" w:line="440" w:lineRule="exact"/>
              <w:ind w:firstLine="0" w:firstLineChars="0"/>
              <w:jc w:val="center"/>
              <w:rPr>
                <w:rFonts w:ascii="Times New Roman" w:hAnsi="Times New Roman" w:eastAsia="楷体" w:cs="Times New Roman"/>
                <w:highlight w:val="none"/>
              </w:rPr>
            </w:pPr>
            <w:bookmarkStart w:id="3" w:name="scoringRules2"/>
            <w:r>
              <w:rPr>
                <w:rFonts w:ascii="Times New Roman" w:hAnsi="Times New Roman" w:eastAsia="楷体" w:cs="Times New Roman"/>
                <w:highlight w:val="none"/>
              </w:rPr>
              <w:t>评分细则</w:t>
            </w:r>
          </w:p>
        </w:tc>
        <w:tc>
          <w:tcPr>
            <w:tcW w:w="6069" w:type="dxa"/>
            <w:tcBorders>
              <w:top w:val="single" w:color="000000" w:sz="4" w:space="0"/>
              <w:left w:val="single" w:color="000000" w:sz="4" w:space="0"/>
              <w:bottom w:val="single" w:color="000000" w:sz="4" w:space="0"/>
              <w:right w:val="single" w:color="000000" w:sz="4" w:space="0"/>
            </w:tcBorders>
            <w:vAlign w:val="center"/>
          </w:tcPr>
          <w:p w14:paraId="61031B8C">
            <w:pPr>
              <w:pStyle w:val="27"/>
              <w:spacing w:before="0" w:line="440" w:lineRule="exact"/>
              <w:ind w:firstLine="0" w:firstLineChars="0"/>
              <w:jc w:val="center"/>
              <w:rPr>
                <w:rFonts w:ascii="Times New Roman" w:hAnsi="Times New Roman" w:eastAsia="楷体" w:cs="Times New Roman"/>
                <w:highlight w:val="none"/>
              </w:rPr>
            </w:pPr>
            <w:r>
              <w:rPr>
                <w:rFonts w:ascii="Times New Roman" w:hAnsi="Times New Roman" w:eastAsia="楷体" w:cs="Times New Roman"/>
                <w:highlight w:val="none"/>
              </w:rPr>
              <w:t>评分细则内容</w:t>
            </w:r>
          </w:p>
        </w:tc>
        <w:tc>
          <w:tcPr>
            <w:tcW w:w="1104" w:type="dxa"/>
            <w:tcBorders>
              <w:top w:val="single" w:color="000000" w:sz="4" w:space="0"/>
              <w:left w:val="single" w:color="000000" w:sz="4" w:space="0"/>
              <w:bottom w:val="single" w:color="000000" w:sz="4" w:space="0"/>
              <w:right w:val="single" w:color="000000" w:sz="4" w:space="0"/>
            </w:tcBorders>
            <w:vAlign w:val="center"/>
          </w:tcPr>
          <w:p w14:paraId="654866D8">
            <w:pPr>
              <w:pStyle w:val="27"/>
              <w:spacing w:before="0" w:line="440" w:lineRule="exact"/>
              <w:ind w:firstLine="0" w:firstLineChars="0"/>
              <w:jc w:val="center"/>
              <w:rPr>
                <w:rFonts w:ascii="Times New Roman" w:hAnsi="Times New Roman" w:eastAsia="楷体" w:cs="Times New Roman"/>
                <w:highlight w:val="none"/>
              </w:rPr>
            </w:pPr>
            <w:r>
              <w:rPr>
                <w:rFonts w:ascii="Times New Roman" w:hAnsi="Times New Roman" w:eastAsia="楷体" w:cs="Times New Roman"/>
                <w:highlight w:val="none"/>
              </w:rPr>
              <w:t>分值(分)</w:t>
            </w:r>
          </w:p>
        </w:tc>
      </w:tr>
      <w:tr w14:paraId="2D0AF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67" w:type="dxa"/>
            <w:tcBorders>
              <w:top w:val="single" w:color="000000" w:sz="4" w:space="0"/>
              <w:left w:val="single" w:color="000000" w:sz="4" w:space="0"/>
              <w:bottom w:val="single" w:color="000000" w:sz="4" w:space="0"/>
              <w:right w:val="single" w:color="000000" w:sz="4" w:space="0"/>
            </w:tcBorders>
            <w:vAlign w:val="center"/>
          </w:tcPr>
          <w:p w14:paraId="6B073A58">
            <w:pPr>
              <w:spacing w:line="290" w:lineRule="exact"/>
              <w:rPr>
                <w:rFonts w:hint="eastAsia" w:ascii="Times New Roman" w:hAnsi="Times New Roman" w:eastAsia="楷体" w:cs="Times New Roman"/>
                <w:sz w:val="24"/>
                <w:szCs w:val="20"/>
                <w:highlight w:val="none"/>
              </w:rPr>
            </w:pPr>
            <w:r>
              <w:rPr>
                <w:rFonts w:hint="eastAsia" w:ascii="Times New Roman" w:hAnsi="Times New Roman" w:eastAsia="楷体" w:cs="Times New Roman"/>
                <w:sz w:val="24"/>
                <w:szCs w:val="20"/>
                <w:highlight w:val="none"/>
              </w:rPr>
              <w:t>企业能力</w:t>
            </w:r>
          </w:p>
        </w:tc>
        <w:tc>
          <w:tcPr>
            <w:tcW w:w="6069" w:type="dxa"/>
            <w:tcBorders>
              <w:top w:val="single" w:color="000000" w:sz="4" w:space="0"/>
              <w:left w:val="single" w:color="000000" w:sz="4" w:space="0"/>
              <w:bottom w:val="single" w:color="000000" w:sz="4" w:space="0"/>
              <w:right w:val="single" w:color="000000" w:sz="4" w:space="0"/>
            </w:tcBorders>
            <w:vAlign w:val="center"/>
          </w:tcPr>
          <w:p w14:paraId="6E2B3DE5">
            <w:pPr>
              <w:widowControl/>
              <w:adjustRightInd/>
              <w:spacing w:line="290" w:lineRule="exact"/>
              <w:jc w:val="left"/>
              <w:rPr>
                <w:rFonts w:hint="eastAsia" w:ascii="Times New Roman" w:hAnsi="Times New Roman" w:eastAsia="楷体" w:cs="Times New Roman"/>
                <w:bCs w:val="0"/>
                <w:kern w:val="2"/>
                <w:sz w:val="24"/>
                <w:szCs w:val="20"/>
                <w:highlight w:val="none"/>
                <w:lang w:val="en-US" w:eastAsia="zh-CN"/>
              </w:rPr>
            </w:pPr>
            <w:r>
              <w:rPr>
                <w:rFonts w:hint="eastAsia" w:ascii="Times New Roman" w:hAnsi="Times New Roman" w:eastAsia="楷体" w:cs="Times New Roman"/>
                <w:bCs w:val="0"/>
                <w:kern w:val="2"/>
                <w:sz w:val="24"/>
                <w:szCs w:val="20"/>
                <w:highlight w:val="none"/>
                <w:lang w:val="en-US" w:eastAsia="zh-CN"/>
              </w:rPr>
              <w:t>1.中标方具有有效期内的质量管理体系认证、环境质量管理体系认证</w:t>
            </w:r>
            <w:r>
              <w:rPr>
                <w:rFonts w:hint="eastAsia" w:ascii="Times New Roman" w:hAnsi="Times New Roman" w:eastAsia="楷体" w:cs="Times New Roman"/>
                <w:bCs w:val="0"/>
                <w:strike w:val="0"/>
                <w:dstrike w:val="0"/>
                <w:kern w:val="2"/>
                <w:sz w:val="24"/>
                <w:szCs w:val="20"/>
                <w:highlight w:val="none"/>
                <w:lang w:val="en-US" w:eastAsia="zh-CN"/>
              </w:rPr>
              <w:t>证书</w:t>
            </w:r>
            <w:r>
              <w:rPr>
                <w:rFonts w:hint="eastAsia" w:ascii="Times New Roman" w:hAnsi="Times New Roman" w:eastAsia="楷体" w:cs="Times New Roman"/>
                <w:bCs w:val="0"/>
                <w:strike w:val="0"/>
                <w:kern w:val="2"/>
                <w:sz w:val="24"/>
                <w:szCs w:val="20"/>
                <w:highlight w:val="none"/>
                <w:lang w:val="en-US" w:eastAsia="zh-CN"/>
              </w:rPr>
              <w:t>，</w:t>
            </w:r>
            <w:r>
              <w:rPr>
                <w:rFonts w:hint="eastAsia" w:ascii="Times New Roman" w:hAnsi="Times New Roman" w:eastAsia="楷体" w:cs="Times New Roman"/>
                <w:bCs w:val="0"/>
                <w:kern w:val="2"/>
                <w:sz w:val="24"/>
                <w:szCs w:val="20"/>
                <w:highlight w:val="none"/>
                <w:lang w:val="en-US" w:eastAsia="zh-CN"/>
              </w:rPr>
              <w:t>且认证范围包含环境治理（大气污染治理）的，每具有任意一个符合上述要求的证书得2.5分，最高得5分；</w:t>
            </w:r>
          </w:p>
          <w:p w14:paraId="22F582F2">
            <w:pPr>
              <w:spacing w:line="290" w:lineRule="exact"/>
              <w:rPr>
                <w:rFonts w:hint="eastAsia" w:ascii="Times New Roman" w:hAnsi="Times New Roman" w:eastAsia="楷体" w:cs="Times New Roman"/>
                <w:sz w:val="24"/>
                <w:szCs w:val="20"/>
                <w:highlight w:val="none"/>
              </w:rPr>
            </w:pPr>
            <w:r>
              <w:rPr>
                <w:rFonts w:hint="eastAsia" w:ascii="Times New Roman" w:hAnsi="Times New Roman" w:eastAsia="楷体" w:cs="Times New Roman"/>
                <w:sz w:val="24"/>
                <w:szCs w:val="20"/>
                <w:highlight w:val="none"/>
                <w:lang w:val="en-US" w:eastAsia="zh-CN"/>
              </w:rPr>
              <w:t>（</w:t>
            </w:r>
            <w:r>
              <w:rPr>
                <w:rFonts w:hint="eastAsia" w:ascii="Times New Roman" w:hAnsi="Times New Roman" w:eastAsia="楷体" w:cs="Times New Roman"/>
                <w:bCs w:val="0"/>
                <w:kern w:val="2"/>
                <w:sz w:val="24"/>
                <w:szCs w:val="20"/>
                <w:highlight w:val="none"/>
                <w:lang w:eastAsia="zh-CN"/>
              </w:rPr>
              <w:t>响应文件中提供上述证书复印件加盖公章以及国家认证认可监督管理委员会官方网站（http：//www.cnca.gov.cn/）证书有效状态查询截图并加盖公章（若证书有效状态显示无效的，则不予计分），材料不齐全的不予计分</w:t>
            </w:r>
            <w:r>
              <w:rPr>
                <w:rFonts w:hint="eastAsia" w:ascii="Times New Roman" w:hAnsi="Times New Roman" w:eastAsia="楷体" w:cs="Times New Roman"/>
                <w:sz w:val="24"/>
                <w:szCs w:val="20"/>
                <w:highlight w:val="none"/>
                <w:lang w:val="en-US" w:eastAsia="zh-CN"/>
              </w:rPr>
              <w:t>）。</w:t>
            </w:r>
            <w:r>
              <w:rPr>
                <w:rFonts w:hint="eastAsia" w:ascii="Times New Roman" w:hAnsi="Times New Roman" w:eastAsia="楷体" w:cs="Times New Roman"/>
                <w:sz w:val="24"/>
                <w:szCs w:val="20"/>
                <w:highlight w:val="none"/>
              </w:rPr>
              <w:t>料的原件扫描件或清晰的图片，并加盖</w:t>
            </w:r>
            <w:r>
              <w:rPr>
                <w:rFonts w:hint="eastAsia" w:ascii="Times New Roman" w:hAnsi="Times New Roman" w:eastAsia="楷体" w:cs="Times New Roman"/>
                <w:sz w:val="24"/>
                <w:szCs w:val="20"/>
                <w:highlight w:val="none"/>
                <w:lang w:eastAsia="zh-CN"/>
              </w:rPr>
              <w:t>中标方</w:t>
            </w:r>
            <w:r>
              <w:rPr>
                <w:rFonts w:hint="eastAsia" w:ascii="Times New Roman" w:hAnsi="Times New Roman" w:eastAsia="楷体" w:cs="Times New Roman"/>
                <w:sz w:val="24"/>
                <w:szCs w:val="20"/>
                <w:highlight w:val="none"/>
              </w:rPr>
              <w:t>公章。</w:t>
            </w:r>
          </w:p>
        </w:tc>
        <w:tc>
          <w:tcPr>
            <w:tcW w:w="1104" w:type="dxa"/>
            <w:tcBorders>
              <w:top w:val="single" w:color="000000" w:sz="4" w:space="0"/>
              <w:left w:val="single" w:color="000000" w:sz="4" w:space="0"/>
              <w:bottom w:val="single" w:color="000000" w:sz="4" w:space="0"/>
              <w:right w:val="single" w:color="000000" w:sz="4" w:space="0"/>
            </w:tcBorders>
            <w:vAlign w:val="center"/>
          </w:tcPr>
          <w:p w14:paraId="0F13394E">
            <w:pPr>
              <w:pStyle w:val="27"/>
              <w:spacing w:before="0" w:line="290" w:lineRule="exact"/>
              <w:ind w:firstLine="0" w:firstLineChars="0"/>
              <w:jc w:val="center"/>
              <w:rPr>
                <w:rFonts w:hint="eastAsia" w:ascii="Times New Roman" w:hAnsi="Times New Roman" w:eastAsia="楷体" w:cs="Times New Roman"/>
                <w:highlight w:val="none"/>
                <w:lang w:eastAsia="zh-CN"/>
              </w:rPr>
            </w:pPr>
            <w:r>
              <w:rPr>
                <w:rFonts w:hint="eastAsia" w:ascii="Times New Roman" w:hAnsi="Times New Roman" w:eastAsia="楷体" w:cs="Times New Roman"/>
                <w:highlight w:val="none"/>
                <w:lang w:val="en-US" w:eastAsia="zh-CN"/>
              </w:rPr>
              <w:t>5</w:t>
            </w:r>
          </w:p>
        </w:tc>
      </w:tr>
      <w:tr w14:paraId="767AB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67" w:type="dxa"/>
            <w:tcBorders>
              <w:top w:val="single" w:color="000000" w:sz="4" w:space="0"/>
              <w:left w:val="single" w:color="000000" w:sz="4" w:space="0"/>
              <w:bottom w:val="single" w:color="000000" w:sz="4" w:space="0"/>
              <w:right w:val="single" w:color="000000" w:sz="4" w:space="0"/>
            </w:tcBorders>
            <w:vAlign w:val="center"/>
          </w:tcPr>
          <w:p w14:paraId="46CEF50E">
            <w:pPr>
              <w:spacing w:line="290" w:lineRule="exact"/>
              <w:rPr>
                <w:rFonts w:hint="eastAsia" w:ascii="Times New Roman" w:hAnsi="Times New Roman" w:eastAsia="楷体" w:cs="Times New Roman"/>
                <w:sz w:val="24"/>
                <w:szCs w:val="20"/>
                <w:highlight w:val="none"/>
              </w:rPr>
            </w:pPr>
            <w:r>
              <w:rPr>
                <w:rFonts w:hint="eastAsia" w:ascii="Times New Roman" w:hAnsi="Times New Roman" w:eastAsia="楷体" w:cs="Times New Roman"/>
                <w:sz w:val="24"/>
                <w:szCs w:val="20"/>
                <w:highlight w:val="none"/>
                <w:lang w:eastAsia="zh-CN"/>
              </w:rPr>
              <w:t>中标方</w:t>
            </w:r>
            <w:r>
              <w:rPr>
                <w:rFonts w:hint="eastAsia" w:ascii="Times New Roman" w:hAnsi="Times New Roman" w:eastAsia="楷体" w:cs="Times New Roman"/>
                <w:sz w:val="24"/>
                <w:szCs w:val="20"/>
                <w:highlight w:val="none"/>
              </w:rPr>
              <w:t>荣誉</w:t>
            </w:r>
          </w:p>
        </w:tc>
        <w:tc>
          <w:tcPr>
            <w:tcW w:w="6069" w:type="dxa"/>
            <w:tcBorders>
              <w:top w:val="single" w:color="000000" w:sz="4" w:space="0"/>
              <w:left w:val="single" w:color="000000" w:sz="4" w:space="0"/>
              <w:bottom w:val="single" w:color="000000" w:sz="4" w:space="0"/>
              <w:right w:val="single" w:color="000000" w:sz="4" w:space="0"/>
            </w:tcBorders>
            <w:vAlign w:val="center"/>
          </w:tcPr>
          <w:p w14:paraId="3A455A3E">
            <w:pPr>
              <w:spacing w:line="290" w:lineRule="exact"/>
              <w:rPr>
                <w:rFonts w:hint="eastAsia" w:ascii="Times New Roman" w:hAnsi="Times New Roman" w:eastAsia="楷体" w:cs="Times New Roman"/>
                <w:sz w:val="24"/>
                <w:szCs w:val="20"/>
                <w:highlight w:val="none"/>
              </w:rPr>
            </w:pPr>
            <w:r>
              <w:rPr>
                <w:rFonts w:hint="eastAsia" w:ascii="Times New Roman" w:hAnsi="Times New Roman" w:eastAsia="楷体" w:cs="Times New Roman"/>
                <w:sz w:val="24"/>
                <w:szCs w:val="20"/>
                <w:highlight w:val="none"/>
              </w:rPr>
              <w:t>202</w:t>
            </w:r>
            <w:r>
              <w:rPr>
                <w:rFonts w:hint="eastAsia" w:ascii="Times New Roman" w:hAnsi="Times New Roman" w:eastAsia="楷体" w:cs="Times New Roman"/>
                <w:sz w:val="24"/>
                <w:szCs w:val="20"/>
                <w:highlight w:val="none"/>
                <w:lang w:val="en-US" w:eastAsia="zh-CN"/>
              </w:rPr>
              <w:t>2</w:t>
            </w:r>
            <w:r>
              <w:rPr>
                <w:rFonts w:hint="eastAsia" w:ascii="Times New Roman" w:hAnsi="Times New Roman" w:eastAsia="楷体" w:cs="Times New Roman"/>
                <w:sz w:val="24"/>
                <w:szCs w:val="20"/>
                <w:highlight w:val="none"/>
              </w:rPr>
              <w:t>年1月1日以来至今（以颁发时间为准）</w:t>
            </w:r>
            <w:r>
              <w:rPr>
                <w:rFonts w:hint="eastAsia" w:ascii="Times New Roman" w:hAnsi="Times New Roman" w:eastAsia="楷体" w:cs="Times New Roman"/>
                <w:sz w:val="24"/>
                <w:szCs w:val="20"/>
                <w:highlight w:val="none"/>
                <w:lang w:eastAsia="zh-CN"/>
              </w:rPr>
              <w:t>中标方</w:t>
            </w:r>
            <w:r>
              <w:rPr>
                <w:rFonts w:hint="eastAsia" w:ascii="Times New Roman" w:hAnsi="Times New Roman" w:eastAsia="楷体" w:cs="Times New Roman"/>
                <w:sz w:val="24"/>
                <w:szCs w:val="20"/>
                <w:highlight w:val="none"/>
              </w:rPr>
              <w:t>获得过省级及以上政府部门颁发的环保类奖项（荣誉）的得</w:t>
            </w:r>
            <w:r>
              <w:rPr>
                <w:rFonts w:hint="eastAsia" w:ascii="Times New Roman" w:hAnsi="Times New Roman" w:eastAsia="楷体" w:cs="Times New Roman"/>
                <w:sz w:val="24"/>
                <w:szCs w:val="20"/>
                <w:highlight w:val="none"/>
                <w:lang w:val="en-US" w:eastAsia="zh-CN"/>
              </w:rPr>
              <w:t>3</w:t>
            </w:r>
            <w:r>
              <w:rPr>
                <w:rFonts w:hint="eastAsia" w:ascii="Times New Roman" w:hAnsi="Times New Roman" w:eastAsia="楷体" w:cs="Times New Roman"/>
                <w:sz w:val="24"/>
                <w:szCs w:val="20"/>
                <w:highlight w:val="none"/>
              </w:rPr>
              <w:t>分，市级政府部门颁发的环保类奖项（荣誉）的得</w:t>
            </w:r>
            <w:r>
              <w:rPr>
                <w:rFonts w:hint="eastAsia" w:ascii="Times New Roman" w:hAnsi="Times New Roman" w:eastAsia="楷体" w:cs="Times New Roman"/>
                <w:sz w:val="24"/>
                <w:szCs w:val="20"/>
                <w:highlight w:val="none"/>
                <w:lang w:val="en-US" w:eastAsia="zh-CN"/>
              </w:rPr>
              <w:t>1.5</w:t>
            </w:r>
            <w:r>
              <w:rPr>
                <w:rFonts w:hint="eastAsia" w:ascii="Times New Roman" w:hAnsi="Times New Roman" w:eastAsia="楷体" w:cs="Times New Roman"/>
                <w:sz w:val="24"/>
                <w:szCs w:val="20"/>
                <w:highlight w:val="none"/>
              </w:rPr>
              <w:t>分，不累计得分，同一奖项（荣誉）按最高分计算，本项最高得</w:t>
            </w:r>
            <w:r>
              <w:rPr>
                <w:rFonts w:hint="eastAsia" w:ascii="Times New Roman" w:hAnsi="Times New Roman" w:eastAsia="楷体" w:cs="Times New Roman"/>
                <w:sz w:val="24"/>
                <w:szCs w:val="20"/>
                <w:highlight w:val="none"/>
                <w:lang w:val="en-US" w:eastAsia="zh-CN"/>
              </w:rPr>
              <w:t>3</w:t>
            </w:r>
            <w:r>
              <w:rPr>
                <w:rFonts w:hint="eastAsia" w:ascii="Times New Roman" w:hAnsi="Times New Roman" w:eastAsia="楷体" w:cs="Times New Roman"/>
                <w:sz w:val="24"/>
                <w:szCs w:val="20"/>
                <w:highlight w:val="none"/>
              </w:rPr>
              <w:t>分。</w:t>
            </w:r>
          </w:p>
          <w:p w14:paraId="21A217B1">
            <w:pPr>
              <w:spacing w:line="290" w:lineRule="exact"/>
              <w:rPr>
                <w:rFonts w:ascii="Times New Roman" w:hAnsi="Times New Roman" w:eastAsia="楷体" w:cs="Times New Roman"/>
                <w:sz w:val="24"/>
                <w:szCs w:val="20"/>
                <w:highlight w:val="none"/>
              </w:rPr>
            </w:pPr>
            <w:r>
              <w:rPr>
                <w:rFonts w:hint="eastAsia" w:ascii="Times New Roman" w:hAnsi="Times New Roman" w:eastAsia="楷体" w:cs="Times New Roman"/>
                <w:sz w:val="24"/>
                <w:szCs w:val="20"/>
                <w:highlight w:val="none"/>
              </w:rPr>
              <w:t>注：须提供相关获奖（荣誉）证明材料复印件并加盖公章，未提供或内容模糊不清的不得分。</w:t>
            </w:r>
          </w:p>
        </w:tc>
        <w:tc>
          <w:tcPr>
            <w:tcW w:w="1104" w:type="dxa"/>
            <w:tcBorders>
              <w:top w:val="single" w:color="000000" w:sz="4" w:space="0"/>
              <w:left w:val="single" w:color="000000" w:sz="4" w:space="0"/>
              <w:bottom w:val="single" w:color="000000" w:sz="4" w:space="0"/>
              <w:right w:val="single" w:color="000000" w:sz="4" w:space="0"/>
            </w:tcBorders>
            <w:vAlign w:val="center"/>
          </w:tcPr>
          <w:p w14:paraId="5188FCDC">
            <w:pPr>
              <w:widowControl/>
              <w:spacing w:line="290" w:lineRule="exact"/>
              <w:jc w:val="center"/>
              <w:textAlignment w:val="center"/>
              <w:rPr>
                <w:rFonts w:hint="eastAsia" w:ascii="Times New Roman" w:hAnsi="Times New Roman" w:eastAsia="楷体" w:cs="Times New Roman"/>
                <w:sz w:val="24"/>
                <w:szCs w:val="20"/>
                <w:highlight w:val="none"/>
                <w:lang w:eastAsia="zh-CN"/>
              </w:rPr>
            </w:pPr>
            <w:r>
              <w:rPr>
                <w:rFonts w:hint="eastAsia" w:ascii="Times New Roman" w:hAnsi="Times New Roman" w:eastAsia="楷体" w:cs="Times New Roman"/>
                <w:sz w:val="24"/>
                <w:szCs w:val="20"/>
                <w:highlight w:val="none"/>
                <w:lang w:val="en-US" w:eastAsia="zh-CN"/>
              </w:rPr>
              <w:t>3</w:t>
            </w:r>
          </w:p>
        </w:tc>
      </w:tr>
      <w:tr w14:paraId="41283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9" w:hRule="atLeast"/>
        </w:trPr>
        <w:tc>
          <w:tcPr>
            <w:tcW w:w="1567" w:type="dxa"/>
            <w:tcBorders>
              <w:top w:val="single" w:color="000000" w:sz="4" w:space="0"/>
              <w:left w:val="single" w:color="000000" w:sz="4" w:space="0"/>
              <w:bottom w:val="single" w:color="000000" w:sz="4" w:space="0"/>
              <w:right w:val="single" w:color="000000" w:sz="4" w:space="0"/>
            </w:tcBorders>
            <w:vAlign w:val="center"/>
          </w:tcPr>
          <w:p w14:paraId="6D1A8F70">
            <w:pPr>
              <w:spacing w:line="290" w:lineRule="exact"/>
              <w:rPr>
                <w:rFonts w:hint="eastAsia" w:ascii="Times New Roman" w:hAnsi="Times New Roman" w:eastAsia="楷体" w:cs="Times New Roman"/>
                <w:sz w:val="24"/>
                <w:szCs w:val="20"/>
                <w:highlight w:val="none"/>
              </w:rPr>
            </w:pPr>
            <w:r>
              <w:rPr>
                <w:rFonts w:hint="eastAsia" w:ascii="Times New Roman" w:hAnsi="Times New Roman" w:eastAsia="楷体" w:cs="Times New Roman"/>
                <w:sz w:val="24"/>
                <w:szCs w:val="20"/>
                <w:highlight w:val="none"/>
              </w:rPr>
              <w:t>项目负责人</w:t>
            </w:r>
          </w:p>
        </w:tc>
        <w:tc>
          <w:tcPr>
            <w:tcW w:w="6069" w:type="dxa"/>
            <w:tcBorders>
              <w:top w:val="single" w:color="000000" w:sz="4" w:space="0"/>
              <w:left w:val="single" w:color="000000" w:sz="4" w:space="0"/>
              <w:bottom w:val="single" w:color="000000" w:sz="4" w:space="0"/>
              <w:right w:val="single" w:color="000000" w:sz="4" w:space="0"/>
            </w:tcBorders>
            <w:vAlign w:val="center"/>
          </w:tcPr>
          <w:p w14:paraId="663CC5AF">
            <w:pPr>
              <w:spacing w:line="290" w:lineRule="exact"/>
              <w:rPr>
                <w:rFonts w:hint="eastAsia" w:ascii="Times New Roman" w:hAnsi="Times New Roman" w:eastAsia="楷体" w:cs="Times New Roman"/>
                <w:sz w:val="24"/>
                <w:szCs w:val="20"/>
                <w:highlight w:val="none"/>
              </w:rPr>
            </w:pPr>
            <w:r>
              <w:rPr>
                <w:rFonts w:hint="eastAsia" w:ascii="Times New Roman" w:hAnsi="Times New Roman" w:eastAsia="楷体" w:cs="Times New Roman"/>
                <w:sz w:val="24"/>
                <w:szCs w:val="20"/>
                <w:highlight w:val="none"/>
                <w:lang w:eastAsia="zh-CN"/>
              </w:rPr>
              <w:t>中标方</w:t>
            </w:r>
            <w:r>
              <w:rPr>
                <w:rFonts w:hint="eastAsia" w:ascii="Times New Roman" w:hAnsi="Times New Roman" w:eastAsia="楷体" w:cs="Times New Roman"/>
                <w:sz w:val="24"/>
                <w:szCs w:val="20"/>
                <w:highlight w:val="none"/>
              </w:rPr>
              <w:t>拟投入本项目的项目负责人（限1人）满足以下要求的，获得相应分数：</w:t>
            </w:r>
          </w:p>
          <w:p w14:paraId="6C30AD0C">
            <w:pPr>
              <w:spacing w:line="290" w:lineRule="exact"/>
              <w:rPr>
                <w:rFonts w:hint="eastAsia" w:ascii="Times New Roman" w:hAnsi="Times New Roman" w:eastAsia="楷体" w:cs="Times New Roman"/>
                <w:sz w:val="24"/>
                <w:szCs w:val="20"/>
                <w:highlight w:val="none"/>
              </w:rPr>
            </w:pPr>
            <w:r>
              <w:rPr>
                <w:rFonts w:hint="eastAsia" w:ascii="Times New Roman" w:hAnsi="Times New Roman" w:eastAsia="楷体" w:cs="Times New Roman"/>
                <w:sz w:val="24"/>
                <w:szCs w:val="20"/>
                <w:highlight w:val="none"/>
              </w:rPr>
              <w:t>1.项目负责人具有环境类相关专业</w:t>
            </w:r>
            <w:r>
              <w:rPr>
                <w:rFonts w:hint="eastAsia" w:ascii="Times New Roman" w:hAnsi="Times New Roman" w:eastAsia="楷体" w:cs="Times New Roman"/>
                <w:sz w:val="24"/>
                <w:szCs w:val="20"/>
                <w:highlight w:val="none"/>
                <w:lang w:val="en-US" w:eastAsia="zh-CN"/>
              </w:rPr>
              <w:t>正</w:t>
            </w:r>
            <w:r>
              <w:rPr>
                <w:rFonts w:hint="eastAsia" w:ascii="Times New Roman" w:hAnsi="Times New Roman" w:eastAsia="楷体" w:cs="Times New Roman"/>
                <w:sz w:val="24"/>
                <w:szCs w:val="20"/>
                <w:highlight w:val="none"/>
              </w:rPr>
              <w:t>高职称的，得</w:t>
            </w:r>
            <w:r>
              <w:rPr>
                <w:rFonts w:hint="eastAsia" w:ascii="Times New Roman" w:hAnsi="Times New Roman" w:eastAsia="楷体" w:cs="Times New Roman"/>
                <w:sz w:val="24"/>
                <w:szCs w:val="20"/>
                <w:highlight w:val="none"/>
                <w:lang w:val="en-US" w:eastAsia="zh-CN"/>
              </w:rPr>
              <w:t>3</w:t>
            </w:r>
            <w:r>
              <w:rPr>
                <w:rFonts w:hint="eastAsia" w:ascii="Times New Roman" w:hAnsi="Times New Roman" w:eastAsia="楷体" w:cs="Times New Roman"/>
                <w:sz w:val="24"/>
                <w:szCs w:val="20"/>
                <w:highlight w:val="none"/>
              </w:rPr>
              <w:t>分；具有环境类相关专业</w:t>
            </w:r>
            <w:r>
              <w:rPr>
                <w:rFonts w:hint="eastAsia" w:ascii="Times New Roman" w:hAnsi="Times New Roman" w:eastAsia="楷体" w:cs="Times New Roman"/>
                <w:sz w:val="24"/>
                <w:szCs w:val="20"/>
                <w:highlight w:val="none"/>
                <w:lang w:val="en-US" w:eastAsia="zh-CN"/>
              </w:rPr>
              <w:t>副高职称</w:t>
            </w:r>
            <w:r>
              <w:rPr>
                <w:rFonts w:hint="eastAsia" w:ascii="Times New Roman" w:hAnsi="Times New Roman" w:eastAsia="楷体" w:cs="Times New Roman"/>
                <w:sz w:val="24"/>
                <w:szCs w:val="20"/>
                <w:highlight w:val="none"/>
              </w:rPr>
              <w:t>的，得1</w:t>
            </w:r>
            <w:r>
              <w:rPr>
                <w:rFonts w:hint="eastAsia" w:ascii="Times New Roman" w:hAnsi="Times New Roman" w:eastAsia="楷体" w:cs="Times New Roman"/>
                <w:sz w:val="24"/>
                <w:szCs w:val="20"/>
                <w:highlight w:val="none"/>
                <w:lang w:val="en-US" w:eastAsia="zh-CN"/>
              </w:rPr>
              <w:t>.5</w:t>
            </w:r>
            <w:r>
              <w:rPr>
                <w:rFonts w:hint="eastAsia" w:ascii="Times New Roman" w:hAnsi="Times New Roman" w:eastAsia="楷体" w:cs="Times New Roman"/>
                <w:sz w:val="24"/>
                <w:szCs w:val="20"/>
                <w:highlight w:val="none"/>
              </w:rPr>
              <w:t>分。</w:t>
            </w:r>
          </w:p>
          <w:p w14:paraId="68DB39FC">
            <w:pPr>
              <w:spacing w:line="290" w:lineRule="exact"/>
              <w:rPr>
                <w:rFonts w:hint="eastAsia" w:ascii="Times New Roman" w:hAnsi="Times New Roman" w:eastAsia="楷体" w:cs="Times New Roman"/>
                <w:sz w:val="24"/>
                <w:szCs w:val="20"/>
                <w:highlight w:val="none"/>
              </w:rPr>
            </w:pPr>
            <w:r>
              <w:rPr>
                <w:rFonts w:hint="eastAsia" w:ascii="Times New Roman" w:hAnsi="Times New Roman" w:eastAsia="楷体" w:cs="Times New Roman"/>
                <w:sz w:val="24"/>
                <w:szCs w:val="20"/>
                <w:highlight w:val="none"/>
              </w:rPr>
              <w:t>2.具有注册环保工程师执业资格的，得2分；</w:t>
            </w:r>
          </w:p>
          <w:p w14:paraId="2832CC59">
            <w:pPr>
              <w:spacing w:line="290" w:lineRule="exact"/>
              <w:rPr>
                <w:rFonts w:ascii="Times New Roman" w:hAnsi="Times New Roman" w:eastAsia="楷体" w:cs="Times New Roman"/>
                <w:sz w:val="24"/>
                <w:szCs w:val="20"/>
                <w:highlight w:val="none"/>
              </w:rPr>
            </w:pPr>
            <w:r>
              <w:rPr>
                <w:rFonts w:hint="eastAsia" w:ascii="Times New Roman" w:hAnsi="Times New Roman" w:eastAsia="楷体" w:cs="Times New Roman"/>
                <w:sz w:val="24"/>
                <w:szCs w:val="20"/>
                <w:highlight w:val="none"/>
              </w:rPr>
              <w:t>（注：提供相应的证书扫描件和近3个月的社保证明的复印件，加盖</w:t>
            </w:r>
            <w:r>
              <w:rPr>
                <w:rFonts w:hint="eastAsia" w:ascii="Times New Roman" w:hAnsi="Times New Roman" w:eastAsia="楷体" w:cs="Times New Roman"/>
                <w:sz w:val="24"/>
                <w:szCs w:val="20"/>
                <w:highlight w:val="none"/>
                <w:lang w:eastAsia="zh-CN"/>
              </w:rPr>
              <w:t>中标方</w:t>
            </w:r>
            <w:r>
              <w:rPr>
                <w:rFonts w:hint="eastAsia" w:ascii="Times New Roman" w:hAnsi="Times New Roman" w:eastAsia="楷体" w:cs="Times New Roman"/>
                <w:sz w:val="24"/>
                <w:szCs w:val="20"/>
                <w:highlight w:val="none"/>
              </w:rPr>
              <w:t>公章，未提供或提供不全的不得分）</w:t>
            </w:r>
          </w:p>
        </w:tc>
        <w:tc>
          <w:tcPr>
            <w:tcW w:w="1104" w:type="dxa"/>
            <w:tcBorders>
              <w:top w:val="single" w:color="000000" w:sz="4" w:space="0"/>
              <w:left w:val="single" w:color="000000" w:sz="4" w:space="0"/>
              <w:bottom w:val="single" w:color="000000" w:sz="4" w:space="0"/>
              <w:right w:val="single" w:color="000000" w:sz="4" w:space="0"/>
            </w:tcBorders>
            <w:vAlign w:val="center"/>
          </w:tcPr>
          <w:p w14:paraId="2D29D375">
            <w:pPr>
              <w:pStyle w:val="18"/>
              <w:bidi w:val="0"/>
              <w:spacing w:line="290" w:lineRule="exact"/>
              <w:ind w:firstLine="0" w:firstLineChars="0"/>
              <w:rPr>
                <w:rFonts w:ascii="Times New Roman" w:hAnsi="Times New Roman" w:eastAsia="楷体" w:cs="Times New Roman"/>
                <w:sz w:val="24"/>
                <w:szCs w:val="20"/>
                <w:highlight w:val="none"/>
              </w:rPr>
            </w:pPr>
            <w:r>
              <w:rPr>
                <w:rFonts w:hint="eastAsia"/>
                <w:highlight w:val="none"/>
                <w:lang w:val="en-US" w:eastAsia="zh-CN"/>
              </w:rPr>
              <w:t>5</w:t>
            </w:r>
          </w:p>
        </w:tc>
      </w:tr>
      <w:tr w14:paraId="18DE7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9"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EE81">
            <w:pPr>
              <w:spacing w:line="290" w:lineRule="exact"/>
              <w:rPr>
                <w:rFonts w:hint="eastAsia" w:ascii="Times New Roman" w:hAnsi="Times New Roman" w:eastAsia="楷体" w:cs="Times New Roman"/>
                <w:kern w:val="2"/>
                <w:sz w:val="24"/>
                <w:szCs w:val="20"/>
                <w:highlight w:val="none"/>
                <w:lang w:val="en-US" w:eastAsia="zh-CN" w:bidi="ar-SA"/>
              </w:rPr>
            </w:pPr>
            <w:r>
              <w:rPr>
                <w:rFonts w:hint="eastAsia" w:ascii="Times New Roman" w:hAnsi="Times New Roman" w:eastAsia="楷体" w:cs="Times New Roman"/>
                <w:sz w:val="24"/>
                <w:szCs w:val="20"/>
                <w:highlight w:val="none"/>
              </w:rPr>
              <w:t>项目组成员</w:t>
            </w:r>
          </w:p>
        </w:tc>
        <w:tc>
          <w:tcPr>
            <w:tcW w:w="6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42DD">
            <w:pPr>
              <w:spacing w:line="290" w:lineRule="exact"/>
              <w:rPr>
                <w:rFonts w:hint="eastAsia" w:ascii="Times New Roman" w:hAnsi="Times New Roman" w:eastAsia="楷体" w:cs="Times New Roman"/>
                <w:sz w:val="24"/>
                <w:szCs w:val="20"/>
                <w:highlight w:val="none"/>
              </w:rPr>
            </w:pPr>
            <w:r>
              <w:rPr>
                <w:rFonts w:hint="eastAsia" w:ascii="Times New Roman" w:hAnsi="Times New Roman" w:eastAsia="楷体" w:cs="Times New Roman"/>
                <w:sz w:val="24"/>
                <w:szCs w:val="20"/>
                <w:highlight w:val="none"/>
              </w:rPr>
              <w:t>1.本项目组成员中具有环境类相关专业的副高职称，每人得</w:t>
            </w:r>
            <w:r>
              <w:rPr>
                <w:rFonts w:hint="eastAsia" w:ascii="Times New Roman" w:hAnsi="Times New Roman" w:eastAsia="楷体" w:cs="Times New Roman"/>
                <w:sz w:val="24"/>
                <w:szCs w:val="20"/>
                <w:highlight w:val="none"/>
                <w:lang w:val="en-US" w:eastAsia="zh-CN"/>
              </w:rPr>
              <w:t>1</w:t>
            </w:r>
            <w:r>
              <w:rPr>
                <w:rFonts w:hint="eastAsia" w:ascii="Times New Roman" w:hAnsi="Times New Roman" w:eastAsia="楷体" w:cs="Times New Roman"/>
                <w:sz w:val="24"/>
                <w:szCs w:val="20"/>
                <w:highlight w:val="none"/>
              </w:rPr>
              <w:t>分；有环境类相关专业的中级职称，每人得0.5分；最高得</w:t>
            </w:r>
            <w:r>
              <w:rPr>
                <w:rFonts w:hint="eastAsia" w:ascii="Times New Roman" w:hAnsi="Times New Roman" w:eastAsia="楷体" w:cs="Times New Roman"/>
                <w:sz w:val="24"/>
                <w:szCs w:val="20"/>
                <w:highlight w:val="none"/>
                <w:lang w:val="en-US" w:eastAsia="zh-CN"/>
              </w:rPr>
              <w:t>5</w:t>
            </w:r>
            <w:r>
              <w:rPr>
                <w:rFonts w:hint="eastAsia" w:ascii="Times New Roman" w:hAnsi="Times New Roman" w:eastAsia="楷体" w:cs="Times New Roman"/>
                <w:sz w:val="24"/>
                <w:szCs w:val="20"/>
                <w:highlight w:val="none"/>
              </w:rPr>
              <w:t>分。</w:t>
            </w:r>
          </w:p>
          <w:p w14:paraId="1531866B">
            <w:pPr>
              <w:spacing w:line="290" w:lineRule="exact"/>
              <w:rPr>
                <w:rFonts w:hint="eastAsia" w:ascii="Times New Roman" w:hAnsi="Times New Roman" w:eastAsia="楷体" w:cs="Times New Roman"/>
                <w:sz w:val="24"/>
                <w:szCs w:val="20"/>
                <w:highlight w:val="none"/>
              </w:rPr>
            </w:pPr>
            <w:r>
              <w:rPr>
                <w:rFonts w:hint="eastAsia" w:ascii="Times New Roman" w:hAnsi="Times New Roman" w:eastAsia="楷体" w:cs="Times New Roman"/>
                <w:sz w:val="24"/>
                <w:szCs w:val="20"/>
                <w:highlight w:val="none"/>
              </w:rPr>
              <w:t>2.本项目组成员中具有注册环保工程师执业资格的，1个得</w:t>
            </w:r>
            <w:r>
              <w:rPr>
                <w:rFonts w:hint="eastAsia" w:ascii="Times New Roman" w:hAnsi="Times New Roman" w:eastAsia="楷体" w:cs="Times New Roman"/>
                <w:sz w:val="24"/>
                <w:szCs w:val="20"/>
                <w:highlight w:val="none"/>
                <w:lang w:val="en-US" w:eastAsia="zh-CN"/>
              </w:rPr>
              <w:t>1</w:t>
            </w:r>
            <w:r>
              <w:rPr>
                <w:rFonts w:hint="eastAsia" w:ascii="Times New Roman" w:hAnsi="Times New Roman" w:eastAsia="楷体" w:cs="Times New Roman"/>
                <w:sz w:val="24"/>
                <w:szCs w:val="20"/>
                <w:highlight w:val="none"/>
              </w:rPr>
              <w:t>分，最高得</w:t>
            </w:r>
            <w:r>
              <w:rPr>
                <w:rFonts w:hint="eastAsia" w:ascii="Times New Roman" w:hAnsi="Times New Roman" w:eastAsia="楷体" w:cs="Times New Roman"/>
                <w:sz w:val="24"/>
                <w:szCs w:val="20"/>
                <w:highlight w:val="none"/>
                <w:lang w:val="en-US" w:eastAsia="zh-CN"/>
              </w:rPr>
              <w:t>6</w:t>
            </w:r>
            <w:r>
              <w:rPr>
                <w:rFonts w:hint="eastAsia" w:ascii="Times New Roman" w:hAnsi="Times New Roman" w:eastAsia="楷体" w:cs="Times New Roman"/>
                <w:sz w:val="24"/>
                <w:szCs w:val="20"/>
                <w:highlight w:val="none"/>
              </w:rPr>
              <w:t>分。</w:t>
            </w:r>
          </w:p>
          <w:p w14:paraId="70DD8504">
            <w:pPr>
              <w:spacing w:line="290" w:lineRule="exact"/>
              <w:rPr>
                <w:rFonts w:hint="eastAsia" w:ascii="Times New Roman" w:hAnsi="Times New Roman" w:eastAsia="楷体" w:cs="Times New Roman"/>
                <w:kern w:val="2"/>
                <w:sz w:val="24"/>
                <w:szCs w:val="20"/>
                <w:highlight w:val="none"/>
                <w:lang w:val="en-US" w:eastAsia="zh-CN" w:bidi="ar-SA"/>
              </w:rPr>
            </w:pPr>
            <w:r>
              <w:rPr>
                <w:rFonts w:hint="eastAsia" w:ascii="Times New Roman" w:hAnsi="Times New Roman" w:eastAsia="楷体" w:cs="Times New Roman"/>
                <w:sz w:val="24"/>
                <w:szCs w:val="20"/>
                <w:highlight w:val="none"/>
              </w:rPr>
              <w:t>（注：提供相应的证书扫描件和近3个月的社保证明的复印件，加盖供应商公章，未提供或提供不全的不得分）</w:t>
            </w:r>
          </w:p>
        </w:tc>
        <w:tc>
          <w:tcPr>
            <w:tcW w:w="1104" w:type="dxa"/>
            <w:tcBorders>
              <w:top w:val="single" w:color="000000" w:sz="4" w:space="0"/>
              <w:left w:val="single" w:color="000000" w:sz="4" w:space="0"/>
              <w:bottom w:val="single" w:color="000000" w:sz="4" w:space="0"/>
              <w:right w:val="single" w:color="000000" w:sz="4" w:space="0"/>
            </w:tcBorders>
            <w:vAlign w:val="center"/>
          </w:tcPr>
          <w:p w14:paraId="0CC40605">
            <w:pPr>
              <w:pStyle w:val="18"/>
              <w:bidi w:val="0"/>
              <w:spacing w:line="290" w:lineRule="exact"/>
              <w:ind w:firstLine="0" w:firstLineChars="0"/>
              <w:rPr>
                <w:rFonts w:hint="default"/>
                <w:highlight w:val="none"/>
                <w:lang w:val="en-US" w:eastAsia="zh-CN"/>
              </w:rPr>
            </w:pPr>
            <w:r>
              <w:rPr>
                <w:rFonts w:hint="eastAsia"/>
                <w:highlight w:val="none"/>
                <w:lang w:val="en-US" w:eastAsia="zh-CN"/>
              </w:rPr>
              <w:t>11</w:t>
            </w:r>
          </w:p>
        </w:tc>
      </w:tr>
      <w:tr w14:paraId="5522B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 w:hRule="atLeast"/>
        </w:trPr>
        <w:tc>
          <w:tcPr>
            <w:tcW w:w="1567" w:type="dxa"/>
            <w:tcBorders>
              <w:top w:val="single" w:color="000000" w:sz="4" w:space="0"/>
              <w:left w:val="single" w:color="000000" w:sz="4" w:space="0"/>
              <w:bottom w:val="single" w:color="000000" w:sz="4" w:space="0"/>
              <w:right w:val="single" w:color="000000" w:sz="4" w:space="0"/>
            </w:tcBorders>
            <w:vAlign w:val="center"/>
          </w:tcPr>
          <w:p w14:paraId="388F1019">
            <w:pPr>
              <w:pStyle w:val="27"/>
              <w:spacing w:before="0" w:line="290" w:lineRule="exact"/>
              <w:ind w:firstLine="0" w:firstLineChars="0"/>
              <w:jc w:val="center"/>
              <w:rPr>
                <w:rFonts w:ascii="Times New Roman" w:hAnsi="Times New Roman" w:eastAsia="楷体" w:cs="Times New Roman"/>
                <w:highlight w:val="none"/>
              </w:rPr>
            </w:pPr>
            <w:r>
              <w:rPr>
                <w:rFonts w:hint="eastAsia" w:ascii="Times New Roman" w:hAnsi="Times New Roman" w:eastAsia="楷体" w:cs="Times New Roman"/>
                <w:highlight w:val="none"/>
              </w:rPr>
              <w:t>项目服务保障</w:t>
            </w:r>
          </w:p>
        </w:tc>
        <w:tc>
          <w:tcPr>
            <w:tcW w:w="6069" w:type="dxa"/>
            <w:tcBorders>
              <w:top w:val="single" w:color="000000" w:sz="4" w:space="0"/>
              <w:left w:val="single" w:color="000000" w:sz="4" w:space="0"/>
              <w:bottom w:val="single" w:color="000000" w:sz="4" w:space="0"/>
              <w:right w:val="single" w:color="000000" w:sz="4" w:space="0"/>
            </w:tcBorders>
            <w:vAlign w:val="center"/>
          </w:tcPr>
          <w:p w14:paraId="68838258">
            <w:pPr>
              <w:spacing w:line="290" w:lineRule="exact"/>
              <w:rPr>
                <w:rFonts w:ascii="Times New Roman" w:hAnsi="Times New Roman" w:eastAsia="楷体" w:cs="Times New Roman"/>
                <w:sz w:val="24"/>
                <w:szCs w:val="20"/>
                <w:highlight w:val="none"/>
              </w:rPr>
            </w:pPr>
            <w:r>
              <w:rPr>
                <w:rFonts w:hint="eastAsia" w:ascii="Times New Roman" w:hAnsi="Times New Roman" w:eastAsia="楷体" w:cs="Times New Roman"/>
                <w:sz w:val="24"/>
                <w:szCs w:val="20"/>
                <w:highlight w:val="none"/>
              </w:rPr>
              <w:t>根据本项目服务需求，需至少提供1辆车、VOCs泄露检测仪（FID、PID双检测器）、GC-FID等VOCs便携式分析仪、红外热成像仪、手持式智能烟气分析仪、1架无人机。设备配备齐全得</w:t>
            </w:r>
            <w:r>
              <w:rPr>
                <w:rFonts w:hint="eastAsia" w:ascii="Times New Roman" w:hAnsi="Times New Roman" w:eastAsia="楷体" w:cs="Times New Roman"/>
                <w:sz w:val="24"/>
                <w:szCs w:val="20"/>
                <w:highlight w:val="none"/>
                <w:lang w:val="en-US" w:eastAsia="zh-CN"/>
              </w:rPr>
              <w:t>10</w:t>
            </w:r>
            <w:r>
              <w:rPr>
                <w:rFonts w:hint="eastAsia" w:ascii="Times New Roman" w:hAnsi="Times New Roman" w:eastAsia="楷体" w:cs="Times New Roman"/>
                <w:sz w:val="24"/>
                <w:szCs w:val="20"/>
                <w:highlight w:val="none"/>
              </w:rPr>
              <w:t>分，少一设备的扣</w:t>
            </w:r>
            <w:r>
              <w:rPr>
                <w:rFonts w:hint="eastAsia" w:ascii="Times New Roman" w:hAnsi="Times New Roman" w:eastAsia="楷体" w:cs="Times New Roman"/>
                <w:sz w:val="24"/>
                <w:szCs w:val="20"/>
                <w:highlight w:val="none"/>
                <w:lang w:val="en-US" w:eastAsia="zh-CN"/>
              </w:rPr>
              <w:t>2</w:t>
            </w:r>
            <w:r>
              <w:rPr>
                <w:rFonts w:hint="eastAsia" w:ascii="Times New Roman" w:hAnsi="Times New Roman" w:eastAsia="楷体" w:cs="Times New Roman"/>
                <w:sz w:val="24"/>
                <w:szCs w:val="20"/>
                <w:highlight w:val="none"/>
              </w:rPr>
              <w:t>分，不配备得0分。</w:t>
            </w:r>
          </w:p>
          <w:p w14:paraId="63696BEB">
            <w:pPr>
              <w:widowControl/>
              <w:spacing w:line="290" w:lineRule="exact"/>
              <w:jc w:val="left"/>
              <w:textAlignment w:val="center"/>
              <w:rPr>
                <w:rFonts w:ascii="Times New Roman" w:hAnsi="Times New Roman" w:eastAsia="楷体" w:cs="Times New Roman"/>
                <w:sz w:val="24"/>
                <w:szCs w:val="20"/>
                <w:highlight w:val="none"/>
              </w:rPr>
            </w:pPr>
            <w:r>
              <w:rPr>
                <w:rFonts w:hint="eastAsia" w:ascii="Times New Roman" w:hAnsi="Times New Roman" w:eastAsia="楷体" w:cs="Times New Roman"/>
                <w:sz w:val="24"/>
                <w:szCs w:val="20"/>
                <w:highlight w:val="none"/>
              </w:rPr>
              <w:t>注：①车辆：需提供车辆行驶证、如是租赁车辆提供租赁合同及车辆行驶证扫描件或清晰的图片，并加盖</w:t>
            </w:r>
            <w:r>
              <w:rPr>
                <w:rFonts w:hint="eastAsia" w:ascii="Times New Roman" w:hAnsi="Times New Roman" w:eastAsia="楷体" w:cs="Times New Roman"/>
                <w:sz w:val="24"/>
                <w:szCs w:val="20"/>
                <w:highlight w:val="none"/>
                <w:lang w:eastAsia="zh-CN"/>
              </w:rPr>
              <w:t>中标方</w:t>
            </w:r>
            <w:r>
              <w:rPr>
                <w:rFonts w:hint="eastAsia" w:ascii="Times New Roman" w:hAnsi="Times New Roman" w:eastAsia="楷体" w:cs="Times New Roman"/>
                <w:sz w:val="24"/>
                <w:szCs w:val="20"/>
                <w:highlight w:val="none"/>
              </w:rPr>
              <w:t>公章；②其他设备：均需提供购置发票或采购合同原件扫描件或清晰的图片，并加盖</w:t>
            </w:r>
            <w:r>
              <w:rPr>
                <w:rFonts w:hint="eastAsia" w:ascii="Times New Roman" w:hAnsi="Times New Roman" w:eastAsia="楷体" w:cs="Times New Roman"/>
                <w:sz w:val="24"/>
                <w:szCs w:val="20"/>
                <w:highlight w:val="none"/>
                <w:lang w:eastAsia="zh-CN"/>
              </w:rPr>
              <w:t>中标方</w:t>
            </w:r>
            <w:r>
              <w:rPr>
                <w:rFonts w:hint="eastAsia" w:ascii="Times New Roman" w:hAnsi="Times New Roman" w:eastAsia="楷体" w:cs="Times New Roman"/>
                <w:sz w:val="24"/>
                <w:szCs w:val="20"/>
                <w:highlight w:val="none"/>
              </w:rPr>
              <w:t>公章。</w:t>
            </w:r>
          </w:p>
        </w:tc>
        <w:tc>
          <w:tcPr>
            <w:tcW w:w="1104" w:type="dxa"/>
            <w:tcBorders>
              <w:top w:val="single" w:color="000000" w:sz="4" w:space="0"/>
              <w:left w:val="single" w:color="000000" w:sz="4" w:space="0"/>
              <w:bottom w:val="single" w:color="000000" w:sz="4" w:space="0"/>
              <w:right w:val="single" w:color="000000" w:sz="4" w:space="0"/>
            </w:tcBorders>
            <w:vAlign w:val="center"/>
          </w:tcPr>
          <w:p w14:paraId="5E5DF23B">
            <w:pPr>
              <w:widowControl/>
              <w:spacing w:line="290" w:lineRule="exact"/>
              <w:jc w:val="center"/>
              <w:textAlignment w:val="center"/>
              <w:rPr>
                <w:rFonts w:hint="default" w:ascii="Times New Roman" w:hAnsi="Times New Roman" w:eastAsia="楷体" w:cs="Times New Roman"/>
                <w:sz w:val="24"/>
                <w:szCs w:val="20"/>
                <w:highlight w:val="none"/>
                <w:lang w:val="en-US" w:eastAsia="zh-CN"/>
              </w:rPr>
            </w:pPr>
            <w:r>
              <w:rPr>
                <w:rFonts w:hint="eastAsia" w:ascii="Times New Roman" w:hAnsi="Times New Roman" w:eastAsia="楷体" w:cs="Times New Roman"/>
                <w:sz w:val="24"/>
                <w:szCs w:val="20"/>
                <w:highlight w:val="none"/>
                <w:lang w:val="en-US" w:eastAsia="zh-CN"/>
              </w:rPr>
              <w:t>10</w:t>
            </w:r>
          </w:p>
        </w:tc>
      </w:tr>
      <w:tr w14:paraId="21B42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7" w:type="dxa"/>
            <w:tcBorders>
              <w:top w:val="single" w:color="000000" w:sz="4" w:space="0"/>
              <w:left w:val="single" w:color="000000" w:sz="4" w:space="0"/>
              <w:bottom w:val="single" w:color="000000" w:sz="4" w:space="0"/>
              <w:right w:val="single" w:color="000000" w:sz="4" w:space="0"/>
            </w:tcBorders>
            <w:vAlign w:val="center"/>
          </w:tcPr>
          <w:p w14:paraId="37AA0994">
            <w:pPr>
              <w:pStyle w:val="27"/>
              <w:spacing w:before="0" w:line="290" w:lineRule="exact"/>
              <w:ind w:firstLine="0" w:firstLineChars="0"/>
              <w:jc w:val="center"/>
              <w:rPr>
                <w:rFonts w:ascii="Times New Roman" w:hAnsi="Times New Roman" w:eastAsia="楷体" w:cs="Times New Roman"/>
                <w:highlight w:val="none"/>
              </w:rPr>
            </w:pPr>
            <w:r>
              <w:rPr>
                <w:rFonts w:ascii="Times New Roman" w:hAnsi="Times New Roman" w:eastAsia="楷体" w:cs="Times New Roman"/>
                <w:highlight w:val="none"/>
              </w:rPr>
              <w:t>业绩情况</w:t>
            </w:r>
          </w:p>
        </w:tc>
        <w:tc>
          <w:tcPr>
            <w:tcW w:w="6069" w:type="dxa"/>
            <w:tcBorders>
              <w:top w:val="single" w:color="000000" w:sz="4" w:space="0"/>
              <w:left w:val="single" w:color="000000" w:sz="4" w:space="0"/>
              <w:bottom w:val="single" w:color="000000" w:sz="4" w:space="0"/>
              <w:right w:val="single" w:color="000000" w:sz="4" w:space="0"/>
            </w:tcBorders>
            <w:vAlign w:val="center"/>
          </w:tcPr>
          <w:p w14:paraId="59B4FC92">
            <w:pPr>
              <w:widowControl/>
              <w:spacing w:line="290" w:lineRule="exact"/>
              <w:jc w:val="left"/>
              <w:textAlignment w:val="center"/>
              <w:rPr>
                <w:rFonts w:ascii="Times New Roman" w:hAnsi="Times New Roman" w:eastAsia="楷体" w:cs="Times New Roman"/>
                <w:sz w:val="24"/>
                <w:szCs w:val="20"/>
                <w:highlight w:val="none"/>
              </w:rPr>
            </w:pPr>
            <w:r>
              <w:rPr>
                <w:rFonts w:hint="eastAsia" w:ascii="Times New Roman" w:hAnsi="Times New Roman" w:eastAsia="楷体" w:cs="Times New Roman"/>
                <w:sz w:val="24"/>
                <w:szCs w:val="20"/>
                <w:highlight w:val="none"/>
              </w:rPr>
              <w:t>中标方近三年</w:t>
            </w:r>
            <w:r>
              <w:rPr>
                <w:rFonts w:ascii="Times New Roman" w:hAnsi="Times New Roman" w:eastAsia="楷体" w:cs="Times New Roman"/>
                <w:sz w:val="24"/>
                <w:szCs w:val="20"/>
                <w:highlight w:val="none"/>
              </w:rPr>
              <w:t>以来（以合同签订之日为准）承担过与本项目类似环境</w:t>
            </w:r>
            <w:r>
              <w:rPr>
                <w:rFonts w:hint="eastAsia" w:ascii="Times New Roman" w:hAnsi="Times New Roman" w:eastAsia="楷体" w:cs="Times New Roman"/>
                <w:sz w:val="24"/>
                <w:szCs w:val="20"/>
                <w:highlight w:val="none"/>
              </w:rPr>
              <w:t>服务</w:t>
            </w:r>
            <w:r>
              <w:rPr>
                <w:rFonts w:ascii="Times New Roman" w:hAnsi="Times New Roman" w:eastAsia="楷体" w:cs="Times New Roman"/>
                <w:sz w:val="24"/>
                <w:szCs w:val="20"/>
                <w:highlight w:val="none"/>
              </w:rPr>
              <w:t>项目成功案例情况，每个合同得1分，最高</w:t>
            </w:r>
            <w:r>
              <w:rPr>
                <w:rFonts w:hint="eastAsia" w:ascii="Times New Roman" w:hAnsi="Times New Roman" w:eastAsia="楷体" w:cs="Times New Roman"/>
                <w:sz w:val="24"/>
                <w:szCs w:val="20"/>
                <w:highlight w:val="none"/>
                <w:lang w:val="en-US" w:eastAsia="zh-CN"/>
              </w:rPr>
              <w:t>6</w:t>
            </w:r>
            <w:r>
              <w:rPr>
                <w:rFonts w:ascii="Times New Roman" w:hAnsi="Times New Roman" w:eastAsia="楷体" w:cs="Times New Roman"/>
                <w:sz w:val="24"/>
                <w:szCs w:val="20"/>
                <w:highlight w:val="none"/>
              </w:rPr>
              <w:t>分。</w:t>
            </w:r>
          </w:p>
          <w:p w14:paraId="1F3F315D">
            <w:pPr>
              <w:widowControl/>
              <w:spacing w:line="290" w:lineRule="exact"/>
              <w:jc w:val="left"/>
              <w:textAlignment w:val="center"/>
              <w:rPr>
                <w:rFonts w:ascii="Times New Roman" w:hAnsi="Times New Roman" w:eastAsia="楷体" w:cs="Times New Roman"/>
                <w:sz w:val="24"/>
                <w:szCs w:val="20"/>
                <w:highlight w:val="none"/>
              </w:rPr>
            </w:pPr>
            <w:r>
              <w:rPr>
                <w:rFonts w:ascii="Times New Roman" w:hAnsi="Times New Roman" w:eastAsia="楷体" w:cs="Times New Roman"/>
                <w:sz w:val="24"/>
                <w:szCs w:val="20"/>
                <w:highlight w:val="none"/>
              </w:rPr>
              <w:t>注：须提供合同复印件加盖公章</w:t>
            </w:r>
            <w:r>
              <w:rPr>
                <w:rFonts w:hint="eastAsia" w:ascii="Times New Roman" w:hAnsi="Times New Roman" w:eastAsia="楷体" w:cs="Times New Roman"/>
                <w:sz w:val="24"/>
                <w:szCs w:val="20"/>
                <w:highlight w:val="none"/>
              </w:rPr>
              <w:t>。</w:t>
            </w:r>
          </w:p>
        </w:tc>
        <w:tc>
          <w:tcPr>
            <w:tcW w:w="1104" w:type="dxa"/>
            <w:tcBorders>
              <w:top w:val="single" w:color="000000" w:sz="4" w:space="0"/>
              <w:left w:val="single" w:color="000000" w:sz="4" w:space="0"/>
              <w:bottom w:val="single" w:color="000000" w:sz="4" w:space="0"/>
              <w:right w:val="single" w:color="000000" w:sz="4" w:space="0"/>
            </w:tcBorders>
            <w:vAlign w:val="center"/>
          </w:tcPr>
          <w:p w14:paraId="574A27EB">
            <w:pPr>
              <w:widowControl/>
              <w:spacing w:line="290" w:lineRule="exact"/>
              <w:jc w:val="center"/>
              <w:textAlignment w:val="center"/>
              <w:rPr>
                <w:rFonts w:hint="eastAsia" w:ascii="Times New Roman" w:hAnsi="Times New Roman" w:eastAsia="楷体" w:cs="Times New Roman"/>
                <w:sz w:val="24"/>
                <w:szCs w:val="20"/>
                <w:highlight w:val="none"/>
                <w:lang w:eastAsia="zh-CN"/>
              </w:rPr>
            </w:pPr>
            <w:r>
              <w:rPr>
                <w:rFonts w:hint="eastAsia" w:ascii="Times New Roman" w:hAnsi="Times New Roman" w:eastAsia="楷体" w:cs="Times New Roman"/>
                <w:sz w:val="24"/>
                <w:szCs w:val="20"/>
                <w:highlight w:val="none"/>
                <w:lang w:val="en-US" w:eastAsia="zh-CN"/>
              </w:rPr>
              <w:t>6</w:t>
            </w:r>
          </w:p>
        </w:tc>
      </w:tr>
      <w:bookmarkEnd w:id="3"/>
    </w:tbl>
    <w:p w14:paraId="59334FEB">
      <w:pPr>
        <w:spacing w:line="560" w:lineRule="exact"/>
        <w:ind w:firstLine="560" w:firstLineChars="200"/>
        <w:rPr>
          <w:rFonts w:ascii="Times New Roman" w:hAnsi="Times New Roman" w:eastAsia="楷体" w:cs="Times New Roman"/>
          <w:bCs/>
          <w:sz w:val="28"/>
          <w:szCs w:val="28"/>
          <w:highlight w:val="none"/>
        </w:rPr>
      </w:pPr>
      <w:r>
        <w:rPr>
          <w:rFonts w:ascii="Times New Roman" w:hAnsi="Times New Roman" w:eastAsia="楷体" w:cs="Times New Roman"/>
          <w:bCs/>
          <w:sz w:val="28"/>
          <w:szCs w:val="28"/>
          <w:highlight w:val="none"/>
        </w:rPr>
        <w:t>三、投标报价</w:t>
      </w:r>
    </w:p>
    <w:tbl>
      <w:tblPr>
        <w:tblStyle w:val="14"/>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6262"/>
        <w:gridCol w:w="2793"/>
      </w:tblGrid>
      <w:tr w14:paraId="3FF7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62" w:type="dxa"/>
            <w:vAlign w:val="center"/>
          </w:tcPr>
          <w:p w14:paraId="4463868E">
            <w:pPr>
              <w:adjustRightInd w:val="0"/>
              <w:spacing w:line="240" w:lineRule="exact"/>
              <w:jc w:val="center"/>
              <w:rPr>
                <w:rFonts w:ascii="Times New Roman" w:hAnsi="Times New Roman" w:eastAsia="楷体" w:cs="Times New Roman"/>
                <w:b/>
                <w:sz w:val="24"/>
                <w:highlight w:val="none"/>
              </w:rPr>
            </w:pPr>
            <w:r>
              <w:rPr>
                <w:rFonts w:ascii="Times New Roman" w:hAnsi="Times New Roman" w:eastAsia="楷体" w:cs="Times New Roman"/>
                <w:b/>
                <w:sz w:val="24"/>
                <w:highlight w:val="none"/>
              </w:rPr>
              <w:t>序号</w:t>
            </w:r>
          </w:p>
        </w:tc>
        <w:tc>
          <w:tcPr>
            <w:tcW w:w="6262" w:type="dxa"/>
            <w:vAlign w:val="center"/>
          </w:tcPr>
          <w:p w14:paraId="2750C192">
            <w:pPr>
              <w:adjustRightInd w:val="0"/>
              <w:spacing w:line="240" w:lineRule="exact"/>
              <w:jc w:val="center"/>
              <w:rPr>
                <w:rFonts w:ascii="Times New Roman" w:hAnsi="Times New Roman" w:eastAsia="楷体" w:cs="Times New Roman"/>
                <w:b/>
                <w:sz w:val="24"/>
                <w:highlight w:val="none"/>
              </w:rPr>
            </w:pPr>
            <w:r>
              <w:rPr>
                <w:rFonts w:ascii="Times New Roman" w:hAnsi="Times New Roman" w:eastAsia="楷体" w:cs="Times New Roman"/>
                <w:b/>
                <w:sz w:val="24"/>
                <w:highlight w:val="none"/>
              </w:rPr>
              <w:t>服务内容</w:t>
            </w:r>
          </w:p>
        </w:tc>
        <w:tc>
          <w:tcPr>
            <w:tcW w:w="2793" w:type="dxa"/>
            <w:vAlign w:val="center"/>
          </w:tcPr>
          <w:p w14:paraId="28ECB75F">
            <w:pPr>
              <w:adjustRightInd w:val="0"/>
              <w:spacing w:line="240" w:lineRule="exact"/>
              <w:jc w:val="center"/>
              <w:rPr>
                <w:rFonts w:ascii="Times New Roman" w:hAnsi="Times New Roman" w:eastAsia="楷体" w:cs="Times New Roman"/>
                <w:b/>
                <w:sz w:val="24"/>
                <w:highlight w:val="none"/>
              </w:rPr>
            </w:pPr>
            <w:r>
              <w:rPr>
                <w:rFonts w:ascii="Times New Roman" w:hAnsi="Times New Roman" w:eastAsia="楷体" w:cs="Times New Roman"/>
                <w:b/>
                <w:sz w:val="24"/>
                <w:highlight w:val="none"/>
              </w:rPr>
              <w:t>上限价</w:t>
            </w:r>
          </w:p>
        </w:tc>
      </w:tr>
      <w:tr w14:paraId="042A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62" w:type="dxa"/>
            <w:vAlign w:val="center"/>
          </w:tcPr>
          <w:p w14:paraId="6F515A7D">
            <w:pPr>
              <w:spacing w:line="240" w:lineRule="exact"/>
              <w:jc w:val="center"/>
              <w:rPr>
                <w:rFonts w:ascii="Times New Roman" w:hAnsi="Times New Roman" w:eastAsia="楷体" w:cs="Times New Roman"/>
                <w:bCs/>
                <w:sz w:val="24"/>
                <w:highlight w:val="none"/>
              </w:rPr>
            </w:pPr>
            <w:r>
              <w:rPr>
                <w:rFonts w:ascii="Times New Roman" w:hAnsi="Times New Roman" w:eastAsia="楷体" w:cs="Times New Roman"/>
                <w:bCs/>
                <w:sz w:val="24"/>
                <w:highlight w:val="none"/>
              </w:rPr>
              <w:t>1</w:t>
            </w:r>
          </w:p>
        </w:tc>
        <w:tc>
          <w:tcPr>
            <w:tcW w:w="6262" w:type="dxa"/>
            <w:vAlign w:val="center"/>
          </w:tcPr>
          <w:p w14:paraId="4BDBCB44">
            <w:pPr>
              <w:adjustRightInd w:val="0"/>
              <w:spacing w:line="320" w:lineRule="exact"/>
              <w:jc w:val="center"/>
              <w:rPr>
                <w:rFonts w:hint="eastAsia" w:ascii="Times New Roman" w:hAnsi="Times New Roman" w:eastAsia="楷体" w:cs="Times New Roman"/>
                <w:kern w:val="0"/>
                <w:sz w:val="24"/>
                <w:highlight w:val="none"/>
              </w:rPr>
            </w:pPr>
            <w:r>
              <w:rPr>
                <w:rFonts w:hint="eastAsia" w:ascii="Times New Roman" w:hAnsi="Times New Roman" w:eastAsia="楷体" w:cs="Times New Roman"/>
                <w:kern w:val="0"/>
                <w:sz w:val="24"/>
                <w:highlight w:val="none"/>
              </w:rPr>
              <w:t>2025年度嵊州市绩效提级、锅炉对标整治及</w:t>
            </w:r>
          </w:p>
          <w:p w14:paraId="76E770D4">
            <w:pPr>
              <w:spacing w:line="240" w:lineRule="exact"/>
              <w:jc w:val="center"/>
              <w:rPr>
                <w:rFonts w:ascii="Times New Roman" w:hAnsi="Times New Roman" w:eastAsia="楷体" w:cs="Times New Roman"/>
                <w:szCs w:val="21"/>
                <w:highlight w:val="none"/>
              </w:rPr>
            </w:pPr>
            <w:r>
              <w:rPr>
                <w:rFonts w:hint="eastAsia" w:ascii="Times New Roman" w:hAnsi="Times New Roman" w:eastAsia="楷体" w:cs="Times New Roman"/>
                <w:kern w:val="0"/>
                <w:sz w:val="24"/>
                <w:highlight w:val="none"/>
              </w:rPr>
              <w:t>废弃排放口专项治理等项目</w:t>
            </w:r>
          </w:p>
        </w:tc>
        <w:tc>
          <w:tcPr>
            <w:tcW w:w="2793" w:type="dxa"/>
            <w:vAlign w:val="center"/>
          </w:tcPr>
          <w:p w14:paraId="4931B162">
            <w:pPr>
              <w:adjustRightInd w:val="0"/>
              <w:spacing w:line="320" w:lineRule="exact"/>
              <w:jc w:val="center"/>
              <w:rPr>
                <w:rFonts w:ascii="Times New Roman" w:hAnsi="Times New Roman" w:eastAsia="楷体" w:cs="Times New Roman"/>
                <w:szCs w:val="21"/>
                <w:highlight w:val="none"/>
              </w:rPr>
            </w:pPr>
            <w:r>
              <w:rPr>
                <w:rFonts w:hint="eastAsia" w:ascii="Times New Roman" w:hAnsi="Times New Roman" w:eastAsia="楷体" w:cs="Times New Roman"/>
                <w:kern w:val="0"/>
                <w:sz w:val="24"/>
                <w:highlight w:val="none"/>
              </w:rPr>
              <w:t>10</w:t>
            </w:r>
            <w:r>
              <w:rPr>
                <w:rFonts w:ascii="Times New Roman" w:hAnsi="Times New Roman" w:eastAsia="楷体" w:cs="Times New Roman"/>
                <w:kern w:val="0"/>
                <w:sz w:val="24"/>
                <w:highlight w:val="none"/>
              </w:rPr>
              <w:t>000</w:t>
            </w:r>
            <w:r>
              <w:rPr>
                <w:rFonts w:hint="eastAsia" w:ascii="Times New Roman" w:hAnsi="Times New Roman" w:eastAsia="楷体" w:cs="Times New Roman"/>
                <w:kern w:val="0"/>
                <w:sz w:val="24"/>
                <w:highlight w:val="none"/>
                <w:lang w:val="en-US" w:eastAsia="zh-CN"/>
              </w:rPr>
              <w:t>0</w:t>
            </w:r>
            <w:r>
              <w:rPr>
                <w:rFonts w:ascii="Times New Roman" w:hAnsi="Times New Roman" w:eastAsia="楷体" w:cs="Times New Roman"/>
                <w:kern w:val="0"/>
                <w:sz w:val="24"/>
                <w:highlight w:val="none"/>
              </w:rPr>
              <w:t>元</w:t>
            </w:r>
          </w:p>
        </w:tc>
      </w:tr>
      <w:tr w14:paraId="57BB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817" w:type="dxa"/>
            <w:gridSpan w:val="3"/>
            <w:vAlign w:val="center"/>
          </w:tcPr>
          <w:p w14:paraId="2A8913D3">
            <w:pPr>
              <w:spacing w:line="240" w:lineRule="exact"/>
              <w:jc w:val="left"/>
              <w:rPr>
                <w:rFonts w:ascii="Times New Roman" w:hAnsi="Times New Roman" w:eastAsia="楷体" w:cs="Times New Roman"/>
                <w:sz w:val="24"/>
              </w:rPr>
            </w:pPr>
            <w:r>
              <w:rPr>
                <w:rFonts w:ascii="Times New Roman" w:hAnsi="Times New Roman" w:eastAsia="楷体" w:cs="Times New Roman"/>
                <w:b/>
                <w:sz w:val="24"/>
              </w:rPr>
              <w:t>投标总价合计金额大写：                              小写： ¥</w:t>
            </w:r>
            <w:r>
              <w:rPr>
                <w:rFonts w:ascii="Times New Roman" w:hAnsi="Times New Roman" w:eastAsia="楷体" w:cs="Times New Roman"/>
                <w:b/>
                <w:sz w:val="24"/>
                <w:u w:val="single"/>
              </w:rPr>
              <w:t xml:space="preserve">             </w:t>
            </w:r>
          </w:p>
        </w:tc>
      </w:tr>
      <w:tr w14:paraId="4C2F0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817" w:type="dxa"/>
            <w:gridSpan w:val="3"/>
            <w:vAlign w:val="center"/>
          </w:tcPr>
          <w:p w14:paraId="7583F742">
            <w:pPr>
              <w:spacing w:line="240" w:lineRule="exact"/>
              <w:jc w:val="left"/>
              <w:rPr>
                <w:rFonts w:ascii="Times New Roman" w:hAnsi="Times New Roman" w:eastAsia="楷体" w:cs="Times New Roman"/>
                <w:b/>
                <w:sz w:val="24"/>
              </w:rPr>
            </w:pPr>
            <w:r>
              <w:rPr>
                <w:rFonts w:hint="eastAsia" w:ascii="Times New Roman" w:hAnsi="Times New Roman" w:eastAsia="楷体" w:cs="Times New Roman"/>
                <w:b/>
                <w:sz w:val="24"/>
                <w:lang w:eastAsia="zh-CN"/>
              </w:rPr>
              <w:t>中标方</w:t>
            </w:r>
            <w:r>
              <w:rPr>
                <w:rFonts w:ascii="Times New Roman" w:hAnsi="Times New Roman" w:eastAsia="楷体" w:cs="Times New Roman"/>
                <w:b/>
                <w:sz w:val="24"/>
              </w:rPr>
              <w:t xml:space="preserve">签名（盖章）：                                       </w:t>
            </w:r>
          </w:p>
          <w:p w14:paraId="6AAEFE47">
            <w:pPr>
              <w:spacing w:line="240" w:lineRule="exact"/>
              <w:jc w:val="left"/>
              <w:rPr>
                <w:rFonts w:ascii="Times New Roman" w:hAnsi="Times New Roman" w:eastAsia="楷体" w:cs="Times New Roman"/>
                <w:b/>
                <w:sz w:val="24"/>
              </w:rPr>
            </w:pPr>
          </w:p>
          <w:p w14:paraId="727E4E78">
            <w:pPr>
              <w:spacing w:line="240" w:lineRule="exact"/>
              <w:ind w:firstLine="6264" w:firstLineChars="2600"/>
              <w:jc w:val="left"/>
              <w:rPr>
                <w:rFonts w:ascii="Times New Roman" w:hAnsi="Times New Roman" w:eastAsia="楷体" w:cs="Times New Roman"/>
                <w:b/>
                <w:sz w:val="24"/>
              </w:rPr>
            </w:pPr>
          </w:p>
          <w:p w14:paraId="32C2047F">
            <w:pPr>
              <w:spacing w:line="240" w:lineRule="exact"/>
              <w:ind w:firstLine="7469" w:firstLineChars="3100"/>
              <w:jc w:val="left"/>
              <w:rPr>
                <w:rFonts w:ascii="Times New Roman" w:hAnsi="Times New Roman" w:eastAsia="楷体" w:cs="Times New Roman"/>
                <w:b/>
                <w:sz w:val="24"/>
              </w:rPr>
            </w:pPr>
            <w:r>
              <w:rPr>
                <w:rFonts w:ascii="Times New Roman" w:hAnsi="Times New Roman" w:eastAsia="楷体" w:cs="Times New Roman"/>
                <w:b/>
                <w:sz w:val="24"/>
              </w:rPr>
              <w:t>年   月   日</w:t>
            </w:r>
          </w:p>
        </w:tc>
      </w:tr>
    </w:tbl>
    <w:p w14:paraId="708CEA66">
      <w:pPr>
        <w:pStyle w:val="19"/>
        <w:spacing w:line="20" w:lineRule="exact"/>
        <w:ind w:firstLine="0" w:firstLineChars="0"/>
        <w:rPr>
          <w:rFonts w:ascii="Times New Roman" w:hAnsi="Times New Roman" w:eastAsia="楷体" w:cs="Times New Roman"/>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80833"/>
    <w:multiLevelType w:val="singleLevel"/>
    <w:tmpl w:val="8C880833"/>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kNWI3MjcyYWI4YjNlZGM5NmQ0NTc1YjVjNGM1ZWEifQ=="/>
  </w:docVars>
  <w:rsids>
    <w:rsidRoot w:val="258815EE"/>
    <w:rsid w:val="00487B72"/>
    <w:rsid w:val="00505DF2"/>
    <w:rsid w:val="0064468A"/>
    <w:rsid w:val="00A26E3A"/>
    <w:rsid w:val="00AF4DCE"/>
    <w:rsid w:val="00B1554E"/>
    <w:rsid w:val="00B34ED0"/>
    <w:rsid w:val="00B57D53"/>
    <w:rsid w:val="00BF60F2"/>
    <w:rsid w:val="00C67BA3"/>
    <w:rsid w:val="00C744E3"/>
    <w:rsid w:val="00E76208"/>
    <w:rsid w:val="00F00928"/>
    <w:rsid w:val="02A12ECC"/>
    <w:rsid w:val="03FC1CCA"/>
    <w:rsid w:val="04D3609D"/>
    <w:rsid w:val="05112F0D"/>
    <w:rsid w:val="05B9677F"/>
    <w:rsid w:val="06913258"/>
    <w:rsid w:val="06DF16B3"/>
    <w:rsid w:val="06E2328F"/>
    <w:rsid w:val="08E43623"/>
    <w:rsid w:val="0A6A21BF"/>
    <w:rsid w:val="0B864C69"/>
    <w:rsid w:val="0CB83C76"/>
    <w:rsid w:val="0DA103C7"/>
    <w:rsid w:val="0DD24568"/>
    <w:rsid w:val="0E216DBA"/>
    <w:rsid w:val="0E26697C"/>
    <w:rsid w:val="0E4B64A2"/>
    <w:rsid w:val="0E67320A"/>
    <w:rsid w:val="0FD5177A"/>
    <w:rsid w:val="12474BDE"/>
    <w:rsid w:val="12E8536A"/>
    <w:rsid w:val="133B57D6"/>
    <w:rsid w:val="13F218E5"/>
    <w:rsid w:val="151B7C92"/>
    <w:rsid w:val="175939B3"/>
    <w:rsid w:val="17632847"/>
    <w:rsid w:val="1AF44C4D"/>
    <w:rsid w:val="1B567FDD"/>
    <w:rsid w:val="1B7C5EE9"/>
    <w:rsid w:val="21A8172A"/>
    <w:rsid w:val="21DA4D45"/>
    <w:rsid w:val="22544B29"/>
    <w:rsid w:val="22EA7B20"/>
    <w:rsid w:val="258815EE"/>
    <w:rsid w:val="25D64D48"/>
    <w:rsid w:val="27304735"/>
    <w:rsid w:val="27556697"/>
    <w:rsid w:val="275A3B68"/>
    <w:rsid w:val="27B84691"/>
    <w:rsid w:val="28CD5F1A"/>
    <w:rsid w:val="2A9E73DD"/>
    <w:rsid w:val="2BC92171"/>
    <w:rsid w:val="2C7C5E93"/>
    <w:rsid w:val="2C7F1676"/>
    <w:rsid w:val="2CD72920"/>
    <w:rsid w:val="2E4317F2"/>
    <w:rsid w:val="2E641891"/>
    <w:rsid w:val="30C31AFB"/>
    <w:rsid w:val="31584A5B"/>
    <w:rsid w:val="355C2AFF"/>
    <w:rsid w:val="36AF080A"/>
    <w:rsid w:val="3A39340F"/>
    <w:rsid w:val="3B1B15C0"/>
    <w:rsid w:val="3C356438"/>
    <w:rsid w:val="407A6132"/>
    <w:rsid w:val="42366486"/>
    <w:rsid w:val="42E71A52"/>
    <w:rsid w:val="43287E8B"/>
    <w:rsid w:val="45DD0636"/>
    <w:rsid w:val="478A1A03"/>
    <w:rsid w:val="4A525E1E"/>
    <w:rsid w:val="4C417D2D"/>
    <w:rsid w:val="4E322352"/>
    <w:rsid w:val="4EFA47AC"/>
    <w:rsid w:val="4FA17624"/>
    <w:rsid w:val="4FCC48AC"/>
    <w:rsid w:val="51510BE7"/>
    <w:rsid w:val="51B55619"/>
    <w:rsid w:val="53D72999"/>
    <w:rsid w:val="545E4BC0"/>
    <w:rsid w:val="55B174CF"/>
    <w:rsid w:val="574A26D5"/>
    <w:rsid w:val="584722A5"/>
    <w:rsid w:val="59074DE5"/>
    <w:rsid w:val="593B1EF6"/>
    <w:rsid w:val="5A292701"/>
    <w:rsid w:val="5AB423F7"/>
    <w:rsid w:val="5B135720"/>
    <w:rsid w:val="5CB5062A"/>
    <w:rsid w:val="5F252B2F"/>
    <w:rsid w:val="68925993"/>
    <w:rsid w:val="6AE0505D"/>
    <w:rsid w:val="6CD06399"/>
    <w:rsid w:val="6F5E4E73"/>
    <w:rsid w:val="71640E18"/>
    <w:rsid w:val="72104E4E"/>
    <w:rsid w:val="72207F46"/>
    <w:rsid w:val="724759C2"/>
    <w:rsid w:val="76FD4CE3"/>
    <w:rsid w:val="787F2628"/>
    <w:rsid w:val="7B7B5DB4"/>
    <w:rsid w:val="7BB17886"/>
    <w:rsid w:val="7CE243B6"/>
    <w:rsid w:val="7CFE1373"/>
    <w:rsid w:val="7D44147C"/>
    <w:rsid w:val="7DDC1BFA"/>
    <w:rsid w:val="7EC6610C"/>
    <w:rsid w:val="7ED90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 w:hAnsi="??" w:eastAsia="??"/>
      <w:b/>
      <w:kern w:val="36"/>
      <w:sz w:val="32"/>
      <w:szCs w:val="2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pPr>
    <w:rPr>
      <w:rFonts w:ascii="Calibri" w:hAnsi="Calibri" w:eastAsia="宋体" w:cs="Times New Roman"/>
      <w:szCs w:val="20"/>
    </w:rPr>
  </w:style>
  <w:style w:type="paragraph" w:styleId="5">
    <w:name w:val="index 5"/>
    <w:basedOn w:val="1"/>
    <w:next w:val="1"/>
    <w:qFormat/>
    <w:uiPriority w:val="0"/>
    <w:pPr>
      <w:ind w:left="800" w:leftChars="800"/>
    </w:pPr>
  </w:style>
  <w:style w:type="paragraph" w:styleId="6">
    <w:name w:val="Body Text"/>
    <w:basedOn w:val="1"/>
    <w:next w:val="1"/>
    <w:link w:val="31"/>
    <w:qFormat/>
    <w:uiPriority w:val="0"/>
    <w:pPr>
      <w:spacing w:after="120"/>
    </w:pPr>
    <w:rPr>
      <w:rFonts w:ascii="Times New Roman" w:hAnsi="Times New Roman" w:eastAsia="宋体" w:cs="Times New Roman"/>
      <w:sz w:val="28"/>
    </w:rPr>
  </w:style>
  <w:style w:type="paragraph" w:styleId="7">
    <w:name w:val="Body Text Indent"/>
    <w:basedOn w:val="1"/>
    <w:next w:val="1"/>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30"/>
    <w:qFormat/>
    <w:uiPriority w:val="0"/>
    <w:pPr>
      <w:tabs>
        <w:tab w:val="center" w:pos="4153"/>
        <w:tab w:val="right" w:pos="8306"/>
      </w:tabs>
      <w:snapToGrid w:val="0"/>
      <w:jc w:val="center"/>
    </w:pPr>
    <w:rPr>
      <w:sz w:val="18"/>
      <w:szCs w:val="18"/>
    </w:rPr>
  </w:style>
  <w:style w:type="paragraph" w:styleId="10">
    <w:name w:val="toc 2"/>
    <w:basedOn w:val="1"/>
    <w:next w:val="1"/>
    <w:qFormat/>
    <w:uiPriority w:val="0"/>
    <w:pPr>
      <w:ind w:left="420"/>
    </w:pPr>
    <w:rPr>
      <w:rFonts w:ascii="Times New Roman" w:hAnsi="Times New Roman" w:eastAsia="宋体" w:cs="Times New Roman"/>
      <w:szCs w:val="20"/>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w:basedOn w:val="6"/>
    <w:link w:val="32"/>
    <w:qFormat/>
    <w:uiPriority w:val="0"/>
    <w:pPr>
      <w:ind w:firstLine="420" w:firstLineChars="100"/>
    </w:pPr>
    <w:rPr>
      <w:rFonts w:asciiTheme="minorHAnsi" w:hAnsiTheme="minorHAnsi" w:eastAsiaTheme="minorEastAsia" w:cstheme="minorBidi"/>
      <w:sz w:val="21"/>
    </w:rPr>
  </w:style>
  <w:style w:type="paragraph" w:styleId="13">
    <w:name w:val="Body Text First Indent 2"/>
    <w:basedOn w:val="7"/>
    <w:qFormat/>
    <w:uiPriority w:val="0"/>
    <w:pPr>
      <w:spacing w:line="360" w:lineRule="auto"/>
      <w:ind w:firstLine="420" w:firstLineChars="200"/>
    </w:pPr>
    <w:rPr>
      <w:rFonts w:ascii="Calibri" w:hAnsi="Calibri"/>
      <w:sz w:val="24"/>
      <w:szCs w:val="22"/>
    </w:rPr>
  </w:style>
  <w:style w:type="character" w:styleId="16">
    <w:name w:val="Strong"/>
    <w:basedOn w:val="15"/>
    <w:qFormat/>
    <w:uiPriority w:val="0"/>
    <w:rPr>
      <w:b/>
    </w:rPr>
  </w:style>
  <w:style w:type="character" w:styleId="17">
    <w:name w:val="page number"/>
    <w:basedOn w:val="15"/>
    <w:qFormat/>
    <w:uiPriority w:val="0"/>
  </w:style>
  <w:style w:type="paragraph" w:customStyle="1" w:styleId="18">
    <w:name w:val="表格内容"/>
    <w:basedOn w:val="1"/>
    <w:qFormat/>
    <w:uiPriority w:val="0"/>
    <w:pPr>
      <w:spacing w:line="400" w:lineRule="exact"/>
      <w:ind w:firstLine="0" w:firstLineChars="0"/>
      <w:jc w:val="center"/>
    </w:pPr>
    <w:rPr>
      <w:rFonts w:ascii="宋体" w:hAnsi="宋体" w:cs="Times New Roman"/>
      <w:sz w:val="21"/>
      <w:szCs w:val="21"/>
    </w:rPr>
  </w:style>
  <w:style w:type="paragraph" w:customStyle="1" w:styleId="19">
    <w:name w:val="首行缩进"/>
    <w:basedOn w:val="1"/>
    <w:qFormat/>
    <w:uiPriority w:val="0"/>
    <w:pPr>
      <w:spacing w:line="360" w:lineRule="auto"/>
      <w:ind w:firstLine="480" w:firstLineChars="200"/>
    </w:pPr>
    <w:rPr>
      <w:rFonts w:ascii="宋体"/>
      <w:sz w:val="24"/>
      <w:szCs w:val="20"/>
    </w:rPr>
  </w:style>
  <w:style w:type="character" w:customStyle="1" w:styleId="20">
    <w:name w:val="font111"/>
    <w:basedOn w:val="15"/>
    <w:qFormat/>
    <w:uiPriority w:val="0"/>
    <w:rPr>
      <w:rFonts w:hint="eastAsia" w:ascii="宋体" w:hAnsi="宋体" w:eastAsia="宋体" w:cs="宋体"/>
      <w:color w:val="000000"/>
      <w:sz w:val="20"/>
      <w:szCs w:val="20"/>
      <w:u w:val="none"/>
    </w:rPr>
  </w:style>
  <w:style w:type="character" w:customStyle="1" w:styleId="21">
    <w:name w:val="font122"/>
    <w:basedOn w:val="15"/>
    <w:qFormat/>
    <w:uiPriority w:val="0"/>
    <w:rPr>
      <w:rFonts w:hint="default" w:ascii="Arial" w:hAnsi="Arial" w:cs="Arial"/>
      <w:color w:val="000000"/>
      <w:sz w:val="20"/>
      <w:szCs w:val="20"/>
      <w:u w:val="none"/>
    </w:rPr>
  </w:style>
  <w:style w:type="paragraph" w:customStyle="1" w:styleId="22">
    <w:name w:val="正文段"/>
    <w:basedOn w:val="1"/>
    <w:next w:val="5"/>
    <w:qFormat/>
    <w:uiPriority w:val="0"/>
    <w:pPr>
      <w:widowControl/>
      <w:snapToGrid w:val="0"/>
      <w:spacing w:afterLines="50"/>
      <w:ind w:firstLine="200" w:firstLineChars="200"/>
    </w:pPr>
    <w:rPr>
      <w:sz w:val="24"/>
      <w:szCs w:val="20"/>
    </w:rPr>
  </w:style>
  <w:style w:type="character" w:customStyle="1" w:styleId="23">
    <w:name w:val="font01"/>
    <w:basedOn w:val="15"/>
    <w:qFormat/>
    <w:uiPriority w:val="0"/>
    <w:rPr>
      <w:rFonts w:hint="default" w:ascii="Arial" w:hAnsi="Arial" w:cs="Arial"/>
      <w:color w:val="000000"/>
      <w:sz w:val="20"/>
      <w:szCs w:val="20"/>
      <w:u w:val="none"/>
    </w:rPr>
  </w:style>
  <w:style w:type="character" w:customStyle="1" w:styleId="24">
    <w:name w:val="font21"/>
    <w:basedOn w:val="15"/>
    <w:qFormat/>
    <w:uiPriority w:val="0"/>
    <w:rPr>
      <w:rFonts w:hint="eastAsia" w:ascii="宋体" w:hAnsi="宋体" w:eastAsia="宋体" w:cs="宋体"/>
      <w:color w:val="000000"/>
      <w:sz w:val="20"/>
      <w:szCs w:val="20"/>
      <w:u w:val="none"/>
    </w:rPr>
  </w:style>
  <w:style w:type="character" w:customStyle="1" w:styleId="25">
    <w:name w:val="font31"/>
    <w:basedOn w:val="15"/>
    <w:qFormat/>
    <w:uiPriority w:val="0"/>
    <w:rPr>
      <w:rFonts w:hint="default" w:ascii="Arial" w:hAnsi="Arial" w:cs="Arial"/>
      <w:color w:val="000000"/>
      <w:sz w:val="20"/>
      <w:szCs w:val="20"/>
      <w:u w:val="none"/>
    </w:rPr>
  </w:style>
  <w:style w:type="paragraph" w:customStyle="1" w:styleId="26">
    <w:name w:val="[Normal]"/>
    <w:unhideWhenUsed/>
    <w:qFormat/>
    <w:uiPriority w:val="0"/>
    <w:pPr>
      <w:widowControl w:val="0"/>
      <w:autoSpaceDE w:val="0"/>
      <w:autoSpaceDN w:val="0"/>
      <w:adjustRightInd w:val="0"/>
    </w:pPr>
    <w:rPr>
      <w:rFonts w:hint="eastAsia" w:ascii="宋体" w:hAnsi="Times New Roman" w:eastAsia="宋体" w:cs="宋体"/>
      <w:sz w:val="24"/>
      <w:szCs w:val="24"/>
      <w:lang w:val="en-US" w:eastAsia="zh-CN" w:bidi="ar-SA"/>
    </w:rPr>
  </w:style>
  <w:style w:type="paragraph" w:customStyle="1" w:styleId="27">
    <w:name w:val="正文2"/>
    <w:basedOn w:val="1"/>
    <w:qFormat/>
    <w:uiPriority w:val="0"/>
    <w:pPr>
      <w:spacing w:before="156" w:line="360" w:lineRule="auto"/>
      <w:ind w:firstLine="510" w:firstLineChars="200"/>
    </w:pPr>
    <w:rPr>
      <w:sz w:val="24"/>
      <w:szCs w:val="20"/>
    </w:rPr>
  </w:style>
  <w:style w:type="character" w:customStyle="1" w:styleId="28">
    <w:name w:val="正文2 Char"/>
    <w:basedOn w:val="15"/>
    <w:qFormat/>
    <w:uiPriority w:val="0"/>
    <w:rPr>
      <w:rFonts w:hint="default" w:ascii="Calibri" w:hAnsi="Calibri" w:cs="Calibri"/>
      <w:kern w:val="2"/>
      <w:sz w:val="24"/>
      <w:lang w:bidi="ar"/>
    </w:rPr>
  </w:style>
  <w:style w:type="paragraph" w:customStyle="1" w:styleId="29">
    <w:name w:val="中科软正文"/>
    <w:basedOn w:val="1"/>
    <w:qFormat/>
    <w:uiPriority w:val="0"/>
  </w:style>
  <w:style w:type="character" w:customStyle="1" w:styleId="30">
    <w:name w:val="页眉 字符"/>
    <w:basedOn w:val="15"/>
    <w:link w:val="9"/>
    <w:qFormat/>
    <w:uiPriority w:val="0"/>
    <w:rPr>
      <w:rFonts w:asciiTheme="minorHAnsi" w:hAnsiTheme="minorHAnsi" w:eastAsiaTheme="minorEastAsia" w:cstheme="minorBidi"/>
      <w:kern w:val="2"/>
      <w:sz w:val="18"/>
      <w:szCs w:val="18"/>
    </w:rPr>
  </w:style>
  <w:style w:type="character" w:customStyle="1" w:styleId="31">
    <w:name w:val="正文文本 字符"/>
    <w:basedOn w:val="15"/>
    <w:link w:val="6"/>
    <w:qFormat/>
    <w:uiPriority w:val="0"/>
    <w:rPr>
      <w:kern w:val="2"/>
      <w:sz w:val="28"/>
      <w:szCs w:val="24"/>
    </w:rPr>
  </w:style>
  <w:style w:type="character" w:customStyle="1" w:styleId="32">
    <w:name w:val="正文文本首行缩进 字符"/>
    <w:basedOn w:val="31"/>
    <w:link w:val="1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1545</Words>
  <Characters>1647</Characters>
  <Lines>59</Lines>
  <Paragraphs>54</Paragraphs>
  <TotalTime>955</TotalTime>
  <ScaleCrop>false</ScaleCrop>
  <LinksUpToDate>false</LinksUpToDate>
  <CharactersWithSpaces>1738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2025-04-27T01:50:00Z</dcterms:created>
  <dc:creator>徐三岁</dc:creator>
  <cp:lastModifiedBy>袁胜魁</cp:lastModifiedBy>
  <dcterms:modified xsi:type="dcterms:W3CDTF">2025-05-08T02:26:40Z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DA171FE23C524FF98B6D6534F9B8937C_13</vt:lpwstr>
  </property>
  <property fmtid="{D5CDD505-2E9C-101B-9397-08002B2CF9AE}" pid="4" name="KSOTemplateDocerSaveRecord">
    <vt:lpwstr>eyJoZGlkIjoiZTUxNWU5MTQwNDRjOTM1ODdhMGRkZjZjNmM4Mjk2NDkiLCJ1c2VySWQiOiIxNjY3NjY3NTA2In0=</vt:lpwstr>
  </property>
</Properties>
</file>