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2594"/>
          <w:tab w:val="clear" w:pos="432"/>
        </w:tabs>
        <w:ind w:left="0" w:firstLine="0"/>
      </w:pPr>
    </w:p>
    <w:p>
      <w:pPr>
        <w:spacing w:before="120" w:beforeLines="50" w:line="700" w:lineRule="exact"/>
        <w:jc w:val="center"/>
        <w:outlineLvl w:val="0"/>
        <w:rPr>
          <w:rStyle w:val="79"/>
          <w:rFonts w:ascii="宋体" w:hAnsi="宋体" w:cs="宋体"/>
          <w:b/>
          <w:bCs/>
          <w:sz w:val="36"/>
          <w:szCs w:val="36"/>
          <w:shd w:val="clear" w:color="auto" w:fill="FFFFFF"/>
        </w:rPr>
      </w:pPr>
      <w:r>
        <w:rPr>
          <w:rStyle w:val="79"/>
          <w:rFonts w:hint="eastAsia" w:ascii="宋体" w:hAnsi="宋体" w:cs="宋体"/>
          <w:b/>
          <w:bCs/>
          <w:sz w:val="36"/>
          <w:szCs w:val="36"/>
          <w:shd w:val="clear" w:color="auto" w:fill="FFFFFF"/>
        </w:rPr>
        <w:t xml:space="preserve"> </w:t>
      </w:r>
      <w:r>
        <w:rPr>
          <w:rStyle w:val="79"/>
          <w:rFonts w:hint="eastAsia" w:ascii="宋体" w:hAnsi="宋体" w:cs="宋体"/>
          <w:b/>
          <w:bCs/>
          <w:sz w:val="52"/>
          <w:szCs w:val="52"/>
          <w:shd w:val="clear" w:color="auto" w:fill="FFFFFF"/>
        </w:rPr>
        <w:t>越剧博物馆服务管理岗采购项目</w:t>
      </w:r>
    </w:p>
    <w:p>
      <w:pPr>
        <w:jc w:val="center"/>
        <w:rPr>
          <w:rFonts w:ascii="仿宋" w:hAnsi="仿宋" w:eastAsia="仿宋" w:cs="仿宋"/>
          <w:b/>
          <w:sz w:val="28"/>
          <w:szCs w:val="28"/>
        </w:rPr>
      </w:pPr>
    </w:p>
    <w:p>
      <w:pPr>
        <w:jc w:val="center"/>
        <w:outlineLvl w:val="0"/>
        <w:rPr>
          <w:rFonts w:hint="eastAsia" w:ascii="仿宋" w:hAnsi="仿宋" w:eastAsia="仿宋" w:cs="仿宋"/>
          <w:b/>
          <w:sz w:val="28"/>
          <w:szCs w:val="28"/>
          <w:lang w:val="en-US" w:eastAsia="zh-CN"/>
        </w:rPr>
      </w:pPr>
      <w:r>
        <w:rPr>
          <w:rFonts w:hint="eastAsia" w:ascii="仿宋" w:hAnsi="仿宋" w:eastAsia="仿宋" w:cs="仿宋"/>
          <w:b/>
          <w:sz w:val="28"/>
          <w:szCs w:val="28"/>
        </w:rPr>
        <w:t>招标编号:政府采购2025-0</w:t>
      </w:r>
      <w:r>
        <w:rPr>
          <w:rFonts w:hint="eastAsia" w:ascii="仿宋" w:hAnsi="仿宋" w:eastAsia="仿宋" w:cs="仿宋"/>
          <w:b/>
          <w:sz w:val="28"/>
          <w:szCs w:val="28"/>
          <w:lang w:val="en-US" w:eastAsia="zh-CN"/>
        </w:rPr>
        <w:t>6</w:t>
      </w:r>
    </w:p>
    <w:p>
      <w:pPr>
        <w:jc w:val="center"/>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outlineLvl w:val="0"/>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after="100" w:afterAutospacing="1" w:line="440" w:lineRule="exact"/>
              <w:rPr>
                <w:rFonts w:hint="eastAsia" w:ascii="仿宋" w:hAnsi="仿宋" w:eastAsia="仿宋" w:cs="仿宋"/>
                <w:spacing w:val="1400"/>
                <w:w w:val="100"/>
                <w:kern w:val="0"/>
                <w:sz w:val="28"/>
                <w:szCs w:val="28"/>
                <w:fitText w:val="1680" w:id="957962191"/>
              </w:rPr>
            </w:pPr>
            <w:r>
              <w:rPr>
                <w:rFonts w:hint="eastAsia" w:ascii="仿宋" w:hAnsi="仿宋" w:eastAsia="仿宋" w:cs="仿宋"/>
                <w:spacing w:val="1"/>
                <w:kern w:val="0"/>
                <w:sz w:val="28"/>
                <w:szCs w:val="28"/>
              </w:rPr>
              <w:t>越剧博物馆</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95796219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pacing w:val="1"/>
                <w:kern w:val="0"/>
                <w:sz w:val="28"/>
                <w:szCs w:val="28"/>
              </w:rPr>
            </w:pPr>
            <w:r>
              <w:rPr>
                <w:rFonts w:hint="eastAsia" w:ascii="仿宋" w:hAnsi="仿宋" w:eastAsia="仿宋" w:cs="仿宋"/>
                <w:spacing w:val="1"/>
                <w:kern w:val="0"/>
                <w:sz w:val="28"/>
                <w:szCs w:val="28"/>
              </w:rPr>
              <w:t>嵊州市公共资源交易中心</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pacing w:val="1"/>
                <w:kern w:val="0"/>
                <w:sz w:val="28"/>
                <w:szCs w:val="28"/>
              </w:rPr>
            </w:pPr>
            <w:r>
              <w:rPr>
                <w:rFonts w:hint="eastAsia" w:ascii="仿宋" w:hAnsi="仿宋" w:eastAsia="仿宋" w:cs="仿宋"/>
                <w:spacing w:val="1"/>
                <w:kern w:val="0"/>
                <w:sz w:val="28"/>
                <w:szCs w:val="28"/>
              </w:rPr>
              <w:t>嵊州市采购监管</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二○二五年四月</w:t>
            </w:r>
          </w:p>
        </w:tc>
      </w:tr>
    </w:tbl>
    <w:p>
      <w:pPr>
        <w:pStyle w:val="636"/>
        <w:outlineLvl w:val="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cols w:space="720" w:num="1"/>
          <w:docGrid w:linePitch="312" w:charSpace="0"/>
        </w:sectPr>
      </w:pPr>
    </w:p>
    <w:p>
      <w:pPr>
        <w:pStyle w:val="636"/>
        <w:spacing w:before="0" w:after="0" w:line="360" w:lineRule="auto"/>
        <w:ind w:left="0" w:firstLine="0"/>
        <w:outlineLvl w:val="9"/>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outlineLvl w:val="0"/>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rPr>
          <w:rFonts w:ascii="仿宋" w:hAnsi="仿宋" w:eastAsia="仿宋" w:cs="仿宋"/>
          <w:b/>
          <w:sz w:val="36"/>
          <w:szCs w:val="20"/>
        </w:rPr>
      </w:pPr>
    </w:p>
    <w:p>
      <w:pPr>
        <w:adjustRightInd/>
        <w:spacing w:line="360" w:lineRule="auto"/>
        <w:jc w:val="center"/>
        <w:rPr>
          <w:rFonts w:ascii="仿宋" w:hAnsi="仿宋" w:eastAsia="仿宋" w:cs="仿宋"/>
          <w:b/>
          <w:sz w:val="36"/>
          <w:szCs w:val="20"/>
        </w:rPr>
        <w:sectPr>
          <w:footerReference r:id="rId8" w:type="default"/>
          <w:pgSz w:w="11906" w:h="16838"/>
          <w:pgMar w:top="1474" w:right="1814" w:bottom="1474" w:left="1814" w:header="851" w:footer="992" w:gutter="0"/>
          <w:pgNumType w:start="2"/>
          <w:cols w:space="720" w:num="1"/>
          <w:docGrid w:linePitch="312" w:charSpace="0"/>
        </w:sect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40" w:firstLineChars="200"/>
        <w:rPr>
          <w:rFonts w:ascii="仿宋" w:hAnsi="仿宋" w:eastAsia="仿宋" w:cs="仿宋"/>
          <w:sz w:val="24"/>
          <w:u w:val="single"/>
        </w:rPr>
      </w:pPr>
      <w:r>
        <w:rPr>
          <w:rFonts w:hint="eastAsia" w:ascii="仿宋" w:hAnsi="仿宋" w:eastAsia="仿宋" w:cs="仿宋"/>
          <w:sz w:val="22"/>
          <w:szCs w:val="22"/>
          <w:u w:val="single"/>
        </w:rPr>
        <w:t>越剧博物馆服务管理岗采购项目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u w:val="single"/>
        </w:rPr>
        <w:t>2025年</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 xml:space="preserve"> </w:t>
      </w:r>
      <w:r>
        <w:rPr>
          <w:rStyle w:val="76"/>
          <w:rFonts w:hint="eastAsia" w:ascii="仿宋" w:hAnsi="仿宋" w:eastAsia="仿宋" w:cs="仿宋"/>
          <w:snapToGrid/>
          <w:color w:val="auto"/>
          <w:kern w:val="2"/>
          <w:sz w:val="24"/>
          <w:szCs w:val="24"/>
          <w:u w:val="single"/>
        </w:rPr>
        <w:t>日9点30分</w:t>
      </w:r>
      <w:r>
        <w:rPr>
          <w:rStyle w:val="76"/>
          <w:rFonts w:hint="eastAsia" w:ascii="仿宋" w:hAnsi="仿宋" w:eastAsia="仿宋" w:cs="仿宋"/>
          <w:bCs/>
          <w:snapToGrid/>
          <w:color w:val="auto"/>
          <w:kern w:val="2"/>
          <w:sz w:val="24"/>
          <w:szCs w:val="24"/>
          <w:u w:val="single"/>
        </w:rPr>
        <w:t>00秒</w:t>
      </w:r>
      <w:r>
        <w:rPr>
          <w:rStyle w:val="76"/>
          <w:rFonts w:hint="eastAsia" w:ascii="仿宋" w:hAnsi="仿宋" w:eastAsia="仿宋" w:cs="仿宋"/>
          <w:bCs/>
          <w:snapToGrid/>
          <w:color w:val="auto"/>
          <w:kern w:val="2"/>
          <w:sz w:val="24"/>
          <w:szCs w:val="24"/>
          <w:u w:val="single"/>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pPr>
        <w:spacing w:line="360" w:lineRule="auto"/>
        <w:ind w:firstLine="482" w:firstLineChars="200"/>
        <w:rPr>
          <w:rFonts w:hint="eastAsia"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政府采购2025-0</w:t>
      </w:r>
      <w:r>
        <w:rPr>
          <w:rFonts w:hint="eastAsia" w:ascii="仿宋" w:hAnsi="仿宋" w:eastAsia="仿宋" w:cs="仿宋"/>
          <w:sz w:val="24"/>
          <w:lang w:val="en-US" w:eastAsia="zh-CN"/>
        </w:rPr>
        <w:t>6</w:t>
      </w:r>
    </w:p>
    <w:p>
      <w:pPr>
        <w:spacing w:line="360" w:lineRule="auto"/>
        <w:ind w:firstLine="482" w:firstLineChars="200"/>
        <w:rPr>
          <w:rFonts w:ascii="仿宋" w:hAnsi="仿宋" w:eastAsia="仿宋" w:cs="仿宋"/>
          <w:sz w:val="24"/>
        </w:rPr>
      </w:pPr>
      <w:r>
        <w:rPr>
          <w:rFonts w:hint="eastAsia" w:ascii="仿宋" w:hAnsi="仿宋" w:eastAsia="仿宋" w:cs="仿宋"/>
          <w:b/>
          <w:sz w:val="24"/>
        </w:rPr>
        <w:t>项目名称：</w:t>
      </w:r>
      <w:r>
        <w:rPr>
          <w:rStyle w:val="76"/>
          <w:rFonts w:hint="eastAsia" w:ascii="仿宋" w:hAnsi="仿宋" w:eastAsia="仿宋" w:cs="仿宋"/>
          <w:snapToGrid/>
          <w:color w:val="auto"/>
          <w:kern w:val="2"/>
          <w:sz w:val="24"/>
          <w:szCs w:val="24"/>
        </w:rPr>
        <w:t>越剧博物馆服务管理岗采购项目</w:t>
      </w:r>
      <w:r>
        <w:rPr>
          <w:rFonts w:hint="eastAsia" w:ascii="仿宋" w:hAnsi="仿宋" w:eastAsia="仿宋" w:cs="仿宋"/>
          <w:sz w:val="24"/>
        </w:rPr>
        <w:t xml:space="preserve">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预算金额（元）：4431000</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最高限价（元）：4431000</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标项名称：</w:t>
      </w:r>
      <w:r>
        <w:rPr>
          <w:rStyle w:val="76"/>
          <w:rFonts w:hint="eastAsia" w:ascii="仿宋" w:hAnsi="仿宋" w:eastAsia="仿宋" w:cs="仿宋"/>
          <w:snapToGrid/>
          <w:color w:val="auto"/>
          <w:kern w:val="2"/>
          <w:sz w:val="24"/>
          <w:szCs w:val="24"/>
        </w:rPr>
        <w:t>越剧博物馆服务管理岗采购项目</w:t>
      </w:r>
    </w:p>
    <w:p>
      <w:pPr>
        <w:spacing w:line="360"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rPr>
        <w:t>数量：</w:t>
      </w:r>
      <w:r>
        <w:rPr>
          <w:rFonts w:hint="eastAsia" w:ascii="仿宋" w:hAnsi="仿宋" w:eastAsia="仿宋" w:cs="仿宋"/>
          <w:bCs/>
          <w:sz w:val="24"/>
          <w:lang w:val="en-US" w:eastAsia="zh-CN"/>
        </w:rPr>
        <w:t>1</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
          <w:sz w:val="24"/>
        </w:rPr>
        <w:t>4431000</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bCs/>
          <w:sz w:val="22"/>
          <w:szCs w:val="22"/>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2"/>
          <w:szCs w:val="22"/>
        </w:rPr>
        <w:t>合同签订之日起2年</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本项目接受联合体投标：☐是，</w:t>
      </w:r>
      <w:r>
        <w:rPr>
          <w:rFonts w:hint="eastAsia" w:ascii="仿宋" w:hAnsi="仿宋" w:eastAsia="仿宋" w:cs="仿宋"/>
          <w:b/>
          <w:bCs/>
          <w:kern w:val="0"/>
          <w:sz w:val="22"/>
          <w:szCs w:val="22"/>
        </w:rPr>
        <w:t>☑</w:t>
      </w:r>
      <w:r>
        <w:rPr>
          <w:rFonts w:hint="eastAsia" w:ascii="仿宋" w:hAnsi="仿宋" w:eastAsia="仿宋" w:cs="仿宋"/>
          <w:b/>
          <w:sz w:val="24"/>
        </w:rPr>
        <w:t>否。</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42" w:firstLineChars="200"/>
        <w:rPr>
          <w:rFonts w:ascii="仿宋" w:hAnsi="仿宋" w:eastAsia="仿宋" w:cs="仿宋"/>
          <w:sz w:val="24"/>
        </w:rPr>
      </w:pPr>
      <w:r>
        <w:rPr>
          <w:rFonts w:hint="eastAsia" w:ascii="仿宋" w:hAnsi="仿宋" w:eastAsia="仿宋" w:cs="仿宋"/>
          <w:b/>
          <w:bCs/>
          <w:kern w:val="0"/>
          <w:sz w:val="22"/>
          <w:szCs w:val="22"/>
        </w:rPr>
        <w:t>☑</w:t>
      </w:r>
      <w:r>
        <w:rPr>
          <w:rFonts w:hint="eastAsia" w:ascii="仿宋" w:hAnsi="仿宋" w:eastAsia="仿宋" w:cs="仿宋"/>
          <w:sz w:val="24"/>
        </w:rPr>
        <w:t>无</w:t>
      </w:r>
      <w:r>
        <w:rPr>
          <w:rFonts w:hint="eastAsia" w:ascii="仿宋" w:hAnsi="仿宋" w:eastAsia="仿宋" w:cs="仿宋"/>
          <w:snapToGrid w:val="0"/>
          <w:kern w:val="28"/>
          <w:sz w:val="24"/>
          <w:szCs w:val="20"/>
        </w:rPr>
        <w:t>；</w:t>
      </w:r>
    </w:p>
    <w:p>
      <w:pPr>
        <w:spacing w:line="360" w:lineRule="auto"/>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服务全部由符合政策要求的中小企业承接，提供中小企业声明函；</w:t>
      </w:r>
    </w:p>
    <w:p>
      <w:pPr>
        <w:spacing w:line="360" w:lineRule="auto"/>
        <w:ind w:firstLine="960" w:firstLineChars="400"/>
        <w:rPr>
          <w:rFonts w:ascii="仿宋" w:hAnsi="仿宋" w:eastAsia="仿宋" w:cs="仿宋"/>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如果乙方本身提供所有标的均由中小企业制造、承建或承接，并相应达到了前述比例要求，视同符合了资格条件，无需再与其他中小企业组成联合体参加政府采购活动，无需提供联合协议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如果乙方本身提供所有标的均由中小企业制造、承建或承接，并相应达到了前述比例要求，视同符合了资格条件，无需再向中小企业分包，无需提供分包意向协议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b/>
          <w:bCs/>
          <w:spacing w:val="8"/>
          <w:kern w:val="0"/>
          <w:sz w:val="22"/>
          <w:szCs w:val="22"/>
        </w:rPr>
        <w:t>无</w:t>
      </w:r>
      <w:r>
        <w:rPr>
          <w:rFonts w:hint="eastAsia" w:ascii="仿宋" w:hAnsi="仿宋" w:eastAsia="仿宋" w:cs="仿宋"/>
          <w:sz w:val="24"/>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乙方，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乙方登录政采云平台https://www.zcygov.cn/在线申请获取采购文件（进入“项目采购”应用，在获取采购文件菜单中选择项目，申请获取采购文件）。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六、其他补充事宜</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乙方在线提起询问，路径为：政采云-项目采购-询问质疑投诉-询问列表:鼓励乙方在线提起质疑，路径为：政采云-项目采购-询问质疑投诉-质疑列表。质疑乙方对在线质疑答复不满意的，可在线提起投诉，路径为：浙江政务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乙方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乙方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乙方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乙方进行投标活动； ⑥对未按上述方式获取招标文件的乙方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乙方”。（3）招标文件公告期限与招标公告的公告期限一致。</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pPr>
        <w:pStyle w:val="3"/>
        <w:ind w:left="0" w:firstLine="482" w:firstLineChars="200"/>
        <w:rPr>
          <w:rFonts w:ascii="仿宋" w:eastAsia="仿宋" w:cs="仿宋"/>
          <w:sz w:val="24"/>
          <w:szCs w:val="24"/>
        </w:rPr>
      </w:pPr>
      <w:bookmarkStart w:id="5" w:name="_Toc28359019"/>
      <w:bookmarkStart w:id="6" w:name="_Toc28359096"/>
      <w:bookmarkStart w:id="7" w:name="_Toc35393806"/>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 越剧博物馆</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 嵊州市甘霖镇问越路1号 </w:t>
      </w:r>
    </w:p>
    <w:p>
      <w:pPr>
        <w:spacing w:line="360" w:lineRule="auto"/>
        <w:ind w:firstLine="480" w:firstLineChars="200"/>
        <w:rPr>
          <w:rFonts w:ascii="仿宋" w:hAnsi="仿宋" w:eastAsia="仿宋" w:cs="仿宋"/>
          <w:sz w:val="24"/>
        </w:rPr>
      </w:pPr>
      <w:r>
        <w:rPr>
          <w:rFonts w:hint="eastAsia" w:ascii="仿宋" w:hAnsi="仿宋" w:eastAsia="仿宋" w:cs="仿宋"/>
          <w:sz w:val="24"/>
        </w:rPr>
        <w:t>传    真：</w:t>
      </w:r>
      <w:bookmarkStart w:id="9" w:name="OLE_LINK6"/>
      <w:r>
        <w:rPr>
          <w:rFonts w:hint="eastAsia" w:ascii="仿宋" w:hAnsi="仿宋" w:eastAsia="仿宋" w:cs="仿宋"/>
          <w:sz w:val="24"/>
        </w:rPr>
        <w:t xml:space="preserve">/ </w:t>
      </w:r>
      <w:bookmarkEnd w:id="9"/>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项目联系人（询问）：钱女士</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项目联系方式（询问）：0575—83022152</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质疑联系人：陈先生</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bookmarkStart w:id="10" w:name="_Toc28359097"/>
      <w:bookmarkStart w:id="11" w:name="_Toc35393638"/>
      <w:bookmarkStart w:id="12" w:name="_Toc35393807"/>
      <w:bookmarkStart w:id="13" w:name="_Toc28359020"/>
      <w:r>
        <w:rPr>
          <w:rFonts w:hint="eastAsia" w:ascii="仿宋" w:hAnsi="仿宋" w:eastAsia="仿宋" w:cs="仿宋"/>
          <w:sz w:val="24"/>
        </w:rPr>
        <w:t>0575-83001563</w:t>
      </w:r>
    </w:p>
    <w:p>
      <w:pPr>
        <w:pStyle w:val="3"/>
        <w:ind w:left="0" w:firstLine="482" w:firstLineChars="200"/>
        <w:rPr>
          <w:rFonts w:ascii="仿宋" w:eastAsia="仿宋" w:cs="仿宋"/>
          <w:sz w:val="24"/>
        </w:rPr>
      </w:pPr>
      <w:r>
        <w:rPr>
          <w:rFonts w:hint="eastAsia" w:ascii="仿宋" w:eastAsia="仿宋" w:cs="仿宋"/>
          <w:sz w:val="24"/>
          <w:szCs w:val="24"/>
        </w:rPr>
        <w:t>2.采购代理机构信息</w:t>
      </w:r>
      <w:bookmarkEnd w:id="10"/>
      <w:bookmarkEnd w:id="11"/>
      <w:bookmarkEnd w:id="12"/>
      <w:bookmarkEnd w:id="13"/>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kern w:val="0"/>
          <w:sz w:val="22"/>
          <w:szCs w:val="22"/>
        </w:rPr>
        <w:t>嵊州市公共资源交易中心</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2"/>
          <w:szCs w:val="22"/>
        </w:rPr>
        <w:t>嵊州市官河南路699号国际会展中心北楼三楼</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真：0575-83360392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项目联系人（询问）：倪老师</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bookmarkStart w:id="14" w:name="OLE_LINK2"/>
      <w:r>
        <w:rPr>
          <w:rFonts w:hint="eastAsia" w:ascii="仿宋" w:hAnsi="仿宋" w:eastAsia="仿宋" w:cs="仿宋"/>
          <w:sz w:val="24"/>
        </w:rPr>
        <w:t xml:space="preserve">0575-83360392 </w:t>
      </w:r>
      <w:bookmarkEnd w:id="14"/>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质疑联系人：潘老师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质疑联系方式：0575-83360392</w:t>
      </w:r>
    </w:p>
    <w:p>
      <w:pPr>
        <w:spacing w:line="360" w:lineRule="auto"/>
        <w:ind w:firstLine="482" w:firstLineChars="200"/>
        <w:rPr>
          <w:rFonts w:ascii="仿宋" w:hAnsi="仿宋" w:eastAsia="仿宋" w:cs="仿宋"/>
          <w:b/>
          <w:sz w:val="24"/>
        </w:rPr>
      </w:pPr>
      <w:bookmarkStart w:id="15" w:name="_Toc28359098"/>
      <w:bookmarkStart w:id="16" w:name="_Toc35393639"/>
      <w:bookmarkStart w:id="17" w:name="_Toc35393808"/>
      <w:bookmarkStart w:id="18" w:name="_Toc28359021"/>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5"/>
    <w:bookmarkEnd w:id="16"/>
    <w:bookmarkEnd w:id="17"/>
    <w:bookmarkEnd w:id="18"/>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sz w:val="22"/>
          <w:szCs w:val="22"/>
        </w:rPr>
        <w:t>嵊州市采购监管</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址：浙江省绍兴市嵊州市三江街道国资综合大楼1004室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：郑老师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监督投诉电话：0575-83032507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乙方或产品进入市场须先行取得相关认证或许可的，投标人须在投标文件中提供相关的认证或许可证明材料。未经认证、许可，或者虽经认证、许可但相关资质证书已经失效的投标人，不能推荐、确认为中标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本项目实行网上投标，乙方于“政采云”上提供电子投标文件。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 xml:space="preserve">□B要求提供， </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（3）样品的评审方法以办公场所由甲方提供。及评审标准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乙方提供的样品，采购人、采购机构将通知未乙方在规定的时间内取回，逾期未取回的，采购人、采购机构不负保管义务；对于乙方提供的样品，采购人将进行保管、封存，并作为履约验收的参考。</w:t>
            </w:r>
          </w:p>
          <w:p>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 w:hAnsi="仿宋" w:eastAsia="仿宋" w:cs="仿宋"/>
                <w:sz w:val="24"/>
              </w:rPr>
            </w:pP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（1）在评标时安排每个乙方进行方案讲解演示。每个乙方时间不超过</w:t>
            </w:r>
            <w:r>
              <w:rPr>
                <w:rFonts w:hint="eastAsia" w:ascii="仿宋" w:hAnsi="仿宋" w:eastAsia="仿宋" w:cs="仿宋"/>
                <w:sz w:val="24"/>
                <w:u w:val="single"/>
              </w:rPr>
              <w:t xml:space="preserve">20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方式一：政采云平台在线讲解演示。政采云平台在线讲解需乙方根据政采云平台操作要求做好准备工作，提前完善软硬件配置环境。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讲解演示所用电脑等设备由乙方自备。现场讲解演示人员进场时提供讲解人员名单（加盖公章或授权代表签名）及身份证明，否则不得讲解演示。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注：因乙方自身原因导致无法演示或者演示效果不理想的，责任自负。因平台原因导致本项目方案讲解演示环节无法顺利开展，按照《浙江省政府采购项目电子交易管理暂行办法》相关规定执行。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乙方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t>根据《工业和信息化部、国家统计局、国家发展和改革委员会、财政部关于印发中小企业划型标准规定的通知》（工信部联企业[2011]300号）规定（有最新中小企业划型标准的以更新后的为准）：</w:t>
            </w:r>
          </w:p>
          <w:p>
            <w:pPr>
              <w:snapToGrid w:val="0"/>
              <w:spacing w:line="440" w:lineRule="exact"/>
              <w:rPr>
                <w:rFonts w:ascii="仿宋" w:hAnsi="仿宋" w:eastAsia="仿宋" w:cs="仿宋"/>
                <w:sz w:val="24"/>
                <w:u w:val="single"/>
              </w:rPr>
            </w:pPr>
            <w:r>
              <w:rPr>
                <w:rFonts w:hint="eastAsia" w:ascii="仿宋" w:hAnsi="仿宋" w:eastAsia="仿宋" w:cs="仿宋"/>
                <w:sz w:val="24"/>
              </w:rPr>
              <w:t>（1）标的：</w:t>
            </w:r>
            <w:r>
              <w:rPr>
                <w:rFonts w:hint="eastAsia" w:ascii="仿宋" w:hAnsi="仿宋" w:eastAsia="仿宋" w:cs="仿宋"/>
                <w:sz w:val="24"/>
                <w:u w:val="single"/>
              </w:rPr>
              <w:t>越剧博物馆服务管理岗采购项目，属于 物业管理 ；</w:t>
            </w:r>
          </w:p>
          <w:p>
            <w:pPr>
              <w:snapToGrid w:val="0"/>
              <w:spacing w:line="440" w:lineRule="exact"/>
              <w:rPr>
                <w:rFonts w:ascii="仿宋" w:hAnsi="仿宋" w:eastAsia="仿宋" w:cs="仿宋"/>
              </w:rPr>
            </w:pPr>
            <w:r>
              <w:rPr>
                <w:rFonts w:hint="eastAsia" w:ascii="仿宋" w:hAnsi="仿宋" w:eastAsia="仿宋" w:cs="仿宋"/>
                <w:sz w:val="24"/>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乙方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4</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 xml:space="preserve">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1.本项目实行网上投标，采用电子投标文件。若乙方参与投标，自行承担投标一切费用。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乙方应在开标前完成CA数字证书办理。乙方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注：乙方CA相关操作可参考政采云平台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《CA申领操作指南》和《CA管理操作指南》。完成CA数字证书办理在资料齐全的情况下预计7个工作日左右，建议乙方获取招标文件后立即办理。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3.1应按照本项目招标文件和政采云平台的要求编制、加密传输投标文件。乙方在使用系统进行投标的过程中遇到涉及平台使用的任何问题，可致电政采云平台技术支持热线咨询，联系方式：95763。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3.2投标人通过“政采云”平台制作电子投标文件，投标文件制作详见“乙方-政府采购项目电子交易操作指南。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3.3开标时间后30分钟内乙方可以登录“政采云”平台，用“项目采购-开标评标”功能进行解密投标文件。若乙方</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联合体投标的或者以分包方式履行合同的，联合体各方（乙方与分包乙方）分别提供与联合体协议（分包意向协议）中规定的分工内容相应的业绩证明材料，业绩数量以提供材料较少的一方为准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w:t>
            </w:r>
            <w:r>
              <w:rPr>
                <w:rFonts w:hint="eastAsia" w:ascii="仿宋_GB2312" w:hAnsi="宋体" w:eastAsia="仿宋_GB2312"/>
                <w:sz w:val="24"/>
              </w:rPr>
              <w:t>采购人和本中心</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注：乙方放弃中标资格或因质疑、投诉被取消中标资格或不能履行合同的，本项目重新组织采购。</w:t>
            </w:r>
          </w:p>
        </w:tc>
      </w:tr>
      <w:bookmarkEnd w:id="4"/>
    </w:tbl>
    <w:p>
      <w:pPr>
        <w:adjustRightInd/>
        <w:spacing w:line="360" w:lineRule="auto"/>
        <w:jc w:val="center"/>
        <w:rPr>
          <w:rFonts w:ascii="仿宋" w:hAnsi="仿宋" w:eastAsia="仿宋" w:cs="仿宋"/>
          <w:b/>
          <w:sz w:val="32"/>
          <w:szCs w:val="32"/>
        </w:rPr>
      </w:pPr>
      <w:bookmarkStart w:id="19" w:name="第三部分"/>
      <w:bookmarkStart w:id="20" w:name="_Toc164416483"/>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“投标人”“乙方”系指是指响应招标、参加投标竞争的法人、其他组织或者自然人。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乙方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乙方提供的货物既有中小企业制造货物，也有大型企业制造货物的，不享受中小企业扶持政策。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pPr>
        <w:spacing w:line="440" w:lineRule="exact"/>
        <w:ind w:firstLine="480" w:firstLineChars="200"/>
        <w:rPr>
          <w:rFonts w:ascii="仿宋" w:hAnsi="仿宋" w:eastAsia="仿宋" w:cs="仿宋"/>
          <w:sz w:val="24"/>
        </w:rPr>
      </w:pPr>
      <w:r>
        <w:rPr>
          <w:rFonts w:hint="eastAsia" w:ascii="仿宋" w:hAnsi="仿宋" w:eastAsia="仿宋" w:cs="仿宋"/>
          <w:sz w:val="24"/>
        </w:rPr>
        <w:t>4.1乙方投标所使用的资格、信誉、荣誉与企业认证必须为投标单位所拥有。乙方投标所使用的采购项目实施人员必须为投标单位正式员工。</w:t>
      </w:r>
    </w:p>
    <w:p>
      <w:pPr>
        <w:spacing w:line="440" w:lineRule="exact"/>
        <w:ind w:firstLine="480" w:firstLineChars="200"/>
        <w:rPr>
          <w:rFonts w:ascii="仿宋" w:hAnsi="仿宋" w:eastAsia="仿宋" w:cs="仿宋"/>
          <w:sz w:val="24"/>
        </w:rPr>
      </w:pPr>
      <w:r>
        <w:rPr>
          <w:rFonts w:hint="eastAsia" w:ascii="仿宋" w:hAnsi="仿宋" w:eastAsia="仿宋" w:cs="仿宋"/>
          <w:sz w:val="24"/>
        </w:rPr>
        <w:t>4.2乙方应仔细阅读招标文件的所有内容，按照招标文件的要求提交投标文件，并对所提供的全部资料的真实性承担法律责任。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rPr>
      </w:pPr>
      <w:r>
        <w:rPr>
          <w:rFonts w:hint="eastAsia" w:ascii="仿宋" w:hAnsi="仿宋" w:eastAsia="仿宋" w:cs="仿宋"/>
          <w:sz w:val="24"/>
        </w:rPr>
        <w:t>4.3乙方在投标活动中提供任何虚假材料,其投标无效，并报监管部门查处；中标后发现的,乙方须依照《中华人民共和国消费者权益保护法》规定赔偿采购人，且民事赔偿并不免除违法乙方的行政与刑事责任。</w:t>
      </w:r>
    </w:p>
    <w:p>
      <w:pPr>
        <w:adjustRightInd/>
        <w:spacing w:line="360" w:lineRule="auto"/>
        <w:jc w:val="center"/>
        <w:rPr>
          <w:rFonts w:ascii="仿宋" w:hAnsi="仿宋" w:eastAsia="仿宋" w:cs="仿宋"/>
          <w:b/>
          <w:sz w:val="32"/>
          <w:szCs w:val="32"/>
        </w:rPr>
      </w:pPr>
    </w:p>
    <w:p>
      <w:pPr>
        <w:adjustRightInd/>
        <w:spacing w:line="360" w:lineRule="auto"/>
        <w:jc w:val="center"/>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32"/>
          <w:szCs w:val="32"/>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1.5.1投标文件为电子投标文件，电子投标文件按“政采云乙方项目采购-电子招投标操作指南”及本招标文件要求制作、加密传输。</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bookmarkStart w:id="21" w:name="OLE_LINK7"/>
      <w:r>
        <w:rPr>
          <w:rFonts w:hint="eastAsia" w:ascii="仿宋" w:hAnsi="仿宋" w:eastAsia="仿宋" w:cs="仿宋"/>
          <w:sz w:val="24"/>
          <w:lang w:eastAsia="zh-CN"/>
        </w:rPr>
        <w:t>供应商</w:t>
      </w:r>
      <w:bookmarkEnd w:id="21"/>
      <w:r>
        <w:rPr>
          <w:rFonts w:hint="eastAsia" w:ascii="仿宋" w:hAnsi="仿宋" w:eastAsia="仿宋" w:cs="仿宋"/>
          <w:sz w:val="24"/>
        </w:rPr>
        <w:t>在投标文件技术偏离说明表中，应对项目技术规范和服务要求中所提出各项要求进行答复、说明和解释。如果</w:t>
      </w:r>
      <w:r>
        <w:rPr>
          <w:rFonts w:hint="eastAsia" w:ascii="仿宋" w:hAnsi="仿宋" w:eastAsia="仿宋" w:cs="仿宋"/>
          <w:sz w:val="24"/>
          <w:lang w:eastAsia="zh-CN"/>
        </w:rPr>
        <w:t>供应商</w:t>
      </w:r>
      <w:r>
        <w:rPr>
          <w:rFonts w:hint="eastAsia" w:ascii="仿宋" w:hAnsi="仿宋" w:eastAsia="仿宋" w:cs="仿宋"/>
          <w:sz w:val="24"/>
        </w:rPr>
        <w:t>在技术偏离表中注明无偏离，评标结束后、签订采购合同前又认为其实际产品与投标技术需求不一致的，视为乙方在投标有效期内对其投标文件进行了实质性修改，采购机构将把这一情况报送采购监管部门。</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乙方应提供针对项目的完整技术解决方案：</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乙方作出中文注释，否则任何含糊不清的表述导致投标小组技术扣分直至认定为投标无效都将是乙方的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乙方应以书面形式完整准确地表述售后服务承诺(范围、标准及期限等)、乙方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乙方售后服务证明材料：由乙方根据本项目要求提供相应的售后服务证明材料或售后服务承诺；</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乙方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乙方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24"/>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pPr>
        <w:pStyle w:val="24"/>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pPr>
        <w:pStyle w:val="24"/>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pPr>
        <w:pStyle w:val="24"/>
        <w:autoSpaceDE/>
        <w:autoSpaceDN/>
        <w:snapToGrid w:val="0"/>
        <w:spacing w:line="440" w:lineRule="exact"/>
        <w:ind w:firstLine="482"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24"/>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3.1</w:t>
      </w:r>
      <w:r>
        <w:rPr>
          <w:rFonts w:hint="eastAsia" w:ascii="仿宋" w:hAnsi="仿宋" w:eastAsia="仿宋" w:cs="仿宋"/>
          <w:lang w:val="en-US"/>
        </w:rPr>
        <w:t>乙方</w:t>
      </w:r>
      <w:r>
        <w:rPr>
          <w:rFonts w:ascii="仿宋" w:hAnsi="仿宋" w:eastAsia="仿宋" w:cs="仿宋"/>
          <w:lang w:val="en-US"/>
        </w:rPr>
        <w:t>应按招标文件中《开标一览表》等附表要求填写。</w:t>
      </w:r>
    </w:p>
    <w:p>
      <w:pPr>
        <w:pStyle w:val="24"/>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24"/>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3.3招标文件未列明，而</w:t>
      </w:r>
      <w:r>
        <w:rPr>
          <w:rFonts w:hint="eastAsia" w:ascii="仿宋" w:hAnsi="仿宋" w:eastAsia="仿宋" w:cs="仿宋"/>
          <w:lang w:val="en-US"/>
        </w:rPr>
        <w:t>乙方</w:t>
      </w:r>
      <w:r>
        <w:rPr>
          <w:rFonts w:ascii="仿宋" w:hAnsi="仿宋" w:eastAsia="仿宋" w:cs="仿宋"/>
          <w:lang w:val="en-US"/>
        </w:rPr>
        <w:t>认为必需的费用也需列入报价。</w:t>
      </w:r>
    </w:p>
    <w:p>
      <w:pPr>
        <w:pStyle w:val="24"/>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1"/>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乙方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2电子交易平台收到投标文件，将妥善保存并即时向乙方发出确认回执通知。在投标截止时间前，除乙方补充、修改或者撤回投标文件外，任何单位和个人不得解密或提取投标文件。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22" w:name="_Toc91899903"/>
      <w:r>
        <w:rPr>
          <w:rFonts w:hint="eastAsia" w:ascii="仿宋" w:hAnsi="仿宋" w:eastAsia="仿宋" w:cs="仿宋"/>
          <w:b/>
          <w:sz w:val="32"/>
          <w:szCs w:val="32"/>
        </w:rPr>
        <w:t>四、开标和评标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乙方对投标、响应文件作出澄清、说明或者补正的，评标委员会和乙方应当通过政采云平台交换数据电文。给予乙方提交澄清说明或补正的时间不少于半小时，乙方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乙方通过政采云平台交换的数据电文必须进行电子签章。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乙方资格不符合的，应组织相关乙方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同时出现两种以上不一致的，按照前款规定的顺序修正。修正后的报价按照财政部公布第87号令 《政府采购货物和服务招标投标管理办法》第五十一条第二款的规定经投标人确认后产生约束力，投标人不确认的，其投标无效。  </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6.8评标委员会依据招标文件规定的评标标准和方法，对投标文件进行评审和比较后，向采购人或其委托的采购代理机构提供书面评标报告，并按得分高低排序推荐中标候选乙方。</w:t>
      </w:r>
    </w:p>
    <w:p>
      <w:pPr>
        <w:pStyle w:val="15"/>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8.2单位负责人为同一人或者存在直接控股、管理关系的不同乙方参加同一合同项下的政府采购活动的（均无效）；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8.3为采购项目提供整体设计、规范编制或者项目管理、监理、检测等服务的乙方参加该采购项目的其他采购活动的；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8.22.1乙方直接或者间接从采购人或者采购机构处获得其他乙方的相关情况并修改其投标文件或者响应文件；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8.22.2乙方按照采购人或者采购机构的授意撤换、修改投标文件或者响应文件；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8.22.3乙方之间协商报价、技术方案等投标文件或者响应文件的实质性内容；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8.22.4属于同一集团、协会、商会等组织成员的乙方按照该组织要求协同参加政府采购活动；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8.22.5乙方之间事先约定由某一特定乙方中标、成交；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8.22.6乙方之间商定部分乙方放弃参加政府采购活动或者放弃中标、成交；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8.22.7乙方与采购人或者采购机构之间、乙方相互之间，为谋求特定乙方中标、成交或者排斥其他乙方的其他串通行为。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5</w:t>
      </w:r>
      <w:r>
        <w:rPr>
          <w:rFonts w:hint="eastAsia" w:ascii="仿宋" w:hAnsi="仿宋" w:eastAsia="仿宋" w:cs="仿宋"/>
          <w:b/>
          <w:bCs/>
          <w:sz w:val="24"/>
        </w:rPr>
        <w:t xml:space="preserve"> 未按招标文件要求提供样品或提供样品不满足采购需求实质性条件的；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6参与同一个采购包(标段)的</w:t>
      </w:r>
      <w:r>
        <w:rPr>
          <w:rFonts w:hint="eastAsia" w:ascii="仿宋" w:hAnsi="仿宋" w:eastAsia="仿宋" w:cs="仿宋"/>
          <w:b/>
          <w:bCs/>
          <w:sz w:val="24"/>
        </w:rPr>
        <w:t>乙方</w:t>
      </w:r>
      <w:r>
        <w:rPr>
          <w:rFonts w:ascii="仿宋" w:hAnsi="仿宋" w:eastAsia="仿宋" w:cs="仿宋"/>
          <w:b/>
          <w:bCs/>
          <w:sz w:val="24"/>
        </w:rPr>
        <w:t>存在下列情形之一的其投标(响应)文件无效:</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8.26.1</w:t>
      </w:r>
      <w:r>
        <w:rPr>
          <w:rFonts w:ascii="仿宋" w:hAnsi="仿宋" w:eastAsia="仿宋" w:cs="仿宋"/>
          <w:b/>
          <w:bCs/>
          <w:sz w:val="24"/>
        </w:rPr>
        <w:t>不同</w:t>
      </w:r>
      <w:r>
        <w:rPr>
          <w:rFonts w:hint="eastAsia" w:ascii="仿宋" w:hAnsi="仿宋" w:eastAsia="仿宋" w:cs="仿宋"/>
          <w:b/>
          <w:bCs/>
          <w:sz w:val="24"/>
        </w:rPr>
        <w:t>乙方</w:t>
      </w:r>
      <w:r>
        <w:rPr>
          <w:rFonts w:ascii="仿宋" w:hAnsi="仿宋" w:eastAsia="仿宋" w:cs="仿宋"/>
          <w:b/>
          <w:bCs/>
          <w:sz w:val="24"/>
        </w:rPr>
        <w:t>的电子投标(响应)文件上传计算机的网卡MAC地址、CPU序列号和硬盘序列号等硬件信息相同的;(2)</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8.26.2</w:t>
      </w:r>
      <w:r>
        <w:rPr>
          <w:rFonts w:ascii="仿宋" w:hAnsi="仿宋" w:eastAsia="仿宋" w:cs="仿宋"/>
          <w:b/>
          <w:bCs/>
          <w:sz w:val="24"/>
        </w:rPr>
        <w:t>上传的电子投标(响应)文件若出现使用本项目其他投标(响应)</w:t>
      </w:r>
      <w:r>
        <w:rPr>
          <w:rFonts w:hint="eastAsia" w:ascii="仿宋" w:hAnsi="仿宋" w:eastAsia="仿宋" w:cs="仿宋"/>
          <w:b/>
          <w:bCs/>
          <w:sz w:val="24"/>
        </w:rPr>
        <w:t>乙方</w:t>
      </w:r>
      <w:r>
        <w:rPr>
          <w:rFonts w:ascii="仿宋" w:hAnsi="仿宋" w:eastAsia="仿宋" w:cs="仿宋"/>
          <w:b/>
          <w:bCs/>
          <w:sz w:val="24"/>
        </w:rPr>
        <w:t>的数字证书加密的，或者加盖本项目其他投标(响应)</w:t>
      </w:r>
      <w:r>
        <w:rPr>
          <w:rFonts w:hint="eastAsia" w:ascii="仿宋" w:hAnsi="仿宋" w:eastAsia="仿宋" w:cs="仿宋"/>
          <w:b/>
          <w:bCs/>
          <w:sz w:val="24"/>
        </w:rPr>
        <w:t>乙方</w:t>
      </w:r>
      <w:r>
        <w:rPr>
          <w:rFonts w:ascii="仿宋" w:hAnsi="仿宋" w:eastAsia="仿宋" w:cs="仿宋"/>
          <w:b/>
          <w:bCs/>
          <w:sz w:val="24"/>
        </w:rPr>
        <w:t>的电子印章的;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8.26.3</w:t>
      </w:r>
      <w:r>
        <w:rPr>
          <w:rFonts w:ascii="仿宋" w:hAnsi="仿宋" w:eastAsia="仿宋" w:cs="仿宋"/>
          <w:b/>
          <w:bCs/>
          <w:sz w:val="24"/>
        </w:rPr>
        <w:t>不同</w:t>
      </w:r>
      <w:r>
        <w:rPr>
          <w:rFonts w:hint="eastAsia" w:ascii="仿宋" w:hAnsi="仿宋" w:eastAsia="仿宋" w:cs="仿宋"/>
          <w:b/>
          <w:bCs/>
          <w:sz w:val="24"/>
        </w:rPr>
        <w:t>乙方</w:t>
      </w:r>
      <w:r>
        <w:rPr>
          <w:rFonts w:ascii="仿宋" w:hAnsi="仿宋" w:eastAsia="仿宋" w:cs="仿宋"/>
          <w:b/>
          <w:bCs/>
          <w:sz w:val="24"/>
        </w:rPr>
        <w:t>的投标(响应)文件的内容存在三处(含)以上错误一致，且无法合理解释的;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8.26.4</w:t>
      </w:r>
      <w:r>
        <w:rPr>
          <w:rFonts w:ascii="仿宋" w:hAnsi="仿宋" w:eastAsia="仿宋" w:cs="仿宋"/>
          <w:b/>
          <w:bCs/>
          <w:sz w:val="24"/>
        </w:rPr>
        <w:t>不同</w:t>
      </w:r>
      <w:r>
        <w:rPr>
          <w:rFonts w:hint="eastAsia" w:ascii="仿宋" w:hAnsi="仿宋" w:eastAsia="仿宋" w:cs="仿宋"/>
          <w:b/>
          <w:bCs/>
          <w:sz w:val="24"/>
        </w:rPr>
        <w:t>乙方</w:t>
      </w:r>
      <w:r>
        <w:rPr>
          <w:rFonts w:ascii="仿宋" w:hAnsi="仿宋" w:eastAsia="仿宋" w:cs="仿宋"/>
          <w:b/>
          <w:bCs/>
          <w:sz w:val="24"/>
        </w:rPr>
        <w:t>联系人为同一人或不同联系人的联系电话一致，且无法合理解释的。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乙方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22"/>
    <w:p>
      <w:pPr>
        <w:pStyle w:val="33"/>
        <w:spacing w:line="360" w:lineRule="auto"/>
        <w:ind w:firstLine="726"/>
        <w:jc w:val="center"/>
        <w:rPr>
          <w:rFonts w:ascii="仿宋" w:hAnsi="仿宋" w:eastAsia="仿宋" w:cs="仿宋"/>
          <w:b/>
          <w:sz w:val="32"/>
          <w:szCs w:val="32"/>
        </w:rPr>
      </w:pPr>
      <w:bookmarkStart w:id="23" w:name="_Hlt68072990"/>
      <w:bookmarkEnd w:id="23"/>
      <w:bookmarkStart w:id="24" w:name="_Hlt68072998"/>
      <w:bookmarkEnd w:id="24"/>
      <w:bookmarkStart w:id="25" w:name="_Hlt68403820"/>
      <w:bookmarkEnd w:id="25"/>
      <w:bookmarkStart w:id="26" w:name="_Hlt75236290"/>
      <w:bookmarkEnd w:id="26"/>
      <w:bookmarkStart w:id="27" w:name="_Hlt68057669"/>
      <w:bookmarkEnd w:id="27"/>
      <w:bookmarkStart w:id="28" w:name="_Hlt74707468"/>
      <w:bookmarkEnd w:id="28"/>
      <w:bookmarkStart w:id="29" w:name="_Hlt68073093"/>
      <w:bookmarkEnd w:id="29"/>
      <w:bookmarkStart w:id="30" w:name="_Hlt74730295"/>
      <w:bookmarkEnd w:id="30"/>
      <w:bookmarkStart w:id="31" w:name="_Hlt75236011"/>
      <w:bookmarkEnd w:id="31"/>
      <w:bookmarkStart w:id="32" w:name="_Hlt75236101"/>
      <w:bookmarkEnd w:id="32"/>
      <w:bookmarkStart w:id="33" w:name="_Hlt74729768"/>
      <w:bookmarkEnd w:id="33"/>
      <w:bookmarkStart w:id="34" w:name="_Hlt74714665"/>
      <w:bookmarkEnd w:id="34"/>
      <w:bookmarkStart w:id="35" w:name="_Toc84325929"/>
      <w:bookmarkStart w:id="36" w:name="_Toc81372953"/>
      <w:bookmarkStart w:id="37" w:name="_Toc81372776"/>
      <w:r>
        <w:rPr>
          <w:rFonts w:hint="eastAsia" w:ascii="仿宋" w:hAnsi="仿宋" w:eastAsia="仿宋" w:cs="仿宋"/>
          <w:b/>
          <w:sz w:val="32"/>
          <w:szCs w:val="32"/>
        </w:rPr>
        <w:t>五、授予合同</w:t>
      </w:r>
    </w:p>
    <w:bookmarkEnd w:id="35"/>
    <w:bookmarkEnd w:id="36"/>
    <w:bookmarkEnd w:id="37"/>
    <w:p>
      <w:pPr>
        <w:pStyle w:val="15"/>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2.1采购人应当自收到评标报告之日起５个工作日内，在评标报告确定的中标候选人名单中按顺序确定乙方。</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2.2采购人在收到评标报告5个工作日内未按评标报告推荐的中标候选人顺序确定乙方，视同按评标报告推荐的顺序确定的中标候选人为乙方。</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2.3采购人应在确认乙方前再次对资格条件和相关证件材料进一步查验核实。</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乙方签发中标通知书。请中标乙方自行登录政采云平台下载并打印中标通知书。在采购代理机构发出中标通知书前，中标乙方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乙方收取不高于中标额的1%的履约保证金，采购人不得以乙方事先提交履约保证金作为签订合同的条件。鼓励采购人根据项目特点、乙方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4.3乙方以银行、保险公司出具保函形式提交履约保证金的，采购人不得拒收。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5.1乙方应当在中标通知书发出之日起30天内与采购人签订合同，自采购合同签订之日起2个工作日内，通过电子交易平台进行备案。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5.2如乙方为联合体的，由联合体成员各方法定代表人或其授权代表与采购人代表签订合同。</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乙方履约的验收。大型或者复杂的政府采购项目，应当邀请国家认可的质量检测机构参加验收工作。验收方成员应当在验收书上签字，并承担相应的法律责任。如果发现与合同中要求不符，乙方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采购人负责加强对乙方的履约管理，并按照采购合同约定，及时向乙方支付采购资金。对于乙方违反采购合同约定的行为，采购人应当及时处理，依法追究其违约责任。</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w:t>
      </w:r>
      <w:r>
        <w:rPr>
          <w:rFonts w:hint="eastAsia" w:ascii="仿宋" w:hAnsi="仿宋" w:eastAsia="仿宋" w:cs="仿宋"/>
          <w:sz w:val="24"/>
          <w:szCs w:val="20"/>
        </w:rPr>
        <w:t>乙方</w:t>
      </w:r>
      <w:r>
        <w:rPr>
          <w:rFonts w:ascii="仿宋" w:hAnsi="仿宋" w:eastAsia="仿宋" w:cs="仿宋"/>
          <w:sz w:val="24"/>
          <w:szCs w:val="20"/>
        </w:rPr>
        <w:t>在线提起询问，路径为：政采云-项目采购-询问质疑投诉-询问列表；鼓励</w:t>
      </w:r>
      <w:r>
        <w:rPr>
          <w:rFonts w:hint="eastAsia" w:ascii="仿宋" w:hAnsi="仿宋" w:eastAsia="仿宋" w:cs="仿宋"/>
          <w:sz w:val="24"/>
          <w:szCs w:val="20"/>
        </w:rPr>
        <w:t>乙方</w:t>
      </w:r>
      <w:r>
        <w:rPr>
          <w:rFonts w:ascii="仿宋" w:hAnsi="仿宋" w:eastAsia="仿宋" w:cs="仿宋"/>
          <w:sz w:val="24"/>
          <w:szCs w:val="20"/>
        </w:rPr>
        <w:t>在线提起质疑，路径为：政采云-项目采购-询问质疑投诉-质疑列表。质疑</w:t>
      </w:r>
      <w:r>
        <w:rPr>
          <w:rFonts w:hint="eastAsia" w:ascii="仿宋" w:hAnsi="仿宋" w:eastAsia="仿宋" w:cs="仿宋"/>
          <w:sz w:val="24"/>
          <w:szCs w:val="20"/>
        </w:rPr>
        <w:t>乙方</w:t>
      </w:r>
      <w:r>
        <w:rPr>
          <w:rFonts w:ascii="仿宋" w:hAnsi="仿宋" w:eastAsia="仿宋" w:cs="仿宋"/>
          <w:sz w:val="24"/>
          <w:szCs w:val="20"/>
        </w:rPr>
        <w:t>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2. </w:t>
      </w:r>
      <w:r>
        <w:rPr>
          <w:rFonts w:hint="eastAsia" w:ascii="仿宋" w:hAnsi="仿宋" w:eastAsia="仿宋" w:cs="仿宋"/>
          <w:b/>
          <w:bCs/>
          <w:sz w:val="24"/>
        </w:rPr>
        <w:t>乙方</w:t>
      </w:r>
      <w:r>
        <w:rPr>
          <w:rFonts w:ascii="仿宋" w:hAnsi="仿宋" w:eastAsia="仿宋" w:cs="仿宋"/>
          <w:b/>
          <w:bCs/>
          <w:sz w:val="24"/>
        </w:rPr>
        <w:t>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乙方</w:t>
      </w:r>
      <w:r>
        <w:rPr>
          <w:rFonts w:ascii="仿宋" w:hAnsi="仿宋" w:eastAsia="仿宋" w:cs="仿宋"/>
          <w:kern w:val="0"/>
          <w:sz w:val="24"/>
          <w:lang w:val="zh-CN"/>
        </w:rPr>
        <w:t>对政府采购活动事项有疑问的，可以提出询问，采购人或者采购代理机构应当在3个工作日内对</w:t>
      </w:r>
      <w:r>
        <w:rPr>
          <w:rFonts w:hint="eastAsia" w:ascii="仿宋" w:hAnsi="仿宋" w:eastAsia="仿宋" w:cs="仿宋"/>
          <w:kern w:val="0"/>
          <w:sz w:val="24"/>
          <w:lang w:val="zh-CN"/>
        </w:rPr>
        <w:t>乙方</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乙方</w:t>
      </w:r>
      <w:r>
        <w:rPr>
          <w:rFonts w:ascii="仿宋" w:hAnsi="仿宋" w:eastAsia="仿宋" w:cs="仿宋"/>
          <w:kern w:val="0"/>
          <w:sz w:val="24"/>
          <w:lang w:val="zh-CN"/>
        </w:rPr>
        <w:t>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w:t>
      </w:r>
      <w:r>
        <w:rPr>
          <w:rFonts w:hint="eastAsia" w:ascii="仿宋" w:hAnsi="仿宋" w:eastAsia="仿宋" w:cs="仿宋"/>
          <w:kern w:val="0"/>
          <w:sz w:val="24"/>
          <w:lang w:val="zh-CN"/>
        </w:rPr>
        <w:t>乙方</w:t>
      </w:r>
      <w:r>
        <w:rPr>
          <w:rFonts w:ascii="仿宋" w:hAnsi="仿宋" w:eastAsia="仿宋" w:cs="仿宋"/>
          <w:kern w:val="0"/>
          <w:sz w:val="24"/>
          <w:lang w:val="zh-CN"/>
        </w:rPr>
        <w:t>向采购人提出。</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3. </w:t>
      </w:r>
      <w:r>
        <w:rPr>
          <w:rFonts w:hint="eastAsia" w:ascii="仿宋" w:hAnsi="仿宋" w:eastAsia="仿宋" w:cs="仿宋"/>
          <w:b/>
          <w:bCs/>
          <w:sz w:val="24"/>
        </w:rPr>
        <w:t>乙方</w:t>
      </w:r>
      <w:r>
        <w:rPr>
          <w:rFonts w:ascii="仿宋" w:hAnsi="仿宋" w:eastAsia="仿宋" w:cs="仿宋"/>
          <w:b/>
          <w:bCs/>
          <w:sz w:val="24"/>
        </w:rPr>
        <w:t>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w:t>
      </w:r>
      <w:r>
        <w:rPr>
          <w:rFonts w:hint="eastAsia" w:ascii="仿宋" w:hAnsi="仿宋" w:eastAsia="仿宋" w:cs="仿宋"/>
          <w:sz w:val="24"/>
          <w:szCs w:val="20"/>
        </w:rPr>
        <w:t>乙方</w:t>
      </w:r>
      <w:r>
        <w:rPr>
          <w:rFonts w:ascii="仿宋" w:hAnsi="仿宋" w:eastAsia="仿宋" w:cs="仿宋"/>
          <w:sz w:val="24"/>
          <w:szCs w:val="20"/>
        </w:rPr>
        <w:t>应当是参与所质疑项目采购活动的</w:t>
      </w:r>
      <w:r>
        <w:rPr>
          <w:rFonts w:hint="eastAsia" w:ascii="仿宋" w:hAnsi="仿宋" w:eastAsia="仿宋" w:cs="仿宋"/>
          <w:sz w:val="24"/>
          <w:szCs w:val="20"/>
        </w:rPr>
        <w:t>乙方</w:t>
      </w:r>
      <w:r>
        <w:rPr>
          <w:rFonts w:ascii="仿宋" w:hAnsi="仿宋" w:eastAsia="仿宋" w:cs="仿宋"/>
          <w:sz w:val="24"/>
          <w:szCs w:val="20"/>
        </w:rPr>
        <w:t>。潜在</w:t>
      </w:r>
      <w:r>
        <w:rPr>
          <w:rFonts w:hint="eastAsia" w:ascii="仿宋" w:hAnsi="仿宋" w:eastAsia="仿宋" w:cs="仿宋"/>
          <w:sz w:val="24"/>
          <w:szCs w:val="20"/>
        </w:rPr>
        <w:t>乙方</w:t>
      </w:r>
      <w:r>
        <w:rPr>
          <w:rFonts w:ascii="仿宋" w:hAnsi="仿宋" w:eastAsia="仿宋" w:cs="仿宋"/>
          <w:sz w:val="24"/>
          <w:szCs w:val="20"/>
        </w:rPr>
        <w:t>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w:t>
      </w:r>
      <w:r>
        <w:rPr>
          <w:rFonts w:hint="eastAsia" w:ascii="仿宋" w:hAnsi="仿宋" w:eastAsia="仿宋" w:cs="仿宋"/>
          <w:sz w:val="24"/>
          <w:szCs w:val="20"/>
        </w:rPr>
        <w:t>乙方</w:t>
      </w:r>
      <w:r>
        <w:rPr>
          <w:rFonts w:ascii="仿宋" w:hAnsi="仿宋" w:eastAsia="仿宋" w:cs="仿宋"/>
          <w:sz w:val="24"/>
          <w:szCs w:val="20"/>
        </w:rPr>
        <w:t>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w:t>
      </w:r>
      <w:r>
        <w:rPr>
          <w:rFonts w:hint="eastAsia" w:ascii="仿宋" w:hAnsi="仿宋" w:eastAsia="仿宋" w:cs="仿宋"/>
          <w:sz w:val="24"/>
          <w:szCs w:val="20"/>
        </w:rPr>
        <w:t>乙方</w:t>
      </w:r>
      <w:r>
        <w:rPr>
          <w:rFonts w:ascii="仿宋" w:hAnsi="仿宋" w:eastAsia="仿宋" w:cs="仿宋"/>
          <w:sz w:val="24"/>
          <w:szCs w:val="20"/>
        </w:rPr>
        <w:t>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w:t>
      </w:r>
      <w:r>
        <w:rPr>
          <w:rFonts w:hint="eastAsia" w:ascii="仿宋" w:hAnsi="仿宋" w:eastAsia="仿宋" w:cs="仿宋"/>
          <w:sz w:val="24"/>
          <w:szCs w:val="20"/>
        </w:rPr>
        <w:t>乙方</w:t>
      </w:r>
      <w:r>
        <w:rPr>
          <w:rFonts w:ascii="仿宋" w:hAnsi="仿宋" w:eastAsia="仿宋" w:cs="仿宋"/>
          <w:sz w:val="24"/>
          <w:szCs w:val="20"/>
        </w:rPr>
        <w:t>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w:t>
      </w:r>
      <w:r>
        <w:rPr>
          <w:rFonts w:hint="eastAsia" w:ascii="仿宋" w:hAnsi="仿宋" w:eastAsia="仿宋" w:cs="仿宋"/>
          <w:sz w:val="24"/>
          <w:szCs w:val="20"/>
        </w:rPr>
        <w:t>乙方</w:t>
      </w:r>
      <w:r>
        <w:rPr>
          <w:rFonts w:ascii="仿宋" w:hAnsi="仿宋" w:eastAsia="仿宋" w:cs="仿宋"/>
          <w:sz w:val="24"/>
          <w:szCs w:val="20"/>
        </w:rPr>
        <w:t>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乙方</w:t>
      </w:r>
      <w:r>
        <w:rPr>
          <w:rFonts w:ascii="仿宋" w:hAnsi="仿宋" w:eastAsia="仿宋" w:cs="仿宋"/>
          <w:sz w:val="24"/>
        </w:rPr>
        <w:t>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乙方</w:t>
      </w:r>
      <w:r>
        <w:rPr>
          <w:rFonts w:ascii="仿宋" w:hAnsi="仿宋" w:eastAsia="仿宋" w:cs="仿宋"/>
          <w:sz w:val="24"/>
          <w:szCs w:val="20"/>
        </w:rPr>
        <w:t>提交的质疑函需一式三份。</w:t>
      </w:r>
      <w:r>
        <w:rPr>
          <w:rFonts w:hint="eastAsia" w:ascii="仿宋" w:hAnsi="仿宋" w:eastAsia="仿宋" w:cs="仿宋"/>
          <w:sz w:val="24"/>
          <w:szCs w:val="20"/>
        </w:rPr>
        <w:t>乙方</w:t>
      </w:r>
      <w:r>
        <w:rPr>
          <w:rFonts w:ascii="仿宋" w:hAnsi="仿宋" w:eastAsia="仿宋" w:cs="仿宋"/>
          <w:sz w:val="24"/>
          <w:szCs w:val="20"/>
        </w:rPr>
        <w:t>为自然人的，应当由本人签字；</w:t>
      </w:r>
      <w:r>
        <w:rPr>
          <w:rFonts w:hint="eastAsia" w:ascii="仿宋" w:hAnsi="仿宋" w:eastAsia="仿宋" w:cs="仿宋"/>
          <w:sz w:val="24"/>
          <w:szCs w:val="20"/>
        </w:rPr>
        <w:t>乙方</w:t>
      </w:r>
      <w:r>
        <w:rPr>
          <w:rFonts w:ascii="仿宋" w:hAnsi="仿宋" w:eastAsia="仿宋" w:cs="仿宋"/>
          <w:sz w:val="24"/>
          <w:szCs w:val="20"/>
        </w:rPr>
        <w:t>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4.</w:t>
      </w:r>
      <w:r>
        <w:rPr>
          <w:rFonts w:hint="eastAsia" w:ascii="仿宋" w:hAnsi="仿宋" w:eastAsia="仿宋" w:cs="仿宋"/>
          <w:b/>
          <w:bCs/>
          <w:sz w:val="24"/>
        </w:rPr>
        <w:t>乙方</w:t>
      </w:r>
      <w:r>
        <w:rPr>
          <w:rFonts w:ascii="仿宋" w:hAnsi="仿宋" w:eastAsia="仿宋" w:cs="仿宋"/>
          <w:b/>
          <w:bCs/>
          <w:sz w:val="24"/>
        </w:rPr>
        <w:t>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w:t>
      </w:r>
      <w:r>
        <w:rPr>
          <w:rFonts w:hint="eastAsia" w:ascii="仿宋" w:hAnsi="仿宋" w:eastAsia="仿宋" w:cs="仿宋"/>
          <w:sz w:val="24"/>
          <w:szCs w:val="20"/>
        </w:rPr>
        <w:t>乙方</w:t>
      </w:r>
      <w:r>
        <w:rPr>
          <w:rFonts w:ascii="仿宋" w:hAnsi="仿宋" w:eastAsia="仿宋" w:cs="仿宋"/>
          <w:sz w:val="24"/>
          <w:szCs w:val="20"/>
        </w:rPr>
        <w:t>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w:t>
      </w:r>
      <w:r>
        <w:rPr>
          <w:rFonts w:hint="eastAsia" w:ascii="仿宋" w:hAnsi="仿宋" w:eastAsia="仿宋" w:cs="仿宋"/>
          <w:sz w:val="24"/>
          <w:szCs w:val="20"/>
        </w:rPr>
        <w:t>乙方</w:t>
      </w:r>
      <w:r>
        <w:rPr>
          <w:rFonts w:ascii="仿宋" w:hAnsi="仿宋" w:eastAsia="仿宋" w:cs="仿宋"/>
          <w:sz w:val="24"/>
          <w:szCs w:val="20"/>
        </w:rPr>
        <w:t>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w:t>
      </w:r>
      <w:r>
        <w:rPr>
          <w:rFonts w:hint="eastAsia" w:ascii="仿宋" w:hAnsi="仿宋" w:eastAsia="仿宋" w:cs="仿宋"/>
          <w:sz w:val="24"/>
          <w:szCs w:val="20"/>
        </w:rPr>
        <w:t>乙方</w:t>
      </w:r>
      <w:r>
        <w:rPr>
          <w:rFonts w:ascii="仿宋" w:hAnsi="仿宋" w:eastAsia="仿宋" w:cs="仿宋"/>
          <w:sz w:val="24"/>
          <w:szCs w:val="20"/>
        </w:rPr>
        <w:t>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w:t>
      </w:r>
      <w:r>
        <w:rPr>
          <w:rFonts w:hint="eastAsia" w:ascii="仿宋" w:hAnsi="仿宋" w:eastAsia="仿宋" w:cs="仿宋"/>
          <w:sz w:val="24"/>
          <w:szCs w:val="20"/>
        </w:rPr>
        <w:t>乙方</w:t>
      </w:r>
      <w:r>
        <w:rPr>
          <w:rFonts w:ascii="仿宋" w:hAnsi="仿宋" w:eastAsia="仿宋" w:cs="仿宋"/>
          <w:sz w:val="24"/>
          <w:szCs w:val="20"/>
        </w:rPr>
        <w:t>共同提出。</w:t>
      </w:r>
    </w:p>
    <w:p>
      <w:pPr>
        <w:snapToGrid w:val="0"/>
        <w:spacing w:line="360"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3"/>
        <w:spacing w:line="440" w:lineRule="exact"/>
        <w:ind w:firstLine="480" w:firstLineChars="200"/>
        <w:rPr>
          <w:rFonts w:ascii="仿宋" w:hAnsi="仿宋" w:eastAsia="仿宋" w:cs="仿宋"/>
        </w:rPr>
        <w:sectPr>
          <w:footerReference r:id="rId9" w:type="default"/>
          <w:pgSz w:w="11906" w:h="16838"/>
          <w:pgMar w:top="1474" w:right="1814" w:bottom="1474" w:left="1814" w:header="851" w:footer="992" w:gutter="0"/>
          <w:pgNumType w:start="3"/>
          <w:cols w:space="720" w:num="1"/>
          <w:docGrid w:linePitch="312" w:charSpace="0"/>
        </w:sectPr>
      </w:pPr>
    </w:p>
    <w:bookmarkEnd w:id="19"/>
    <w:bookmarkEnd w:id="20"/>
    <w:p>
      <w:pPr>
        <w:spacing w:line="360" w:lineRule="auto"/>
        <w:jc w:val="center"/>
        <w:outlineLvl w:val="0"/>
        <w:rPr>
          <w:rFonts w:ascii="仿宋" w:hAnsi="仿宋" w:eastAsia="仿宋" w:cs="仿宋"/>
          <w:b/>
          <w:sz w:val="36"/>
          <w:szCs w:val="36"/>
        </w:rPr>
      </w:pPr>
      <w:bookmarkStart w:id="38" w:name="第四部分"/>
      <w:r>
        <w:rPr>
          <w:rFonts w:hint="eastAsia" w:ascii="仿宋" w:hAnsi="仿宋" w:eastAsia="仿宋" w:cs="仿宋"/>
          <w:b/>
          <w:sz w:val="36"/>
          <w:szCs w:val="36"/>
        </w:rPr>
        <w:t>第三部分   招标项目范围及要求</w:t>
      </w:r>
    </w:p>
    <w:bookmarkEnd w:id="38"/>
    <w:p>
      <w:pPr>
        <w:pStyle w:val="3"/>
        <w:tabs>
          <w:tab w:val="left" w:pos="1145"/>
          <w:tab w:val="clear" w:pos="432"/>
        </w:tabs>
        <w:ind w:left="0" w:firstLine="0"/>
        <w:rPr>
          <w:rFonts w:ascii="仿宋" w:eastAsia="仿宋" w:cs="仿宋"/>
          <w:sz w:val="22"/>
          <w:szCs w:val="22"/>
          <w:lang w:val="en-US"/>
        </w:rPr>
      </w:pPr>
      <w:bookmarkStart w:id="39" w:name="_Toc106005056"/>
      <w:bookmarkStart w:id="40" w:name="OLE_LINK1"/>
      <w:bookmarkStart w:id="41" w:name="OLE_LINK3"/>
      <w:bookmarkStart w:id="42" w:name="第五部分"/>
      <w:bookmarkStart w:id="43" w:name="_Toc86217003"/>
      <w:r>
        <w:rPr>
          <w:rFonts w:hint="eastAsia" w:ascii="仿宋" w:eastAsia="仿宋" w:cs="仿宋"/>
          <w:sz w:val="22"/>
          <w:szCs w:val="22"/>
        </w:rPr>
        <w:t>一、</w:t>
      </w:r>
      <w:bookmarkEnd w:id="39"/>
      <w:r>
        <w:rPr>
          <w:rFonts w:hint="eastAsia" w:ascii="仿宋" w:eastAsia="仿宋" w:cs="仿宋"/>
          <w:sz w:val="22"/>
          <w:szCs w:val="22"/>
          <w:lang w:val="en-US"/>
        </w:rPr>
        <w:t>项目简介</w:t>
      </w:r>
    </w:p>
    <w:p>
      <w:pPr>
        <w:tabs>
          <w:tab w:val="left" w:pos="540"/>
        </w:tabs>
        <w:snapToGrid w:val="0"/>
        <w:spacing w:line="360" w:lineRule="auto"/>
        <w:ind w:firstLine="440" w:firstLineChars="200"/>
      </w:pPr>
      <w:r>
        <w:rPr>
          <w:rFonts w:hint="eastAsia" w:ascii="仿宋" w:hAnsi="仿宋" w:eastAsia="仿宋" w:cs="仿宋"/>
          <w:sz w:val="22"/>
          <w:szCs w:val="22"/>
        </w:rPr>
        <w:t>越剧博物馆位于嵊州市甘霖镇问越路1号，建筑面积18427.11 平方米，其中地上建筑面积13783.17平方米，地下建筑面积4643.94平方米。陈列区包括越剧厅、嵊州历史文化陈列、越剧艺术体验中心三个常设专题厅及一个临时展厅，公共服务区包括文化（旅游）驿站、特色人文空间、公共大厅、地下停车场等，文物保护区包括藏品库房、库前区、藏品整理区、藏品修复区等，行政办公区包括行政档案室、技术防范区、设备管理区等。</w:t>
      </w:r>
    </w:p>
    <w:p>
      <w:pPr>
        <w:tabs>
          <w:tab w:val="left" w:pos="540"/>
        </w:tabs>
        <w:snapToGrid w:val="0"/>
        <w:spacing w:line="360" w:lineRule="auto"/>
        <w:ind w:firstLine="420" w:firstLineChars="200"/>
        <w:rPr>
          <w:rFonts w:ascii="仿宋" w:hAnsi="仿宋" w:eastAsia="仿宋" w:cs="仿宋"/>
          <w:sz w:val="22"/>
          <w:szCs w:val="22"/>
        </w:rPr>
      </w:pPr>
      <w:r>
        <w:rPr>
          <w:rFonts w:hint="eastAsia" w:eastAsia="仿宋"/>
        </w:rPr>
        <w:t>物业服务内容：主要包括</w:t>
      </w:r>
      <w:r>
        <w:rPr>
          <w:rFonts w:hint="eastAsia" w:ascii="仿宋" w:hAnsi="仿宋" w:eastAsia="仿宋" w:cs="仿宋"/>
          <w:sz w:val="22"/>
          <w:szCs w:val="22"/>
        </w:rPr>
        <w:t>安全保卫、消防服务、环境管理、公共设施维护、日常管理服务等内容。</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服务期限：两年。</w:t>
      </w:r>
    </w:p>
    <w:p>
      <w:pPr>
        <w:pStyle w:val="3"/>
        <w:tabs>
          <w:tab w:val="left" w:pos="1145"/>
          <w:tab w:val="clear" w:pos="432"/>
        </w:tabs>
        <w:ind w:left="0" w:firstLine="0"/>
        <w:rPr>
          <w:rFonts w:ascii="仿宋" w:eastAsia="仿宋" w:cs="仿宋"/>
          <w:sz w:val="22"/>
          <w:szCs w:val="22"/>
          <w:lang w:val="en-US"/>
        </w:rPr>
      </w:pPr>
      <w:r>
        <w:rPr>
          <w:rFonts w:hint="eastAsia" w:ascii="仿宋" w:eastAsia="仿宋" w:cs="仿宋"/>
          <w:sz w:val="22"/>
          <w:szCs w:val="22"/>
          <w:lang w:val="en-US"/>
        </w:rPr>
        <w:t>二、</w:t>
      </w:r>
      <w:bookmarkEnd w:id="40"/>
      <w:r>
        <w:rPr>
          <w:rFonts w:hint="eastAsia" w:ascii="仿宋" w:eastAsia="仿宋" w:cs="仿宋"/>
          <w:sz w:val="22"/>
          <w:szCs w:val="22"/>
          <w:lang w:val="en-US"/>
        </w:rPr>
        <w:t>人员素质</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工作人员应身体健康，形象端正，具有一定的政治文化素养，基本的服务素质和相应的服务技能。上岗时佩戴统一标志，按不同工种穿戴统一制服，仪容仪表规范整齐；文明工作，训练有素，言语规范，认真负责。</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z w:val="22"/>
          <w:szCs w:val="22"/>
          <w:lang w:eastAsia="zh-CN"/>
        </w:rPr>
        <w:t>供应商</w:t>
      </w:r>
      <w:r>
        <w:rPr>
          <w:rFonts w:hint="eastAsia" w:ascii="仿宋" w:hAnsi="仿宋" w:eastAsia="仿宋" w:cs="仿宋"/>
          <w:sz w:val="22"/>
          <w:szCs w:val="22"/>
        </w:rPr>
        <w:t>应按本次招标的范围及内容，按专业、工种配备相关的人员。总人数不得低于45人，其中项目负责人1人，保安32人（设安全主管1人，设消控员6人），保洁6人（设主管1人），水电工（允许兼职）1人，日常管理（公众教育）5人。每岗工作不得超过8小时，24小时岗按3岗计算。</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3.所有相关人员的配备如需获得相关主管部门认证的，均需配证并持证上岗，且根据不同岗位分别着装。</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z w:val="22"/>
          <w:szCs w:val="22"/>
          <w:lang w:eastAsia="zh-CN"/>
        </w:rPr>
        <w:t>供应商</w:t>
      </w:r>
      <w:r>
        <w:rPr>
          <w:rFonts w:hint="eastAsia" w:ascii="仿宋" w:hAnsi="仿宋" w:eastAsia="仿宋" w:cs="仿宋"/>
          <w:sz w:val="22"/>
          <w:szCs w:val="22"/>
        </w:rPr>
        <w:t>必须在合同签订前提供人员（除日常管理人员外）的有效证件、有效职称证、技工证、上岗证等投标文件中拟提供人员的原件供采购人审核，如果中标</w:t>
      </w:r>
      <w:r>
        <w:rPr>
          <w:rFonts w:hint="eastAsia" w:ascii="仿宋" w:hAnsi="仿宋" w:eastAsia="仿宋" w:cs="仿宋"/>
          <w:sz w:val="22"/>
          <w:szCs w:val="22"/>
          <w:lang w:eastAsia="zh-CN"/>
        </w:rPr>
        <w:t>供应商</w:t>
      </w:r>
      <w:r>
        <w:rPr>
          <w:rFonts w:hint="eastAsia" w:ascii="仿宋" w:hAnsi="仿宋" w:eastAsia="仿宋" w:cs="仿宋"/>
          <w:sz w:val="22"/>
          <w:szCs w:val="22"/>
        </w:rPr>
        <w:t>未按投标文件中承诺的提供，则采购人有权废除预中标乙</w:t>
      </w:r>
      <w:r>
        <w:rPr>
          <w:rFonts w:hint="eastAsia" w:ascii="仿宋" w:hAnsi="仿宋" w:eastAsia="仿宋" w:cs="仿宋"/>
          <w:sz w:val="22"/>
          <w:szCs w:val="22"/>
          <w:lang w:eastAsia="zh-CN"/>
        </w:rPr>
        <w:t>供应商</w:t>
      </w:r>
      <w:r>
        <w:rPr>
          <w:rFonts w:hint="eastAsia" w:ascii="仿宋" w:hAnsi="仿宋" w:eastAsia="仿宋" w:cs="仿宋"/>
          <w:sz w:val="22"/>
          <w:szCs w:val="22"/>
        </w:rPr>
        <w:t>的中标资格。</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5.保持员工队伍相对稳定，调动技术骨干，须提前告知采购人。按招标、投标文件岗位配置配足员工，不得擅自减少、变更人员。经抽查，发现员工数减少，且无正当理由，采购人有权按照考核办法扣除相关费用，同时要求</w:t>
      </w:r>
      <w:r>
        <w:rPr>
          <w:rFonts w:hint="eastAsia" w:ascii="仿宋" w:hAnsi="仿宋" w:eastAsia="仿宋" w:cs="仿宋"/>
          <w:sz w:val="22"/>
          <w:szCs w:val="22"/>
          <w:lang w:eastAsia="zh-CN"/>
        </w:rPr>
        <w:t>供应商</w:t>
      </w:r>
      <w:r>
        <w:rPr>
          <w:rFonts w:hint="eastAsia" w:ascii="仿宋" w:hAnsi="仿宋" w:eastAsia="仿宋" w:cs="仿宋"/>
          <w:sz w:val="22"/>
          <w:szCs w:val="22"/>
        </w:rPr>
        <w:t>补足规定人数。</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6.保安人员持有保安员证书，录用人员经过公安部门备案，所有人员均无犯罪前科，无不良行为记录。</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7.主要管理人员、工程技术人员如在培训、岗位操作过程中发现其不能胜任的，采购人要求更换，直至胜任为止。</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8.国家法定节假日（含恰逢周一闭馆日）、双休日正常值班，费用包含在报价内，采购人不另行支付费用。如遇抗台及灾害性天气、特殊事件、紧急情况以及采购人临时工作需要等情况发生，必须24小时到场服务；因采购人工作需要，额外加班的，</w:t>
      </w:r>
      <w:r>
        <w:rPr>
          <w:rFonts w:hint="eastAsia" w:ascii="仿宋" w:hAnsi="仿宋" w:eastAsia="仿宋" w:cs="仿宋"/>
          <w:sz w:val="22"/>
          <w:szCs w:val="22"/>
          <w:lang w:eastAsia="zh-CN"/>
        </w:rPr>
        <w:t>供应商</w:t>
      </w:r>
      <w:r>
        <w:rPr>
          <w:rFonts w:hint="eastAsia" w:ascii="仿宋" w:hAnsi="仿宋" w:eastAsia="仿宋" w:cs="仿宋"/>
          <w:sz w:val="22"/>
          <w:szCs w:val="22"/>
        </w:rPr>
        <w:t>必须无条件配合，采购人不另行支付费用。</w:t>
      </w:r>
    </w:p>
    <w:p>
      <w:pPr>
        <w:spacing w:line="46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9.人员具体要求详见岗位配备及素质要求表。</w:t>
      </w:r>
    </w:p>
    <w:p>
      <w:pPr>
        <w:spacing w:line="460" w:lineRule="exact"/>
        <w:ind w:firstLine="442" w:firstLineChars="200"/>
        <w:jc w:val="center"/>
        <w:rPr>
          <w:rFonts w:ascii="仿宋" w:hAnsi="仿宋" w:eastAsia="仿宋" w:cs="仿宋"/>
          <w:sz w:val="22"/>
          <w:szCs w:val="22"/>
        </w:rPr>
      </w:pPr>
      <w:r>
        <w:rPr>
          <w:rFonts w:hint="eastAsia" w:ascii="仿宋" w:hAnsi="仿宋" w:eastAsia="仿宋" w:cs="仿宋"/>
          <w:b/>
          <w:bCs/>
          <w:sz w:val="22"/>
          <w:szCs w:val="22"/>
        </w:rPr>
        <w:t>岗位配备及素质要求表</w:t>
      </w:r>
    </w:p>
    <w:tbl>
      <w:tblPr>
        <w:tblStyle w:val="6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975"/>
        <w:gridCol w:w="725"/>
        <w:gridCol w:w="3038"/>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tcBorders>
              <w:tl2br w:val="nil"/>
              <w:tr2bl w:val="nil"/>
            </w:tcBorders>
            <w:vAlign w:val="center"/>
          </w:tcPr>
          <w:p>
            <w:pPr>
              <w:spacing w:line="320" w:lineRule="exact"/>
              <w:jc w:val="center"/>
              <w:rPr>
                <w:rFonts w:ascii="仿宋" w:hAnsi="仿宋" w:eastAsia="仿宋" w:cs="仿宋"/>
                <w:b/>
                <w:kern w:val="0"/>
                <w:sz w:val="22"/>
                <w:szCs w:val="22"/>
              </w:rPr>
            </w:pPr>
            <w:r>
              <w:rPr>
                <w:rFonts w:hint="eastAsia" w:ascii="仿宋" w:hAnsi="仿宋" w:eastAsia="仿宋" w:cs="仿宋"/>
                <w:b/>
                <w:kern w:val="0"/>
                <w:sz w:val="22"/>
                <w:szCs w:val="22"/>
              </w:rPr>
              <w:t>服务项目</w:t>
            </w:r>
          </w:p>
        </w:tc>
        <w:tc>
          <w:tcPr>
            <w:tcW w:w="975" w:type="dxa"/>
            <w:tcBorders>
              <w:tl2br w:val="nil"/>
              <w:tr2bl w:val="nil"/>
            </w:tcBorders>
            <w:vAlign w:val="center"/>
          </w:tcPr>
          <w:p>
            <w:pPr>
              <w:spacing w:line="320" w:lineRule="exact"/>
              <w:jc w:val="center"/>
              <w:rPr>
                <w:rFonts w:ascii="仿宋" w:hAnsi="仿宋" w:eastAsia="仿宋" w:cs="仿宋"/>
                <w:b/>
                <w:kern w:val="0"/>
                <w:sz w:val="22"/>
                <w:szCs w:val="22"/>
              </w:rPr>
            </w:pPr>
            <w:r>
              <w:rPr>
                <w:rFonts w:hint="eastAsia" w:ascii="仿宋" w:hAnsi="仿宋" w:eastAsia="仿宋" w:cs="仿宋"/>
                <w:b/>
                <w:kern w:val="0"/>
                <w:sz w:val="22"/>
                <w:szCs w:val="22"/>
              </w:rPr>
              <w:t>岗位</w:t>
            </w:r>
          </w:p>
        </w:tc>
        <w:tc>
          <w:tcPr>
            <w:tcW w:w="725" w:type="dxa"/>
            <w:tcBorders>
              <w:tl2br w:val="nil"/>
              <w:tr2bl w:val="nil"/>
            </w:tcBorders>
            <w:vAlign w:val="center"/>
          </w:tcPr>
          <w:p>
            <w:pPr>
              <w:spacing w:line="320" w:lineRule="exact"/>
              <w:jc w:val="center"/>
              <w:rPr>
                <w:rFonts w:ascii="仿宋" w:hAnsi="仿宋" w:eastAsia="仿宋" w:cs="仿宋"/>
                <w:b/>
                <w:kern w:val="0"/>
                <w:sz w:val="22"/>
                <w:szCs w:val="22"/>
              </w:rPr>
            </w:pPr>
            <w:r>
              <w:rPr>
                <w:rFonts w:hint="eastAsia" w:ascii="仿宋" w:hAnsi="仿宋" w:eastAsia="仿宋" w:cs="仿宋"/>
                <w:b/>
                <w:kern w:val="0"/>
                <w:sz w:val="22"/>
                <w:szCs w:val="22"/>
              </w:rPr>
              <w:t>人数</w:t>
            </w:r>
          </w:p>
        </w:tc>
        <w:tc>
          <w:tcPr>
            <w:tcW w:w="3038" w:type="dxa"/>
            <w:tcBorders>
              <w:tl2br w:val="nil"/>
              <w:tr2bl w:val="nil"/>
            </w:tcBorders>
            <w:vAlign w:val="center"/>
          </w:tcPr>
          <w:p>
            <w:pPr>
              <w:spacing w:line="320" w:lineRule="exact"/>
              <w:jc w:val="center"/>
              <w:rPr>
                <w:rFonts w:ascii="仿宋" w:hAnsi="仿宋" w:eastAsia="仿宋" w:cs="仿宋"/>
                <w:b/>
                <w:kern w:val="0"/>
                <w:sz w:val="22"/>
                <w:szCs w:val="22"/>
              </w:rPr>
            </w:pPr>
            <w:r>
              <w:rPr>
                <w:rFonts w:hint="eastAsia" w:ascii="仿宋" w:hAnsi="仿宋" w:eastAsia="仿宋" w:cs="仿宋"/>
                <w:b/>
                <w:kern w:val="0"/>
                <w:sz w:val="22"/>
                <w:szCs w:val="22"/>
              </w:rPr>
              <w:t>岗位职责</w:t>
            </w:r>
          </w:p>
        </w:tc>
        <w:tc>
          <w:tcPr>
            <w:tcW w:w="2637" w:type="dxa"/>
            <w:tcBorders>
              <w:tl2br w:val="nil"/>
              <w:tr2bl w:val="nil"/>
            </w:tcBorders>
            <w:vAlign w:val="center"/>
          </w:tcPr>
          <w:p>
            <w:pPr>
              <w:spacing w:line="320" w:lineRule="exact"/>
              <w:jc w:val="center"/>
              <w:rPr>
                <w:rFonts w:ascii="仿宋" w:hAnsi="仿宋" w:eastAsia="仿宋" w:cs="仿宋"/>
                <w:b/>
                <w:kern w:val="0"/>
                <w:sz w:val="22"/>
                <w:szCs w:val="22"/>
              </w:rPr>
            </w:pPr>
            <w:r>
              <w:rPr>
                <w:rFonts w:hint="eastAsia" w:ascii="仿宋" w:hAnsi="仿宋" w:eastAsia="仿宋" w:cs="仿宋"/>
                <w:b/>
                <w:kern w:val="0"/>
                <w:sz w:val="22"/>
                <w:szCs w:val="22"/>
              </w:rPr>
              <w:t>素质要求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综合管理1人</w:t>
            </w:r>
          </w:p>
        </w:tc>
        <w:tc>
          <w:tcPr>
            <w:tcW w:w="975"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项目负责人</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3038"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负责主持项目全面的管理工作。</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年龄50周岁以下，持有物业经理上岗证，具有3年及以上相关物业项目经理工作经验。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vMerge w:val="restart"/>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安全保卫32人</w:t>
            </w:r>
          </w:p>
        </w:tc>
        <w:tc>
          <w:tcPr>
            <w:tcW w:w="975"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安全主管</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3038"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负责完成安保工作及日常管理工作；落实并组织日常安保工作计划，督促落实各安保岗位职责，协助做好日常及突发事件安全保卫工作。</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年龄45周岁以下，具备专业素质，有应急处置能力，有安保管理经验者优先。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vMerge w:val="continue"/>
            <w:tcBorders>
              <w:tl2br w:val="nil"/>
              <w:tr2bl w:val="nil"/>
            </w:tcBorders>
            <w:vAlign w:val="center"/>
          </w:tcPr>
          <w:p>
            <w:pPr>
              <w:spacing w:line="320" w:lineRule="exact"/>
              <w:jc w:val="center"/>
              <w:rPr>
                <w:rFonts w:ascii="仿宋" w:hAnsi="仿宋" w:eastAsia="仿宋" w:cs="仿宋"/>
                <w:kern w:val="0"/>
                <w:sz w:val="22"/>
                <w:szCs w:val="22"/>
              </w:rPr>
            </w:pPr>
          </w:p>
        </w:tc>
        <w:tc>
          <w:tcPr>
            <w:tcW w:w="97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保安员</w:t>
            </w:r>
          </w:p>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（不低于5名女性）</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25</w:t>
            </w:r>
          </w:p>
        </w:tc>
        <w:tc>
          <w:tcPr>
            <w:tcW w:w="3038"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做好安全保卫、秩序维护、治安及其他突发事件的处置，进场前的疫情防控等相关工作。</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男性45周岁以下、身高173cm及以上；女性45周岁以下、身高160cm及以上。具备专业素质，有应急处置能力，形象端正，积极向上，无不良嗜好。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vMerge w:val="continue"/>
            <w:tcBorders>
              <w:tl2br w:val="nil"/>
              <w:tr2bl w:val="nil"/>
            </w:tcBorders>
            <w:vAlign w:val="center"/>
          </w:tcPr>
          <w:p>
            <w:pPr>
              <w:spacing w:line="320" w:lineRule="exact"/>
              <w:jc w:val="center"/>
              <w:rPr>
                <w:rFonts w:ascii="仿宋" w:hAnsi="仿宋" w:eastAsia="仿宋" w:cs="仿宋"/>
                <w:kern w:val="0"/>
                <w:sz w:val="22"/>
                <w:szCs w:val="22"/>
              </w:rPr>
            </w:pPr>
          </w:p>
        </w:tc>
        <w:tc>
          <w:tcPr>
            <w:tcW w:w="975"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消控员</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6</w:t>
            </w:r>
          </w:p>
        </w:tc>
        <w:tc>
          <w:tcPr>
            <w:tcW w:w="3038"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sz w:val="22"/>
                <w:szCs w:val="22"/>
              </w:rPr>
              <w:t>负责监视消防主机报警信号及安保摄像监控系统，处理相关突发事件等。</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年龄45周岁以下，具有相关消防类资质证书，人员固定，无不良嗜好。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vMerge w:val="restart"/>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环境管理服务6人</w:t>
            </w:r>
          </w:p>
        </w:tc>
        <w:tc>
          <w:tcPr>
            <w:tcW w:w="975"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保洁主管</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3038"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负责完成保洁工作及日常管理工作；落实并组织日常保洁工作计划、督促落实各保洁岗位职责。</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年龄50周岁以下，有统筹管理保洁工作经验。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vMerge w:val="continue"/>
            <w:tcBorders>
              <w:tl2br w:val="nil"/>
              <w:tr2bl w:val="nil"/>
            </w:tcBorders>
            <w:vAlign w:val="center"/>
          </w:tcPr>
          <w:p>
            <w:pPr>
              <w:spacing w:line="320" w:lineRule="exact"/>
              <w:jc w:val="center"/>
              <w:rPr>
                <w:rFonts w:ascii="仿宋" w:hAnsi="仿宋" w:eastAsia="仿宋" w:cs="仿宋"/>
                <w:kern w:val="0"/>
                <w:sz w:val="22"/>
                <w:szCs w:val="22"/>
              </w:rPr>
            </w:pPr>
          </w:p>
        </w:tc>
        <w:tc>
          <w:tcPr>
            <w:tcW w:w="975"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保洁员</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5</w:t>
            </w:r>
          </w:p>
        </w:tc>
        <w:tc>
          <w:tcPr>
            <w:tcW w:w="3038"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做好清扫保洁、维持场馆内外干净整洁、做好垃圾分类等工作。</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年龄55周岁以下，有保洁经验。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公共设施维护1人</w:t>
            </w:r>
          </w:p>
        </w:tc>
        <w:tc>
          <w:tcPr>
            <w:tcW w:w="975"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水电工（允许兼职）</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3038"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负责配电房高、低压配电及电梯、燃气安全管理工作，做好场馆内水电气的日常维护工作，能处理电气、燃气、用水用电、电梯安全等突发事件。</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年龄45周岁以下，具有高压电工作业证。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3"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日常管理5人</w:t>
            </w:r>
          </w:p>
        </w:tc>
        <w:tc>
          <w:tcPr>
            <w:tcW w:w="975"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公众教育</w:t>
            </w:r>
          </w:p>
        </w:tc>
        <w:tc>
          <w:tcPr>
            <w:tcW w:w="725" w:type="dxa"/>
            <w:tcBorders>
              <w:tl2br w:val="nil"/>
              <w:tr2bl w:val="nil"/>
            </w:tcBorders>
            <w:vAlign w:val="center"/>
          </w:tcPr>
          <w:p>
            <w:pPr>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5</w:t>
            </w:r>
          </w:p>
        </w:tc>
        <w:tc>
          <w:tcPr>
            <w:tcW w:w="3038" w:type="dxa"/>
            <w:tcBorders>
              <w:tl2br w:val="nil"/>
              <w:tr2bl w:val="nil"/>
            </w:tcBorders>
            <w:vAlign w:val="center"/>
          </w:tcPr>
          <w:p>
            <w:pPr>
              <w:spacing w:line="320" w:lineRule="exact"/>
              <w:rPr>
                <w:rFonts w:ascii="仿宋" w:hAnsi="仿宋" w:eastAsia="仿宋" w:cs="仿宋"/>
                <w:kern w:val="0"/>
                <w:sz w:val="22"/>
                <w:szCs w:val="22"/>
              </w:rPr>
            </w:pPr>
            <w:r>
              <w:rPr>
                <w:rFonts w:hint="eastAsia" w:ascii="仿宋" w:hAnsi="仿宋" w:eastAsia="仿宋" w:cs="仿宋"/>
                <w:kern w:val="0"/>
                <w:sz w:val="22"/>
                <w:szCs w:val="22"/>
              </w:rPr>
              <w:t>承担讲解服务，完成相关公众教育任务。</w:t>
            </w:r>
          </w:p>
        </w:tc>
        <w:tc>
          <w:tcPr>
            <w:tcW w:w="2637" w:type="dxa"/>
            <w:tcBorders>
              <w:tl2br w:val="nil"/>
              <w:tr2bl w:val="nil"/>
            </w:tcBorders>
            <w:vAlign w:val="center"/>
          </w:tcPr>
          <w:p>
            <w:pPr>
              <w:spacing w:line="320" w:lineRule="exact"/>
              <w:jc w:val="left"/>
              <w:rPr>
                <w:rFonts w:ascii="仿宋" w:hAnsi="仿宋" w:eastAsia="仿宋" w:cs="仿宋"/>
                <w:kern w:val="0"/>
                <w:sz w:val="22"/>
                <w:szCs w:val="22"/>
              </w:rPr>
            </w:pPr>
            <w:r>
              <w:rPr>
                <w:rFonts w:hint="eastAsia" w:ascii="仿宋" w:hAnsi="仿宋" w:eastAsia="仿宋" w:cs="仿宋"/>
                <w:kern w:val="0"/>
                <w:sz w:val="22"/>
                <w:szCs w:val="22"/>
              </w:rPr>
              <w:t>年龄35周岁及以下，大专及以上学历。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8" w:type="dxa"/>
            <w:gridSpan w:val="2"/>
            <w:tcBorders>
              <w:tl2br w:val="nil"/>
              <w:tr2bl w:val="nil"/>
            </w:tcBorders>
            <w:vAlign w:val="center"/>
          </w:tcPr>
          <w:p>
            <w:pPr>
              <w:spacing w:line="320" w:lineRule="exact"/>
              <w:jc w:val="center"/>
              <w:rPr>
                <w:rFonts w:ascii="仿宋" w:hAnsi="仿宋" w:eastAsia="仿宋" w:cs="仿宋"/>
                <w:b/>
                <w:kern w:val="0"/>
                <w:sz w:val="22"/>
                <w:szCs w:val="22"/>
              </w:rPr>
            </w:pPr>
            <w:r>
              <w:rPr>
                <w:rFonts w:hint="eastAsia" w:ascii="仿宋" w:hAnsi="仿宋" w:eastAsia="仿宋" w:cs="仿宋"/>
                <w:b/>
                <w:kern w:val="0"/>
                <w:sz w:val="22"/>
                <w:szCs w:val="22"/>
              </w:rPr>
              <w:t>合计</w:t>
            </w:r>
          </w:p>
        </w:tc>
        <w:tc>
          <w:tcPr>
            <w:tcW w:w="6400" w:type="dxa"/>
            <w:gridSpan w:val="3"/>
            <w:tcBorders>
              <w:tl2br w:val="nil"/>
              <w:tr2bl w:val="nil"/>
            </w:tcBorders>
            <w:vAlign w:val="center"/>
          </w:tcPr>
          <w:p>
            <w:pPr>
              <w:spacing w:line="320" w:lineRule="exact"/>
              <w:jc w:val="center"/>
              <w:rPr>
                <w:rFonts w:ascii="仿宋" w:hAnsi="仿宋" w:eastAsia="仿宋" w:cs="仿宋"/>
                <w:b/>
                <w:kern w:val="0"/>
                <w:sz w:val="22"/>
                <w:szCs w:val="22"/>
              </w:rPr>
            </w:pPr>
            <w:r>
              <w:rPr>
                <w:rFonts w:hint="eastAsia" w:ascii="仿宋" w:hAnsi="仿宋" w:eastAsia="仿宋" w:cs="仿宋"/>
                <w:b/>
                <w:kern w:val="0"/>
                <w:sz w:val="22"/>
                <w:szCs w:val="22"/>
              </w:rPr>
              <w:t>45人</w:t>
            </w:r>
          </w:p>
        </w:tc>
      </w:tr>
    </w:tbl>
    <w:p>
      <w:pPr>
        <w:spacing w:line="360" w:lineRule="auto"/>
        <w:ind w:firstLine="440" w:firstLineChars="200"/>
        <w:rPr>
          <w:rFonts w:ascii="仿宋" w:hAnsi="仿宋" w:eastAsia="仿宋" w:cs="仿宋"/>
          <w:b/>
          <w:bCs/>
          <w:sz w:val="22"/>
          <w:szCs w:val="22"/>
        </w:rPr>
      </w:pPr>
      <w:r>
        <w:rPr>
          <w:rFonts w:hint="eastAsia" w:ascii="仿宋" w:hAnsi="仿宋" w:eastAsia="仿宋" w:cs="仿宋"/>
          <w:sz w:val="22"/>
          <w:szCs w:val="22"/>
        </w:rPr>
        <w:t>注：</w:t>
      </w:r>
      <w:r>
        <w:rPr>
          <w:rFonts w:hint="eastAsia" w:ascii="仿宋" w:hAnsi="仿宋" w:eastAsia="仿宋" w:cs="仿宋"/>
          <w:sz w:val="22"/>
          <w:szCs w:val="22"/>
          <w:lang w:eastAsia="zh-CN"/>
        </w:rPr>
        <w:t>供应商</w:t>
      </w:r>
      <w:r>
        <w:rPr>
          <w:rFonts w:hint="eastAsia" w:ascii="仿宋" w:hAnsi="仿宋" w:eastAsia="仿宋" w:cs="仿宋"/>
          <w:sz w:val="22"/>
          <w:szCs w:val="22"/>
        </w:rPr>
        <w:t>需对本表的人员岗位安排分配进行优化完善。</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3、机械设备配备要求：</w:t>
      </w:r>
    </w:p>
    <w:tbl>
      <w:tblPr>
        <w:tblStyle w:val="62"/>
        <w:tblW w:w="8523" w:type="dxa"/>
        <w:jc w:val="center"/>
        <w:tblLayout w:type="fixed"/>
        <w:tblCellMar>
          <w:top w:w="0" w:type="dxa"/>
          <w:left w:w="108" w:type="dxa"/>
          <w:bottom w:w="0" w:type="dxa"/>
          <w:right w:w="108" w:type="dxa"/>
        </w:tblCellMar>
      </w:tblPr>
      <w:tblGrid>
        <w:gridCol w:w="1188"/>
        <w:gridCol w:w="3396"/>
        <w:gridCol w:w="1281"/>
        <w:gridCol w:w="1270"/>
        <w:gridCol w:w="1388"/>
      </w:tblGrid>
      <w:tr>
        <w:tblPrEx>
          <w:tblCellMar>
            <w:top w:w="0" w:type="dxa"/>
            <w:left w:w="108" w:type="dxa"/>
            <w:bottom w:w="0" w:type="dxa"/>
            <w:right w:w="108" w:type="dxa"/>
          </w:tblCellMar>
        </w:tblPrEx>
        <w:trPr>
          <w:trHeight w:val="454"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b/>
                <w:bCs/>
                <w:kern w:val="0"/>
                <w:sz w:val="22"/>
                <w:szCs w:val="22"/>
              </w:rPr>
            </w:pPr>
            <w:r>
              <w:rPr>
                <w:rFonts w:hint="eastAsia" w:ascii="仿宋" w:hAnsi="仿宋" w:eastAsia="仿宋" w:cs="仿宋"/>
                <w:b/>
                <w:bCs/>
                <w:kern w:val="0"/>
                <w:sz w:val="22"/>
                <w:szCs w:val="22"/>
              </w:rPr>
              <w:t>类别</w:t>
            </w:r>
          </w:p>
        </w:tc>
        <w:tc>
          <w:tcPr>
            <w:tcW w:w="3396"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b/>
                <w:bCs/>
                <w:kern w:val="0"/>
                <w:sz w:val="22"/>
                <w:szCs w:val="22"/>
              </w:rPr>
            </w:pPr>
            <w:r>
              <w:rPr>
                <w:rFonts w:hint="eastAsia" w:ascii="仿宋" w:hAnsi="仿宋" w:eastAsia="仿宋" w:cs="仿宋"/>
                <w:b/>
                <w:bCs/>
                <w:kern w:val="0"/>
                <w:sz w:val="22"/>
                <w:szCs w:val="22"/>
              </w:rPr>
              <w:t>名称</w:t>
            </w:r>
          </w:p>
        </w:tc>
        <w:tc>
          <w:tcPr>
            <w:tcW w:w="1281"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b/>
                <w:bCs/>
                <w:kern w:val="0"/>
                <w:sz w:val="22"/>
                <w:szCs w:val="22"/>
              </w:rPr>
            </w:pPr>
            <w:r>
              <w:rPr>
                <w:rFonts w:hint="eastAsia" w:ascii="仿宋" w:hAnsi="仿宋" w:eastAsia="仿宋" w:cs="仿宋"/>
                <w:b/>
                <w:bCs/>
                <w:kern w:val="0"/>
                <w:sz w:val="22"/>
                <w:szCs w:val="22"/>
              </w:rPr>
              <w:t>单位</w:t>
            </w:r>
          </w:p>
        </w:tc>
        <w:tc>
          <w:tcPr>
            <w:tcW w:w="1270"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b/>
                <w:bCs/>
                <w:kern w:val="0"/>
                <w:sz w:val="22"/>
                <w:szCs w:val="22"/>
              </w:rPr>
            </w:pPr>
            <w:r>
              <w:rPr>
                <w:rFonts w:hint="eastAsia" w:ascii="仿宋" w:hAnsi="仿宋" w:eastAsia="仿宋" w:cs="仿宋"/>
                <w:b/>
                <w:bCs/>
                <w:kern w:val="0"/>
                <w:sz w:val="22"/>
                <w:szCs w:val="22"/>
              </w:rPr>
              <w:t>数量</w:t>
            </w:r>
          </w:p>
        </w:tc>
        <w:tc>
          <w:tcPr>
            <w:tcW w:w="1388"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b/>
                <w:bCs/>
                <w:kern w:val="0"/>
                <w:sz w:val="22"/>
                <w:szCs w:val="22"/>
              </w:rPr>
            </w:pPr>
            <w:r>
              <w:rPr>
                <w:rFonts w:hint="eastAsia" w:ascii="仿宋" w:hAnsi="仿宋" w:eastAsia="仿宋" w:cs="仿宋"/>
                <w:b/>
                <w:bCs/>
                <w:kern w:val="0"/>
                <w:sz w:val="22"/>
                <w:szCs w:val="22"/>
              </w:rPr>
              <w:t>备注</w:t>
            </w:r>
          </w:p>
        </w:tc>
      </w:tr>
      <w:tr>
        <w:tblPrEx>
          <w:tblCellMar>
            <w:top w:w="0" w:type="dxa"/>
            <w:left w:w="108" w:type="dxa"/>
            <w:bottom w:w="0" w:type="dxa"/>
            <w:right w:w="108" w:type="dxa"/>
          </w:tblCellMar>
        </w:tblPrEx>
        <w:trPr>
          <w:trHeight w:val="454" w:hRule="atLeast"/>
          <w:jc w:val="center"/>
        </w:trPr>
        <w:tc>
          <w:tcPr>
            <w:tcW w:w="1188" w:type="dxa"/>
            <w:vMerge w:val="restart"/>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工程用品</w:t>
            </w: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个人维修工具</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套</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排水泵</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台</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4</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水带</w:t>
            </w:r>
          </w:p>
        </w:tc>
        <w:tc>
          <w:tcPr>
            <w:tcW w:w="1281"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米</w:t>
            </w:r>
          </w:p>
        </w:tc>
        <w:tc>
          <w:tcPr>
            <w:tcW w:w="1270"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100</w:t>
            </w:r>
          </w:p>
        </w:tc>
        <w:tc>
          <w:tcPr>
            <w:tcW w:w="1388" w:type="dxa"/>
            <w:tcBorders>
              <w:top w:val="single" w:color="auto" w:sz="4" w:space="0"/>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高低配绝缘设施设备</w:t>
            </w:r>
          </w:p>
        </w:tc>
        <w:tc>
          <w:tcPr>
            <w:tcW w:w="1281"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套</w:t>
            </w:r>
          </w:p>
        </w:tc>
        <w:tc>
          <w:tcPr>
            <w:tcW w:w="1270"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single" w:color="auto" w:sz="4" w:space="0"/>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管道疏通机</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台</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拖线盘</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米</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100</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热熔器</w:t>
            </w:r>
          </w:p>
        </w:tc>
        <w:tc>
          <w:tcPr>
            <w:tcW w:w="1281"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只</w:t>
            </w:r>
          </w:p>
        </w:tc>
        <w:tc>
          <w:tcPr>
            <w:tcW w:w="1270"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single" w:color="auto" w:sz="4" w:space="0"/>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手提气焊枪</w:t>
            </w:r>
          </w:p>
        </w:tc>
        <w:tc>
          <w:tcPr>
            <w:tcW w:w="1281"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个</w:t>
            </w:r>
          </w:p>
        </w:tc>
        <w:tc>
          <w:tcPr>
            <w:tcW w:w="1270"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single" w:color="auto" w:sz="4" w:space="0"/>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消防三合一烟枪</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个</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液压钳</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个</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气泵</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个</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电动镐</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个</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restart"/>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清洁工具</w:t>
            </w:r>
          </w:p>
        </w:tc>
        <w:tc>
          <w:tcPr>
            <w:tcW w:w="3396" w:type="dxa"/>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水管</w:t>
            </w:r>
          </w:p>
        </w:tc>
        <w:tc>
          <w:tcPr>
            <w:tcW w:w="1281"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米</w:t>
            </w:r>
          </w:p>
        </w:tc>
        <w:tc>
          <w:tcPr>
            <w:tcW w:w="1270"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400</w:t>
            </w:r>
          </w:p>
        </w:tc>
        <w:tc>
          <w:tcPr>
            <w:tcW w:w="1388" w:type="dxa"/>
            <w:tcBorders>
              <w:top w:val="single" w:color="auto" w:sz="4" w:space="0"/>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高压水枪</w:t>
            </w:r>
          </w:p>
        </w:tc>
        <w:tc>
          <w:tcPr>
            <w:tcW w:w="1281"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台</w:t>
            </w:r>
          </w:p>
        </w:tc>
        <w:tc>
          <w:tcPr>
            <w:tcW w:w="1270" w:type="dxa"/>
            <w:tcBorders>
              <w:top w:val="single" w:color="auto" w:sz="4" w:space="0"/>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single" w:color="auto" w:sz="4" w:space="0"/>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多功能洗地机</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台</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抛光机</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台</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晶面处理机</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台</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吸尘器</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台</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擦玻璃器具</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套</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6</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个人清洁工具</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套</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6</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r>
        <w:tblPrEx>
          <w:tblCellMar>
            <w:top w:w="0" w:type="dxa"/>
            <w:left w:w="108" w:type="dxa"/>
            <w:bottom w:w="0" w:type="dxa"/>
            <w:right w:w="108" w:type="dxa"/>
          </w:tblCellMar>
        </w:tblPrEx>
        <w:trPr>
          <w:trHeight w:val="454"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p>
        </w:tc>
        <w:tc>
          <w:tcPr>
            <w:tcW w:w="3396"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室外清扫车</w:t>
            </w:r>
          </w:p>
        </w:tc>
        <w:tc>
          <w:tcPr>
            <w:tcW w:w="1281"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辆</w:t>
            </w:r>
          </w:p>
        </w:tc>
        <w:tc>
          <w:tcPr>
            <w:tcW w:w="1270" w:type="dxa"/>
            <w:tcBorders>
              <w:top w:val="nil"/>
              <w:left w:val="nil"/>
              <w:bottom w:val="single" w:color="auto" w:sz="4" w:space="0"/>
              <w:right w:val="single" w:color="auto" w:sz="4" w:space="0"/>
            </w:tcBorders>
            <w:vAlign w:val="center"/>
          </w:tcPr>
          <w:p>
            <w:pPr>
              <w:adjustRightInd/>
              <w:spacing w:line="320" w:lineRule="exact"/>
              <w:jc w:val="center"/>
              <w:rPr>
                <w:rFonts w:ascii="仿宋" w:hAnsi="仿宋" w:eastAsia="仿宋" w:cs="仿宋"/>
                <w:kern w:val="0"/>
                <w:sz w:val="22"/>
                <w:szCs w:val="22"/>
              </w:rPr>
            </w:pPr>
            <w:r>
              <w:rPr>
                <w:rFonts w:hint="eastAsia" w:ascii="仿宋" w:hAnsi="仿宋" w:eastAsia="仿宋" w:cs="仿宋"/>
                <w:kern w:val="0"/>
                <w:sz w:val="22"/>
                <w:szCs w:val="22"/>
              </w:rPr>
              <w:t>1</w:t>
            </w:r>
          </w:p>
        </w:tc>
        <w:tc>
          <w:tcPr>
            <w:tcW w:w="1388" w:type="dxa"/>
            <w:tcBorders>
              <w:top w:val="nil"/>
              <w:left w:val="nil"/>
              <w:bottom w:val="single" w:color="auto" w:sz="4" w:space="0"/>
              <w:right w:val="single" w:color="auto" w:sz="4" w:space="0"/>
            </w:tcBorders>
          </w:tcPr>
          <w:p>
            <w:pPr>
              <w:adjustRightInd/>
              <w:spacing w:line="320" w:lineRule="exact"/>
              <w:jc w:val="center"/>
              <w:rPr>
                <w:rFonts w:ascii="仿宋" w:hAnsi="仿宋" w:eastAsia="仿宋" w:cs="仿宋"/>
                <w:kern w:val="0"/>
                <w:sz w:val="22"/>
                <w:szCs w:val="22"/>
              </w:rPr>
            </w:pPr>
          </w:p>
        </w:tc>
      </w:tr>
    </w:tbl>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注：1.为保证本项目顺利实施，该项目所需的设施设备由</w:t>
      </w:r>
      <w:r>
        <w:rPr>
          <w:rFonts w:hint="eastAsia" w:ascii="仿宋" w:hAnsi="仿宋" w:eastAsia="仿宋" w:cs="仿宋"/>
          <w:sz w:val="22"/>
          <w:szCs w:val="22"/>
          <w:lang w:eastAsia="zh-CN"/>
        </w:rPr>
        <w:t>供应商</w:t>
      </w:r>
      <w:r>
        <w:rPr>
          <w:rFonts w:hint="eastAsia" w:ascii="仿宋" w:hAnsi="仿宋" w:eastAsia="仿宋" w:cs="仿宋"/>
          <w:sz w:val="22"/>
          <w:szCs w:val="22"/>
        </w:rPr>
        <w:t>根据实际需要自行配备，包括但不限于以上清单；</w:t>
      </w:r>
    </w:p>
    <w:p>
      <w:pPr>
        <w:tabs>
          <w:tab w:val="left" w:pos="540"/>
        </w:tabs>
        <w:snapToGrid w:val="0"/>
        <w:spacing w:line="360" w:lineRule="auto"/>
        <w:ind w:firstLine="880" w:firstLineChars="400"/>
        <w:rPr>
          <w:rFonts w:ascii="仿宋" w:hAnsi="仿宋" w:eastAsia="仿宋" w:cs="仿宋"/>
          <w:sz w:val="22"/>
          <w:szCs w:val="22"/>
        </w:rPr>
      </w:pPr>
      <w:r>
        <w:rPr>
          <w:rFonts w:hint="eastAsia" w:ascii="仿宋" w:hAnsi="仿宋" w:eastAsia="仿宋" w:cs="仿宋"/>
          <w:sz w:val="22"/>
          <w:szCs w:val="22"/>
        </w:rPr>
        <w:t>2.合同期内设施设备使用、折旧费用已包含在投标报价中，在本项目合同期满后，归乙方所有。</w:t>
      </w:r>
    </w:p>
    <w:p>
      <w:pPr>
        <w:tabs>
          <w:tab w:val="left" w:pos="540"/>
        </w:tabs>
        <w:snapToGrid w:val="0"/>
        <w:spacing w:line="360" w:lineRule="auto"/>
        <w:rPr>
          <w:rFonts w:ascii="仿宋" w:hAnsi="仿宋" w:eastAsia="仿宋" w:cs="仿宋"/>
          <w:b/>
          <w:bCs/>
          <w:sz w:val="22"/>
          <w:szCs w:val="22"/>
        </w:rPr>
      </w:pPr>
      <w:bookmarkStart w:id="44" w:name="_Toc369095831"/>
      <w:bookmarkStart w:id="45" w:name="OLE_LINK4"/>
    </w:p>
    <w:p>
      <w:pPr>
        <w:tabs>
          <w:tab w:val="left" w:pos="540"/>
        </w:tabs>
        <w:snapToGrid w:val="0"/>
        <w:spacing w:line="360" w:lineRule="auto"/>
        <w:rPr>
          <w:rFonts w:ascii="仿宋" w:hAnsi="仿宋" w:eastAsia="仿宋" w:cs="仿宋"/>
          <w:b/>
          <w:bCs/>
          <w:sz w:val="22"/>
          <w:szCs w:val="22"/>
        </w:rPr>
      </w:pPr>
      <w:r>
        <w:rPr>
          <w:rFonts w:hint="eastAsia" w:ascii="仿宋" w:hAnsi="仿宋" w:eastAsia="仿宋" w:cs="仿宋"/>
          <w:b/>
          <w:bCs/>
          <w:sz w:val="22"/>
          <w:szCs w:val="22"/>
        </w:rPr>
        <w:t>三、具体服务要求</w:t>
      </w:r>
      <w:bookmarkEnd w:id="44"/>
    </w:p>
    <w:bookmarkEnd w:id="45"/>
    <w:p>
      <w:pPr>
        <w:tabs>
          <w:tab w:val="left" w:pos="540"/>
        </w:tabs>
        <w:snapToGrid w:val="0"/>
        <w:spacing w:line="360" w:lineRule="auto"/>
        <w:ind w:firstLine="442" w:firstLineChars="200"/>
        <w:rPr>
          <w:rFonts w:ascii="仿宋" w:hAnsi="仿宋" w:eastAsia="仿宋" w:cs="仿宋"/>
          <w:b/>
          <w:bCs/>
          <w:sz w:val="22"/>
          <w:szCs w:val="22"/>
        </w:rPr>
      </w:pPr>
      <w:bookmarkStart w:id="46" w:name="_Toc369095832"/>
      <w:bookmarkStart w:id="47" w:name="OLE_LINK5"/>
      <w:r>
        <w:rPr>
          <w:rFonts w:hint="eastAsia" w:ascii="仿宋" w:hAnsi="仿宋" w:eastAsia="仿宋" w:cs="仿宋"/>
          <w:b/>
          <w:bCs/>
          <w:sz w:val="22"/>
          <w:szCs w:val="22"/>
        </w:rPr>
        <w:t>（一）保安员服务要求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（1）工作时间：每周二至周日，8:30-16：30。其中地下停车场、办公区传达室人员全年24小时值守。</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（2）工作范围：主要为陈列区、办公区、公共区等保卫工作。</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工作要求：对进出人员进行身份查验、登记、维持秩序；配合采购人做好安全防控防疫工作；严格执行值班巡逻制度，工作时间全时段进行巡查，并做好巡查记录；维护交通秩序，指挥停车场车辆有序停放，保证通道畅通等。</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（二）消控员服务要求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（1）工作时间：消控（监控）室全年24小时值守。</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（2）工作范围：消控（监控）室等。</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工作要求：熟练掌控监控、消防报警等设备的技术性能及操作方法，熟悉馆内环境、消防设施设备的散布情形及摆放点、消防器材数量，负责全天24小时监视消防主机报警信号及安保摄像监控系统，周密凝视监控屏上各种动态情形，及时通报有关岗位，处理相关突发事件等。</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（三）环境管理服务要求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工作时间：每周一至周日，8:30-16：30。原则上在开馆前闭馆后半小时完成保洁工作，在工作时间内（含节假日）加强卫生巡查，发现杂物及时清除，实行全天候保洁。公共部位每天至少拖洗三次，定期消毒除味；公共场所每天至少清扫二次，早晨、中午各一次，并实行全天候保洁；闭馆期间需安排保洁人员值班。</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2.工作范围：主要为陈列区、办公区、公共区等的卫生保洁。</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3.工作要求：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（1）陈列区：地面墙面无杂物无污迹，玻璃展柜整洁明亮，各种可擦拭性展品、标牌、消防器具等无浮尘。</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（2）办公区：地面、墙面等无尘土、无污迹，门、窗、玻璃及各种公用设施要保持亮洁，卫生间各种设备清洁、亮洁、无水锈、无异味，会议室、茶水间等空间及时清理。</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公共区：洗手间各种设施干净整洁，墙面、地面、便池干净无杂物、无积水、无异味，洗手池镜面明亮、台面整洁；大厅、电梯、走廊、安检区、楼梯间、广场、停车场等区域干净整洁；确保文化驿站、书吧、体验中心、接待厅等空间使用后的洁净有序。</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（4）消杀服务：保洁区域内定期消杀，防止蚊蝇蟑螂等害虫滋生，消除“四害”；公共卫生事件期间应按照当地政府及采购方要求做好卫生防疫工作。</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（5）垃圾分类：做好公共区域垃圾桶的垃圾分检工作以及各单体垃圾清运至指定的垃圾集中堆放点。</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（四）公共设施维护要求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1.工作时间：水电工全年24小时应急响应。</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2.工作范围：负责配电房高、低压配电及电梯、燃气安全管理工作，做好场馆内水电气的日常维护工作，能处理电气、燃气、用水用电、电梯安全等突发事件。</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3.工作要求：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（1）做好建筑公共部位和构筑物的管理与维护，包括但不限于屋顶、楼梯间、走廊通道、卫生间、门窗（锁）、上下水管道、车棚等。定期开展安全巡查。</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（2）做好公共设施设备的管理与操作，包括但不限于电梯、机电设备、消防设备设施、弱电系统、空调、高低压配电设备设施、灯光照明系统、清洁设施等。</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（3）做好供电系统的管理，电力设施设备严格按供电局电力运行及供电要求进行管理；做好高低压配电房工作，加强安全防范措施；做到持证上岗，确保人员设备安全。</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4）做好公共水电供给及设施设备的管理与维修：每天至少一次巡查供水管道、供电线路、检查水龙头、及时开关开水箱、卫生洁具、楼道灯等公共部位设施设备情况，发现损坏，及时更换。水电气设施设备，要求每天一次小检查，每周一次大检查，确保水电气设施设备完好运转。充分做好维修准备，接到维修通知后，应及时到达现场予以修复。</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（5）落实应急措施。遇特殊情况、灾害性天气、梅雨季节等提前做好巡查工作，排查安全隐患，漏点、堵点，做到发现及时、处置迅速，服务保障有力，安全万无一失。</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（五）日常管理服务要求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1.工作时间：每周二至周日，8:30-16:30（特殊情况除外）。</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2.工作要求：做好游客服务、秩序管理、讲解、展览策划、宣传教育、会务、多媒体设备管理、志愿者管理、网站公众号等平台的运行维护、文化活动宣传推广、文物管理系统、多媒体导览等工作。</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3.人员要求：</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（1）拥护党的路线、方针、政策，遵纪守法，品行端正，无违法违纪行为；</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（2）年龄在35周岁及以下，嵊州市籍户口，特别优秀可放宽；</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（3）大专及以上学历，越剧相关专业可放宽；</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（4）身体健康，有亲和力，形象气质佳。身高：女160厘米以上，男175厘米以上；</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（5）普通话标准，声音宏亮、吐字清晰、语言流畅；</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（6）热爱越剧，钟情博物馆，有较强的事业心和责任心，擅于沟通；</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（7）同等条件下优先考虑：有普通话一级乙等及以上证书者；与越剧、戏曲、表演相关专业毕业者；英语（六级及以上）或其他外语口语流利者；有海外留学经历者。</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（六）服务承诺：</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1.人员到岗到位。按规定配足工作人员，任何岗位定岗定人，如有缺岗需提前告知采购人，并提交补充方案，不得擅自缺岗。工作时间内带班人员必须在岗。</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2.服务规范有序。各员工应自觉遵守各项规章制度，统一着装，佩证上岗，规范操作。</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3.工作高质高效。安保及时有效；卫生全天候保洁；维修在接电话10分钟内赶到现场，做到急修及排除，一般修理在半个工作日内完成。</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4.员工工资不低于当地最低工资标准，需缴纳五险一金。</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5.工作餐由乙方提供。</w:t>
      </w:r>
    </w:p>
    <w:p>
      <w:pPr>
        <w:tabs>
          <w:tab w:val="left" w:pos="540"/>
        </w:tabs>
        <w:snapToGrid w:val="0"/>
        <w:spacing w:line="360" w:lineRule="auto"/>
        <w:ind w:firstLine="440" w:firstLineChars="200"/>
        <w:rPr>
          <w:rFonts w:ascii="仿宋" w:hAnsi="仿宋" w:eastAsia="仿宋" w:cs="仿宋"/>
          <w:sz w:val="22"/>
          <w:szCs w:val="22"/>
          <w:lang w:val="en"/>
        </w:rPr>
      </w:pPr>
      <w:r>
        <w:rPr>
          <w:rFonts w:hint="eastAsia" w:ascii="仿宋" w:hAnsi="仿宋" w:eastAsia="仿宋" w:cs="仿宋"/>
          <w:sz w:val="22"/>
          <w:szCs w:val="22"/>
        </w:rPr>
        <w:t>6.工作服：讲解员由甲方提供，其他人员由乙方提供。</w:t>
      </w:r>
    </w:p>
    <w:p>
      <w:pPr>
        <w:tabs>
          <w:tab w:val="left" w:pos="540"/>
        </w:tabs>
        <w:snapToGrid w:val="0"/>
        <w:spacing w:line="360" w:lineRule="auto"/>
        <w:ind w:firstLine="440" w:firstLineChars="200"/>
        <w:rPr>
          <w:lang w:val="en"/>
        </w:rPr>
      </w:pPr>
      <w:r>
        <w:rPr>
          <w:rFonts w:ascii="仿宋" w:hAnsi="仿宋" w:eastAsia="仿宋" w:cs="仿宋"/>
          <w:sz w:val="22"/>
          <w:szCs w:val="22"/>
          <w:lang w:val="en"/>
        </w:rPr>
        <w:t>7.</w:t>
      </w:r>
      <w:r>
        <w:rPr>
          <w:rFonts w:hint="eastAsia" w:ascii="仿宋" w:hAnsi="仿宋" w:eastAsia="仿宋" w:cs="仿宋"/>
          <w:sz w:val="22"/>
          <w:szCs w:val="22"/>
        </w:rPr>
        <w:t>办公场所由甲方提供。</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（七）其他责任：</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1.乙方要加强对员工的培训、教育，爱护公共财物，确保工作和上下班安全，杜绝各类事故。</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2.乙方有管理各类设施设备的义务，如发现人为损坏，各类费用由乙方承担，并应对故意损坏人员做出相应处分。</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3.征得甲方同意，乙方可选聘专业公司承担特殊专项服务，但不得将该管理责任转让第三方。</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4.各类设施设备在正常使用过程中发现损坏，乙方应及时报告，采购人派专人查验后进行维修，材料费由采购人承担。</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5.工作人员的日常管理及人身安全等均由乙方管理和承担。</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6.乙方应自觉接受配合采购人的考核（考核办法后附）。</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7.乙方应按投标时提交的管理方案，吸纳采购人提出的相关要求后严格组织实施。</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8.本项目合同期终止时，乙方必须向甲方移交全部管理用房及管理的全部档案资料。</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9.在公共卫生事件期间或其他重大突发事件期间，乙方应当无条件的配合采购方按照要求做好卫生防疫工作或者突发事件应急防控措施。</w:t>
      </w:r>
    </w:p>
    <w:p>
      <w:pPr>
        <w:tabs>
          <w:tab w:val="left" w:pos="540"/>
        </w:tabs>
        <w:snapToGrid w:val="0"/>
        <w:spacing w:line="360" w:lineRule="auto"/>
        <w:rPr>
          <w:rFonts w:ascii="仿宋" w:hAnsi="仿宋" w:eastAsia="仿宋" w:cs="仿宋"/>
          <w:b/>
          <w:bCs/>
          <w:sz w:val="22"/>
          <w:szCs w:val="22"/>
        </w:rPr>
      </w:pPr>
    </w:p>
    <w:p>
      <w:pPr>
        <w:tabs>
          <w:tab w:val="left" w:pos="540"/>
        </w:tabs>
        <w:snapToGrid w:val="0"/>
        <w:spacing w:line="360" w:lineRule="auto"/>
        <w:rPr>
          <w:rFonts w:ascii="仿宋" w:hAnsi="仿宋" w:eastAsia="仿宋" w:cs="仿宋"/>
          <w:b/>
          <w:bCs/>
          <w:sz w:val="22"/>
          <w:szCs w:val="22"/>
        </w:rPr>
      </w:pPr>
      <w:r>
        <w:rPr>
          <w:rFonts w:hint="eastAsia" w:ascii="仿宋" w:hAnsi="仿宋" w:eastAsia="仿宋" w:cs="仿宋"/>
          <w:b/>
          <w:bCs/>
          <w:sz w:val="22"/>
          <w:szCs w:val="22"/>
        </w:rPr>
        <w:t>四、</w:t>
      </w:r>
      <w:bookmarkEnd w:id="46"/>
      <w:r>
        <w:rPr>
          <w:rFonts w:hint="eastAsia" w:ascii="仿宋" w:hAnsi="仿宋" w:eastAsia="仿宋" w:cs="仿宋"/>
          <w:b/>
          <w:bCs/>
          <w:sz w:val="22"/>
          <w:szCs w:val="22"/>
        </w:rPr>
        <w:t>考核办法</w:t>
      </w:r>
    </w:p>
    <w:bookmarkEnd w:id="41"/>
    <w:bookmarkEnd w:id="47"/>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（一）考核办法：</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考核以平时巡查考核、月度考核相结合的方式进行。平时巡查考核，由采购人采取不定时抽查的方式进行，考核结果记入月度考核中。月度考核每月进行现场检查，并按照考核标准、评分细则，实行分级分类考核，考核基准分为100分，实行倒扣分制。考核成绩将作为服务费付款依据。</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（二）考核奖惩：</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1.月度考核采用百分制，每月考核一次，并按以下原则评定考核等级：</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a.考核分高于90分(含)视为优秀，不扣除月服务费。</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b.考核分高于85分(含)但低于90分(不含)视为良好，扣除月服务费总额的2%。</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c.考核分高于75分(含)但低于85分(不含)视为合格，扣除月服务费总额的5%。</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d.考核分低于75分(不含)视为不合格，扣除月服务费总额的10%。连续两个月低于75分，采购人有权单方面与服务单位终止服务合同。</w:t>
      </w:r>
    </w:p>
    <w:p>
      <w:pPr>
        <w:tabs>
          <w:tab w:val="left" w:pos="540"/>
        </w:tabs>
        <w:snapToGrid w:val="0"/>
        <w:spacing w:line="360" w:lineRule="auto"/>
        <w:ind w:firstLine="440" w:firstLineChars="200"/>
        <w:rPr>
          <w:rFonts w:ascii="仿宋" w:hAnsi="仿宋" w:eastAsia="仿宋" w:cs="仿宋"/>
          <w:sz w:val="22"/>
          <w:szCs w:val="22"/>
        </w:rPr>
      </w:pPr>
      <w:r>
        <w:rPr>
          <w:rFonts w:ascii="仿宋" w:hAnsi="仿宋" w:eastAsia="仿宋" w:cs="仿宋"/>
          <w:sz w:val="22"/>
          <w:szCs w:val="22"/>
        </w:rPr>
        <w:t>2</w:t>
      </w:r>
      <w:r>
        <w:rPr>
          <w:rFonts w:hint="eastAsia" w:ascii="仿宋" w:hAnsi="仿宋" w:eastAsia="仿宋" w:cs="仿宋"/>
          <w:sz w:val="22"/>
          <w:szCs w:val="22"/>
        </w:rPr>
        <w:t>.中标单位如有以下情形之一的，当月考核直接认定为不合格：</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a.中标单位无正当理由未按规定配足工作人员，经采购人督促后，一周内仍未按照标准配备到位的。</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b.中标单位工作人员因故缺岗，应及时安排补缺，当月被发现工作人员缺岗2次以上的。</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c.因中标单位怠于履行职责，造成后果，影响恶劣的，考核评定为不合格，扣除当月管理服务费用的10%。</w:t>
      </w:r>
    </w:p>
    <w:p>
      <w:pPr>
        <w:tabs>
          <w:tab w:val="left" w:pos="540"/>
        </w:tabs>
        <w:snapToGrid w:val="0"/>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d.因中标单位原因被上级或相关媒体通报批评的，考核评定为不合格，扣除当月管理服务费的10%。</w:t>
      </w:r>
    </w:p>
    <w:p>
      <w:pPr>
        <w:tabs>
          <w:tab w:val="left" w:pos="540"/>
        </w:tabs>
        <w:snapToGrid w:val="0"/>
        <w:spacing w:line="360" w:lineRule="auto"/>
        <w:ind w:firstLine="442" w:firstLineChars="200"/>
        <w:rPr>
          <w:rFonts w:ascii="仿宋" w:hAnsi="仿宋" w:eastAsia="仿宋" w:cs="仿宋"/>
          <w:b/>
          <w:bCs/>
          <w:sz w:val="22"/>
          <w:szCs w:val="22"/>
        </w:rPr>
      </w:pPr>
      <w:r>
        <w:rPr>
          <w:rFonts w:hint="eastAsia" w:ascii="仿宋" w:hAnsi="仿宋" w:eastAsia="仿宋" w:cs="仿宋"/>
          <w:b/>
          <w:bCs/>
          <w:sz w:val="22"/>
          <w:szCs w:val="22"/>
        </w:rPr>
        <w:t>4.考核细则：</w:t>
      </w:r>
    </w:p>
    <w:p>
      <w:pPr>
        <w:spacing w:line="360" w:lineRule="auto"/>
        <w:ind w:firstLine="442" w:firstLineChars="200"/>
        <w:rPr>
          <w:rFonts w:ascii="仿宋" w:hAnsi="仿宋" w:eastAsia="仿宋" w:cs="仿宋"/>
          <w:b/>
          <w:sz w:val="22"/>
          <w:szCs w:val="22"/>
        </w:rPr>
      </w:pPr>
      <w:r>
        <w:rPr>
          <w:rFonts w:hint="eastAsia" w:ascii="仿宋" w:hAnsi="仿宋" w:eastAsia="仿宋" w:cs="仿宋"/>
          <w:b/>
          <w:sz w:val="22"/>
          <w:szCs w:val="22"/>
        </w:rPr>
        <w:t>（1）对员工的整体考核（20分）</w:t>
      </w:r>
    </w:p>
    <w:tbl>
      <w:tblPr>
        <w:tblStyle w:val="63"/>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4714"/>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Align w:val="center"/>
          </w:tcPr>
          <w:p>
            <w:pPr>
              <w:spacing w:line="460" w:lineRule="exact"/>
              <w:jc w:val="center"/>
              <w:rPr>
                <w:rFonts w:ascii="仿宋" w:hAnsi="仿宋" w:eastAsia="仿宋" w:cs="仿宋"/>
                <w:b/>
                <w:sz w:val="22"/>
                <w:szCs w:val="22"/>
              </w:rPr>
            </w:pPr>
            <w:r>
              <w:rPr>
                <w:rFonts w:hint="eastAsia" w:ascii="仿宋" w:hAnsi="仿宋" w:eastAsia="仿宋" w:cs="仿宋"/>
                <w:b/>
                <w:bCs/>
                <w:sz w:val="22"/>
                <w:szCs w:val="22"/>
              </w:rPr>
              <w:t>序号</w:t>
            </w:r>
          </w:p>
        </w:tc>
        <w:tc>
          <w:tcPr>
            <w:tcW w:w="4714" w:type="dxa"/>
            <w:vAlign w:val="center"/>
          </w:tcPr>
          <w:p>
            <w:pPr>
              <w:widowControl/>
              <w:spacing w:line="320" w:lineRule="exact"/>
              <w:jc w:val="center"/>
              <w:rPr>
                <w:rFonts w:ascii="仿宋" w:hAnsi="仿宋" w:eastAsia="仿宋" w:cs="仿宋"/>
                <w:b/>
                <w:sz w:val="22"/>
                <w:szCs w:val="22"/>
              </w:rPr>
            </w:pPr>
            <w:r>
              <w:rPr>
                <w:rFonts w:hint="eastAsia" w:ascii="仿宋" w:hAnsi="仿宋" w:eastAsia="仿宋" w:cs="仿宋"/>
                <w:b/>
                <w:bCs/>
                <w:sz w:val="22"/>
                <w:szCs w:val="22"/>
              </w:rPr>
              <w:t>目标要求</w:t>
            </w:r>
          </w:p>
        </w:tc>
        <w:tc>
          <w:tcPr>
            <w:tcW w:w="2832" w:type="dxa"/>
            <w:vAlign w:val="center"/>
          </w:tcPr>
          <w:p>
            <w:pPr>
              <w:widowControl/>
              <w:spacing w:line="320" w:lineRule="exact"/>
              <w:jc w:val="center"/>
              <w:rPr>
                <w:rFonts w:ascii="仿宋" w:hAnsi="仿宋" w:eastAsia="仿宋" w:cs="仿宋"/>
                <w:b/>
                <w:sz w:val="22"/>
                <w:szCs w:val="22"/>
              </w:rPr>
            </w:pPr>
            <w:r>
              <w:rPr>
                <w:rFonts w:hint="eastAsia" w:ascii="仿宋" w:hAnsi="仿宋" w:eastAsia="仿宋" w:cs="仿宋"/>
                <w:b/>
                <w:bCs/>
                <w:sz w:val="22"/>
                <w:szCs w:val="22"/>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不按规定佩带胸牌，未穿工作服或服饰不整。</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2</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上班无故迟到，早退，串岗。</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3</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不按规定填写操作记录、交接班记录。</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4</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工作时间看无关书籍，擅自换班、调班。</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5</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未经同意擅自带人进入大楼和有关区域。</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6</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工作时间进行网购、打游戏、炒股等与工作无关的手机及电脑操作行为。</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7</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每个小时未对各个楼层进行巡逻记录。</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8</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没有正当理由或未经同意而擅自离开工作岗位5分钟以上。</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9</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未经许可而使用馆内设施、设备或其他物品。</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10</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使用不文明的语言对待同事和客人。</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11</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故意消极怠工，工作中违反规章制度，出工不出力，屡教不改。</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12</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发现馆内财物丢失、损坏时，置若罔闻，无动于衷，在被调查时不配合且提供假情报。</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13</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当班时睡觉、下棋、打扑克或干私事等。</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14</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违反操作规程，造成轻微损失。</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15</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未设置工作人员岗位一览表，未实行上下班签到制度。</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16</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不服从业主单位管理，甚至拒绝或有意不完成指派的工作，紧急情况下不完成指定的工作。</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17</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故意损坏公共财物、设备、工具造成经济损失的。</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18</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玩忽职守，违反技术操作规程和安全规程，违章指挥或隐瞒工作过失造成事故或损失的。</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19</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服务态度差，造成客户投诉，经核实后，确为事实的。</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20</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用非法手段偷窃或涂改原始记录、账单及单据，造成后果。</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21</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用威胁手段当众侮辱客人及上级管理人员和同事等。</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22</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严重玩忽职守造成设备损坏，导致公共利益损失。</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23</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因违反国家法律被公安机关拘留或处以拘留以上处罚。</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24</w:t>
            </w:r>
          </w:p>
        </w:tc>
        <w:tc>
          <w:tcPr>
            <w:tcW w:w="4714" w:type="dxa"/>
          </w:tcPr>
          <w:p>
            <w:pPr>
              <w:spacing w:line="360" w:lineRule="auto"/>
              <w:rPr>
                <w:rFonts w:ascii="仿宋" w:hAnsi="仿宋" w:eastAsia="仿宋" w:cs="仿宋"/>
                <w:b/>
                <w:sz w:val="22"/>
                <w:szCs w:val="22"/>
              </w:rPr>
            </w:pPr>
            <w:r>
              <w:rPr>
                <w:rFonts w:hint="eastAsia" w:ascii="仿宋" w:hAnsi="仿宋" w:eastAsia="仿宋" w:cs="仿宋"/>
                <w:sz w:val="22"/>
                <w:szCs w:val="22"/>
              </w:rPr>
              <w:t>在工作时间吸烟、赌博。</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spacing w:line="360" w:lineRule="auto"/>
              <w:jc w:val="center"/>
              <w:rPr>
                <w:rFonts w:ascii="仿宋" w:hAnsi="仿宋" w:eastAsia="仿宋" w:cs="仿宋"/>
                <w:bCs/>
                <w:sz w:val="22"/>
                <w:szCs w:val="22"/>
              </w:rPr>
            </w:pPr>
            <w:r>
              <w:rPr>
                <w:rFonts w:hint="eastAsia" w:ascii="仿宋" w:hAnsi="仿宋" w:eastAsia="仿宋" w:cs="仿宋"/>
                <w:bCs/>
                <w:sz w:val="22"/>
                <w:szCs w:val="22"/>
              </w:rPr>
              <w:t>25</w:t>
            </w:r>
          </w:p>
        </w:tc>
        <w:tc>
          <w:tcPr>
            <w:tcW w:w="4714" w:type="dxa"/>
          </w:tcPr>
          <w:p>
            <w:pPr>
              <w:spacing w:line="360" w:lineRule="auto"/>
              <w:rPr>
                <w:rFonts w:ascii="仿宋" w:hAnsi="仿宋" w:eastAsia="仿宋" w:cs="仿宋"/>
                <w:sz w:val="22"/>
                <w:szCs w:val="22"/>
              </w:rPr>
            </w:pPr>
            <w:r>
              <w:rPr>
                <w:rFonts w:hint="eastAsia" w:ascii="仿宋" w:hAnsi="仿宋" w:eastAsia="仿宋" w:cs="仿宋"/>
                <w:sz w:val="22"/>
                <w:szCs w:val="22"/>
              </w:rPr>
              <w:t>馆区内使用明火。</w:t>
            </w:r>
          </w:p>
        </w:tc>
        <w:tc>
          <w:tcPr>
            <w:tcW w:w="2832" w:type="dxa"/>
          </w:tcPr>
          <w:p>
            <w:pPr>
              <w:spacing w:line="360" w:lineRule="auto"/>
              <w:rPr>
                <w:rFonts w:ascii="仿宋" w:hAnsi="仿宋" w:eastAsia="仿宋" w:cs="仿宋"/>
                <w:b/>
                <w:sz w:val="22"/>
                <w:szCs w:val="22"/>
              </w:rPr>
            </w:pPr>
            <w:r>
              <w:rPr>
                <w:rFonts w:hint="eastAsia" w:ascii="仿宋" w:hAnsi="仿宋" w:eastAsia="仿宋" w:cs="仿宋"/>
                <w:sz w:val="22"/>
                <w:szCs w:val="22"/>
              </w:rPr>
              <w:t>每发现一处不符合扣5分</w:t>
            </w:r>
          </w:p>
        </w:tc>
      </w:tr>
    </w:tbl>
    <w:p>
      <w:pPr>
        <w:spacing w:line="360" w:lineRule="auto"/>
        <w:ind w:firstLine="442" w:firstLineChars="200"/>
        <w:rPr>
          <w:rFonts w:ascii="仿宋" w:hAnsi="仿宋" w:eastAsia="仿宋" w:cs="仿宋"/>
          <w:b/>
          <w:sz w:val="22"/>
          <w:szCs w:val="22"/>
        </w:rPr>
      </w:pPr>
    </w:p>
    <w:p>
      <w:pPr>
        <w:spacing w:line="360" w:lineRule="auto"/>
        <w:ind w:firstLine="221" w:firstLineChars="100"/>
        <w:rPr>
          <w:rFonts w:ascii="仿宋" w:hAnsi="仿宋" w:eastAsia="仿宋" w:cs="仿宋"/>
          <w:b/>
          <w:sz w:val="22"/>
          <w:szCs w:val="22"/>
        </w:rPr>
      </w:pPr>
      <w:r>
        <w:rPr>
          <w:rFonts w:hint="eastAsia" w:ascii="仿宋" w:hAnsi="仿宋" w:eastAsia="仿宋" w:cs="仿宋"/>
          <w:b/>
          <w:sz w:val="22"/>
          <w:szCs w:val="22"/>
        </w:rPr>
        <w:t>（2）安保的考核（35分）</w:t>
      </w:r>
    </w:p>
    <w:tbl>
      <w:tblPr>
        <w:tblStyle w:val="62"/>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25"/>
        <w:gridCol w:w="4858"/>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1"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序号</w:t>
            </w:r>
          </w:p>
        </w:tc>
        <w:tc>
          <w:tcPr>
            <w:tcW w:w="1225"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内容</w:t>
            </w:r>
          </w:p>
        </w:tc>
        <w:tc>
          <w:tcPr>
            <w:tcW w:w="4858"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目标要求</w:t>
            </w:r>
          </w:p>
        </w:tc>
        <w:tc>
          <w:tcPr>
            <w:tcW w:w="1945"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1</w:t>
            </w:r>
          </w:p>
        </w:tc>
        <w:tc>
          <w:tcPr>
            <w:tcW w:w="1225"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人员配备及基本要求</w:t>
            </w: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1.人员编制满员，上岗证配备达到100%，整个队伍保持稳定，人员进出有备案。</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2.负责各楼层安全巡查、引导车辆有序停放。</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3.聘用的工作人员符合劳动部门有关用工规定,并在岗位时佩带证件上岗。</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2</w:t>
            </w:r>
          </w:p>
        </w:tc>
        <w:tc>
          <w:tcPr>
            <w:tcW w:w="1225"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制度</w:t>
            </w:r>
          </w:p>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建设</w:t>
            </w: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1.巡逻保安、门卫管理、保密制度等制度建设情况。</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center"/>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2.人员定岗、岗位职责是否明确并附书面备案。</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center"/>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3.保安员的交接班制度、考勤制度、巡逻制度是否建立，是否实行记录情况。</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center"/>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4.消控（监控）室制度、监控系统的维护方案、维护记录等建设情况。</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3</w:t>
            </w:r>
          </w:p>
        </w:tc>
        <w:tc>
          <w:tcPr>
            <w:tcW w:w="1225"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管理</w:t>
            </w:r>
          </w:p>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质量</w:t>
            </w: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1.各项服务的工作时间满足越博工作的要求，做到全天24小时服务，在遵守保安制度外能遵守越博的各项规定。</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2.做好文件、报纸及各类物资的收发和保管，及时登记造册，有序存放。</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3.工作人员上岗仪表整洁，对发现问题及时处理或及时上报情况。</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4.对突发事件、安全检查或交办的临时性任务，有指定专职人员按照应急预案协助工作，直至完成好任务。</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4</w:t>
            </w:r>
          </w:p>
        </w:tc>
        <w:tc>
          <w:tcPr>
            <w:tcW w:w="1225"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日常服务情况</w:t>
            </w: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1.保证越博的工作参观秩序正常。</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2.安全保卫工作正常有序。</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3.监控工作到位。</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858"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4.停车秩序良好（含周边路段）。</w:t>
            </w:r>
          </w:p>
        </w:tc>
        <w:tc>
          <w:tcPr>
            <w:tcW w:w="1945"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不满足一项扣2分</w:t>
            </w:r>
          </w:p>
        </w:tc>
      </w:tr>
    </w:tbl>
    <w:p>
      <w:pPr>
        <w:spacing w:line="360" w:lineRule="auto"/>
        <w:ind w:firstLine="331" w:firstLineChars="150"/>
        <w:rPr>
          <w:rFonts w:ascii="仿宋" w:hAnsi="仿宋" w:eastAsia="仿宋" w:cs="仿宋"/>
          <w:b/>
          <w:sz w:val="22"/>
          <w:szCs w:val="22"/>
        </w:rPr>
      </w:pPr>
    </w:p>
    <w:p>
      <w:pPr>
        <w:spacing w:line="360" w:lineRule="auto"/>
        <w:ind w:firstLine="331" w:firstLineChars="150"/>
        <w:rPr>
          <w:rFonts w:ascii="仿宋" w:hAnsi="仿宋" w:eastAsia="仿宋" w:cs="仿宋"/>
          <w:b/>
          <w:sz w:val="22"/>
          <w:szCs w:val="22"/>
        </w:rPr>
      </w:pPr>
      <w:r>
        <w:rPr>
          <w:rFonts w:hint="eastAsia" w:ascii="仿宋" w:hAnsi="仿宋" w:eastAsia="仿宋" w:cs="仿宋"/>
          <w:b/>
          <w:sz w:val="22"/>
          <w:szCs w:val="22"/>
        </w:rPr>
        <w:t>（3）保洁的考核（25分）</w:t>
      </w:r>
    </w:p>
    <w:tbl>
      <w:tblPr>
        <w:tblStyle w:val="62"/>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25"/>
        <w:gridCol w:w="4513"/>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1"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序号</w:t>
            </w:r>
          </w:p>
        </w:tc>
        <w:tc>
          <w:tcPr>
            <w:tcW w:w="1225"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内容</w:t>
            </w:r>
          </w:p>
        </w:tc>
        <w:tc>
          <w:tcPr>
            <w:tcW w:w="4513"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目标要求</w:t>
            </w:r>
          </w:p>
        </w:tc>
        <w:tc>
          <w:tcPr>
            <w:tcW w:w="2290"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1</w:t>
            </w:r>
          </w:p>
        </w:tc>
        <w:tc>
          <w:tcPr>
            <w:tcW w:w="1225" w:type="dxa"/>
            <w:vMerge w:val="restart"/>
            <w:tcBorders>
              <w:tl2br w:val="nil"/>
              <w:tr2bl w:val="nil"/>
            </w:tcBorders>
            <w:vAlign w:val="center"/>
          </w:tcPr>
          <w:p>
            <w:pPr>
              <w:widowControl/>
              <w:spacing w:line="320" w:lineRule="exact"/>
              <w:jc w:val="center"/>
              <w:rPr>
                <w:rFonts w:ascii="仿宋" w:hAnsi="仿宋" w:eastAsia="仿宋" w:cs="仿宋"/>
                <w:bCs/>
                <w:sz w:val="22"/>
                <w:szCs w:val="22"/>
              </w:rPr>
            </w:pPr>
            <w:r>
              <w:rPr>
                <w:rFonts w:hint="eastAsia" w:ascii="仿宋" w:hAnsi="仿宋" w:eastAsia="仿宋" w:cs="仿宋"/>
                <w:bCs/>
                <w:sz w:val="22"/>
                <w:szCs w:val="22"/>
              </w:rPr>
              <w:t>陈列区清洁</w:t>
            </w: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地面有杂物，地面、墙面、玻璃上有污迹。</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公共设施表面用纸巾擦拭有明显灰尘。</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不锈钢表面不光亮,表面有污迹。</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2</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玻璃门有水迹、手印、灰尘。</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3</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顶面、风口有污迹、灰尘。</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1</w:t>
            </w:r>
          </w:p>
        </w:tc>
        <w:tc>
          <w:tcPr>
            <w:tcW w:w="1225" w:type="dxa"/>
            <w:tcBorders>
              <w:tl2br w:val="nil"/>
              <w:tr2bl w:val="nil"/>
            </w:tcBorders>
            <w:vAlign w:val="center"/>
          </w:tcPr>
          <w:p>
            <w:pPr>
              <w:widowControl/>
              <w:spacing w:line="320" w:lineRule="exact"/>
              <w:jc w:val="left"/>
              <w:rPr>
                <w:rFonts w:ascii="仿宋" w:hAnsi="仿宋" w:eastAsia="仿宋" w:cs="仿宋"/>
                <w:bCs/>
                <w:sz w:val="22"/>
                <w:szCs w:val="22"/>
              </w:rPr>
            </w:pPr>
            <w:r>
              <w:rPr>
                <w:rFonts w:hint="eastAsia" w:ascii="仿宋" w:hAnsi="仿宋" w:eastAsia="仿宋" w:cs="仿宋"/>
                <w:bCs/>
                <w:sz w:val="22"/>
                <w:szCs w:val="22"/>
              </w:rPr>
              <w:t>楼层通道地面清洁</w:t>
            </w: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地面、墙面有杂物，有污迹。</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2</w:t>
            </w:r>
          </w:p>
        </w:tc>
        <w:tc>
          <w:tcPr>
            <w:tcW w:w="1225" w:type="dxa"/>
            <w:vMerge w:val="restart"/>
            <w:tcBorders>
              <w:tl2br w:val="nil"/>
              <w:tr2bl w:val="nil"/>
            </w:tcBorders>
            <w:vAlign w:val="center"/>
          </w:tcPr>
          <w:p>
            <w:pPr>
              <w:widowControl/>
              <w:spacing w:line="320" w:lineRule="exact"/>
              <w:jc w:val="left"/>
              <w:rPr>
                <w:rFonts w:ascii="仿宋" w:hAnsi="仿宋" w:eastAsia="仿宋" w:cs="仿宋"/>
                <w:bCs/>
                <w:sz w:val="22"/>
                <w:szCs w:val="22"/>
              </w:rPr>
            </w:pPr>
            <w:r>
              <w:rPr>
                <w:rFonts w:hint="eastAsia" w:ascii="仿宋" w:hAnsi="仿宋" w:eastAsia="仿宋" w:cs="仿宋"/>
                <w:bCs/>
                <w:sz w:val="22"/>
                <w:szCs w:val="22"/>
              </w:rPr>
              <w:t>公共卫生间清洁</w:t>
            </w: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装饰物、墙面、洁具、镜面及台面有灰尘、水渍、污物。</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3</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便器不洁净有黄迹，厕位有异味、臭味。</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4</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地面有杂物。</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1</w:t>
            </w:r>
          </w:p>
        </w:tc>
        <w:tc>
          <w:tcPr>
            <w:tcW w:w="1225" w:type="dxa"/>
            <w:tcBorders>
              <w:tl2br w:val="nil"/>
              <w:tr2bl w:val="nil"/>
            </w:tcBorders>
            <w:vAlign w:val="center"/>
          </w:tcPr>
          <w:p>
            <w:pPr>
              <w:widowControl/>
              <w:spacing w:line="320" w:lineRule="exact"/>
              <w:jc w:val="left"/>
              <w:rPr>
                <w:rFonts w:ascii="仿宋" w:hAnsi="仿宋" w:eastAsia="仿宋" w:cs="仿宋"/>
                <w:bCs/>
                <w:sz w:val="22"/>
                <w:szCs w:val="22"/>
              </w:rPr>
            </w:pPr>
            <w:r>
              <w:rPr>
                <w:rFonts w:hint="eastAsia" w:ascii="仿宋" w:hAnsi="仿宋" w:eastAsia="仿宋" w:cs="仿宋"/>
                <w:bCs/>
                <w:sz w:val="22"/>
                <w:szCs w:val="22"/>
              </w:rPr>
              <w:t>灯具清洁</w:t>
            </w: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馆内所有灯具、灯管有灰尘，灯具内有蚊虫，灯盖、灯罩不明亮。</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1</w:t>
            </w:r>
          </w:p>
        </w:tc>
        <w:tc>
          <w:tcPr>
            <w:tcW w:w="1225" w:type="dxa"/>
            <w:vMerge w:val="restart"/>
            <w:tcBorders>
              <w:tl2br w:val="nil"/>
              <w:tr2bl w:val="nil"/>
            </w:tcBorders>
            <w:vAlign w:val="center"/>
          </w:tcPr>
          <w:p>
            <w:pPr>
              <w:widowControl/>
              <w:spacing w:line="320" w:lineRule="exact"/>
              <w:jc w:val="left"/>
              <w:rPr>
                <w:rFonts w:ascii="仿宋" w:hAnsi="仿宋" w:eastAsia="仿宋" w:cs="仿宋"/>
                <w:bCs/>
                <w:sz w:val="22"/>
                <w:szCs w:val="22"/>
              </w:rPr>
            </w:pPr>
            <w:r>
              <w:rPr>
                <w:rFonts w:hint="eastAsia" w:ascii="仿宋" w:hAnsi="仿宋" w:eastAsia="仿宋" w:cs="仿宋"/>
                <w:bCs/>
                <w:sz w:val="22"/>
                <w:szCs w:val="22"/>
              </w:rPr>
              <w:t>室外地面清洁</w:t>
            </w: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地面有杂物、积水、明显污迹、泥沙。</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2</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垃圾桶外表有明显污迹、垃圾粘附物。</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3</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沙井、明沟内有积水、杂物。</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4</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污水溢出地面。</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5</w:t>
            </w:r>
          </w:p>
        </w:tc>
        <w:tc>
          <w:tcPr>
            <w:tcW w:w="1225" w:type="dxa"/>
            <w:vMerge w:val="continue"/>
            <w:tcBorders>
              <w:tl2br w:val="nil"/>
              <w:tr2bl w:val="nil"/>
            </w:tcBorders>
            <w:vAlign w:val="center"/>
          </w:tcPr>
          <w:p>
            <w:pPr>
              <w:widowControl/>
              <w:spacing w:line="320" w:lineRule="exact"/>
              <w:jc w:val="left"/>
              <w:rPr>
                <w:rFonts w:ascii="仿宋" w:hAnsi="仿宋" w:eastAsia="仿宋" w:cs="仿宋"/>
                <w:bCs/>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地下雨、污水管井井底有沉淀物、水流不畅通，井盖破损有污物。</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1</w:t>
            </w:r>
          </w:p>
        </w:tc>
        <w:tc>
          <w:tcPr>
            <w:tcW w:w="1225" w:type="dxa"/>
            <w:vMerge w:val="restart"/>
            <w:tcBorders>
              <w:tl2br w:val="nil"/>
              <w:tr2bl w:val="nil"/>
            </w:tcBorders>
            <w:vAlign w:val="center"/>
          </w:tcPr>
          <w:p>
            <w:pPr>
              <w:widowControl/>
              <w:spacing w:line="320" w:lineRule="exact"/>
              <w:jc w:val="left"/>
              <w:rPr>
                <w:rFonts w:ascii="仿宋" w:hAnsi="仿宋" w:eastAsia="仿宋" w:cs="仿宋"/>
                <w:bCs/>
                <w:sz w:val="22"/>
                <w:szCs w:val="22"/>
              </w:rPr>
            </w:pPr>
            <w:r>
              <w:rPr>
                <w:rFonts w:hint="eastAsia" w:ascii="仿宋" w:hAnsi="仿宋" w:eastAsia="仿宋" w:cs="仿宋"/>
                <w:bCs/>
                <w:sz w:val="22"/>
                <w:szCs w:val="22"/>
              </w:rPr>
              <w:t>外墙、装饰窗清洁</w:t>
            </w: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保持每年一次清洁，未清洁。</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dxa"/>
            <w:tcBorders>
              <w:tl2br w:val="nil"/>
              <w:tr2bl w:val="nil"/>
            </w:tcBorders>
            <w:vAlign w:val="center"/>
          </w:tcPr>
          <w:p>
            <w:pPr>
              <w:widowControl/>
              <w:spacing w:line="320" w:lineRule="exact"/>
              <w:jc w:val="left"/>
              <w:rPr>
                <w:rFonts w:ascii="仿宋" w:hAnsi="仿宋" w:eastAsia="仿宋" w:cs="仿宋"/>
                <w:sz w:val="22"/>
                <w:szCs w:val="22"/>
              </w:rPr>
            </w:pPr>
            <w:r>
              <w:rPr>
                <w:rFonts w:hint="eastAsia" w:ascii="仿宋" w:hAnsi="仿宋" w:eastAsia="仿宋" w:cs="仿宋"/>
                <w:sz w:val="22"/>
                <w:szCs w:val="22"/>
              </w:rPr>
              <w:t>2</w:t>
            </w:r>
          </w:p>
        </w:tc>
        <w:tc>
          <w:tcPr>
            <w:tcW w:w="1225"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4513"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每发现一处纸张乱贴、乱涂、乱悬挂。</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bl>
    <w:p>
      <w:pPr>
        <w:spacing w:line="360" w:lineRule="auto"/>
        <w:ind w:firstLine="442" w:firstLineChars="200"/>
        <w:rPr>
          <w:rFonts w:ascii="仿宋" w:hAnsi="仿宋" w:eastAsia="仿宋" w:cs="仿宋"/>
          <w:b/>
          <w:sz w:val="22"/>
          <w:szCs w:val="22"/>
        </w:rPr>
      </w:pPr>
    </w:p>
    <w:p>
      <w:pPr>
        <w:spacing w:line="360" w:lineRule="auto"/>
        <w:ind w:firstLine="331" w:firstLineChars="150"/>
        <w:rPr>
          <w:rFonts w:ascii="仿宋" w:hAnsi="仿宋" w:eastAsia="仿宋" w:cs="仿宋"/>
          <w:b/>
          <w:sz w:val="22"/>
          <w:szCs w:val="22"/>
        </w:rPr>
      </w:pPr>
      <w:r>
        <w:rPr>
          <w:rFonts w:hint="eastAsia" w:ascii="仿宋" w:hAnsi="仿宋" w:eastAsia="仿宋" w:cs="仿宋"/>
          <w:b/>
          <w:sz w:val="22"/>
          <w:szCs w:val="22"/>
        </w:rPr>
        <w:t>（4）绿地养护的考核（10分）</w:t>
      </w:r>
    </w:p>
    <w:tbl>
      <w:tblPr>
        <w:tblStyle w:val="62"/>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5545"/>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9"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序号</w:t>
            </w:r>
          </w:p>
        </w:tc>
        <w:tc>
          <w:tcPr>
            <w:tcW w:w="5545"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目标要求</w:t>
            </w:r>
          </w:p>
        </w:tc>
        <w:tc>
          <w:tcPr>
            <w:tcW w:w="2290"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9" w:type="dxa"/>
            <w:vMerge w:val="restart"/>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1</w:t>
            </w:r>
          </w:p>
        </w:tc>
        <w:tc>
          <w:tcPr>
            <w:tcW w:w="5545"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枯枝死叉未及时处理。</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9"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5545"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发现野生植物未及时清理。</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9" w:type="dxa"/>
            <w:vMerge w:val="continue"/>
            <w:tcBorders>
              <w:tl2br w:val="nil"/>
              <w:tr2bl w:val="nil"/>
            </w:tcBorders>
            <w:vAlign w:val="center"/>
          </w:tcPr>
          <w:p>
            <w:pPr>
              <w:widowControl/>
              <w:spacing w:line="320" w:lineRule="exact"/>
              <w:jc w:val="left"/>
              <w:rPr>
                <w:rFonts w:ascii="仿宋" w:hAnsi="仿宋" w:eastAsia="仿宋" w:cs="仿宋"/>
                <w:sz w:val="22"/>
                <w:szCs w:val="22"/>
              </w:rPr>
            </w:pPr>
          </w:p>
        </w:tc>
        <w:tc>
          <w:tcPr>
            <w:tcW w:w="5545" w:type="dxa"/>
            <w:tcBorders>
              <w:tl2br w:val="nil"/>
              <w:tr2bl w:val="nil"/>
            </w:tcBorders>
            <w:vAlign w:val="center"/>
          </w:tcPr>
          <w:p>
            <w:pPr>
              <w:widowControl/>
              <w:spacing w:line="320" w:lineRule="exact"/>
              <w:rPr>
                <w:rFonts w:ascii="仿宋" w:hAnsi="仿宋" w:eastAsia="仿宋" w:cs="仿宋"/>
                <w:sz w:val="22"/>
                <w:szCs w:val="22"/>
              </w:rPr>
            </w:pPr>
            <w:r>
              <w:rPr>
                <w:rFonts w:hint="eastAsia" w:ascii="仿宋" w:hAnsi="仿宋" w:eastAsia="仿宋" w:cs="仿宋"/>
                <w:sz w:val="22"/>
                <w:szCs w:val="22"/>
              </w:rPr>
              <w:t>绿化和草皮发现废纸、垃圾袋、石块、瓦砾等垃圾。</w:t>
            </w:r>
          </w:p>
        </w:tc>
        <w:tc>
          <w:tcPr>
            <w:tcW w:w="2290" w:type="dxa"/>
            <w:tcBorders>
              <w:tl2br w:val="nil"/>
              <w:tr2bl w:val="nil"/>
            </w:tcBorders>
            <w:vAlign w:val="center"/>
          </w:tcPr>
          <w:p>
            <w:pPr>
              <w:widowControl/>
              <w:spacing w:line="320" w:lineRule="exact"/>
              <w:jc w:val="center"/>
              <w:rPr>
                <w:rFonts w:ascii="仿宋" w:hAnsi="仿宋" w:eastAsia="仿宋" w:cs="仿宋"/>
                <w:sz w:val="22"/>
                <w:szCs w:val="22"/>
              </w:rPr>
            </w:pPr>
            <w:r>
              <w:rPr>
                <w:rFonts w:hint="eastAsia" w:ascii="仿宋" w:hAnsi="仿宋" w:eastAsia="仿宋" w:cs="仿宋"/>
                <w:sz w:val="22"/>
                <w:szCs w:val="22"/>
              </w:rPr>
              <w:t>不满足一项扣1分</w:t>
            </w:r>
          </w:p>
        </w:tc>
      </w:tr>
    </w:tbl>
    <w:p>
      <w:pPr>
        <w:spacing w:line="360" w:lineRule="auto"/>
        <w:rPr>
          <w:rFonts w:ascii="仿宋" w:hAnsi="仿宋" w:eastAsia="仿宋" w:cs="仿宋"/>
          <w:sz w:val="22"/>
          <w:szCs w:val="22"/>
        </w:rPr>
      </w:pPr>
    </w:p>
    <w:p>
      <w:pPr>
        <w:spacing w:line="360" w:lineRule="auto"/>
        <w:ind w:firstLine="331" w:firstLineChars="150"/>
        <w:rPr>
          <w:rFonts w:ascii="仿宋" w:hAnsi="仿宋" w:eastAsia="仿宋" w:cs="仿宋"/>
          <w:b/>
          <w:sz w:val="22"/>
          <w:szCs w:val="22"/>
        </w:rPr>
      </w:pPr>
      <w:r>
        <w:rPr>
          <w:rFonts w:hint="eastAsia" w:ascii="仿宋" w:hAnsi="仿宋" w:eastAsia="仿宋" w:cs="仿宋"/>
          <w:b/>
          <w:sz w:val="22"/>
          <w:szCs w:val="22"/>
        </w:rPr>
        <w:t>（5）工程电气设备运行维护的考核（10分）</w:t>
      </w:r>
    </w:p>
    <w:tbl>
      <w:tblPr>
        <w:tblStyle w:val="62"/>
        <w:tblW w:w="84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7"/>
        <w:gridCol w:w="5285"/>
        <w:gridCol w:w="2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460" w:lineRule="exact"/>
              <w:jc w:val="center"/>
              <w:rPr>
                <w:rFonts w:ascii="仿宋" w:hAnsi="仿宋" w:eastAsia="仿宋" w:cs="仿宋"/>
                <w:b/>
                <w:bCs/>
                <w:sz w:val="22"/>
                <w:szCs w:val="22"/>
              </w:rPr>
            </w:pPr>
            <w:r>
              <w:rPr>
                <w:rFonts w:hint="eastAsia" w:ascii="仿宋" w:hAnsi="仿宋" w:eastAsia="仿宋" w:cs="仿宋"/>
                <w:b/>
                <w:bCs/>
                <w:sz w:val="22"/>
                <w:szCs w:val="22"/>
              </w:rPr>
              <w:t>序号</w:t>
            </w:r>
          </w:p>
        </w:tc>
        <w:tc>
          <w:tcPr>
            <w:tcW w:w="5285"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目标要求</w:t>
            </w:r>
          </w:p>
        </w:tc>
        <w:tc>
          <w:tcPr>
            <w:tcW w:w="2408" w:type="dxa"/>
            <w:tcBorders>
              <w:tl2br w:val="nil"/>
              <w:tr2bl w:val="nil"/>
            </w:tcBorders>
            <w:vAlign w:val="center"/>
          </w:tcPr>
          <w:p>
            <w:pPr>
              <w:widowControl/>
              <w:spacing w:line="320" w:lineRule="exact"/>
              <w:jc w:val="center"/>
              <w:rPr>
                <w:rFonts w:ascii="仿宋" w:hAnsi="仿宋" w:eastAsia="仿宋" w:cs="仿宋"/>
                <w:b/>
                <w:bCs/>
                <w:sz w:val="22"/>
                <w:szCs w:val="22"/>
              </w:rPr>
            </w:pPr>
            <w:r>
              <w:rPr>
                <w:rFonts w:hint="eastAsia" w:ascii="仿宋" w:hAnsi="仿宋" w:eastAsia="仿宋" w:cs="仿宋"/>
                <w:b/>
                <w:bCs/>
                <w:sz w:val="22"/>
                <w:szCs w:val="22"/>
              </w:rPr>
              <w:t>考评标准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1</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制订设备安全运行。岗位责任制、定期巡回检查。 维护保养、运行记录管理、维修档案等管理制度，并严格执行。</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每发现一处不符合扣0.2分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2</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设备及机房环境整治、无杂物、灰尘、无鼠、虫害发生、机房环境符合设备要求。</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发现一处不符合扣0.2分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3</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保证正常供电，遇限电、停电时须严格按制订的临时用电管理措施与停电应急处理措施执行。</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临时用电措施或停电应急处理措施不符合均扣0.5分/次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4</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按工作标准规定时间排除故障，保证各弱电系统正常工作。</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发现一次不符合扣0.5分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5</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消防（监控）控制中心24小时值班、消防系统设施齐全、完好无损，可随时起用。</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每发现一处符合扣 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6</w:t>
            </w:r>
          </w:p>
        </w:tc>
        <w:tc>
          <w:tcPr>
            <w:tcW w:w="5285" w:type="dxa"/>
            <w:tcBorders>
              <w:tl2br w:val="nil"/>
              <w:tr2bl w:val="nil"/>
            </w:tcBorders>
            <w:vAlign w:val="center"/>
          </w:tcPr>
          <w:p>
            <w:pPr>
              <w:spacing w:line="320" w:lineRule="exact"/>
              <w:jc w:val="left"/>
              <w:rPr>
                <w:rFonts w:ascii="仿宋" w:hAnsi="仿宋" w:eastAsia="仿宋" w:cs="仿宋"/>
                <w:sz w:val="22"/>
                <w:szCs w:val="22"/>
              </w:rPr>
            </w:pPr>
            <w:r>
              <w:rPr>
                <w:rFonts w:hint="eastAsia" w:ascii="仿宋" w:hAnsi="仿宋" w:eastAsia="仿宋" w:cs="仿宋"/>
                <w:sz w:val="22"/>
                <w:szCs w:val="22"/>
              </w:rPr>
              <w:t>消防管理人员掌握消防设备的使用方法并能及时处理各种问题。</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每发现一处不符合扣0.2分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7</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每年组织不少于4次消防法规及消防知识培训，开展不少于3次的消防演练。</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没发现少一次扣0.2分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8</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明确各区域防火责任人。</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责任人不明确每发现一处扣 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9</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订有突发火灾应急方案，在明显处设立消防疏散示意图照明设施、引路标志完好，紧急疏散通道畅通无阻。</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无应急方案扣0.5分，各种标志每缺少一个及每发现一处不畅通扣0.1分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10</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设备、阀门、管道工作正常、无冒滴跑漏现象。</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每发现一处不符合扣0.2分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11</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高压水泵、水池、水箱有严格的管理措施，水池、水箱周围无污染隐患。</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没有管理措施扣0.5分，水箱周围每发现一处隐患扣0.2分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12</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排水系统通畅，汛期道路无积水，地下室、车库、设备房屋无积水、浸泡发生。</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每发现一处不符合扣0.2分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17" w:type="dxa"/>
            <w:tcBorders>
              <w:tl2br w:val="nil"/>
              <w:tr2bl w:val="nil"/>
            </w:tcBorders>
            <w:vAlign w:val="center"/>
          </w:tcPr>
          <w:p>
            <w:pPr>
              <w:spacing w:line="320" w:lineRule="exact"/>
              <w:jc w:val="center"/>
              <w:rPr>
                <w:rFonts w:ascii="仿宋" w:hAnsi="仿宋" w:eastAsia="仿宋" w:cs="仿宋"/>
                <w:sz w:val="22"/>
                <w:szCs w:val="22"/>
              </w:rPr>
            </w:pPr>
            <w:r>
              <w:rPr>
                <w:rFonts w:hint="eastAsia" w:ascii="仿宋" w:hAnsi="仿宋" w:eastAsia="仿宋" w:cs="仿宋"/>
                <w:sz w:val="22"/>
                <w:szCs w:val="22"/>
              </w:rPr>
              <w:t>13</w:t>
            </w:r>
          </w:p>
        </w:tc>
        <w:tc>
          <w:tcPr>
            <w:tcW w:w="5285"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遇有事故，维修人员在规定时间内进行抢修，无大面积跑水、泛水，长时间停水现象；制定事故应急处理预案。</w:t>
            </w:r>
          </w:p>
        </w:tc>
        <w:tc>
          <w:tcPr>
            <w:tcW w:w="2408" w:type="dxa"/>
            <w:tcBorders>
              <w:tl2br w:val="nil"/>
              <w:tr2bl w:val="nil"/>
            </w:tcBorders>
            <w:vAlign w:val="center"/>
          </w:tcPr>
          <w:p>
            <w:pPr>
              <w:spacing w:line="320" w:lineRule="exact"/>
              <w:rPr>
                <w:rFonts w:ascii="仿宋" w:hAnsi="仿宋" w:eastAsia="仿宋" w:cs="仿宋"/>
                <w:sz w:val="22"/>
                <w:szCs w:val="22"/>
              </w:rPr>
            </w:pPr>
            <w:r>
              <w:rPr>
                <w:rFonts w:hint="eastAsia" w:ascii="仿宋" w:hAnsi="仿宋" w:eastAsia="仿宋" w:cs="仿宋"/>
                <w:sz w:val="22"/>
                <w:szCs w:val="22"/>
              </w:rPr>
              <w:t>符合2.0分，基本符合1分，不符合0分</w:t>
            </w:r>
          </w:p>
        </w:tc>
      </w:tr>
    </w:tbl>
    <w:p>
      <w:pPr>
        <w:tabs>
          <w:tab w:val="left" w:pos="540"/>
        </w:tabs>
        <w:snapToGrid w:val="0"/>
        <w:spacing w:before="120" w:beforeLines="50" w:line="360" w:lineRule="auto"/>
        <w:rPr>
          <w:rFonts w:ascii="仿宋" w:hAnsi="仿宋" w:eastAsia="仿宋" w:cs="仿宋"/>
          <w:b/>
          <w:bCs/>
          <w:sz w:val="22"/>
          <w:szCs w:val="22"/>
        </w:rPr>
      </w:pPr>
    </w:p>
    <w:p>
      <w:pPr>
        <w:tabs>
          <w:tab w:val="left" w:pos="540"/>
        </w:tabs>
        <w:snapToGrid w:val="0"/>
        <w:spacing w:before="120" w:beforeLines="50" w:line="360" w:lineRule="auto"/>
        <w:rPr>
          <w:rFonts w:ascii="仿宋" w:hAnsi="仿宋" w:eastAsia="仿宋" w:cs="仿宋"/>
          <w:b/>
          <w:bCs/>
          <w:sz w:val="22"/>
          <w:szCs w:val="22"/>
        </w:rPr>
      </w:pPr>
      <w:r>
        <w:rPr>
          <w:rFonts w:hint="eastAsia" w:ascii="仿宋" w:hAnsi="仿宋" w:eastAsia="仿宋" w:cs="仿宋"/>
          <w:b/>
          <w:bCs/>
          <w:sz w:val="22"/>
          <w:szCs w:val="22"/>
        </w:rPr>
        <w:t>五、商务资信要求</w:t>
      </w:r>
    </w:p>
    <w:tbl>
      <w:tblPr>
        <w:tblStyle w:val="62"/>
        <w:tblW w:w="8821"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374"/>
        <w:gridCol w:w="7447"/>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服务时间</w:t>
            </w:r>
          </w:p>
        </w:tc>
        <w:tc>
          <w:tcPr>
            <w:tcW w:w="7447"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合同签订之日起2年；合同实行一年一签，第二年合同至第一年合同结束之日后第二日始签。</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服务地点</w:t>
            </w:r>
          </w:p>
        </w:tc>
        <w:tc>
          <w:tcPr>
            <w:tcW w:w="7447"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采购人指定地点。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75"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履约保证金</w:t>
            </w:r>
          </w:p>
        </w:tc>
        <w:tc>
          <w:tcPr>
            <w:tcW w:w="7447"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合同签订前，乙方</w:t>
            </w:r>
            <w:r>
              <w:rPr>
                <w:rFonts w:hint="eastAsia" w:ascii="仿宋" w:hAnsi="仿宋" w:eastAsia="仿宋" w:cs="仿宋"/>
                <w:sz w:val="22"/>
                <w:szCs w:val="22"/>
                <w:lang w:eastAsia="zh-CN"/>
              </w:rPr>
              <w:t>向</w:t>
            </w:r>
            <w:r>
              <w:rPr>
                <w:rFonts w:hint="eastAsia" w:ascii="仿宋" w:hAnsi="仿宋" w:eastAsia="仿宋" w:cs="仿宋"/>
                <w:sz w:val="22"/>
                <w:szCs w:val="22"/>
              </w:rPr>
              <w:t>采购人</w:t>
            </w:r>
            <w:r>
              <w:rPr>
                <w:rFonts w:hint="eastAsia" w:ascii="仿宋" w:hAnsi="仿宋" w:eastAsia="仿宋" w:cs="仿宋"/>
                <w:sz w:val="22"/>
                <w:szCs w:val="22"/>
                <w:lang w:eastAsia="zh-CN"/>
              </w:rPr>
              <w:t>缴纳</w:t>
            </w:r>
            <w:r>
              <w:rPr>
                <w:rFonts w:hint="eastAsia" w:ascii="仿宋" w:hAnsi="仿宋" w:eastAsia="仿宋" w:cs="仿宋"/>
                <w:sz w:val="22"/>
                <w:szCs w:val="22"/>
              </w:rPr>
              <w:t>中标总额的1%作为履约保证金。履约保证金将在履约完成后5日内无息退还（但如中标单位未能履行合同规定的任何义务，采购人有权从履约保证金中得到补偿）。</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验收</w:t>
            </w:r>
          </w:p>
        </w:tc>
        <w:tc>
          <w:tcPr>
            <w:tcW w:w="7447"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采购人组织相关专业人员进行验收。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付款方式</w:t>
            </w:r>
          </w:p>
        </w:tc>
        <w:tc>
          <w:tcPr>
            <w:tcW w:w="7447"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（1）本项目合同总价为2年的价格；</w:t>
            </w:r>
          </w:p>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（2）根据采购人每月考核结果，按月支付，月服务费=（合同价/12）。乙方提供完整资料后，在次月10日内支付。</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65"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安全责任</w:t>
            </w:r>
          </w:p>
        </w:tc>
        <w:tc>
          <w:tcPr>
            <w:tcW w:w="7447"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rPr>
                <w:rFonts w:ascii="仿宋" w:hAnsi="仿宋" w:eastAsia="仿宋" w:cs="仿宋"/>
                <w:sz w:val="22"/>
                <w:szCs w:val="22"/>
              </w:rPr>
            </w:pPr>
            <w:r>
              <w:rPr>
                <w:rFonts w:hint="eastAsia" w:ascii="仿宋" w:hAnsi="仿宋" w:eastAsia="仿宋" w:cs="仿宋"/>
                <w:sz w:val="22"/>
                <w:szCs w:val="22"/>
              </w:rPr>
              <w:t xml:space="preserve">在服务期内发生任何意外或发生人员伤亡，其责任由乙方承担，采购人不承担任何责任。 </w:t>
            </w:r>
          </w:p>
        </w:tc>
      </w:tr>
    </w:tbl>
    <w:p>
      <w:pPr>
        <w:spacing w:line="360" w:lineRule="auto"/>
        <w:rPr>
          <w:rFonts w:ascii="仿宋" w:hAnsi="仿宋" w:eastAsia="仿宋" w:cs="仿宋"/>
          <w:b/>
          <w:sz w:val="36"/>
          <w:szCs w:val="36"/>
        </w:rPr>
      </w:pPr>
    </w:p>
    <w:p>
      <w:pPr>
        <w:spacing w:line="360" w:lineRule="auto"/>
        <w:rPr>
          <w:rFonts w:ascii="仿宋" w:hAnsi="仿宋" w:eastAsia="仿宋" w:cs="仿宋"/>
          <w:b/>
          <w:sz w:val="36"/>
          <w:szCs w:val="36"/>
        </w:rPr>
      </w:pPr>
    </w:p>
    <w:p>
      <w:pPr>
        <w:rPr>
          <w:rFonts w:ascii="仿宋" w:hAnsi="仿宋" w:eastAsia="仿宋" w:cs="仿宋"/>
          <w:b/>
          <w:sz w:val="36"/>
          <w:szCs w:val="36"/>
        </w:rPr>
      </w:pPr>
      <w:r>
        <w:rPr>
          <w:rFonts w:hint="eastAsia" w:ascii="仿宋" w:hAnsi="仿宋" w:eastAsia="仿宋" w:cs="仿宋"/>
          <w:b/>
          <w:sz w:val="36"/>
          <w:szCs w:val="36"/>
        </w:rPr>
        <w:br w:type="page"/>
      </w: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1"/>
        <w:ind w:firstLine="2843" w:firstLineChars="1180"/>
        <w:outlineLvl w:val="0"/>
        <w:rPr>
          <w:rFonts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ascii="仿宋" w:hAnsi="仿宋" w:eastAsia="仿宋" w:cs="仿宋"/>
          <w:sz w:val="24"/>
        </w:rPr>
      </w:pPr>
    </w:p>
    <w:p>
      <w:pPr>
        <w:pStyle w:val="3"/>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8"/>
        <w:spacing w:before="120" w:line="22" w:lineRule="atLeast"/>
        <w:rPr>
          <w:rFonts w:ascii="仿宋" w:hAnsi="仿宋" w:eastAsia="仿宋" w:cs="仿宋"/>
          <w:szCs w:val="24"/>
        </w:rPr>
      </w:pPr>
    </w:p>
    <w:p>
      <w:pPr>
        <w:pStyle w:val="598"/>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（中标或者成交乙方名称） </w:t>
      </w:r>
      <w:r>
        <w:rPr>
          <w:rFonts w:hint="eastAsia" w:ascii="仿宋" w:hAnsi="仿宋" w:eastAsia="仿宋" w:cs="仿宋"/>
          <w:sz w:val="24"/>
        </w:rPr>
        <w:t>为该项目中标或者成交乙方。现于中标或者成交通知书发出之日起30日内，按照采购文件确定的事项签订本合同。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（中或者成交标乙方名称）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48" w:name="_Toc20421"/>
      <w:bookmarkStart w:id="49" w:name="_Toc19273"/>
      <w:bookmarkStart w:id="50" w:name="_Toc28855"/>
      <w:bookmarkStart w:id="51" w:name="_Toc22967"/>
      <w:bookmarkStart w:id="52" w:name="_Toc15367"/>
      <w:r>
        <w:rPr>
          <w:rFonts w:hint="eastAsia" w:ascii="仿宋" w:hAnsi="仿宋" w:eastAsia="仿宋" w:cs="仿宋"/>
          <w:b/>
          <w:sz w:val="24"/>
        </w:rPr>
        <w:t>1.1 合同组成部分</w:t>
      </w:r>
      <w:bookmarkEnd w:id="48"/>
      <w:bookmarkEnd w:id="49"/>
      <w:bookmarkEnd w:id="50"/>
      <w:bookmarkEnd w:id="51"/>
      <w:bookmarkEnd w:id="52"/>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53" w:name="_Toc6773"/>
      <w:bookmarkStart w:id="54" w:name="_Toc2918"/>
      <w:bookmarkStart w:id="55" w:name="_Toc18585"/>
      <w:bookmarkStart w:id="56" w:name="_Toc6311"/>
      <w:bookmarkStart w:id="57" w:name="_Toc22185"/>
      <w:r>
        <w:rPr>
          <w:rFonts w:hint="eastAsia" w:ascii="仿宋" w:hAnsi="仿宋" w:eastAsia="仿宋" w:cs="仿宋"/>
          <w:b/>
          <w:sz w:val="24"/>
        </w:rPr>
        <w:t>1.2 标的</w:t>
      </w:r>
      <w:bookmarkEnd w:id="53"/>
      <w:bookmarkEnd w:id="54"/>
      <w:bookmarkEnd w:id="55"/>
      <w:bookmarkEnd w:id="56"/>
      <w:bookmarkEnd w:id="57"/>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spacing w:line="440" w:lineRule="exact"/>
        <w:ind w:firstLine="480" w:firstLineChars="200"/>
        <w:rPr>
          <w:rFonts w:ascii="仿宋" w:hAnsi="仿宋" w:eastAsia="仿宋" w:cs="仿宋"/>
          <w:sz w:val="24"/>
          <w:u w:val="single"/>
        </w:rPr>
      </w:pPr>
      <w:bookmarkStart w:id="58" w:name="_Toc1386"/>
      <w:bookmarkStart w:id="59" w:name="_Toc4929"/>
      <w:bookmarkStart w:id="60" w:name="_Toc13918"/>
      <w:bookmarkStart w:id="61" w:name="_Toc21124"/>
      <w:bookmarkStart w:id="6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8"/>
      <w:bookmarkEnd w:id="59"/>
      <w:bookmarkEnd w:id="60"/>
      <w:bookmarkEnd w:id="61"/>
      <w:bookmarkEnd w:id="62"/>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rPr>
            </w:pPr>
          </w:p>
        </w:tc>
        <w:tc>
          <w:tcPr>
            <w:tcW w:w="3402" w:type="dxa"/>
            <w:vAlign w:val="center"/>
          </w:tcPr>
          <w:p>
            <w:pPr>
              <w:pStyle w:val="319"/>
              <w:spacing w:line="440" w:lineRule="exact"/>
              <w:ind w:firstLine="480" w:firstLineChars="200"/>
              <w:jc w:val="center"/>
              <w:rPr>
                <w:rFonts w:ascii="仿宋" w:hAnsi="仿宋" w:eastAsia="仿宋" w:cs="仿宋"/>
                <w:sz w:val="24"/>
                <w:szCs w:val="24"/>
              </w:rPr>
            </w:pP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9"/>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63" w:name="_Toc30506"/>
      <w:bookmarkStart w:id="64" w:name="_Toc3654"/>
      <w:bookmarkStart w:id="65" w:name="_Toc26916"/>
      <w:bookmarkStart w:id="66" w:name="_Toc30158"/>
      <w:bookmarkStart w:id="67"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3"/>
    <w:bookmarkEnd w:id="64"/>
    <w:bookmarkEnd w:id="65"/>
    <w:bookmarkEnd w:id="66"/>
    <w:bookmarkEnd w:id="67"/>
    <w:p>
      <w:pPr>
        <w:pStyle w:val="959"/>
        <w:spacing w:before="0" w:beforeAutospacing="0" w:after="0" w:afterAutospacing="0" w:line="440" w:lineRule="exact"/>
        <w:ind w:firstLine="482" w:firstLineChars="200"/>
        <w:rPr>
          <w:rFonts w:ascii="仿宋" w:hAnsi="仿宋" w:eastAsia="仿宋" w:cs="仿宋"/>
          <w:b/>
        </w:rPr>
      </w:pPr>
      <w:bookmarkStart w:id="68" w:name="_Toc1814"/>
      <w:bookmarkStart w:id="69" w:name="_Toc22618"/>
      <w:bookmarkStart w:id="70" w:name="_Toc10340"/>
      <w:bookmarkStart w:id="71" w:name="_Toc31421"/>
      <w:bookmarkStart w:id="72" w:name="_Toc11108"/>
      <w:bookmarkStart w:id="73" w:name="_Toc8772"/>
      <w:bookmarkStart w:id="74" w:name="_Toc4760"/>
      <w:bookmarkStart w:id="75" w:name="_Toc3625"/>
      <w:r>
        <w:rPr>
          <w:rFonts w:hint="eastAsia" w:ascii="仿宋" w:hAnsi="仿宋" w:eastAsia="仿宋" w:cs="仿宋"/>
          <w:b/>
        </w:rPr>
        <w:t>1.4履约保证金</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ascii="仿宋" w:hAnsi="仿宋" w:eastAsia="仿宋" w:cs="仿宋"/>
          <w:u w:val="single"/>
        </w:rPr>
        <w:t>否</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68"/>
      <w:bookmarkEnd w:id="69"/>
      <w:bookmarkEnd w:id="70"/>
      <w:r>
        <w:rPr>
          <w:rFonts w:hint="eastAsia" w:ascii="仿宋" w:hAnsi="仿宋" w:eastAsia="仿宋" w:cs="仿宋"/>
          <w:b/>
          <w:sz w:val="24"/>
        </w:rPr>
        <w:t>预付款</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否    </w:t>
      </w:r>
      <w:r>
        <w:rPr>
          <w:rFonts w:hint="eastAsia" w:ascii="仿宋" w:hAnsi="仿宋" w:eastAsia="仿宋" w:cs="仿宋"/>
        </w:rPr>
        <w:t>（是/否）需要支付预付款。若需要支付预付款的，则：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            </w:t>
      </w:r>
      <w:r>
        <w:rPr>
          <w:rFonts w:hint="eastAsia" w:ascii="仿宋" w:hAnsi="仿宋" w:eastAsia="仿宋" w:cs="仿宋"/>
          <w:kern w:val="0"/>
          <w:sz w:val="24"/>
        </w:rPr>
        <w:t>；</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         </w:t>
      </w:r>
      <w:r>
        <w:rPr>
          <w:rFonts w:hint="eastAsia" w:ascii="仿宋" w:hAnsi="仿宋" w:eastAsia="仿宋" w:cs="仿宋"/>
        </w:rPr>
        <w:t>；</w:t>
      </w:r>
    </w:p>
    <w:p>
      <w:pPr>
        <w:pStyle w:val="959"/>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      </w:t>
      </w:r>
      <w:r>
        <w:rPr>
          <w:rFonts w:hint="eastAsia" w:ascii="仿宋" w:hAnsi="仿宋" w:eastAsia="仿宋" w:cs="仿宋"/>
        </w:rPr>
        <w:t>。</w:t>
      </w:r>
    </w:p>
    <w:p>
      <w:pPr>
        <w:pStyle w:val="959"/>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1.6.1甲方应严格履行合同，及时组织验收，验收合格后及时将合同款支付完毕。对于满足合同约定支付条件的，甲方自收到资料后</w:t>
      </w:r>
      <w:r>
        <w:rPr>
          <w:rFonts w:ascii="仿宋" w:hAnsi="仿宋" w:eastAsia="仿宋" w:cs="仿宋"/>
        </w:rPr>
        <w:t>10</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w:t>
      </w:r>
      <w:r>
        <w:rPr>
          <w:rFonts w:hint="eastAsia" w:ascii="仿宋" w:hAnsi="仿宋" w:eastAsia="仿宋" w:cs="仿宋"/>
          <w:sz w:val="24"/>
          <w:u w:val="single"/>
        </w:rPr>
        <w:t>每月度验收合格支付一次</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71"/>
      <w:bookmarkEnd w:id="72"/>
      <w:bookmarkEnd w:id="73"/>
      <w:bookmarkEnd w:id="74"/>
      <w:bookmarkEnd w:id="75"/>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sz w:val="24"/>
          <w:u w:val="single"/>
        </w:rPr>
        <w:t>合同签订日起，服务期为两年；</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sz w:val="24"/>
          <w:u w:val="single"/>
        </w:rPr>
        <w:t>越剧博物馆；</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sz w:val="24"/>
          <w:u w:val="single"/>
        </w:rPr>
        <w:t>直接实施。</w:t>
      </w:r>
    </w:p>
    <w:p>
      <w:pPr>
        <w:spacing w:line="440" w:lineRule="exact"/>
        <w:ind w:firstLine="480" w:firstLineChars="200"/>
        <w:outlineLvl w:val="0"/>
        <w:rPr>
          <w:rFonts w:ascii="仿宋" w:hAnsi="仿宋" w:eastAsia="仿宋" w:cs="仿宋"/>
          <w:bCs/>
          <w:sz w:val="24"/>
        </w:rPr>
      </w:pPr>
      <w:bookmarkStart w:id="76" w:name="_Toc5698"/>
      <w:bookmarkStart w:id="77" w:name="_Toc24662"/>
      <w:bookmarkStart w:id="78" w:name="_Toc8586"/>
      <w:bookmarkStart w:id="79" w:name="_Toc2375"/>
      <w:bookmarkStart w:id="80" w:name="_Toc3079"/>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 xml:space="preserve">/           </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 xml:space="preserve">/           </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6"/>
      <w:bookmarkEnd w:id="77"/>
      <w:bookmarkEnd w:id="78"/>
      <w:bookmarkEnd w:id="79"/>
      <w:bookmarkEnd w:id="80"/>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81" w:name="_Toc26807"/>
      <w:bookmarkStart w:id="82" w:name="_Toc30329"/>
      <w:bookmarkStart w:id="83" w:name="_Toc18683"/>
      <w:bookmarkStart w:id="84" w:name="_Toc9497"/>
      <w:bookmarkStart w:id="85"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1.8.7违约责任如果另有约定的，从其约定。</w:t>
      </w:r>
    </w:p>
    <w:bookmarkEnd w:id="81"/>
    <w:bookmarkEnd w:id="82"/>
    <w:bookmarkEnd w:id="83"/>
    <w:bookmarkEnd w:id="84"/>
    <w:bookmarkEnd w:id="85"/>
    <w:p>
      <w:pPr>
        <w:spacing w:line="440" w:lineRule="exact"/>
        <w:ind w:firstLine="482" w:firstLineChars="200"/>
        <w:outlineLvl w:val="0"/>
        <w:rPr>
          <w:rFonts w:ascii="仿宋" w:hAnsi="仿宋" w:eastAsia="仿宋" w:cs="仿宋"/>
          <w:b/>
          <w:sz w:val="24"/>
        </w:rPr>
      </w:pPr>
      <w:bookmarkStart w:id="86" w:name="_Toc15583"/>
      <w:bookmarkStart w:id="87" w:name="_Toc16021"/>
      <w:bookmarkStart w:id="88" w:name="_Toc28375"/>
      <w:r>
        <w:rPr>
          <w:rFonts w:hint="eastAsia" w:ascii="仿宋" w:hAnsi="仿宋" w:eastAsia="仿宋" w:cs="仿宋"/>
          <w:b/>
          <w:sz w:val="24"/>
        </w:rPr>
        <w:t>1.9合同争议的解决</w:t>
      </w:r>
      <w:bookmarkEnd w:id="86"/>
      <w:bookmarkEnd w:id="87"/>
      <w:bookmarkEnd w:id="88"/>
    </w:p>
    <w:p>
      <w:pPr>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pPr>
        <w:spacing w:line="440" w:lineRule="exact"/>
        <w:ind w:firstLine="482" w:firstLineChars="200"/>
        <w:outlineLvl w:val="0"/>
        <w:rPr>
          <w:rFonts w:ascii="仿宋" w:hAnsi="仿宋" w:eastAsia="仿宋" w:cs="仿宋"/>
          <w:b/>
          <w:sz w:val="24"/>
        </w:rPr>
      </w:pPr>
      <w:bookmarkStart w:id="89" w:name="_Toc11173"/>
      <w:bookmarkStart w:id="90" w:name="_Toc15322"/>
      <w:bookmarkStart w:id="91" w:name="_Toc7245"/>
      <w:r>
        <w:rPr>
          <w:rFonts w:hint="eastAsia" w:ascii="仿宋" w:hAnsi="仿宋" w:eastAsia="仿宋" w:cs="仿宋"/>
          <w:b/>
          <w:sz w:val="24"/>
        </w:rPr>
        <w:t>2.0 合同生效</w:t>
      </w:r>
      <w:bookmarkEnd w:id="89"/>
      <w:bookmarkEnd w:id="90"/>
      <w:bookmarkEnd w:id="91"/>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1"/>
        <w:spacing w:line="560" w:lineRule="exact"/>
        <w:ind w:firstLine="482"/>
        <w:jc w:val="center"/>
        <w:outlineLvl w:val="0"/>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92" w:name="_Toc5228"/>
      <w:bookmarkStart w:id="93" w:name="_Toc25079"/>
      <w:bookmarkStart w:id="94" w:name="_Toc14021"/>
      <w:bookmarkStart w:id="95" w:name="_Toc19680"/>
      <w:bookmarkStart w:id="96" w:name="_Toc31297"/>
      <w:r>
        <w:rPr>
          <w:rFonts w:hint="eastAsia" w:ascii="仿宋" w:hAnsi="仿宋" w:eastAsia="仿宋" w:cs="仿宋"/>
          <w:b/>
          <w:sz w:val="24"/>
        </w:rPr>
        <w:t>2.1 定义</w:t>
      </w:r>
      <w:bookmarkEnd w:id="92"/>
      <w:bookmarkEnd w:id="93"/>
      <w:bookmarkEnd w:id="94"/>
      <w:bookmarkEnd w:id="95"/>
      <w:bookmarkEnd w:id="96"/>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“合同”系指采购人和中标或成交乙方签订的载明双方当事人所达成的协议，并包括所有的附件、附录和构成合同的其他文件。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“合同价”系指根据合同约定，中标或成交乙方在完全履行合同义务后，采购人应支付给中标或成交乙方的价格。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“服务”系指中标或成交乙方根据合同约定应向采购人履行的除货物和工程以外的其他政府采购对象，包括采购人自身需要的服务和向社会公众提供的公共服务。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“甲方”系指与中标或成交乙方签署合同的采购人；采购人委托采购代理机构代表其与乙方签订合同的，采购人的授权委托书作为合同附件。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乙方；两个以上的自然人、法人或者其他组织组成一个联合体，以一个乙方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97" w:name="_Toc23289"/>
      <w:bookmarkStart w:id="98" w:name="_Toc3769"/>
      <w:bookmarkStart w:id="99" w:name="_Toc31402"/>
      <w:bookmarkStart w:id="100" w:name="_Toc16752"/>
      <w:bookmarkStart w:id="101" w:name="_Toc19539"/>
      <w:r>
        <w:rPr>
          <w:rFonts w:hint="eastAsia" w:ascii="仿宋" w:hAnsi="仿宋" w:eastAsia="仿宋" w:cs="仿宋"/>
          <w:b/>
          <w:sz w:val="24"/>
        </w:rPr>
        <w:t>2.2 技术规范</w:t>
      </w:r>
      <w:bookmarkEnd w:id="97"/>
      <w:bookmarkEnd w:id="98"/>
      <w:bookmarkEnd w:id="99"/>
      <w:bookmarkEnd w:id="100"/>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102" w:name="_Toc4133"/>
      <w:bookmarkStart w:id="103" w:name="_Toc12412"/>
      <w:bookmarkStart w:id="104" w:name="_Toc9161"/>
      <w:bookmarkStart w:id="105" w:name="_Toc13673"/>
      <w:bookmarkStart w:id="106" w:name="_Toc27945"/>
      <w:r>
        <w:rPr>
          <w:rFonts w:hint="eastAsia" w:ascii="仿宋" w:hAnsi="仿宋" w:eastAsia="仿宋" w:cs="仿宋"/>
          <w:b/>
          <w:sz w:val="24"/>
        </w:rPr>
        <w:t>2.3 知识产权</w:t>
      </w:r>
      <w:bookmarkEnd w:id="102"/>
      <w:bookmarkEnd w:id="103"/>
      <w:bookmarkEnd w:id="104"/>
      <w:bookmarkEnd w:id="105"/>
      <w:bookmarkEnd w:id="106"/>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2.3.2 合同涉及技术成果的归属和收益的分成办法的，详见   </w:t>
      </w:r>
      <w:r>
        <w:rPr>
          <w:rFonts w:hint="eastAsia" w:ascii="仿宋" w:hAnsi="仿宋" w:eastAsia="仿宋" w:cs="仿宋"/>
          <w:b/>
          <w:i/>
          <w:sz w:val="24"/>
          <w:u w:val="single"/>
        </w:rPr>
        <w:t xml:space="preserve">无   </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107" w:name="_Toc26555"/>
      <w:bookmarkStart w:id="108" w:name="_Toc22011"/>
      <w:bookmarkStart w:id="109" w:name="_Toc32670"/>
      <w:bookmarkStart w:id="110" w:name="_Toc31233"/>
      <w:bookmarkStart w:id="111" w:name="_Toc15447"/>
      <w:r>
        <w:rPr>
          <w:rFonts w:hint="eastAsia" w:ascii="仿宋" w:hAnsi="仿宋" w:eastAsia="仿宋" w:cs="仿宋"/>
          <w:b/>
          <w:sz w:val="24"/>
        </w:rPr>
        <w:t>2.5 结算方式和付款条件</w:t>
      </w:r>
      <w:bookmarkEnd w:id="107"/>
      <w:bookmarkEnd w:id="108"/>
      <w:bookmarkEnd w:id="109"/>
      <w:bookmarkEnd w:id="110"/>
      <w:bookmarkEnd w:id="111"/>
    </w:p>
    <w:p>
      <w:pPr>
        <w:spacing w:line="560" w:lineRule="exact"/>
        <w:ind w:firstLine="482" w:firstLineChars="200"/>
        <w:outlineLvl w:val="0"/>
        <w:rPr>
          <w:rFonts w:ascii="仿宋" w:hAnsi="仿宋" w:eastAsia="仿宋" w:cs="仿宋"/>
          <w:b/>
          <w:sz w:val="24"/>
          <w:u w:val="single"/>
        </w:rPr>
      </w:pPr>
      <w:r>
        <w:rPr>
          <w:rFonts w:hint="eastAsia" w:ascii="仿宋" w:hAnsi="仿宋" w:eastAsia="仿宋" w:cs="仿宋"/>
          <w:b/>
          <w:sz w:val="24"/>
          <w:u w:val="single"/>
        </w:rPr>
        <w:t>每月验收合格支付一次。</w:t>
      </w:r>
    </w:p>
    <w:p>
      <w:pPr>
        <w:spacing w:line="560" w:lineRule="exact"/>
        <w:ind w:firstLine="482" w:firstLineChars="200"/>
        <w:outlineLvl w:val="0"/>
        <w:rPr>
          <w:rFonts w:ascii="仿宋" w:hAnsi="仿宋" w:eastAsia="仿宋" w:cs="仿宋"/>
          <w:b/>
          <w:sz w:val="24"/>
        </w:rPr>
      </w:pPr>
      <w:bookmarkStart w:id="112" w:name="_Toc16163"/>
      <w:bookmarkStart w:id="113" w:name="_Toc13467"/>
      <w:bookmarkStart w:id="114" w:name="_Toc18990"/>
      <w:bookmarkStart w:id="115" w:name="_Toc30507"/>
      <w:bookmarkStart w:id="116" w:name="_Toc13154"/>
      <w:r>
        <w:rPr>
          <w:rFonts w:hint="eastAsia" w:ascii="仿宋" w:hAnsi="仿宋" w:eastAsia="仿宋" w:cs="仿宋"/>
          <w:b/>
          <w:sz w:val="24"/>
        </w:rPr>
        <w:t>2.6 技术资料和保密义务</w:t>
      </w:r>
      <w:bookmarkEnd w:id="112"/>
      <w:bookmarkEnd w:id="113"/>
      <w:bookmarkEnd w:id="114"/>
      <w:bookmarkEnd w:id="115"/>
      <w:bookmarkEnd w:id="116"/>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17" w:name="_Toc19069"/>
      <w:r>
        <w:rPr>
          <w:rFonts w:hint="eastAsia" w:ascii="仿宋" w:hAnsi="仿宋" w:eastAsia="仿宋" w:cs="仿宋"/>
          <w:b/>
          <w:sz w:val="24"/>
        </w:rPr>
        <w:t>2.7 质量保证</w:t>
      </w:r>
      <w:bookmarkEnd w:id="117"/>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18" w:name="_Toc22267"/>
      <w:r>
        <w:rPr>
          <w:rFonts w:hint="eastAsia" w:ascii="仿宋" w:hAnsi="仿宋" w:eastAsia="仿宋" w:cs="仿宋"/>
          <w:b/>
          <w:sz w:val="24"/>
        </w:rPr>
        <w:t>2.8 延迟履行</w:t>
      </w:r>
      <w:bookmarkEnd w:id="118"/>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19" w:name="_Toc10611"/>
      <w:r>
        <w:rPr>
          <w:rFonts w:hint="eastAsia" w:ascii="仿宋" w:hAnsi="仿宋" w:eastAsia="仿宋" w:cs="仿宋"/>
          <w:b/>
          <w:sz w:val="24"/>
        </w:rPr>
        <w:t>2.9 合同变更</w:t>
      </w:r>
      <w:bookmarkEnd w:id="119"/>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20" w:name="_Toc42"/>
      <w:bookmarkStart w:id="121" w:name="_Toc26689"/>
      <w:bookmarkStart w:id="122" w:name="_Toc10663"/>
      <w:bookmarkStart w:id="123" w:name="_Toc23368"/>
      <w:bookmarkStart w:id="124" w:name="_Toc21830"/>
      <w:r>
        <w:rPr>
          <w:rFonts w:hint="eastAsia" w:ascii="仿宋" w:hAnsi="仿宋" w:eastAsia="仿宋" w:cs="仿宋"/>
          <w:b/>
          <w:sz w:val="24"/>
        </w:rPr>
        <w:t>2.10 合同转让和分包</w:t>
      </w:r>
      <w:bookmarkEnd w:id="120"/>
      <w:bookmarkEnd w:id="121"/>
      <w:bookmarkEnd w:id="122"/>
      <w:bookmarkEnd w:id="123"/>
      <w:bookmarkEnd w:id="124"/>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乙方就分包项目向甲方承担连带责任。</w:t>
      </w:r>
    </w:p>
    <w:p>
      <w:pPr>
        <w:spacing w:line="560" w:lineRule="exact"/>
        <w:ind w:firstLine="482" w:firstLineChars="200"/>
        <w:outlineLvl w:val="0"/>
        <w:rPr>
          <w:rFonts w:ascii="仿宋" w:hAnsi="仿宋" w:eastAsia="仿宋" w:cs="仿宋"/>
          <w:b/>
          <w:sz w:val="24"/>
        </w:rPr>
      </w:pPr>
      <w:bookmarkStart w:id="125" w:name="_Toc26633"/>
      <w:bookmarkStart w:id="126" w:name="_Toc25571"/>
      <w:bookmarkStart w:id="127" w:name="_Toc14371"/>
      <w:bookmarkStart w:id="128" w:name="_Toc32494"/>
      <w:bookmarkStart w:id="129" w:name="_Toc4720"/>
      <w:r>
        <w:rPr>
          <w:rFonts w:hint="eastAsia" w:ascii="仿宋" w:hAnsi="仿宋" w:eastAsia="仿宋" w:cs="仿宋"/>
          <w:b/>
          <w:sz w:val="24"/>
        </w:rPr>
        <w:t>2.11 不可抗力</w:t>
      </w:r>
      <w:bookmarkEnd w:id="125"/>
      <w:bookmarkEnd w:id="126"/>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sz w:val="24"/>
          <w:u w:val="single"/>
        </w:rPr>
        <w:t>10个工作日内</w:t>
      </w:r>
      <w:r>
        <w:rPr>
          <w:rFonts w:hint="eastAsia" w:ascii="仿宋" w:hAnsi="仿宋" w:eastAsia="仿宋" w:cs="仿宋"/>
          <w:sz w:val="24"/>
        </w:rPr>
        <w:t>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sz w:val="24"/>
          <w:u w:val="single"/>
        </w:rPr>
        <w:t>10个工作日内</w:t>
      </w:r>
      <w:r>
        <w:rPr>
          <w:rFonts w:hint="eastAsia" w:ascii="仿宋" w:hAnsi="仿宋" w:eastAsia="仿宋" w:cs="仿宋"/>
          <w:sz w:val="24"/>
        </w:rPr>
        <w:t>以书面形式通知对方当事人，并在</w:t>
      </w:r>
      <w:r>
        <w:rPr>
          <w:rFonts w:hint="eastAsia" w:ascii="仿宋" w:hAnsi="仿宋" w:eastAsia="仿宋" w:cs="仿宋"/>
          <w:sz w:val="24"/>
          <w:u w:val="single"/>
        </w:rPr>
        <w:t>5个工作日</w:t>
      </w:r>
      <w:r>
        <w:rPr>
          <w:rFonts w:hint="eastAsia" w:ascii="仿宋" w:hAnsi="仿宋" w:eastAsia="仿宋" w:cs="仿宋"/>
          <w:sz w:val="24"/>
        </w:rPr>
        <w:t>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30" w:name="_Toc25783"/>
      <w:bookmarkStart w:id="131" w:name="_Toc3638"/>
      <w:bookmarkStart w:id="132" w:name="_Toc24465"/>
      <w:bookmarkStart w:id="133" w:name="_Toc14115"/>
      <w:bookmarkStart w:id="134" w:name="_Toc23854"/>
      <w:r>
        <w:rPr>
          <w:rFonts w:hint="eastAsia" w:ascii="仿宋" w:hAnsi="仿宋" w:eastAsia="仿宋" w:cs="仿宋"/>
          <w:b/>
          <w:sz w:val="24"/>
        </w:rPr>
        <w:t>2.12 税费</w:t>
      </w:r>
      <w:bookmarkEnd w:id="130"/>
      <w:bookmarkEnd w:id="131"/>
      <w:bookmarkEnd w:id="132"/>
      <w:bookmarkEnd w:id="133"/>
      <w:bookmarkEnd w:id="134"/>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35" w:name="_Toc26883"/>
      <w:bookmarkStart w:id="136" w:name="_Toc25525"/>
      <w:bookmarkStart w:id="137" w:name="_Toc14814"/>
      <w:bookmarkStart w:id="138" w:name="_Toc7315"/>
      <w:bookmarkStart w:id="139" w:name="_Toc30105"/>
      <w:r>
        <w:rPr>
          <w:rFonts w:hint="eastAsia" w:ascii="仿宋" w:hAnsi="仿宋" w:eastAsia="仿宋" w:cs="仿宋"/>
          <w:b/>
          <w:sz w:val="24"/>
        </w:rPr>
        <w:t>2.13 乙方破产</w:t>
      </w:r>
      <w:bookmarkEnd w:id="135"/>
      <w:bookmarkEnd w:id="136"/>
      <w:bookmarkEnd w:id="137"/>
      <w:bookmarkEnd w:id="138"/>
      <w:bookmarkEnd w:id="139"/>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40" w:name="_Toc23323"/>
      <w:bookmarkStart w:id="141" w:name="_Toc2016"/>
      <w:bookmarkStart w:id="142" w:name="_Toc1123"/>
      <w:r>
        <w:rPr>
          <w:rFonts w:hint="eastAsia" w:ascii="仿宋" w:hAnsi="仿宋" w:eastAsia="仿宋" w:cs="仿宋"/>
          <w:b/>
          <w:sz w:val="24"/>
        </w:rPr>
        <w:t>2.14 合同中止、终止</w:t>
      </w:r>
      <w:bookmarkEnd w:id="140"/>
      <w:bookmarkEnd w:id="141"/>
      <w:bookmarkEnd w:id="142"/>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43" w:name="_Toc1969"/>
      <w:bookmarkStart w:id="144" w:name="_Toc17363"/>
      <w:bookmarkStart w:id="145" w:name="_Toc14525"/>
      <w:r>
        <w:rPr>
          <w:rFonts w:hint="eastAsia" w:ascii="仿宋" w:hAnsi="仿宋" w:eastAsia="仿宋" w:cs="仿宋"/>
          <w:b/>
          <w:sz w:val="24"/>
        </w:rPr>
        <w:t>2.15 检验和验收</w:t>
      </w:r>
      <w:bookmarkEnd w:id="143"/>
      <w:bookmarkEnd w:id="144"/>
      <w:bookmarkEnd w:id="145"/>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乙方按照合同的约定，定期提交服务报告，甲方按照合同的约定进行定期验收；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检验和验收标准、程序等具体内容以及前述验收书的效力详见合同。</w:t>
      </w:r>
    </w:p>
    <w:p>
      <w:pPr>
        <w:spacing w:line="560" w:lineRule="exact"/>
        <w:ind w:firstLine="482" w:firstLineChars="200"/>
        <w:outlineLvl w:val="0"/>
        <w:rPr>
          <w:rFonts w:ascii="仿宋" w:hAnsi="仿宋" w:eastAsia="仿宋" w:cs="仿宋"/>
          <w:b/>
          <w:sz w:val="24"/>
        </w:rPr>
      </w:pPr>
      <w:bookmarkStart w:id="146" w:name="_Toc12666"/>
      <w:bookmarkStart w:id="147" w:name="_Toc9808"/>
      <w:bookmarkStart w:id="148" w:name="_Toc25198"/>
      <w:bookmarkStart w:id="149" w:name="_Toc2308"/>
      <w:bookmarkStart w:id="150" w:name="_Toc31892"/>
      <w:r>
        <w:rPr>
          <w:rFonts w:hint="eastAsia" w:ascii="仿宋" w:hAnsi="仿宋" w:eastAsia="仿宋" w:cs="仿宋"/>
          <w:b/>
          <w:sz w:val="24"/>
        </w:rPr>
        <w:t>2.16 通知和送达</w:t>
      </w:r>
      <w:bookmarkEnd w:id="146"/>
      <w:bookmarkEnd w:id="147"/>
      <w:bookmarkEnd w:id="148"/>
      <w:bookmarkEnd w:id="149"/>
      <w:bookmarkEnd w:id="150"/>
    </w:p>
    <w:p>
      <w:pPr>
        <w:spacing w:line="560" w:lineRule="exact"/>
        <w:ind w:firstLine="480" w:firstLineChars="200"/>
        <w:rPr>
          <w:rFonts w:ascii="仿宋" w:hAnsi="仿宋" w:eastAsia="仿宋" w:cs="仿宋"/>
          <w:sz w:val="24"/>
        </w:rPr>
      </w:pPr>
      <w:bookmarkStart w:id="151" w:name="_Toc27674"/>
      <w:bookmarkStart w:id="152" w:name="_Toc18401"/>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 w:hAnsi="仿宋" w:eastAsia="仿宋" w:cs="仿宋"/>
          <w:b/>
          <w:sz w:val="24"/>
        </w:rPr>
      </w:pPr>
      <w:bookmarkStart w:id="153" w:name="_Toc27644"/>
      <w:bookmarkStart w:id="154" w:name="_Toc28906"/>
      <w:bookmarkStart w:id="155" w:name="_Toc20808"/>
      <w:bookmarkStart w:id="156" w:name="_Toc5063"/>
      <w:bookmarkStart w:id="157" w:name="_Toc12254"/>
      <w:r>
        <w:rPr>
          <w:rFonts w:hint="eastAsia" w:ascii="仿宋" w:hAnsi="仿宋" w:eastAsia="仿宋" w:cs="仿宋"/>
          <w:b/>
          <w:sz w:val="24"/>
        </w:rPr>
        <w:t>2.17 合同使用的文字和适用的法律</w:t>
      </w:r>
      <w:bookmarkEnd w:id="153"/>
      <w:bookmarkEnd w:id="154"/>
      <w:bookmarkEnd w:id="155"/>
      <w:bookmarkEnd w:id="156"/>
      <w:bookmarkEnd w:id="157"/>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58" w:name="_Toc18540"/>
      <w:bookmarkStart w:id="159" w:name="_Toc4355"/>
      <w:bookmarkStart w:id="160" w:name="_Toc30599"/>
      <w:r>
        <w:rPr>
          <w:rFonts w:hint="eastAsia" w:ascii="仿宋" w:hAnsi="仿宋" w:eastAsia="仿宋" w:cs="仿宋"/>
          <w:b/>
          <w:sz w:val="24"/>
        </w:rPr>
        <w:t>2.18 计量单位</w:t>
      </w:r>
      <w:bookmarkEnd w:id="158"/>
      <w:bookmarkEnd w:id="159"/>
      <w:bookmarkEnd w:id="160"/>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61" w:name="_Toc487900373"/>
      <w:bookmarkStart w:id="162" w:name="_Toc12773"/>
      <w:bookmarkStart w:id="163" w:name="_Toc18567"/>
      <w:bookmarkStart w:id="164" w:name="_Toc279701263"/>
      <w:bookmarkStart w:id="165" w:name="_Toc10330"/>
      <w:bookmarkStart w:id="166" w:name="_Toc259093692"/>
      <w:r>
        <w:rPr>
          <w:rFonts w:hint="eastAsia" w:ascii="仿宋" w:hAnsi="仿宋" w:eastAsia="仿宋" w:cs="仿宋"/>
          <w:b/>
          <w:sz w:val="24"/>
        </w:rPr>
        <w:t>2.19 合同使用的文字和适用的法律</w:t>
      </w:r>
      <w:bookmarkEnd w:id="161"/>
      <w:bookmarkEnd w:id="162"/>
      <w:bookmarkEnd w:id="163"/>
      <w:bookmarkEnd w:id="164"/>
      <w:bookmarkEnd w:id="165"/>
      <w:bookmarkEnd w:id="166"/>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合同份数甲、乙双方各执2份，嵊州市公共资源交易中心备案1份，每份均具有同等法律效力。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7" w:name="_Toc331685784"/>
      <w:r>
        <w:rPr>
          <w:rFonts w:hint="eastAsia" w:ascii="仿宋" w:hAnsi="仿宋" w:eastAsia="仿宋" w:cs="仿宋"/>
          <w:b/>
          <w:sz w:val="24"/>
        </w:rPr>
        <w:t xml:space="preserve"> </w:t>
      </w:r>
      <w:bookmarkEnd w:id="167"/>
      <w:r>
        <w:rPr>
          <w:rFonts w:hint="eastAsia" w:ascii="仿宋" w:hAnsi="仿宋" w:eastAsia="仿宋" w:cs="仿宋"/>
          <w:b/>
          <w:sz w:val="24"/>
        </w:rPr>
        <w:t>第三部分  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60" w:lineRule="auto"/>
        <w:ind w:left="-420" w:leftChars="-200" w:right="-420" w:rightChars="-200" w:firstLine="480" w:firstLineChars="200"/>
        <w:jc w:val="center"/>
        <w:rPr>
          <w:rFonts w:ascii="仿宋" w:hAnsi="仿宋" w:eastAsia="仿宋" w:cs="仿宋"/>
          <w:sz w:val="24"/>
        </w:rPr>
      </w:pP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乙方推荐资格；评审得分相同的，由采购人或者采购人委托评标委员会按照招标文件规定的方式确定一个投标人获得乙方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90 </w:t>
      </w:r>
      <w:r>
        <w:rPr>
          <w:rFonts w:hint="eastAsia" w:ascii="仿宋" w:hAnsi="仿宋" w:eastAsia="仿宋" w:cs="仿宋"/>
          <w:sz w:val="24"/>
        </w:rPr>
        <w:t>分，价格分</w:t>
      </w:r>
      <w:r>
        <w:rPr>
          <w:rFonts w:hint="eastAsia" w:ascii="仿宋" w:hAnsi="仿宋" w:eastAsia="仿宋" w:cs="仿宋"/>
          <w:sz w:val="24"/>
          <w:u w:val="single"/>
        </w:rPr>
        <w:t xml:space="preserve"> 10 </w:t>
      </w:r>
      <w:r>
        <w:rPr>
          <w:rFonts w:hint="eastAsia" w:ascii="仿宋" w:hAnsi="仿宋" w:eastAsia="仿宋" w:cs="仿宋"/>
          <w:sz w:val="24"/>
        </w:rPr>
        <w:t>分。评分依下述所列为评标打分依据，分值如下（计算分值时，按其算术平均值保留小数2位）。</w:t>
      </w:r>
    </w:p>
    <w:p>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90</w:t>
      </w:r>
      <w:r>
        <w:rPr>
          <w:rFonts w:hint="eastAsia" w:ascii="仿宋" w:hAnsi="仿宋" w:eastAsia="仿宋" w:cs="仿宋"/>
          <w:b/>
          <w:bCs/>
          <w:iCs/>
          <w:sz w:val="24"/>
        </w:rPr>
        <w:t>分）</w:t>
      </w:r>
    </w:p>
    <w:tbl>
      <w:tblPr>
        <w:tblStyle w:val="62"/>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0"/>
        <w:gridCol w:w="1106"/>
        <w:gridCol w:w="6893"/>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800" w:type="dxa"/>
            <w:tcBorders>
              <w:tl2br w:val="nil"/>
              <w:tr2bl w:val="nil"/>
            </w:tcBorders>
            <w:vAlign w:val="center"/>
          </w:tcPr>
          <w:p>
            <w:pPr>
              <w:widowControl/>
              <w:snapToGrid w:val="0"/>
              <w:spacing w:line="440" w:lineRule="exact"/>
              <w:jc w:val="center"/>
              <w:rPr>
                <w:rFonts w:ascii="仿宋" w:hAnsi="仿宋" w:eastAsia="仿宋" w:cs="仿宋"/>
                <w:kern w:val="0"/>
                <w:sz w:val="22"/>
                <w:szCs w:val="22"/>
              </w:rPr>
            </w:pPr>
            <w:r>
              <w:rPr>
                <w:rFonts w:hint="eastAsia" w:ascii="仿宋" w:hAnsi="仿宋" w:eastAsia="仿宋" w:cs="仿宋"/>
                <w:b/>
                <w:bCs/>
                <w:kern w:val="0"/>
                <w:sz w:val="22"/>
                <w:szCs w:val="22"/>
              </w:rPr>
              <w:t>序号</w:t>
            </w:r>
          </w:p>
        </w:tc>
        <w:tc>
          <w:tcPr>
            <w:tcW w:w="1106" w:type="dxa"/>
            <w:tcBorders>
              <w:tl2br w:val="nil"/>
              <w:tr2bl w:val="nil"/>
            </w:tcBorders>
            <w:vAlign w:val="center"/>
          </w:tcPr>
          <w:p>
            <w:pPr>
              <w:widowControl/>
              <w:snapToGrid w:val="0"/>
              <w:spacing w:line="440" w:lineRule="exact"/>
              <w:jc w:val="center"/>
              <w:rPr>
                <w:rFonts w:ascii="仿宋" w:hAnsi="仿宋" w:eastAsia="仿宋" w:cs="仿宋"/>
                <w:kern w:val="0"/>
                <w:sz w:val="22"/>
                <w:szCs w:val="22"/>
                <w:lang w:val="zh-CN"/>
              </w:rPr>
            </w:pPr>
            <w:r>
              <w:rPr>
                <w:rFonts w:hint="eastAsia" w:ascii="仿宋" w:hAnsi="仿宋" w:eastAsia="仿宋" w:cs="仿宋"/>
                <w:b/>
                <w:bCs/>
                <w:kern w:val="0"/>
                <w:sz w:val="22"/>
                <w:szCs w:val="22"/>
              </w:rPr>
              <w:t>评分项</w:t>
            </w:r>
          </w:p>
        </w:tc>
        <w:tc>
          <w:tcPr>
            <w:tcW w:w="6893" w:type="dxa"/>
            <w:tcBorders>
              <w:tl2br w:val="nil"/>
              <w:tr2bl w:val="nil"/>
            </w:tcBorders>
            <w:vAlign w:val="center"/>
          </w:tcPr>
          <w:p>
            <w:pPr>
              <w:widowControl/>
              <w:snapToGrid w:val="0"/>
              <w:spacing w:line="440" w:lineRule="exact"/>
              <w:jc w:val="center"/>
              <w:rPr>
                <w:rFonts w:ascii="仿宋" w:hAnsi="仿宋" w:eastAsia="仿宋" w:cs="仿宋"/>
                <w:kern w:val="0"/>
                <w:sz w:val="22"/>
                <w:szCs w:val="22"/>
                <w:lang w:val="zh-CN"/>
              </w:rPr>
            </w:pPr>
            <w:r>
              <w:rPr>
                <w:rFonts w:hint="eastAsia" w:ascii="仿宋" w:hAnsi="仿宋" w:eastAsia="仿宋" w:cs="仿宋"/>
                <w:b/>
                <w:bCs/>
                <w:kern w:val="0"/>
                <w:sz w:val="22"/>
                <w:szCs w:val="22"/>
              </w:rPr>
              <w:t>评审依据及标准</w:t>
            </w:r>
          </w:p>
        </w:tc>
        <w:tc>
          <w:tcPr>
            <w:tcW w:w="762" w:type="dxa"/>
            <w:tcBorders>
              <w:tl2br w:val="nil"/>
              <w:tr2bl w:val="nil"/>
            </w:tcBorders>
            <w:vAlign w:val="center"/>
          </w:tcPr>
          <w:p>
            <w:pPr>
              <w:widowControl/>
              <w:snapToGrid w:val="0"/>
              <w:spacing w:line="440" w:lineRule="exact"/>
              <w:jc w:val="center"/>
              <w:rPr>
                <w:rFonts w:ascii="仿宋" w:hAnsi="仿宋" w:eastAsia="仿宋" w:cs="仿宋"/>
                <w:kern w:val="0"/>
                <w:sz w:val="22"/>
                <w:szCs w:val="22"/>
                <w:lang w:val="zh-CN"/>
              </w:rPr>
            </w:pPr>
            <w:r>
              <w:rPr>
                <w:rFonts w:hint="eastAsia" w:ascii="仿宋" w:hAnsi="仿宋" w:eastAsia="仿宋" w:cs="仿宋"/>
                <w:b/>
                <w:bCs/>
                <w:kern w:val="0"/>
                <w:sz w:val="22"/>
                <w:szCs w:val="22"/>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46" w:hRule="atLeast"/>
        </w:trPr>
        <w:tc>
          <w:tcPr>
            <w:tcW w:w="800"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1</w:t>
            </w:r>
          </w:p>
        </w:tc>
        <w:tc>
          <w:tcPr>
            <w:tcW w:w="1106"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综合实力</w:t>
            </w:r>
          </w:p>
        </w:tc>
        <w:tc>
          <w:tcPr>
            <w:tcW w:w="6893" w:type="dxa"/>
            <w:tcBorders>
              <w:tl2br w:val="nil"/>
              <w:tr2bl w:val="nil"/>
            </w:tcBorders>
            <w:vAlign w:val="center"/>
          </w:tcPr>
          <w:p>
            <w:pPr>
              <w:adjustRightInd/>
              <w:spacing w:line="400" w:lineRule="exact"/>
              <w:jc w:val="left"/>
              <w:rPr>
                <w:rFonts w:ascii="仿宋" w:hAnsi="仿宋" w:eastAsia="仿宋" w:cs="仿宋"/>
                <w:kern w:val="0"/>
                <w:sz w:val="22"/>
                <w:szCs w:val="22"/>
                <w:lang w:val="zh-CN"/>
              </w:rPr>
            </w:pPr>
            <w:r>
              <w:rPr>
                <w:rFonts w:hint="eastAsia" w:ascii="仿宋" w:hAnsi="仿宋" w:eastAsia="仿宋" w:cs="仿宋"/>
                <w:kern w:val="0"/>
                <w:sz w:val="22"/>
                <w:szCs w:val="22"/>
                <w:lang w:val="zh-CN"/>
              </w:rPr>
              <w:t>（1）投标人具有质量管理体系认证证书的得1分；</w:t>
            </w:r>
          </w:p>
          <w:p>
            <w:pPr>
              <w:adjustRightInd/>
              <w:spacing w:line="400" w:lineRule="exact"/>
              <w:jc w:val="left"/>
              <w:rPr>
                <w:rFonts w:ascii="仿宋" w:hAnsi="仿宋" w:eastAsia="仿宋" w:cs="仿宋"/>
                <w:kern w:val="0"/>
                <w:sz w:val="22"/>
                <w:szCs w:val="22"/>
                <w:lang w:val="zh-CN"/>
              </w:rPr>
            </w:pPr>
            <w:r>
              <w:rPr>
                <w:rFonts w:hint="eastAsia" w:ascii="仿宋" w:hAnsi="仿宋" w:eastAsia="仿宋" w:cs="仿宋"/>
                <w:kern w:val="0"/>
                <w:sz w:val="22"/>
                <w:szCs w:val="22"/>
                <w:lang w:val="zh-CN"/>
              </w:rPr>
              <w:t>（2）投标人具有环境管理体系认证证书的得1分；</w:t>
            </w:r>
          </w:p>
          <w:p>
            <w:pPr>
              <w:adjustRightInd/>
              <w:spacing w:line="400" w:lineRule="exact"/>
              <w:jc w:val="left"/>
              <w:rPr>
                <w:rFonts w:ascii="仿宋" w:hAnsi="仿宋" w:eastAsia="仿宋" w:cs="仿宋"/>
                <w:kern w:val="0"/>
                <w:sz w:val="22"/>
                <w:szCs w:val="22"/>
                <w:lang w:val="zh-CN"/>
              </w:rPr>
            </w:pPr>
            <w:r>
              <w:rPr>
                <w:rFonts w:hint="eastAsia" w:ascii="仿宋" w:hAnsi="仿宋" w:eastAsia="仿宋" w:cs="仿宋"/>
                <w:kern w:val="0"/>
                <w:sz w:val="22"/>
                <w:szCs w:val="22"/>
                <w:lang w:val="zh-CN"/>
              </w:rPr>
              <w:t>（3）投标人具有职业健康安全管理体系认证证书的得1分。</w:t>
            </w:r>
          </w:p>
          <w:p>
            <w:pPr>
              <w:widowControl/>
              <w:spacing w:line="400" w:lineRule="exact"/>
              <w:jc w:val="left"/>
              <w:textAlignment w:val="baseline"/>
              <w:rPr>
                <w:rFonts w:ascii="仿宋" w:hAnsi="仿宋" w:eastAsia="仿宋" w:cs="仿宋"/>
                <w:sz w:val="22"/>
                <w:szCs w:val="22"/>
              </w:rPr>
            </w:pPr>
            <w:r>
              <w:rPr>
                <w:rFonts w:hint="eastAsia" w:ascii="仿宋" w:hAnsi="仿宋" w:eastAsia="仿宋" w:cs="仿宋"/>
                <w:sz w:val="22"/>
                <w:szCs w:val="22"/>
              </w:rPr>
              <w:t>（4）投标人自2022年1月1日以来管理的物业项目（非住宅），获得行政主管部门颁发的荣誉，获得省级及以上荣誉的得3分；获得地级市荣誉的得2分；获得区县级荣誉的得1分；本项最高得3分，没有不得分,</w:t>
            </w:r>
            <w:r>
              <w:rPr>
                <w:rFonts w:hint="eastAsia" w:ascii="仿宋" w:hAnsi="仿宋" w:eastAsia="仿宋" w:cs="仿宋"/>
                <w:color w:val="000000" w:themeColor="text1"/>
                <w:sz w:val="22"/>
                <w:szCs w:val="22"/>
                <w14:textFill>
                  <w14:solidFill>
                    <w14:schemeClr w14:val="tx1"/>
                  </w14:solidFill>
                </w14:textFill>
              </w:rPr>
              <w:t>最多按1个计算</w:t>
            </w:r>
            <w:r>
              <w:rPr>
                <w:rFonts w:hint="eastAsia" w:ascii="仿宋" w:hAnsi="仿宋" w:eastAsia="仿宋" w:cs="仿宋"/>
                <w:sz w:val="22"/>
                <w:szCs w:val="22"/>
              </w:rPr>
              <w:t>。</w:t>
            </w:r>
          </w:p>
          <w:p>
            <w:pPr>
              <w:adjustRightInd/>
              <w:spacing w:line="400" w:lineRule="exact"/>
              <w:jc w:val="left"/>
              <w:rPr>
                <w:rFonts w:ascii="仿宋" w:hAnsi="仿宋" w:eastAsia="仿宋" w:cs="仿宋"/>
                <w:kern w:val="0"/>
                <w:sz w:val="22"/>
                <w:szCs w:val="22"/>
              </w:rPr>
            </w:pPr>
            <w:r>
              <w:rPr>
                <w:rFonts w:hint="eastAsia" w:ascii="仿宋" w:hAnsi="仿宋" w:eastAsia="仿宋" w:cs="仿宋"/>
                <w:bCs/>
                <w:kern w:val="0"/>
                <w:sz w:val="22"/>
                <w:szCs w:val="22"/>
                <w:lang w:bidi="ar"/>
              </w:rPr>
              <w:t>（提供有效期内的证书扫描件、</w:t>
            </w:r>
            <w:r>
              <w:rPr>
                <w:rFonts w:hint="eastAsia" w:ascii="仿宋" w:hAnsi="仿宋" w:eastAsia="仿宋" w:cs="仿宋"/>
                <w:sz w:val="22"/>
                <w:szCs w:val="22"/>
              </w:rPr>
              <w:t>国家市场监督管理总局创立的全国认证认可信息公共服务平台的网页截图（http://cx.cnca.cn/CertECloud/index/index/page）</w:t>
            </w:r>
            <w:r>
              <w:rPr>
                <w:rFonts w:hint="eastAsia" w:ascii="仿宋" w:hAnsi="仿宋" w:eastAsia="仿宋" w:cs="仿宋"/>
                <w:bCs/>
                <w:kern w:val="0"/>
                <w:sz w:val="22"/>
                <w:szCs w:val="22"/>
                <w:lang w:bidi="ar"/>
              </w:rPr>
              <w:t>并加盖CA签章，不提供不得分）</w:t>
            </w:r>
          </w:p>
        </w:tc>
        <w:tc>
          <w:tcPr>
            <w:tcW w:w="762"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800"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2</w:t>
            </w:r>
          </w:p>
        </w:tc>
        <w:tc>
          <w:tcPr>
            <w:tcW w:w="1106"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项目业绩</w:t>
            </w:r>
          </w:p>
        </w:tc>
        <w:tc>
          <w:tcPr>
            <w:tcW w:w="6893" w:type="dxa"/>
            <w:tcBorders>
              <w:tl2br w:val="nil"/>
              <w:tr2bl w:val="nil"/>
            </w:tcBorders>
            <w:vAlign w:val="center"/>
          </w:tcPr>
          <w:p>
            <w:pPr>
              <w:adjustRightInd/>
              <w:spacing w:line="400" w:lineRule="exact"/>
              <w:jc w:val="left"/>
              <w:rPr>
                <w:rFonts w:ascii="仿宋" w:hAnsi="仿宋" w:eastAsia="仿宋" w:cs="仿宋"/>
                <w:kern w:val="0"/>
                <w:sz w:val="22"/>
                <w:szCs w:val="22"/>
                <w:lang w:val="zh-CN"/>
              </w:rPr>
            </w:pPr>
            <w:r>
              <w:rPr>
                <w:rFonts w:hint="eastAsia" w:ascii="仿宋" w:hAnsi="仿宋" w:eastAsia="仿宋" w:cs="仿宋"/>
                <w:kern w:val="0"/>
                <w:sz w:val="22"/>
                <w:szCs w:val="22"/>
                <w:lang w:val="zh-CN"/>
              </w:rPr>
              <w:t>投标人202</w:t>
            </w:r>
            <w:r>
              <w:rPr>
                <w:rFonts w:hint="eastAsia" w:ascii="仿宋" w:hAnsi="仿宋" w:eastAsia="仿宋" w:cs="仿宋"/>
                <w:kern w:val="0"/>
                <w:sz w:val="22"/>
                <w:szCs w:val="22"/>
              </w:rPr>
              <w:t>2</w:t>
            </w:r>
            <w:r>
              <w:rPr>
                <w:rFonts w:hint="eastAsia" w:ascii="仿宋" w:hAnsi="仿宋" w:eastAsia="仿宋" w:cs="仿宋"/>
                <w:kern w:val="0"/>
                <w:sz w:val="22"/>
                <w:szCs w:val="22"/>
                <w:lang w:val="zh-CN"/>
              </w:rPr>
              <w:t>年</w:t>
            </w:r>
            <w:r>
              <w:rPr>
                <w:rFonts w:hint="eastAsia" w:ascii="仿宋" w:hAnsi="仿宋" w:eastAsia="仿宋" w:cs="仿宋"/>
                <w:kern w:val="0"/>
                <w:sz w:val="22"/>
                <w:szCs w:val="22"/>
              </w:rPr>
              <w:t>1</w:t>
            </w:r>
            <w:r>
              <w:rPr>
                <w:rFonts w:hint="eastAsia" w:ascii="仿宋" w:hAnsi="仿宋" w:eastAsia="仿宋" w:cs="仿宋"/>
                <w:kern w:val="0"/>
                <w:sz w:val="22"/>
                <w:szCs w:val="22"/>
                <w:lang w:val="zh-CN"/>
              </w:rPr>
              <w:t>月1日至今（以合同签订时间为准），承接</w:t>
            </w:r>
            <w:r>
              <w:rPr>
                <w:rFonts w:hint="eastAsia" w:ascii="仿宋" w:hAnsi="仿宋" w:eastAsia="仿宋" w:cs="仿宋"/>
                <w:kern w:val="0"/>
                <w:sz w:val="22"/>
                <w:szCs w:val="22"/>
              </w:rPr>
              <w:t>文化场馆综合物业服务</w:t>
            </w:r>
            <w:r>
              <w:rPr>
                <w:rFonts w:hint="eastAsia" w:ascii="仿宋" w:hAnsi="仿宋" w:eastAsia="仿宋" w:cs="仿宋"/>
                <w:kern w:val="0"/>
                <w:sz w:val="22"/>
                <w:szCs w:val="22"/>
                <w:lang w:val="zh-CN"/>
              </w:rPr>
              <w:t>项目成功业绩，每提供1个得</w:t>
            </w:r>
            <w:r>
              <w:rPr>
                <w:rFonts w:hint="eastAsia" w:ascii="仿宋" w:hAnsi="仿宋" w:eastAsia="仿宋" w:cs="仿宋"/>
                <w:kern w:val="0"/>
                <w:sz w:val="22"/>
                <w:szCs w:val="22"/>
              </w:rPr>
              <w:t>0.5</w:t>
            </w:r>
            <w:r>
              <w:rPr>
                <w:rFonts w:hint="eastAsia" w:ascii="仿宋" w:hAnsi="仿宋" w:eastAsia="仿宋" w:cs="仿宋"/>
                <w:kern w:val="0"/>
                <w:sz w:val="22"/>
                <w:szCs w:val="22"/>
                <w:lang w:val="zh-CN"/>
              </w:rPr>
              <w:t>分，最高得</w:t>
            </w:r>
            <w:r>
              <w:rPr>
                <w:rFonts w:hint="eastAsia" w:ascii="仿宋" w:hAnsi="仿宋" w:eastAsia="仿宋" w:cs="仿宋"/>
                <w:kern w:val="0"/>
                <w:sz w:val="22"/>
                <w:szCs w:val="22"/>
              </w:rPr>
              <w:t>1</w:t>
            </w:r>
            <w:r>
              <w:rPr>
                <w:rFonts w:hint="eastAsia" w:ascii="仿宋" w:hAnsi="仿宋" w:eastAsia="仿宋" w:cs="仿宋"/>
                <w:kern w:val="0"/>
                <w:sz w:val="22"/>
                <w:szCs w:val="22"/>
                <w:lang w:val="zh-CN"/>
              </w:rPr>
              <w:t>分。（提供合同</w:t>
            </w:r>
            <w:r>
              <w:rPr>
                <w:rFonts w:hint="eastAsia" w:ascii="仿宋" w:hAnsi="仿宋" w:eastAsia="仿宋" w:cs="仿宋"/>
                <w:kern w:val="0"/>
                <w:sz w:val="22"/>
                <w:szCs w:val="22"/>
              </w:rPr>
              <w:t>和中标通知书</w:t>
            </w:r>
            <w:r>
              <w:rPr>
                <w:rFonts w:hint="eastAsia" w:ascii="仿宋" w:hAnsi="仿宋" w:eastAsia="仿宋" w:cs="仿宋"/>
                <w:kern w:val="0"/>
                <w:sz w:val="22"/>
                <w:szCs w:val="22"/>
                <w:lang w:val="zh-CN"/>
              </w:rPr>
              <w:t>扫描件并加盖CA签章）</w:t>
            </w:r>
          </w:p>
        </w:tc>
        <w:tc>
          <w:tcPr>
            <w:tcW w:w="762" w:type="dxa"/>
            <w:tcBorders>
              <w:tl2br w:val="nil"/>
              <w:tr2bl w:val="nil"/>
            </w:tcBorders>
            <w:vAlign w:val="center"/>
          </w:tcPr>
          <w:p>
            <w:pPr>
              <w:adjustRightInd/>
              <w:spacing w:line="400" w:lineRule="exact"/>
              <w:jc w:val="center"/>
              <w:rPr>
                <w:rFonts w:ascii="仿宋" w:hAnsi="仿宋" w:eastAsia="仿宋" w:cs="仿宋"/>
                <w:color w:val="FF0000"/>
                <w:sz w:val="22"/>
                <w:szCs w:val="22"/>
              </w:rPr>
            </w:pPr>
            <w:r>
              <w:rPr>
                <w:rFonts w:hint="eastAsia" w:ascii="仿宋" w:hAnsi="仿宋" w:eastAsia="仿宋" w:cs="仿宋"/>
                <w:color w:val="000000" w:themeColor="text1"/>
                <w:sz w:val="22"/>
                <w:szCs w:val="22"/>
                <w14:textFill>
                  <w14:solidFill>
                    <w14:schemeClr w14:val="tx1"/>
                  </w14:solidFill>
                </w14:textFill>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41" w:hRule="atLeast"/>
        </w:trPr>
        <w:tc>
          <w:tcPr>
            <w:tcW w:w="800"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3</w:t>
            </w:r>
          </w:p>
        </w:tc>
        <w:tc>
          <w:tcPr>
            <w:tcW w:w="1106"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拟投入本项目人员配置</w:t>
            </w:r>
          </w:p>
        </w:tc>
        <w:tc>
          <w:tcPr>
            <w:tcW w:w="6893" w:type="dxa"/>
            <w:tcBorders>
              <w:tl2br w:val="nil"/>
              <w:tr2bl w:val="nil"/>
            </w:tcBorders>
            <w:vAlign w:val="center"/>
          </w:tcPr>
          <w:p>
            <w:pPr>
              <w:spacing w:line="400" w:lineRule="exact"/>
              <w:jc w:val="left"/>
              <w:rPr>
                <w:rFonts w:ascii="仿宋" w:hAnsi="仿宋" w:eastAsia="仿宋" w:cs="仿宋"/>
                <w:sz w:val="22"/>
                <w:szCs w:val="22"/>
              </w:rPr>
            </w:pPr>
            <w:r>
              <w:rPr>
                <w:rFonts w:hint="eastAsia" w:ascii="仿宋" w:hAnsi="仿宋" w:eastAsia="仿宋" w:cs="仿宋"/>
                <w:sz w:val="22"/>
                <w:szCs w:val="22"/>
              </w:rPr>
              <w:t>1、项目负责人：拟派的项目负责人具有全国物业管理从业人员岗位证书的得2分，具有中级及以上工程师证书的得2分，本项最高得4分。</w:t>
            </w:r>
          </w:p>
          <w:p>
            <w:pPr>
              <w:spacing w:line="400" w:lineRule="exact"/>
              <w:jc w:val="left"/>
              <w:rPr>
                <w:rFonts w:ascii="仿宋" w:hAnsi="仿宋" w:eastAsia="仿宋" w:cs="仿宋"/>
                <w:sz w:val="22"/>
                <w:szCs w:val="22"/>
              </w:rPr>
            </w:pPr>
            <w:r>
              <w:rPr>
                <w:rFonts w:hint="eastAsia" w:ascii="仿宋" w:hAnsi="仿宋" w:eastAsia="仿宋" w:cs="仿宋"/>
                <w:sz w:val="22"/>
                <w:szCs w:val="22"/>
              </w:rPr>
              <w:t>2、水电工：拟派水电工年龄45周岁以下，本科及以上学历，持有人社局颁发的一级电工证（1分）、人社局颁发的初级及以上职称证书（1分）、人社局颁发的三级及以上智能楼宇管理师（1分）、应急管理厅颁发的低压、高压电工作业证（1分）、市场监督局颁发的特种设备操作证（A4)（1分），最高得5分。</w:t>
            </w:r>
          </w:p>
          <w:p>
            <w:pPr>
              <w:spacing w:line="400" w:lineRule="exact"/>
              <w:jc w:val="left"/>
              <w:rPr>
                <w:rFonts w:ascii="仿宋" w:hAnsi="仿宋" w:eastAsia="仿宋" w:cs="仿宋"/>
                <w:sz w:val="22"/>
                <w:szCs w:val="22"/>
              </w:rPr>
            </w:pPr>
            <w:r>
              <w:rPr>
                <w:rFonts w:hint="eastAsia" w:ascii="仿宋" w:hAnsi="仿宋" w:eastAsia="仿宋" w:cs="仿宋"/>
                <w:sz w:val="22"/>
                <w:szCs w:val="22"/>
              </w:rPr>
              <w:t>3、安全主管：拟派安全主管年龄均在45周岁以下，持有人社部门颁发的二级及以上保安员证书的得2分，持有应急管理部消防救援局或公安部消防局颁发的四级/中级消防设施操作员证/建(构)筑物消防员证书的得2分，本项最高得4分。</w:t>
            </w:r>
          </w:p>
          <w:p>
            <w:pPr>
              <w:spacing w:line="400" w:lineRule="exact"/>
              <w:jc w:val="left"/>
              <w:rPr>
                <w:rFonts w:ascii="仿宋" w:hAnsi="仿宋" w:eastAsia="仿宋" w:cs="仿宋"/>
                <w:sz w:val="22"/>
                <w:szCs w:val="22"/>
              </w:rPr>
            </w:pPr>
            <w:r>
              <w:rPr>
                <w:rFonts w:hint="eastAsia" w:ascii="仿宋" w:hAnsi="仿宋" w:eastAsia="仿宋" w:cs="仿宋"/>
                <w:sz w:val="22"/>
                <w:szCs w:val="22"/>
              </w:rPr>
              <w:t>4、保安员：拟派保安员年龄均在45周岁以下，均持有保安员证书的得2分，拟派保安员中持有退伍军人证比例≥5人，得1分；拟派保安员持有退伍军人证比例≥10人，得2分；拟派保安员持有退伍军人证比例≥15人，得3分，最高得5分。</w:t>
            </w:r>
          </w:p>
          <w:p>
            <w:pPr>
              <w:spacing w:line="400" w:lineRule="exact"/>
              <w:jc w:val="left"/>
              <w:rPr>
                <w:rFonts w:ascii="仿宋" w:hAnsi="仿宋" w:eastAsia="仿宋" w:cs="仿宋"/>
                <w:sz w:val="22"/>
                <w:szCs w:val="22"/>
              </w:rPr>
            </w:pPr>
            <w:r>
              <w:rPr>
                <w:rFonts w:hint="eastAsia" w:ascii="仿宋" w:hAnsi="仿宋" w:eastAsia="仿宋" w:cs="仿宋"/>
                <w:sz w:val="22"/>
                <w:szCs w:val="22"/>
              </w:rPr>
              <w:t>5、消控员：拟派消控员年龄均在45周岁以下，持有应急管理部消防救援局或公安部消防局颁发的四级及以上消防设施操作员证/建(构)筑物消防员证书，每人得0.5分，最高得3分，消控员证持有保安员证，每人得0.5分，最高得3分。</w:t>
            </w:r>
            <w:r>
              <w:rPr>
                <w:rFonts w:hint="eastAsia" w:ascii="仿宋" w:hAnsi="仿宋" w:eastAsia="仿宋" w:cs="仿宋"/>
                <w:sz w:val="22"/>
                <w:szCs w:val="22"/>
                <w:lang w:eastAsia="zh-CN"/>
              </w:rPr>
              <w:t>此</w:t>
            </w:r>
            <w:r>
              <w:rPr>
                <w:rFonts w:hint="eastAsia" w:ascii="仿宋" w:hAnsi="仿宋" w:eastAsia="仿宋" w:cs="仿宋"/>
                <w:sz w:val="22"/>
                <w:szCs w:val="22"/>
              </w:rPr>
              <w:t>项最高得6分。</w:t>
            </w:r>
          </w:p>
          <w:p>
            <w:pPr>
              <w:spacing w:line="400" w:lineRule="exact"/>
              <w:jc w:val="left"/>
              <w:rPr>
                <w:rFonts w:ascii="仿宋" w:hAnsi="仿宋" w:eastAsia="仿宋" w:cs="仿宋"/>
                <w:sz w:val="22"/>
                <w:szCs w:val="22"/>
                <w:lang w:val="zh-CN"/>
              </w:rPr>
            </w:pPr>
            <w:r>
              <w:rPr>
                <w:rFonts w:hint="eastAsia" w:ascii="仿宋" w:hAnsi="仿宋" w:eastAsia="仿宋" w:cs="仿宋"/>
                <w:sz w:val="22"/>
                <w:szCs w:val="22"/>
              </w:rPr>
              <w:t>注：</w:t>
            </w:r>
            <w:r>
              <w:rPr>
                <w:rFonts w:hint="eastAsia" w:ascii="仿宋" w:hAnsi="仿宋" w:eastAsia="仿宋" w:cs="仿宋"/>
                <w:sz w:val="22"/>
                <w:szCs w:val="22"/>
                <w:lang w:val="zh-CN"/>
              </w:rPr>
              <w:t>(提供相关证书、近</w:t>
            </w:r>
            <w:r>
              <w:rPr>
                <w:rFonts w:hint="eastAsia" w:ascii="仿宋" w:hAnsi="仿宋" w:eastAsia="仿宋" w:cs="仿宋"/>
                <w:sz w:val="22"/>
                <w:szCs w:val="22"/>
              </w:rPr>
              <w:t>三</w:t>
            </w:r>
            <w:r>
              <w:rPr>
                <w:rFonts w:hint="eastAsia" w:ascii="仿宋" w:hAnsi="仿宋" w:eastAsia="仿宋" w:cs="仿宋"/>
                <w:sz w:val="22"/>
                <w:szCs w:val="22"/>
                <w:lang w:val="zh-CN"/>
              </w:rPr>
              <w:t>个月本单位在职社保缴纳证明并加盖CA签章)。</w:t>
            </w:r>
          </w:p>
        </w:tc>
        <w:tc>
          <w:tcPr>
            <w:tcW w:w="762"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45" w:hRule="atLeast"/>
        </w:trPr>
        <w:tc>
          <w:tcPr>
            <w:tcW w:w="800" w:type="dxa"/>
            <w:tcBorders>
              <w:tl2br w:val="nil"/>
              <w:tr2bl w:val="nil"/>
            </w:tcBorders>
            <w:vAlign w:val="center"/>
          </w:tcPr>
          <w:p>
            <w:pPr>
              <w:adjustRightInd/>
              <w:spacing w:line="400" w:lineRule="exact"/>
              <w:jc w:val="center"/>
              <w:rPr>
                <w:rFonts w:ascii="仿宋" w:hAnsi="仿宋" w:eastAsia="仿宋" w:cs="仿宋"/>
                <w:sz w:val="22"/>
                <w:szCs w:val="22"/>
              </w:rPr>
            </w:pPr>
            <w:r>
              <w:rPr>
                <w:rFonts w:hint="eastAsia" w:ascii="仿宋" w:hAnsi="仿宋" w:eastAsia="仿宋" w:cs="仿宋"/>
                <w:sz w:val="22"/>
                <w:szCs w:val="22"/>
              </w:rPr>
              <w:t>4</w:t>
            </w:r>
          </w:p>
        </w:tc>
        <w:tc>
          <w:tcPr>
            <w:tcW w:w="1106"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spacing w:val="-6"/>
                <w:sz w:val="22"/>
                <w:szCs w:val="22"/>
              </w:rPr>
              <w:t>项目理解</w:t>
            </w:r>
          </w:p>
        </w:tc>
        <w:tc>
          <w:tcPr>
            <w:tcW w:w="6893" w:type="dxa"/>
            <w:tcBorders>
              <w:tl2br w:val="nil"/>
              <w:tr2bl w:val="nil"/>
            </w:tcBorders>
            <w:shd w:val="clear" w:color="auto" w:fill="auto"/>
            <w:vAlign w:val="center"/>
          </w:tcPr>
          <w:p>
            <w:pPr>
              <w:autoSpaceDE w:val="0"/>
              <w:autoSpaceDN w:val="0"/>
              <w:adjustRightInd/>
              <w:spacing w:line="400" w:lineRule="exact"/>
              <w:ind w:firstLine="416" w:firstLineChars="200"/>
              <w:jc w:val="left"/>
              <w:rPr>
                <w:rFonts w:ascii="仿宋" w:hAnsi="仿宋" w:eastAsia="仿宋" w:cs="仿宋"/>
                <w:kern w:val="0"/>
                <w:sz w:val="22"/>
                <w:szCs w:val="22"/>
                <w:lang w:val="zh-CN"/>
              </w:rPr>
            </w:pPr>
            <w:r>
              <w:rPr>
                <w:rFonts w:hint="eastAsia" w:ascii="仿宋" w:hAnsi="仿宋" w:eastAsia="仿宋" w:cs="仿宋"/>
                <w:spacing w:val="-6"/>
                <w:sz w:val="22"/>
                <w:szCs w:val="22"/>
              </w:rPr>
              <w:t>投标人需针对本项目物业使用特点提出全面合理的物业管理服务理念、目标定位、理解程度，管理目标明确、起点高、要求严，服务理念具有合理性、可行性及针对性，具有较强的统筹协调能力、执行力，</w:t>
            </w:r>
            <w:r>
              <w:rPr>
                <w:rFonts w:hint="eastAsia" w:ascii="仿宋" w:hAnsi="仿宋" w:eastAsia="仿宋" w:cs="仿宋"/>
                <w:sz w:val="22"/>
                <w:szCs w:val="22"/>
              </w:rPr>
              <w:t>由评委进行打分</w:t>
            </w:r>
            <w:r>
              <w:rPr>
                <w:rFonts w:hint="eastAsia" w:ascii="仿宋" w:hAnsi="仿宋" w:eastAsia="仿宋" w:cs="仿宋"/>
                <w:kern w:val="0"/>
                <w:sz w:val="22"/>
                <w:szCs w:val="22"/>
              </w:rPr>
              <w:t>，6,5,4...0分。</w:t>
            </w:r>
          </w:p>
        </w:tc>
        <w:tc>
          <w:tcPr>
            <w:tcW w:w="762" w:type="dxa"/>
            <w:tcBorders>
              <w:tl2br w:val="nil"/>
              <w:tr2bl w:val="nil"/>
            </w:tcBorders>
            <w:shd w:val="clear" w:color="auto" w:fill="auto"/>
            <w:vAlign w:val="center"/>
          </w:tcPr>
          <w:p>
            <w:pPr>
              <w:jc w:val="center"/>
              <w:rPr>
                <w:rFonts w:ascii="仿宋" w:hAnsi="仿宋" w:eastAsia="仿宋" w:cs="仿宋"/>
                <w:kern w:val="0"/>
                <w:sz w:val="22"/>
                <w:szCs w:val="22"/>
              </w:rPr>
            </w:pPr>
            <w:r>
              <w:rPr>
                <w:rFonts w:hint="eastAsia" w:ascii="仿宋" w:hAnsi="仿宋" w:eastAsia="仿宋" w:cs="仿宋"/>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5</w:t>
            </w:r>
          </w:p>
        </w:tc>
        <w:tc>
          <w:tcPr>
            <w:tcW w:w="1106" w:type="dxa"/>
            <w:tcBorders>
              <w:tl2br w:val="nil"/>
              <w:tr2bl w:val="nil"/>
            </w:tcBorders>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spacing w:val="-6"/>
                <w:sz w:val="22"/>
                <w:szCs w:val="22"/>
              </w:rPr>
              <w:t>物业管理组织架构及管理制度</w:t>
            </w:r>
          </w:p>
        </w:tc>
        <w:tc>
          <w:tcPr>
            <w:tcW w:w="6893" w:type="dxa"/>
            <w:tcBorders>
              <w:tl2br w:val="nil"/>
              <w:tr2bl w:val="nil"/>
            </w:tcBorders>
            <w:vAlign w:val="center"/>
          </w:tcPr>
          <w:p>
            <w:pPr>
              <w:autoSpaceDE w:val="0"/>
              <w:autoSpaceDN w:val="0"/>
              <w:adjustRightInd/>
              <w:spacing w:line="400" w:lineRule="exact"/>
              <w:jc w:val="left"/>
              <w:rPr>
                <w:rFonts w:ascii="仿宋" w:hAnsi="仿宋" w:eastAsia="仿宋" w:cs="仿宋"/>
                <w:spacing w:val="-6"/>
                <w:sz w:val="22"/>
                <w:szCs w:val="22"/>
              </w:rPr>
            </w:pPr>
            <w:r>
              <w:rPr>
                <w:rFonts w:hint="eastAsia" w:ascii="仿宋" w:hAnsi="仿宋" w:eastAsia="仿宋" w:cs="仿宋"/>
                <w:spacing w:val="-6"/>
                <w:sz w:val="22"/>
                <w:szCs w:val="22"/>
              </w:rPr>
              <w:t>（1）投标人有完善的物业管理制度、作业流程及物业管理工作计划及实施时间，并建立和完善档案管理制度，体现标准化服务、精细化管理，管理服务水平符合国家和行业标准，</w:t>
            </w:r>
            <w:r>
              <w:rPr>
                <w:rFonts w:hint="eastAsia" w:ascii="仿宋" w:hAnsi="仿宋" w:eastAsia="仿宋" w:cs="仿宋"/>
                <w:sz w:val="22"/>
                <w:szCs w:val="22"/>
              </w:rPr>
              <w:t>由评委进行打分</w:t>
            </w:r>
            <w:r>
              <w:rPr>
                <w:rFonts w:hint="eastAsia" w:ascii="仿宋" w:hAnsi="仿宋" w:eastAsia="仿宋" w:cs="仿宋"/>
                <w:kern w:val="0"/>
                <w:sz w:val="22"/>
                <w:szCs w:val="22"/>
              </w:rPr>
              <w:t>，2,</w:t>
            </w:r>
            <w:r>
              <w:rPr>
                <w:rFonts w:hint="eastAsia" w:ascii="仿宋" w:hAnsi="仿宋" w:eastAsia="仿宋" w:cs="仿宋"/>
                <w:kern w:val="0"/>
                <w:sz w:val="22"/>
                <w:szCs w:val="22"/>
                <w:lang w:val="en-US" w:eastAsia="zh-CN"/>
              </w:rPr>
              <w:t>1.5，</w:t>
            </w:r>
            <w:r>
              <w:rPr>
                <w:rFonts w:hint="eastAsia" w:ascii="仿宋" w:hAnsi="仿宋" w:eastAsia="仿宋" w:cs="仿宋"/>
                <w:kern w:val="0"/>
                <w:sz w:val="22"/>
                <w:szCs w:val="22"/>
              </w:rPr>
              <w:t>1</w:t>
            </w:r>
            <w:r>
              <w:rPr>
                <w:rFonts w:hint="eastAsia" w:ascii="仿宋" w:hAnsi="仿宋" w:eastAsia="仿宋" w:cs="仿宋"/>
                <w:kern w:val="0"/>
                <w:sz w:val="22"/>
                <w:szCs w:val="22"/>
                <w:lang w:val="en-US" w:eastAsia="zh-CN"/>
              </w:rPr>
              <w:t>,0.5，</w:t>
            </w:r>
            <w:r>
              <w:rPr>
                <w:rFonts w:hint="eastAsia" w:ascii="仿宋" w:hAnsi="仿宋" w:eastAsia="仿宋" w:cs="仿宋"/>
                <w:kern w:val="0"/>
                <w:sz w:val="22"/>
                <w:szCs w:val="22"/>
              </w:rPr>
              <w:t>0分。</w:t>
            </w:r>
          </w:p>
          <w:p>
            <w:pPr>
              <w:autoSpaceDE w:val="0"/>
              <w:autoSpaceDN w:val="0"/>
              <w:adjustRightInd/>
              <w:spacing w:line="400" w:lineRule="exact"/>
              <w:jc w:val="left"/>
              <w:rPr>
                <w:rFonts w:ascii="仿宋" w:hAnsi="仿宋" w:eastAsia="仿宋" w:cs="仿宋"/>
                <w:kern w:val="0"/>
                <w:sz w:val="22"/>
                <w:szCs w:val="22"/>
              </w:rPr>
            </w:pPr>
            <w:r>
              <w:rPr>
                <w:rFonts w:hint="eastAsia" w:ascii="仿宋" w:hAnsi="仿宋" w:eastAsia="仿宋" w:cs="仿宋"/>
                <w:spacing w:val="-6"/>
                <w:sz w:val="22"/>
                <w:szCs w:val="22"/>
              </w:rPr>
              <w:t>（2）投标人有服务团队稳定性保障措施，</w:t>
            </w:r>
            <w:r>
              <w:rPr>
                <w:rFonts w:hint="eastAsia" w:ascii="仿宋" w:hAnsi="仿宋" w:eastAsia="仿宋" w:cs="仿宋"/>
                <w:sz w:val="22"/>
                <w:szCs w:val="22"/>
              </w:rPr>
              <w:t>由评委进行打分，</w:t>
            </w:r>
            <w:r>
              <w:rPr>
                <w:rFonts w:hint="eastAsia" w:ascii="仿宋" w:hAnsi="仿宋" w:eastAsia="仿宋" w:cs="仿宋"/>
                <w:kern w:val="0"/>
                <w:sz w:val="22"/>
                <w:szCs w:val="22"/>
              </w:rPr>
              <w:t>2</w:t>
            </w:r>
            <w:r>
              <w:rPr>
                <w:rFonts w:hint="eastAsia" w:ascii="仿宋" w:hAnsi="仿宋" w:eastAsia="仿宋" w:cs="仿宋"/>
                <w:kern w:val="0"/>
                <w:sz w:val="22"/>
                <w:szCs w:val="22"/>
                <w:lang w:val="en-US" w:eastAsia="zh-CN"/>
              </w:rPr>
              <w:t>,1.5，</w:t>
            </w:r>
            <w:r>
              <w:rPr>
                <w:rFonts w:hint="eastAsia" w:ascii="仿宋" w:hAnsi="仿宋" w:eastAsia="仿宋" w:cs="仿宋"/>
                <w:kern w:val="0"/>
                <w:sz w:val="22"/>
                <w:szCs w:val="22"/>
              </w:rPr>
              <w:t>1</w:t>
            </w:r>
            <w:r>
              <w:rPr>
                <w:rFonts w:hint="eastAsia" w:ascii="仿宋" w:hAnsi="仿宋" w:eastAsia="仿宋" w:cs="仿宋"/>
                <w:kern w:val="0"/>
                <w:sz w:val="22"/>
                <w:szCs w:val="22"/>
                <w:lang w:val="en-US" w:eastAsia="zh-CN"/>
              </w:rPr>
              <w:t>,0.5，</w:t>
            </w:r>
            <w:r>
              <w:rPr>
                <w:rFonts w:hint="eastAsia" w:ascii="仿宋" w:hAnsi="仿宋" w:eastAsia="仿宋" w:cs="仿宋"/>
                <w:kern w:val="0"/>
                <w:sz w:val="22"/>
                <w:szCs w:val="22"/>
              </w:rPr>
              <w:t>0分。</w:t>
            </w:r>
          </w:p>
        </w:tc>
        <w:tc>
          <w:tcPr>
            <w:tcW w:w="762" w:type="dxa"/>
            <w:tcBorders>
              <w:tl2br w:val="nil"/>
              <w:tr2bl w:val="nil"/>
            </w:tcBorders>
            <w:vAlign w:val="center"/>
          </w:tcPr>
          <w:p>
            <w:pPr>
              <w:jc w:val="center"/>
              <w:rPr>
                <w:rFonts w:ascii="仿宋" w:hAnsi="仿宋" w:eastAsia="仿宋" w:cs="仿宋"/>
                <w:kern w:val="0"/>
                <w:sz w:val="22"/>
                <w:szCs w:val="22"/>
              </w:rPr>
            </w:pPr>
            <w:r>
              <w:rPr>
                <w:rFonts w:hint="eastAsia" w:ascii="仿宋" w:hAnsi="仿宋" w:eastAsia="仿宋" w:cs="仿宋"/>
                <w:sz w:val="22"/>
                <w:szCs w:val="2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6</w:t>
            </w:r>
          </w:p>
        </w:tc>
        <w:tc>
          <w:tcPr>
            <w:tcW w:w="1106" w:type="dxa"/>
            <w:tcBorders>
              <w:tl2br w:val="nil"/>
              <w:tr2bl w:val="nil"/>
            </w:tcBorders>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sz w:val="22"/>
                <w:szCs w:val="22"/>
              </w:rPr>
              <w:t>工程维修养护方案</w:t>
            </w:r>
          </w:p>
        </w:tc>
        <w:tc>
          <w:tcPr>
            <w:tcW w:w="6893" w:type="dxa"/>
            <w:tcBorders>
              <w:tl2br w:val="nil"/>
              <w:tr2bl w:val="nil"/>
            </w:tcBorders>
            <w:vAlign w:val="center"/>
          </w:tcPr>
          <w:p>
            <w:pPr>
              <w:adjustRightInd/>
              <w:spacing w:line="400" w:lineRule="exact"/>
              <w:ind w:firstLine="440" w:firstLineChars="200"/>
              <w:jc w:val="left"/>
              <w:rPr>
                <w:rFonts w:ascii="仿宋" w:hAnsi="仿宋" w:eastAsia="仿宋" w:cs="仿宋"/>
                <w:kern w:val="0"/>
                <w:sz w:val="22"/>
                <w:szCs w:val="22"/>
              </w:rPr>
            </w:pPr>
            <w:r>
              <w:rPr>
                <w:rFonts w:hint="eastAsia" w:ascii="仿宋" w:hAnsi="仿宋" w:eastAsia="仿宋" w:cs="仿宋"/>
                <w:sz w:val="22"/>
                <w:szCs w:val="22"/>
              </w:rPr>
              <w:t>投标人提供完善的工程维修养护方案：包括但不限于房屋管理、共用设施设备的巡查、维修养护等，由评委进行打分</w:t>
            </w:r>
            <w:r>
              <w:rPr>
                <w:rFonts w:hint="eastAsia" w:ascii="仿宋" w:hAnsi="仿宋" w:eastAsia="仿宋" w:cs="仿宋"/>
                <w:kern w:val="0"/>
                <w:sz w:val="22"/>
                <w:szCs w:val="22"/>
              </w:rPr>
              <w:t>，5,4，3...0分。</w:t>
            </w:r>
          </w:p>
        </w:tc>
        <w:tc>
          <w:tcPr>
            <w:tcW w:w="762" w:type="dxa"/>
            <w:tcBorders>
              <w:tl2br w:val="nil"/>
              <w:tr2bl w:val="nil"/>
            </w:tcBorders>
            <w:vAlign w:val="center"/>
          </w:tcPr>
          <w:p>
            <w:pPr>
              <w:jc w:val="center"/>
              <w:rPr>
                <w:rFonts w:ascii="仿宋" w:hAnsi="仿宋" w:eastAsia="仿宋" w:cs="仿宋"/>
                <w:kern w:val="0"/>
                <w:sz w:val="22"/>
                <w:szCs w:val="22"/>
              </w:rPr>
            </w:pPr>
            <w:r>
              <w:rPr>
                <w:rFonts w:hint="eastAsia" w:ascii="仿宋" w:hAnsi="仿宋" w:eastAsia="仿宋" w:cs="仿宋"/>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7</w:t>
            </w:r>
          </w:p>
        </w:tc>
        <w:tc>
          <w:tcPr>
            <w:tcW w:w="1106" w:type="dxa"/>
            <w:tcBorders>
              <w:tl2br w:val="nil"/>
              <w:tr2bl w:val="nil"/>
            </w:tcBorders>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sz w:val="22"/>
                <w:szCs w:val="22"/>
              </w:rPr>
              <w:t>安保服务方案</w:t>
            </w:r>
          </w:p>
        </w:tc>
        <w:tc>
          <w:tcPr>
            <w:tcW w:w="6893" w:type="dxa"/>
            <w:tcBorders>
              <w:tl2br w:val="nil"/>
              <w:tr2bl w:val="nil"/>
            </w:tcBorders>
            <w:vAlign w:val="center"/>
          </w:tcPr>
          <w:p>
            <w:pPr>
              <w:adjustRightInd/>
              <w:spacing w:line="400" w:lineRule="exact"/>
              <w:ind w:firstLine="416" w:firstLineChars="200"/>
              <w:jc w:val="left"/>
              <w:rPr>
                <w:rFonts w:ascii="仿宋" w:hAnsi="仿宋" w:eastAsia="仿宋" w:cs="仿宋"/>
                <w:kern w:val="0"/>
                <w:sz w:val="22"/>
                <w:szCs w:val="22"/>
              </w:rPr>
            </w:pPr>
            <w:r>
              <w:rPr>
                <w:rFonts w:hint="eastAsia" w:ascii="仿宋" w:hAnsi="仿宋" w:eastAsia="仿宋" w:cs="仿宋"/>
                <w:spacing w:val="-6"/>
                <w:sz w:val="22"/>
                <w:szCs w:val="22"/>
              </w:rPr>
              <w:t>投标人提供完善的安保服务管理方案：包括但不限于门岗、巡逻、消防、监控、车辆管理、外卖管控、重大活动保障、各类突发事件处置流程等</w:t>
            </w:r>
            <w:r>
              <w:rPr>
                <w:rFonts w:hint="eastAsia" w:ascii="仿宋" w:hAnsi="仿宋" w:eastAsia="仿宋" w:cs="仿宋"/>
                <w:sz w:val="22"/>
                <w:szCs w:val="22"/>
              </w:rPr>
              <w:t>，由评委进行打分</w:t>
            </w:r>
            <w:r>
              <w:rPr>
                <w:rFonts w:hint="eastAsia" w:ascii="仿宋" w:hAnsi="仿宋" w:eastAsia="仿宋" w:cs="仿宋"/>
                <w:kern w:val="0"/>
                <w:sz w:val="22"/>
                <w:szCs w:val="22"/>
              </w:rPr>
              <w:t>，5,4，3...0分。</w:t>
            </w:r>
          </w:p>
        </w:tc>
        <w:tc>
          <w:tcPr>
            <w:tcW w:w="762" w:type="dxa"/>
            <w:tcBorders>
              <w:tl2br w:val="nil"/>
              <w:tr2bl w:val="nil"/>
            </w:tcBorders>
            <w:vAlign w:val="center"/>
          </w:tcPr>
          <w:p>
            <w:pPr>
              <w:jc w:val="center"/>
              <w:rPr>
                <w:rFonts w:ascii="仿宋" w:hAnsi="仿宋" w:eastAsia="仿宋" w:cs="仿宋"/>
                <w:kern w:val="0"/>
                <w:sz w:val="22"/>
                <w:szCs w:val="22"/>
              </w:rPr>
            </w:pPr>
            <w:r>
              <w:rPr>
                <w:rFonts w:hint="eastAsia" w:ascii="仿宋" w:hAnsi="仿宋" w:eastAsia="仿宋" w:cs="仿宋"/>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8</w:t>
            </w:r>
          </w:p>
        </w:tc>
        <w:tc>
          <w:tcPr>
            <w:tcW w:w="1106" w:type="dxa"/>
            <w:tcBorders>
              <w:tl2br w:val="nil"/>
              <w:tr2bl w:val="nil"/>
            </w:tcBorders>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sz w:val="22"/>
                <w:szCs w:val="22"/>
              </w:rPr>
              <w:t>保洁服务方案</w:t>
            </w:r>
          </w:p>
        </w:tc>
        <w:tc>
          <w:tcPr>
            <w:tcW w:w="6893" w:type="dxa"/>
            <w:tcBorders>
              <w:tl2br w:val="nil"/>
              <w:tr2bl w:val="nil"/>
            </w:tcBorders>
            <w:vAlign w:val="center"/>
          </w:tcPr>
          <w:p>
            <w:pPr>
              <w:adjustRightInd/>
              <w:spacing w:line="400" w:lineRule="exact"/>
              <w:ind w:firstLine="416" w:firstLineChars="200"/>
              <w:jc w:val="left"/>
              <w:rPr>
                <w:rFonts w:ascii="仿宋" w:hAnsi="仿宋" w:eastAsia="仿宋" w:cs="仿宋"/>
                <w:kern w:val="0"/>
                <w:sz w:val="22"/>
                <w:szCs w:val="22"/>
              </w:rPr>
            </w:pPr>
            <w:r>
              <w:rPr>
                <w:rFonts w:hint="eastAsia" w:ascii="仿宋" w:hAnsi="仿宋" w:eastAsia="仿宋" w:cs="仿宋"/>
                <w:spacing w:val="-6"/>
                <w:sz w:val="22"/>
                <w:szCs w:val="22"/>
              </w:rPr>
              <w:t>投标人提供完善的卫生保洁服务方案，包括但不限于楼栋内的楼梯、电梯、公共活动场所的台（地）面、墙面、门、窗、灯具、垃圾箱等设施和器皿、楼宇外墙等所有公共部位设施、围墙内的道路、垃圾房等所</w:t>
            </w:r>
            <w:bookmarkStart w:id="174" w:name="_GoBack"/>
            <w:bookmarkEnd w:id="174"/>
            <w:r>
              <w:rPr>
                <w:rFonts w:hint="eastAsia" w:ascii="仿宋" w:hAnsi="仿宋" w:eastAsia="仿宋" w:cs="仿宋"/>
                <w:spacing w:val="-6"/>
                <w:sz w:val="22"/>
                <w:szCs w:val="22"/>
              </w:rPr>
              <w:t>有公共场地及设施的日常保洁保养以及垃圾、废弃物清理和灭“四害”等</w:t>
            </w:r>
            <w:r>
              <w:rPr>
                <w:rFonts w:hint="eastAsia" w:ascii="仿宋" w:hAnsi="仿宋" w:eastAsia="仿宋" w:cs="仿宋"/>
                <w:sz w:val="22"/>
                <w:szCs w:val="22"/>
              </w:rPr>
              <w:t>，由评委进行打分</w:t>
            </w:r>
            <w:r>
              <w:rPr>
                <w:rFonts w:hint="eastAsia" w:ascii="仿宋" w:hAnsi="仿宋" w:eastAsia="仿宋" w:cs="仿宋"/>
                <w:kern w:val="0"/>
                <w:sz w:val="22"/>
                <w:szCs w:val="22"/>
              </w:rPr>
              <w:t>，5,4，3...0分。</w:t>
            </w:r>
          </w:p>
        </w:tc>
        <w:tc>
          <w:tcPr>
            <w:tcW w:w="762" w:type="dxa"/>
            <w:tcBorders>
              <w:tl2br w:val="nil"/>
              <w:tr2bl w:val="nil"/>
            </w:tcBorders>
            <w:vAlign w:val="center"/>
          </w:tcPr>
          <w:p>
            <w:pPr>
              <w:jc w:val="center"/>
              <w:rPr>
                <w:rFonts w:ascii="仿宋" w:hAnsi="仿宋" w:eastAsia="仿宋" w:cs="仿宋"/>
                <w:kern w:val="0"/>
                <w:sz w:val="22"/>
                <w:szCs w:val="22"/>
              </w:rPr>
            </w:pPr>
            <w:r>
              <w:rPr>
                <w:rFonts w:hint="eastAsia" w:ascii="仿宋" w:hAnsi="仿宋" w:eastAsia="仿宋" w:cs="仿宋"/>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9</w:t>
            </w:r>
          </w:p>
        </w:tc>
        <w:tc>
          <w:tcPr>
            <w:tcW w:w="1106" w:type="dxa"/>
            <w:tcBorders>
              <w:tl2br w:val="nil"/>
              <w:tr2bl w:val="nil"/>
            </w:tcBorders>
            <w:vAlign w:val="center"/>
          </w:tcPr>
          <w:p>
            <w:pPr>
              <w:widowControl/>
              <w:adjustRightInd/>
              <w:spacing w:line="400" w:lineRule="exact"/>
              <w:jc w:val="center"/>
              <w:rPr>
                <w:rFonts w:ascii="仿宋" w:hAnsi="仿宋" w:eastAsia="仿宋" w:cs="仿宋"/>
                <w:kern w:val="0"/>
                <w:sz w:val="22"/>
                <w:szCs w:val="22"/>
              </w:rPr>
            </w:pPr>
            <w:r>
              <w:rPr>
                <w:rFonts w:hint="eastAsia" w:ascii="仿宋" w:hAnsi="仿宋" w:eastAsia="仿宋" w:cs="仿宋"/>
                <w:spacing w:val="-6"/>
                <w:sz w:val="22"/>
                <w:szCs w:val="22"/>
              </w:rPr>
              <w:t>智慧化服务方案</w:t>
            </w:r>
          </w:p>
        </w:tc>
        <w:tc>
          <w:tcPr>
            <w:tcW w:w="6893" w:type="dxa"/>
            <w:tcBorders>
              <w:tl2br w:val="nil"/>
              <w:tr2bl w:val="nil"/>
            </w:tcBorders>
            <w:vAlign w:val="center"/>
          </w:tcPr>
          <w:p>
            <w:pPr>
              <w:autoSpaceDE w:val="0"/>
              <w:autoSpaceDN w:val="0"/>
              <w:adjustRightInd/>
              <w:spacing w:line="400" w:lineRule="exact"/>
              <w:ind w:firstLine="440" w:firstLineChars="200"/>
              <w:jc w:val="left"/>
              <w:rPr>
                <w:rFonts w:ascii="仿宋" w:hAnsi="仿宋" w:eastAsia="仿宋" w:cs="仿宋"/>
                <w:kern w:val="0"/>
                <w:sz w:val="22"/>
                <w:szCs w:val="22"/>
              </w:rPr>
            </w:pPr>
            <w:r>
              <w:rPr>
                <w:rFonts w:hint="eastAsia" w:ascii="仿宋" w:hAnsi="仿宋" w:eastAsia="仿宋" w:cs="仿宋"/>
                <w:sz w:val="22"/>
                <w:szCs w:val="22"/>
              </w:rPr>
              <w:t>投标人具有智慧化管理平台，提供包括但不限于智慧软件、设施设备管理、运维管理等内容介绍，由评委进行打分</w:t>
            </w:r>
            <w:r>
              <w:rPr>
                <w:rFonts w:hint="eastAsia" w:ascii="仿宋" w:hAnsi="仿宋" w:eastAsia="仿宋" w:cs="仿宋"/>
                <w:kern w:val="0"/>
                <w:sz w:val="22"/>
                <w:szCs w:val="22"/>
              </w:rPr>
              <w:t>，6,5,4，...0分。</w:t>
            </w:r>
          </w:p>
        </w:tc>
        <w:tc>
          <w:tcPr>
            <w:tcW w:w="762" w:type="dxa"/>
            <w:tcBorders>
              <w:tl2br w:val="nil"/>
              <w:tr2bl w:val="nil"/>
            </w:tcBorders>
            <w:vAlign w:val="center"/>
          </w:tcPr>
          <w:p>
            <w:pPr>
              <w:jc w:val="center"/>
              <w:rPr>
                <w:rFonts w:ascii="仿宋" w:hAnsi="仿宋" w:eastAsia="仿宋" w:cs="仿宋"/>
                <w:kern w:val="0"/>
                <w:sz w:val="22"/>
                <w:szCs w:val="22"/>
              </w:rPr>
            </w:pPr>
            <w:r>
              <w:rPr>
                <w:rFonts w:hint="eastAsia" w:ascii="仿宋" w:hAnsi="仿宋" w:eastAsia="仿宋" w:cs="仿宋"/>
                <w:spacing w:val="-6"/>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10</w:t>
            </w:r>
          </w:p>
        </w:tc>
        <w:tc>
          <w:tcPr>
            <w:tcW w:w="1106"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特色服务方案</w:t>
            </w:r>
          </w:p>
        </w:tc>
        <w:tc>
          <w:tcPr>
            <w:tcW w:w="6893" w:type="dxa"/>
            <w:tcBorders>
              <w:tl2br w:val="nil"/>
              <w:tr2bl w:val="nil"/>
            </w:tcBorders>
            <w:shd w:val="clear" w:color="auto" w:fill="auto"/>
            <w:vAlign w:val="center"/>
          </w:tcPr>
          <w:p>
            <w:pPr>
              <w:adjustRightInd/>
              <w:spacing w:line="400" w:lineRule="exact"/>
              <w:ind w:firstLine="440" w:firstLineChars="200"/>
              <w:jc w:val="left"/>
              <w:rPr>
                <w:rFonts w:ascii="仿宋" w:hAnsi="仿宋" w:eastAsia="仿宋" w:cs="仿宋"/>
                <w:kern w:val="0"/>
                <w:sz w:val="22"/>
                <w:szCs w:val="22"/>
              </w:rPr>
            </w:pPr>
            <w:r>
              <w:rPr>
                <w:rFonts w:hint="eastAsia" w:ascii="仿宋" w:hAnsi="仿宋" w:eastAsia="仿宋" w:cs="仿宋"/>
                <w:kern w:val="0"/>
                <w:sz w:val="22"/>
                <w:szCs w:val="22"/>
              </w:rPr>
              <w:t>根据投标人针对本项目制定的增值或特色服务方案</w:t>
            </w:r>
            <w:r>
              <w:rPr>
                <w:rFonts w:hint="eastAsia" w:ascii="仿宋" w:hAnsi="仿宋" w:eastAsia="仿宋" w:cs="仿宋"/>
                <w:sz w:val="22"/>
                <w:szCs w:val="22"/>
              </w:rPr>
              <w:t>，由评委进行打分</w:t>
            </w:r>
            <w:r>
              <w:rPr>
                <w:rFonts w:hint="eastAsia" w:ascii="仿宋" w:hAnsi="仿宋" w:eastAsia="仿宋" w:cs="仿宋"/>
                <w:kern w:val="0"/>
                <w:sz w:val="22"/>
                <w:szCs w:val="22"/>
              </w:rPr>
              <w:t>，</w:t>
            </w:r>
            <w:bookmarkStart w:id="168" w:name="OLE_LINK8"/>
            <w:r>
              <w:rPr>
                <w:rFonts w:hint="eastAsia" w:ascii="仿宋" w:hAnsi="仿宋" w:eastAsia="仿宋" w:cs="仿宋"/>
                <w:kern w:val="0"/>
                <w:sz w:val="22"/>
                <w:szCs w:val="22"/>
              </w:rPr>
              <w:t>6,5,4，...0</w:t>
            </w:r>
            <w:bookmarkEnd w:id="168"/>
            <w:r>
              <w:rPr>
                <w:rFonts w:hint="eastAsia" w:ascii="仿宋" w:hAnsi="仿宋" w:eastAsia="仿宋" w:cs="仿宋"/>
                <w:kern w:val="0"/>
                <w:sz w:val="22"/>
                <w:szCs w:val="22"/>
              </w:rPr>
              <w:t>分。</w:t>
            </w:r>
          </w:p>
        </w:tc>
        <w:tc>
          <w:tcPr>
            <w:tcW w:w="762"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11</w:t>
            </w:r>
          </w:p>
        </w:tc>
        <w:tc>
          <w:tcPr>
            <w:tcW w:w="1106" w:type="dxa"/>
            <w:tcBorders>
              <w:tl2br w:val="nil"/>
              <w:tr2bl w:val="nil"/>
            </w:tcBorders>
            <w:shd w:val="clear" w:color="auto" w:fill="auto"/>
            <w:vAlign w:val="center"/>
          </w:tcPr>
          <w:p>
            <w:pPr>
              <w:widowControl/>
              <w:adjustRightInd/>
              <w:spacing w:line="400" w:lineRule="exact"/>
              <w:jc w:val="center"/>
              <w:rPr>
                <w:rFonts w:ascii="仿宋" w:hAnsi="仿宋" w:eastAsia="仿宋" w:cs="仿宋"/>
                <w:kern w:val="0"/>
                <w:sz w:val="22"/>
                <w:szCs w:val="22"/>
              </w:rPr>
            </w:pPr>
            <w:r>
              <w:rPr>
                <w:rFonts w:hint="eastAsia" w:ascii="仿宋" w:hAnsi="仿宋" w:eastAsia="仿宋" w:cs="仿宋"/>
                <w:spacing w:val="-6"/>
                <w:sz w:val="22"/>
                <w:szCs w:val="22"/>
              </w:rPr>
              <w:t>重大活动保障能力</w:t>
            </w:r>
          </w:p>
        </w:tc>
        <w:tc>
          <w:tcPr>
            <w:tcW w:w="6893" w:type="dxa"/>
            <w:tcBorders>
              <w:tl2br w:val="nil"/>
              <w:tr2bl w:val="nil"/>
            </w:tcBorders>
            <w:shd w:val="clear" w:color="auto" w:fill="auto"/>
            <w:vAlign w:val="center"/>
          </w:tcPr>
          <w:p>
            <w:pPr>
              <w:autoSpaceDE w:val="0"/>
              <w:autoSpaceDN w:val="0"/>
              <w:adjustRightInd/>
              <w:spacing w:line="400" w:lineRule="exact"/>
              <w:ind w:firstLine="440" w:firstLineChars="200"/>
              <w:jc w:val="left"/>
              <w:rPr>
                <w:rFonts w:ascii="仿宋" w:hAnsi="仿宋" w:eastAsia="仿宋" w:cs="仿宋"/>
                <w:kern w:val="0"/>
                <w:sz w:val="22"/>
                <w:szCs w:val="22"/>
              </w:rPr>
            </w:pPr>
            <w:r>
              <w:rPr>
                <w:rFonts w:hint="eastAsia" w:ascii="仿宋" w:hAnsi="仿宋" w:eastAsia="仿宋" w:cs="仿宋"/>
                <w:sz w:val="22"/>
                <w:szCs w:val="22"/>
              </w:rPr>
              <w:t>投标人具有重大会议、重要活动保障能力，包括服务人员、保障评价、应急支撑等，由评委进行打分</w:t>
            </w:r>
            <w:r>
              <w:rPr>
                <w:rFonts w:hint="eastAsia" w:ascii="仿宋" w:hAnsi="仿宋" w:eastAsia="仿宋" w:cs="仿宋"/>
                <w:kern w:val="0"/>
                <w:sz w:val="22"/>
                <w:szCs w:val="22"/>
              </w:rPr>
              <w:t>，6,5,4，...0分。</w:t>
            </w:r>
          </w:p>
        </w:tc>
        <w:tc>
          <w:tcPr>
            <w:tcW w:w="762" w:type="dxa"/>
            <w:tcBorders>
              <w:tl2br w:val="nil"/>
              <w:tr2bl w:val="nil"/>
            </w:tcBorders>
            <w:shd w:val="clear" w:color="auto" w:fill="auto"/>
            <w:vAlign w:val="center"/>
          </w:tcPr>
          <w:p>
            <w:pPr>
              <w:jc w:val="center"/>
              <w:rPr>
                <w:rFonts w:ascii="仿宋" w:hAnsi="仿宋" w:eastAsia="仿宋" w:cs="仿宋"/>
                <w:kern w:val="0"/>
                <w:sz w:val="22"/>
                <w:szCs w:val="22"/>
              </w:rPr>
            </w:pPr>
            <w:r>
              <w:rPr>
                <w:rFonts w:hint="eastAsia" w:ascii="仿宋" w:hAnsi="仿宋" w:eastAsia="仿宋" w:cs="仿宋"/>
                <w:spacing w:val="-6"/>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12</w:t>
            </w:r>
          </w:p>
        </w:tc>
        <w:tc>
          <w:tcPr>
            <w:tcW w:w="1106" w:type="dxa"/>
            <w:tcBorders>
              <w:tl2br w:val="nil"/>
              <w:tr2bl w:val="nil"/>
            </w:tcBorders>
            <w:shd w:val="clear" w:color="auto" w:fill="auto"/>
            <w:vAlign w:val="center"/>
          </w:tcPr>
          <w:p>
            <w:pPr>
              <w:spacing w:line="400" w:lineRule="exact"/>
              <w:jc w:val="center"/>
              <w:rPr>
                <w:rFonts w:ascii="仿宋" w:hAnsi="仿宋" w:eastAsia="仿宋" w:cs="仿宋"/>
                <w:sz w:val="22"/>
                <w:szCs w:val="22"/>
              </w:rPr>
            </w:pPr>
            <w:r>
              <w:rPr>
                <w:rFonts w:hint="eastAsia" w:ascii="仿宋" w:hAnsi="仿宋" w:eastAsia="仿宋" w:cs="仿宋"/>
                <w:kern w:val="0"/>
                <w:sz w:val="22"/>
                <w:szCs w:val="22"/>
              </w:rPr>
              <w:t>服务品质监管措施</w:t>
            </w:r>
          </w:p>
        </w:tc>
        <w:tc>
          <w:tcPr>
            <w:tcW w:w="6893" w:type="dxa"/>
            <w:tcBorders>
              <w:tl2br w:val="nil"/>
              <w:tr2bl w:val="nil"/>
            </w:tcBorders>
            <w:shd w:val="clear" w:color="auto" w:fill="auto"/>
            <w:vAlign w:val="center"/>
          </w:tcPr>
          <w:p>
            <w:pPr>
              <w:adjustRightInd/>
              <w:spacing w:line="400" w:lineRule="exact"/>
              <w:ind w:firstLine="440" w:firstLineChars="200"/>
              <w:jc w:val="left"/>
              <w:rPr>
                <w:rFonts w:ascii="仿宋" w:hAnsi="仿宋" w:eastAsia="仿宋" w:cs="仿宋"/>
                <w:kern w:val="0"/>
                <w:sz w:val="22"/>
                <w:szCs w:val="22"/>
              </w:rPr>
            </w:pPr>
            <w:r>
              <w:rPr>
                <w:rFonts w:hint="eastAsia" w:ascii="仿宋" w:hAnsi="仿宋" w:eastAsia="仿宋" w:cs="仿宋"/>
                <w:kern w:val="0"/>
                <w:sz w:val="22"/>
                <w:szCs w:val="22"/>
              </w:rPr>
              <w:t>根据投标人提供的有效开展服务品质监管的管理措施等进行打分</w:t>
            </w:r>
            <w:r>
              <w:rPr>
                <w:rFonts w:hint="eastAsia" w:ascii="仿宋" w:hAnsi="仿宋" w:eastAsia="仿宋" w:cs="仿宋"/>
                <w:sz w:val="22"/>
                <w:szCs w:val="22"/>
              </w:rPr>
              <w:t>，由评委进行打分</w:t>
            </w:r>
            <w:r>
              <w:rPr>
                <w:rFonts w:hint="eastAsia" w:ascii="仿宋" w:hAnsi="仿宋" w:eastAsia="仿宋" w:cs="仿宋"/>
                <w:kern w:val="0"/>
                <w:sz w:val="22"/>
                <w:szCs w:val="22"/>
              </w:rPr>
              <w:t>，6,5,4，...0分。</w:t>
            </w:r>
          </w:p>
        </w:tc>
        <w:tc>
          <w:tcPr>
            <w:tcW w:w="762"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13</w:t>
            </w:r>
          </w:p>
        </w:tc>
        <w:tc>
          <w:tcPr>
            <w:tcW w:w="1106" w:type="dxa"/>
            <w:tcBorders>
              <w:tl2br w:val="nil"/>
              <w:tr2bl w:val="nil"/>
            </w:tcBorders>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spacing w:val="-6"/>
                <w:sz w:val="22"/>
                <w:szCs w:val="22"/>
              </w:rPr>
              <w:t>物业突发事件的应急措施</w:t>
            </w:r>
          </w:p>
        </w:tc>
        <w:tc>
          <w:tcPr>
            <w:tcW w:w="6893" w:type="dxa"/>
            <w:tcBorders>
              <w:tl2br w:val="nil"/>
              <w:tr2bl w:val="nil"/>
            </w:tcBorders>
            <w:vAlign w:val="center"/>
          </w:tcPr>
          <w:p>
            <w:pPr>
              <w:autoSpaceDE w:val="0"/>
              <w:autoSpaceDN w:val="0"/>
              <w:adjustRightInd/>
              <w:spacing w:line="400" w:lineRule="exact"/>
              <w:ind w:firstLine="416" w:firstLineChars="200"/>
              <w:jc w:val="left"/>
              <w:rPr>
                <w:rFonts w:ascii="仿宋" w:hAnsi="仿宋" w:eastAsia="仿宋" w:cs="仿宋"/>
                <w:spacing w:val="-6"/>
                <w:sz w:val="22"/>
                <w:szCs w:val="22"/>
              </w:rPr>
            </w:pPr>
            <w:r>
              <w:rPr>
                <w:rFonts w:hint="eastAsia" w:ascii="仿宋" w:hAnsi="仿宋" w:eastAsia="仿宋" w:cs="仿宋"/>
                <w:spacing w:val="-6"/>
                <w:sz w:val="22"/>
                <w:szCs w:val="22"/>
              </w:rPr>
              <w:t>（1）投标人应对物业突发事件、公共卫生事件防控（包括但不限于发生台风、暴雨等灾害性天气及断水、断电、断气、防台、火灾等其他突发事件）制定应急预案及详细的保障措施，</w:t>
            </w:r>
            <w:r>
              <w:rPr>
                <w:rFonts w:hint="eastAsia" w:ascii="仿宋" w:hAnsi="仿宋" w:eastAsia="仿宋" w:cs="仿宋"/>
                <w:sz w:val="22"/>
                <w:szCs w:val="22"/>
              </w:rPr>
              <w:t>由评委进行打分</w:t>
            </w:r>
            <w:r>
              <w:rPr>
                <w:rFonts w:hint="eastAsia" w:ascii="仿宋" w:hAnsi="仿宋" w:eastAsia="仿宋" w:cs="仿宋"/>
                <w:kern w:val="0"/>
                <w:sz w:val="22"/>
                <w:szCs w:val="22"/>
              </w:rPr>
              <w:t>，2</w:t>
            </w:r>
            <w:r>
              <w:rPr>
                <w:rFonts w:hint="eastAsia" w:ascii="仿宋" w:hAnsi="仿宋" w:eastAsia="仿宋" w:cs="仿宋"/>
                <w:kern w:val="0"/>
                <w:sz w:val="22"/>
                <w:szCs w:val="22"/>
                <w:lang w:val="en-US" w:eastAsia="zh-CN"/>
              </w:rPr>
              <w:t>,1.5，</w:t>
            </w:r>
            <w:r>
              <w:rPr>
                <w:rFonts w:hint="eastAsia" w:ascii="仿宋" w:hAnsi="仿宋" w:eastAsia="仿宋" w:cs="仿宋"/>
                <w:kern w:val="0"/>
                <w:sz w:val="22"/>
                <w:szCs w:val="22"/>
              </w:rPr>
              <w:t>1</w:t>
            </w:r>
            <w:r>
              <w:rPr>
                <w:rFonts w:hint="eastAsia" w:ascii="仿宋" w:hAnsi="仿宋" w:eastAsia="仿宋" w:cs="仿宋"/>
                <w:kern w:val="0"/>
                <w:sz w:val="22"/>
                <w:szCs w:val="22"/>
                <w:lang w:val="en-US" w:eastAsia="zh-CN"/>
              </w:rPr>
              <w:t>,0.5，</w:t>
            </w:r>
            <w:r>
              <w:rPr>
                <w:rFonts w:hint="eastAsia" w:ascii="仿宋" w:hAnsi="仿宋" w:eastAsia="仿宋" w:cs="仿宋"/>
                <w:kern w:val="0"/>
                <w:sz w:val="22"/>
                <w:szCs w:val="22"/>
              </w:rPr>
              <w:t>0分。</w:t>
            </w:r>
          </w:p>
          <w:p>
            <w:pPr>
              <w:autoSpaceDE w:val="0"/>
              <w:autoSpaceDN w:val="0"/>
              <w:adjustRightInd/>
              <w:spacing w:line="400" w:lineRule="exact"/>
              <w:ind w:firstLine="416" w:firstLineChars="200"/>
              <w:jc w:val="left"/>
              <w:rPr>
                <w:rFonts w:ascii="仿宋" w:hAnsi="仿宋" w:eastAsia="仿宋" w:cs="仿宋"/>
                <w:kern w:val="0"/>
                <w:sz w:val="22"/>
                <w:szCs w:val="22"/>
              </w:rPr>
            </w:pPr>
            <w:r>
              <w:rPr>
                <w:rFonts w:hint="eastAsia" w:ascii="仿宋" w:hAnsi="仿宋" w:eastAsia="仿宋" w:cs="仿宋"/>
                <w:spacing w:val="-6"/>
                <w:sz w:val="22"/>
                <w:szCs w:val="22"/>
              </w:rPr>
              <w:t>（2）投标人应制定设备应急检修措施方案，包括但不限于对物业管理区域内的防火防涝安全防范巡查、应急供电系统、给排水设备、空调系统、电气照明装置、电梯等，</w:t>
            </w:r>
            <w:r>
              <w:rPr>
                <w:rFonts w:hint="eastAsia" w:ascii="仿宋" w:hAnsi="仿宋" w:eastAsia="仿宋" w:cs="仿宋"/>
                <w:sz w:val="22"/>
                <w:szCs w:val="22"/>
              </w:rPr>
              <w:t>由评委进行打分</w:t>
            </w:r>
            <w:r>
              <w:rPr>
                <w:rFonts w:hint="eastAsia" w:ascii="仿宋" w:hAnsi="仿宋" w:eastAsia="仿宋" w:cs="仿宋"/>
                <w:kern w:val="0"/>
                <w:sz w:val="22"/>
                <w:szCs w:val="22"/>
              </w:rPr>
              <w:t>，2</w:t>
            </w:r>
            <w:r>
              <w:rPr>
                <w:rFonts w:hint="eastAsia" w:ascii="仿宋" w:hAnsi="仿宋" w:eastAsia="仿宋" w:cs="仿宋"/>
                <w:kern w:val="0"/>
                <w:sz w:val="22"/>
                <w:szCs w:val="22"/>
                <w:lang w:val="en-US" w:eastAsia="zh-CN"/>
              </w:rPr>
              <w:t>,1.5，</w:t>
            </w:r>
            <w:r>
              <w:rPr>
                <w:rFonts w:hint="eastAsia" w:ascii="仿宋" w:hAnsi="仿宋" w:eastAsia="仿宋" w:cs="仿宋"/>
                <w:kern w:val="0"/>
                <w:sz w:val="22"/>
                <w:szCs w:val="22"/>
              </w:rPr>
              <w:t>1</w:t>
            </w:r>
            <w:r>
              <w:rPr>
                <w:rFonts w:hint="eastAsia" w:ascii="仿宋" w:hAnsi="仿宋" w:eastAsia="仿宋" w:cs="仿宋"/>
                <w:kern w:val="0"/>
                <w:sz w:val="22"/>
                <w:szCs w:val="22"/>
                <w:lang w:val="en-US" w:eastAsia="zh-CN"/>
              </w:rPr>
              <w:t>,0.5，</w:t>
            </w:r>
            <w:r>
              <w:rPr>
                <w:rFonts w:hint="eastAsia" w:ascii="仿宋" w:hAnsi="仿宋" w:eastAsia="仿宋" w:cs="仿宋"/>
                <w:kern w:val="0"/>
                <w:sz w:val="22"/>
                <w:szCs w:val="22"/>
              </w:rPr>
              <w:t>0分。</w:t>
            </w:r>
          </w:p>
        </w:tc>
        <w:tc>
          <w:tcPr>
            <w:tcW w:w="762" w:type="dxa"/>
            <w:tcBorders>
              <w:tl2br w:val="nil"/>
              <w:tr2bl w:val="nil"/>
            </w:tcBorders>
            <w:vAlign w:val="center"/>
          </w:tcPr>
          <w:p>
            <w:pPr>
              <w:spacing w:before="120" w:beforeLines="50"/>
              <w:jc w:val="center"/>
              <w:rPr>
                <w:rFonts w:ascii="仿宋" w:hAnsi="仿宋" w:eastAsia="仿宋" w:cs="仿宋"/>
                <w:kern w:val="0"/>
                <w:sz w:val="22"/>
                <w:szCs w:val="22"/>
              </w:rPr>
            </w:pPr>
            <w:r>
              <w:rPr>
                <w:rFonts w:hint="eastAsia" w:ascii="仿宋" w:hAnsi="仿宋" w:eastAsia="仿宋" w:cs="仿宋"/>
                <w:spacing w:val="-6"/>
                <w:sz w:val="22"/>
                <w:szCs w:val="2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shd w:val="clear" w:color="auto" w:fill="auto"/>
            <w:vAlign w:val="center"/>
          </w:tcPr>
          <w:p>
            <w:pPr>
              <w:adjustRightInd/>
              <w:spacing w:line="400" w:lineRule="exact"/>
              <w:jc w:val="center"/>
              <w:rPr>
                <w:rFonts w:ascii="仿宋" w:hAnsi="仿宋" w:eastAsia="仿宋" w:cs="仿宋"/>
                <w:kern w:val="0"/>
                <w:sz w:val="22"/>
                <w:szCs w:val="22"/>
              </w:rPr>
            </w:pPr>
            <w:r>
              <w:rPr>
                <w:rFonts w:hint="eastAsia" w:ascii="仿宋" w:hAnsi="仿宋" w:eastAsia="仿宋" w:cs="仿宋"/>
                <w:kern w:val="0"/>
                <w:sz w:val="22"/>
                <w:szCs w:val="22"/>
              </w:rPr>
              <w:t>14</w:t>
            </w:r>
          </w:p>
        </w:tc>
        <w:tc>
          <w:tcPr>
            <w:tcW w:w="1106" w:type="dxa"/>
            <w:tcBorders>
              <w:tl2br w:val="nil"/>
              <w:tr2bl w:val="nil"/>
            </w:tcBorders>
            <w:vAlign w:val="center"/>
          </w:tcPr>
          <w:p>
            <w:pPr>
              <w:widowControl/>
              <w:adjustRightInd/>
              <w:spacing w:line="400" w:lineRule="exact"/>
              <w:jc w:val="center"/>
              <w:rPr>
                <w:rFonts w:ascii="仿宋" w:hAnsi="仿宋" w:eastAsia="仿宋" w:cs="仿宋"/>
                <w:kern w:val="0"/>
                <w:sz w:val="22"/>
                <w:szCs w:val="22"/>
              </w:rPr>
            </w:pPr>
            <w:r>
              <w:rPr>
                <w:rFonts w:hint="eastAsia" w:ascii="仿宋" w:hAnsi="仿宋" w:eastAsia="仿宋" w:cs="仿宋"/>
                <w:spacing w:val="-6"/>
                <w:sz w:val="22"/>
                <w:szCs w:val="22"/>
              </w:rPr>
              <w:t>培训能力、经验及机制</w:t>
            </w:r>
          </w:p>
        </w:tc>
        <w:tc>
          <w:tcPr>
            <w:tcW w:w="6893" w:type="dxa"/>
            <w:tcBorders>
              <w:tl2br w:val="nil"/>
              <w:tr2bl w:val="nil"/>
            </w:tcBorders>
            <w:vAlign w:val="center"/>
          </w:tcPr>
          <w:p>
            <w:pPr>
              <w:autoSpaceDE w:val="0"/>
              <w:autoSpaceDN w:val="0"/>
              <w:adjustRightInd/>
              <w:spacing w:line="400" w:lineRule="exact"/>
              <w:ind w:firstLine="416" w:firstLineChars="200"/>
              <w:jc w:val="left"/>
              <w:rPr>
                <w:rFonts w:ascii="仿宋" w:hAnsi="仿宋" w:eastAsia="仿宋" w:cs="仿宋"/>
                <w:kern w:val="0"/>
                <w:sz w:val="22"/>
                <w:szCs w:val="22"/>
              </w:rPr>
            </w:pPr>
            <w:r>
              <w:rPr>
                <w:rFonts w:hint="eastAsia" w:ascii="仿宋" w:hAnsi="仿宋" w:eastAsia="仿宋" w:cs="仿宋"/>
                <w:spacing w:val="-6"/>
                <w:sz w:val="22"/>
                <w:szCs w:val="22"/>
              </w:rPr>
              <w:t>投标人根据本项目特点就物业管理与服务的各项内容制定日常培训机制；具有培训内部各类员工的培训能力与经验，需提供培训类别、频次、培训案例（标明培训时间、培训主题、内容、现场照片等）。</w:t>
            </w:r>
            <w:r>
              <w:rPr>
                <w:rFonts w:hint="eastAsia" w:ascii="仿宋" w:hAnsi="仿宋" w:eastAsia="仿宋" w:cs="仿宋"/>
                <w:sz w:val="22"/>
                <w:szCs w:val="22"/>
              </w:rPr>
              <w:t>由评委进行打分</w:t>
            </w:r>
            <w:r>
              <w:rPr>
                <w:rFonts w:hint="eastAsia" w:ascii="仿宋" w:hAnsi="仿宋" w:eastAsia="仿宋" w:cs="仿宋"/>
                <w:kern w:val="0"/>
                <w:sz w:val="22"/>
                <w:szCs w:val="22"/>
              </w:rPr>
              <w:t>，6,5,4，...0分。</w:t>
            </w:r>
          </w:p>
        </w:tc>
        <w:tc>
          <w:tcPr>
            <w:tcW w:w="762" w:type="dxa"/>
            <w:tcBorders>
              <w:tl2br w:val="nil"/>
              <w:tr2bl w:val="nil"/>
            </w:tcBorders>
            <w:vAlign w:val="center"/>
          </w:tcPr>
          <w:p>
            <w:pPr>
              <w:jc w:val="center"/>
              <w:rPr>
                <w:rFonts w:ascii="仿宋" w:hAnsi="仿宋" w:eastAsia="仿宋" w:cs="仿宋"/>
                <w:kern w:val="0"/>
                <w:sz w:val="22"/>
                <w:szCs w:val="22"/>
              </w:rPr>
            </w:pPr>
            <w:r>
              <w:rPr>
                <w:rFonts w:hint="eastAsia" w:ascii="仿宋" w:hAnsi="仿宋" w:eastAsia="仿宋" w:cs="仿宋"/>
                <w:sz w:val="22"/>
                <w:szCs w:val="22"/>
              </w:rPr>
              <w:t>6</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10 </w:t>
      </w:r>
      <w:r>
        <w:rPr>
          <w:rFonts w:hint="eastAsia" w:ascii="仿宋" w:hAnsi="仿宋" w:eastAsia="仿宋" w:cs="仿宋"/>
          <w:b/>
          <w:bCs/>
          <w:iCs/>
          <w:sz w:val="24"/>
        </w:rPr>
        <w:t>分）</w:t>
      </w:r>
    </w:p>
    <w:p>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10 </w:t>
      </w:r>
    </w:p>
    <w:p>
      <w:pPr>
        <w:rPr>
          <w:rFonts w:ascii="仿宋" w:hAnsi="仿宋" w:eastAsia="仿宋" w:cs="仿宋"/>
        </w:rPr>
      </w:pPr>
    </w:p>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outlineLvl w:val="0"/>
        <w:rPr>
          <w:rFonts w:ascii="仿宋" w:hAnsi="仿宋" w:eastAsia="仿宋" w:cs="仿宋"/>
          <w:b/>
          <w:sz w:val="36"/>
          <w:szCs w:val="20"/>
        </w:rPr>
      </w:pPr>
      <w:r>
        <w:rPr>
          <w:rFonts w:hint="eastAsia" w:ascii="仿宋" w:hAnsi="仿宋" w:eastAsia="仿宋" w:cs="仿宋"/>
          <w:b/>
          <w:sz w:val="36"/>
          <w:szCs w:val="20"/>
        </w:rPr>
        <w:t>第六部分</w:t>
      </w:r>
      <w:bookmarkEnd w:id="42"/>
      <w:r>
        <w:rPr>
          <w:rFonts w:hint="eastAsia" w:ascii="仿宋" w:hAnsi="仿宋" w:eastAsia="仿宋" w:cs="仿宋"/>
          <w:b/>
          <w:sz w:val="36"/>
          <w:szCs w:val="20"/>
        </w:rPr>
        <w:t xml:space="preserve"> </w:t>
      </w:r>
      <w:bookmarkEnd w:id="43"/>
      <w:r>
        <w:rPr>
          <w:rFonts w:hint="eastAsia" w:ascii="仿宋" w:hAnsi="仿宋" w:eastAsia="仿宋" w:cs="仿宋"/>
          <w:b/>
          <w:sz w:val="36"/>
          <w:szCs w:val="20"/>
        </w:rPr>
        <w:t>投标文件及其附件格式</w:t>
      </w:r>
    </w:p>
    <w:p>
      <w:pPr>
        <w:spacing w:line="360" w:lineRule="auto"/>
        <w:jc w:val="center"/>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1、单位负责人为同一人或者存在直接控股、管理关系的不同乙方参加同一合同项下的政府采购活动的；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要求以联合体形式参加的，提供联合协议（附件5）和中小企业声明函（附件7），联合协议中中小企业合同金额应当达到招标公告载明的比例；如果乙方本身提供所有标的均由中小企业承接的，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要求合同分包的，提供分包意向协议（附件6）和中小企业声明函（附件7），分包意向协议中中小企业合同金额应当达到招标公告载明的比例；如果乙方本身提供所有标的均由中小企业承接的，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rPr>
          <w:rFonts w:ascii="仿宋" w:hAnsi="仿宋" w:eastAsia="仿宋" w:cs="仿宋"/>
          <w:b/>
          <w:kern w:val="0"/>
          <w:sz w:val="24"/>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投标函…………………………………………………………………………（页码）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法定代表人授权委托书 …………………………………………………… （页码）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授权代表社保证明……………………………………………………………（页码）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法定代表人身份证明书………………………………………………………（页码）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商务资信偏离表………………………………………………………………（页码）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rPr>
        <w:t>商务技术（服务）偏离表……………………………………………………（页码）</w:t>
      </w:r>
    </w:p>
    <w:p>
      <w:pPr>
        <w:pStyle w:val="905"/>
        <w:numPr>
          <w:ilvl w:val="0"/>
          <w:numId w:val="1"/>
        </w:numPr>
        <w:spacing w:line="336" w:lineRule="auto"/>
        <w:ind w:left="0" w:firstLine="0" w:firstLineChars="0"/>
        <w:rPr>
          <w:rFonts w:ascii="仿宋" w:eastAsia="仿宋" w:cs="仿宋"/>
        </w:rPr>
      </w:pPr>
      <w:r>
        <w:rPr>
          <w:rFonts w:hint="eastAsia" w:ascii="仿宋" w:eastAsia="仿宋" w:cs="仿宋"/>
          <w:lang w:val="zh-CN"/>
        </w:rPr>
        <w:t>政府采购乙方廉洁自律承诺书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sz w:val="24"/>
        </w:rPr>
        <w:t>（12）</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w:t>
      </w:r>
      <w:r>
        <w:rPr>
          <w:rFonts w:hint="eastAsia" w:ascii="仿宋" w:hAnsi="仿宋" w:eastAsia="仿宋" w:cs="仿宋"/>
          <w:kern w:val="0"/>
          <w:sz w:val="24"/>
          <w:lang w:val="zh-CN"/>
        </w:rPr>
        <w:t>认为需要的其他商务技术文件或说明…………</w:t>
      </w:r>
      <w:r>
        <w:rPr>
          <w:rFonts w:hint="eastAsia" w:ascii="仿宋" w:hAnsi="仿宋" w:eastAsia="仿宋" w:cs="仿宋"/>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2.我方承诺已经具备《中华人民共和国政府采购法》中规定的参加政府采购活动的乙方应当具备的条件。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乙方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b)采取不正当手段诋毁、排挤其他乙方的；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c)与采购人、其它乙方或者采购代理机构恶意串通的；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乙方有前款第a)至e)项情形之一的，中标、成交无效。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ind w:firstLine="3855" w:firstLineChars="1200"/>
        <w:rPr>
          <w:rFonts w:ascii="仿宋" w:hAnsi="仿宋" w:eastAsia="仿宋" w:cs="仿宋"/>
          <w:b/>
          <w:bCs/>
          <w:sz w:val="30"/>
          <w:szCs w:val="30"/>
          <w:lang w:val="zh-CN"/>
        </w:rPr>
      </w:pPr>
      <w:r>
        <w:rPr>
          <w:rFonts w:hint="eastAsia" w:ascii="仿宋" w:hAnsi="仿宋" w:eastAsia="仿宋" w:cs="仿宋"/>
          <w:b/>
          <w:kern w:val="0"/>
          <w:sz w:val="32"/>
          <w:szCs w:val="32"/>
        </w:rPr>
        <w:t>六、</w:t>
      </w:r>
      <w:r>
        <w:rPr>
          <w:rFonts w:hint="eastAsia" w:ascii="仿宋" w:hAnsi="仿宋" w:eastAsia="仿宋" w:cs="仿宋"/>
          <w:b/>
          <w:bCs/>
          <w:sz w:val="30"/>
          <w:szCs w:val="30"/>
          <w:lang w:val="zh-CN"/>
        </w:rPr>
        <w:t>商务资信偏离表</w:t>
      </w:r>
    </w:p>
    <w:p>
      <w:pPr>
        <w:spacing w:line="360" w:lineRule="auto"/>
        <w:ind w:firstLine="480" w:firstLineChars="200"/>
        <w:jc w:val="center"/>
        <w:rPr>
          <w:rFonts w:ascii="仿宋" w:hAnsi="仿宋" w:eastAsia="仿宋" w:cs="仿宋"/>
          <w:sz w:val="24"/>
        </w:rPr>
      </w:pPr>
      <w:r>
        <w:rPr>
          <w:rFonts w:hint="eastAsia" w:ascii="仿宋" w:hAnsi="仿宋" w:eastAsia="仿宋" w:cs="仿宋"/>
          <w:sz w:val="24"/>
        </w:rPr>
        <w:t>（</w:t>
      </w:r>
      <w:r>
        <w:rPr>
          <w:rFonts w:hint="eastAsia" w:ascii="仿宋_GB2312" w:hAnsi="仿宋_GB2312" w:eastAsia="仿宋_GB2312" w:cs="仿宋_GB2312"/>
          <w:sz w:val="24"/>
        </w:rPr>
        <w:t>由投标人根据采购需求及招标文件要求编制</w:t>
      </w:r>
      <w:r>
        <w:rPr>
          <w:rFonts w:hint="eastAsia" w:ascii="仿宋" w:hAnsi="仿宋" w:eastAsia="仿宋" w:cs="仿宋"/>
          <w:sz w:val="24"/>
        </w:rPr>
        <w:t>）</w:t>
      </w:r>
    </w:p>
    <w:tbl>
      <w:tblPr>
        <w:tblStyle w:val="62"/>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乙方的承诺或说明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r>
              <w:rPr>
                <w:rFonts w:hint="eastAsia" w:ascii="仿宋" w:hAnsi="仿宋" w:eastAsia="仿宋" w:cs="仿宋"/>
                <w:sz w:val="24"/>
              </w:rPr>
              <w:t>......</w:t>
            </w: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bl>
    <w:p>
      <w:pPr>
        <w:snapToGrid w:val="0"/>
        <w:spacing w:before="50" w:after="50" w:line="600" w:lineRule="exact"/>
        <w:rPr>
          <w:rFonts w:ascii="仿宋" w:hAnsi="仿宋" w:eastAsia="仿宋" w:cs="仿宋"/>
          <w:kern w:val="0"/>
          <w:sz w:val="24"/>
        </w:rPr>
      </w:pPr>
      <w:r>
        <w:rPr>
          <w:rFonts w:hint="eastAsia" w:ascii="仿宋" w:hAnsi="仿宋" w:eastAsia="仿宋" w:cs="仿宋"/>
          <w:sz w:val="24"/>
          <w:lang w:bidi="ar"/>
        </w:rPr>
        <w:t xml:space="preserve">                          </w:t>
      </w:r>
      <w:r>
        <w:rPr>
          <w:rFonts w:hint="eastAsia" w:ascii="仿宋" w:hAnsi="仿宋" w:eastAsia="仿宋" w:cs="仿宋"/>
          <w:kern w:val="0"/>
          <w:sz w:val="24"/>
        </w:rPr>
        <w:t xml:space="preserve">                      乙方名称（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pPr>
        <w:spacing w:line="360"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360" w:lineRule="auto"/>
        <w:ind w:right="420"/>
        <w:rPr>
          <w:rFonts w:ascii="仿宋" w:hAnsi="仿宋" w:eastAsia="仿宋" w:cs="仿宋"/>
          <w:b/>
          <w:bCs/>
          <w:sz w:val="32"/>
          <w:szCs w:val="32"/>
        </w:rPr>
      </w:pPr>
    </w:p>
    <w:p>
      <w:pPr>
        <w:jc w:val="center"/>
        <w:rPr>
          <w:rFonts w:ascii="仿宋" w:hAnsi="仿宋" w:eastAsia="仿宋" w:cs="仿宋"/>
          <w:b/>
          <w:kern w:val="0"/>
          <w:sz w:val="32"/>
          <w:szCs w:val="32"/>
        </w:rPr>
      </w:pPr>
    </w:p>
    <w:p>
      <w:pPr>
        <w:ind w:firstLine="2891" w:firstLineChars="900"/>
      </w:pPr>
      <w:r>
        <w:rPr>
          <w:rFonts w:hint="eastAsia" w:ascii="仿宋" w:hAnsi="仿宋" w:eastAsia="仿宋" w:cs="仿宋"/>
          <w:b/>
          <w:kern w:val="0"/>
          <w:sz w:val="32"/>
          <w:szCs w:val="32"/>
        </w:rPr>
        <w:t>七、商务技术（服务）偏离表</w:t>
      </w:r>
    </w:p>
    <w:tbl>
      <w:tblPr>
        <w:tblStyle w:val="63"/>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720"/>
        <w:gridCol w:w="3582"/>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68" w:type="dxa"/>
          </w:tcPr>
          <w:p>
            <w:pPr>
              <w:jc w:val="center"/>
              <w:rPr>
                <w:rFonts w:ascii="仿宋" w:hAnsi="仿宋" w:eastAsia="仿宋" w:cs="仿宋"/>
                <w:b/>
                <w:bCs/>
                <w:sz w:val="24"/>
              </w:rPr>
            </w:pPr>
            <w:r>
              <w:rPr>
                <w:rFonts w:hint="eastAsia" w:ascii="仿宋" w:hAnsi="仿宋" w:eastAsia="仿宋" w:cs="仿宋"/>
                <w:b/>
                <w:bCs/>
                <w:sz w:val="24"/>
              </w:rPr>
              <w:t>序号</w:t>
            </w:r>
          </w:p>
        </w:tc>
        <w:tc>
          <w:tcPr>
            <w:tcW w:w="3720"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82"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88"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ascii="仿宋" w:hAnsi="仿宋" w:eastAsia="仿宋" w:cs="仿宋"/>
          <w:b/>
          <w:bCs/>
          <w:sz w:val="32"/>
          <w:szCs w:val="32"/>
        </w:rPr>
      </w:pPr>
    </w:p>
    <w:p>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政府采购乙方廉洁自律承诺书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pPr>
    </w:p>
    <w:p>
      <w:pPr>
        <w:pStyle w:val="80"/>
        <w:jc w:val="center"/>
        <w:rPr>
          <w:rFonts w:ascii="仿宋" w:hAnsi="仿宋" w:eastAsia="仿宋" w:cs="仿宋"/>
          <w:b/>
          <w:bCs/>
          <w:color w:val="auto"/>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九、</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注：乙方可按上述的格式自行编制，须随表提交相应的合同复印件和用户单位验收证明并注明页码。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8"/>
        <w:ind w:firstLine="0"/>
        <w:jc w:val="both"/>
        <w:outlineLvl w:val="9"/>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十一</w:t>
      </w:r>
      <w:r>
        <w:rPr>
          <w:rFonts w:hint="eastAsia" w:ascii="仿宋_GB2312" w:hAnsi="仿宋_GB2312" w:eastAsia="仿宋_GB2312" w:cs="仿宋_GB2312"/>
          <w:b/>
          <w:bCs/>
          <w:kern w:val="0"/>
          <w:sz w:val="32"/>
          <w:szCs w:val="32"/>
          <w:lang w:val="zh-CN"/>
        </w:rPr>
        <w:t>、组织实施方案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rPr>
          <w:rFonts w:ascii="仿宋_GB2312" w:hAnsi="仿宋_GB2312" w:eastAsia="仿宋_GB2312" w:cs="仿宋_GB2312"/>
          <w:b/>
          <w:bCs/>
          <w:sz w:val="32"/>
          <w:szCs w:val="3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十二、项目小组人员名单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rPr>
          <w:rFonts w:ascii="仿宋_GB2312" w:hAnsi="仿宋_GB2312" w:eastAsia="仿宋_GB2312" w:cs="仿宋_GB2312"/>
          <w:kern w:val="0"/>
          <w:sz w:val="24"/>
          <w:lang w:val="zh-CN"/>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十三、</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十四、认为需要的</w:t>
      </w:r>
      <w:r>
        <w:rPr>
          <w:rFonts w:hint="eastAsia" w:ascii="仿宋_GB2312" w:hAnsi="仿宋_GB2312" w:eastAsia="仿宋_GB2312" w:cs="仿宋_GB2312"/>
          <w:b/>
          <w:kern w:val="0"/>
          <w:sz w:val="32"/>
          <w:szCs w:val="32"/>
          <w:lang w:val="zh-CN"/>
        </w:rPr>
        <w:t>其他商务技术文件或说明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1"/>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3"/>
        <w:snapToGrid w:val="0"/>
        <w:rPr>
          <w:rFonts w:ascii="仿宋" w:hAnsi="仿宋" w:eastAsia="仿宋" w:cs="仿宋"/>
        </w:rPr>
      </w:pPr>
      <w:r>
        <w:rPr>
          <w:rFonts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8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909"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0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190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78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90"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79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服务单价</w:t>
            </w:r>
          </w:p>
        </w:tc>
        <w:tc>
          <w:tcPr>
            <w:tcW w:w="1787"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834"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834"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834"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p>
        </w:tc>
        <w:tc>
          <w:tcPr>
            <w:tcW w:w="834"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p>
        </w:tc>
        <w:tc>
          <w:tcPr>
            <w:tcW w:w="834"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276" w:type="dxa"/>
            <w:gridSpan w:val="4"/>
          </w:tcPr>
          <w:p>
            <w:pPr>
              <w:spacing w:line="360" w:lineRule="auto"/>
              <w:jc w:val="center"/>
              <w:rPr>
                <w:rFonts w:ascii="仿宋" w:hAnsi="仿宋" w:eastAsia="仿宋" w:cs="仿宋"/>
                <w:sz w:val="24"/>
              </w:rPr>
            </w:pPr>
          </w:p>
        </w:tc>
        <w:tc>
          <w:tcPr>
            <w:tcW w:w="1787" w:type="dxa"/>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276" w:type="dxa"/>
            <w:gridSpan w:val="4"/>
          </w:tcPr>
          <w:p>
            <w:pPr>
              <w:spacing w:line="360" w:lineRule="auto"/>
              <w:jc w:val="center"/>
              <w:rPr>
                <w:rFonts w:ascii="仿宋" w:hAnsi="仿宋" w:eastAsia="仿宋" w:cs="仿宋"/>
                <w:sz w:val="24"/>
              </w:rPr>
            </w:pPr>
          </w:p>
        </w:tc>
        <w:tc>
          <w:tcPr>
            <w:tcW w:w="1787" w:type="dxa"/>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firstLine="9120" w:firstLineChars="3800"/>
        <w:rPr>
          <w:rFonts w:ascii="仿宋" w:hAnsi="仿宋" w:eastAsia="仿宋" w:cs="仿宋"/>
          <w:b/>
          <w:kern w:val="0"/>
          <w:sz w:val="24"/>
        </w:rPr>
      </w:pPr>
      <w:r>
        <w:rPr>
          <w:rFonts w:hint="eastAsia" w:ascii="仿宋" w:hAnsi="仿宋" w:eastAsia="仿宋" w:cs="仿宋"/>
          <w:sz w:val="24"/>
        </w:rPr>
        <w:t>投标人名称（电子签名）</w:t>
      </w:r>
      <w:r>
        <w:rPr>
          <w:rFonts w:ascii="仿宋" w:hAnsi="仿宋" w:eastAsia="仿宋" w:cs="仿宋"/>
          <w:sz w:val="24"/>
        </w:rPr>
        <w:t>:</w:t>
      </w:r>
    </w:p>
    <w:p>
      <w:pPr>
        <w:snapToGrid w:val="0"/>
        <w:spacing w:line="360" w:lineRule="auto"/>
        <w:ind w:firstLine="9600" w:firstLineChars="4000"/>
        <w:rPr>
          <w:rFonts w:ascii="仿宋" w:hAnsi="仿宋" w:eastAsia="仿宋" w:cs="仿宋"/>
          <w:b/>
          <w:kern w:val="0"/>
          <w:sz w:val="24"/>
          <w:lang w:val="zh-CN"/>
        </w:rPr>
      </w:pPr>
      <w:r>
        <w:rPr>
          <w:rFonts w:hint="eastAsia" w:ascii="仿宋" w:hAnsi="仿宋" w:eastAsia="仿宋" w:cs="仿宋"/>
          <w:sz w:val="24"/>
        </w:rPr>
        <w:t>日期：  年   月   日</w:t>
      </w: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3、特别提示：采购代理机构将对项目名称和项目编号，中标乙方名称、地址和中标金额，主要中标标的名称、服务范围、服务要求、服务时间、服务标准等予以公示。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b/>
          <w:sz w:val="24"/>
        </w:rPr>
      </w:pPr>
    </w:p>
    <w:p/>
    <w:p>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pPr>
        <w:pStyle w:val="23"/>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一、质疑乙方基本信息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质疑乙方：</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1.乙方提出质疑时，应提交质疑函和必要的证明材料。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2.质疑乙方若委托代理人进行质疑的，质疑函应按要求列明“授权代表”的有关内容，并在附件中提交由质疑</w:t>
      </w:r>
      <w:r>
        <w:rPr>
          <w:rFonts w:hint="eastAsia" w:ascii="仿宋" w:hAnsi="仿宋" w:eastAsia="仿宋" w:cs="仿宋"/>
          <w:kern w:val="0"/>
          <w:sz w:val="24"/>
        </w:rPr>
        <w:t>乙方签署的授权委托书。授权委托书应载明代理人的姓名或者名称、代理事项、具体权限、期限和相关事项。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3.质疑乙方若对项目的某一分包进行质疑，质疑函中应列明具体分包号。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6.质疑乙方为自然人的，质疑函应由本人签字；质疑乙方为法人或者其他组织的，质疑函应由法定代表人、主要负责人，或者其授权代表签字或者盖章，并加盖公章。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相关乙方：</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1.投诉人提起投诉时，应当提交投诉书和必要的证明材料，并按照被投诉人和与投诉事项有关的乙方数量提供投诉书副本。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9" w:name="_Hlk101131882"/>
      <w:r>
        <w:rPr>
          <w:rFonts w:hint="eastAsia" w:ascii="仿宋" w:hAnsi="仿宋" w:eastAsia="仿宋" w:cs="仿宋"/>
          <w:kern w:val="0"/>
          <w:sz w:val="24"/>
          <w:u w:val="single"/>
        </w:rPr>
        <w:t>联合体成员X,……</w:t>
      </w:r>
      <w:bookmarkEnd w:id="16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乙方</w:t>
      </w:r>
      <w:r>
        <w:rPr>
          <w:rFonts w:hint="eastAsia" w:ascii="仿宋" w:hAnsi="仿宋" w:eastAsia="仿宋" w:cs="仿宋"/>
          <w:b/>
          <w:sz w:val="24"/>
        </w:rPr>
        <w:t>拟享受以上价格扣除政策的，填写有关内容。</w:t>
      </w:r>
      <w:bookmarkEnd w:id="170"/>
      <w:r>
        <w:rPr>
          <w:rFonts w:hint="eastAsia" w:ascii="仿宋" w:hAnsi="仿宋" w:eastAsia="仿宋" w:cs="仿宋"/>
          <w:b/>
          <w:kern w:val="0"/>
          <w:sz w:val="24"/>
          <w:lang w:val="zh-CN"/>
        </w:rPr>
        <w:t>）</w:t>
      </w:r>
    </w:p>
    <w:p>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7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要求以联合体形式参加的项目或采购包，乙方按招标文件第一部分招标公告申请人的资格要求中规定的联合协议中中小企业、小微企业合同金额应当达到的比例要求填写。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1"/>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1、联合体各方不再单独参加或者与其他乙方另外组成联合体参加同一合同项下的政府采购活动。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2、联合体中有同类资质的各方按照联合体分工承担相同工作的，按照资质等级较低的乙方确定资质等级。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ind w:firstLine="3666" w:firstLineChars="1100"/>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的中标乙方，将依法采取分包方式履行合同。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（所有分包乙方名称）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（分包乙方1名称）</w:t>
      </w:r>
      <w:r>
        <w:rPr>
          <w:rFonts w:hint="eastAsia" w:ascii="仿宋" w:hAnsi="仿宋" w:eastAsia="仿宋" w:cs="仿宋"/>
          <w:kern w:val="0"/>
          <w:sz w:val="24"/>
          <w:lang w:val="zh-CN"/>
        </w:rPr>
        <w:t>，</w:t>
      </w:r>
      <w:r>
        <w:rPr>
          <w:rFonts w:hint="eastAsia" w:ascii="仿宋" w:hAnsi="仿宋" w:eastAsia="仿宋" w:cs="仿宋"/>
          <w:kern w:val="0"/>
          <w:sz w:val="24"/>
          <w:u w:val="single"/>
        </w:rPr>
        <w:t>（分包乙方2名称），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二、分包乙方中小企业合同份额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（分包乙方X,……）提供的服务全部由小微企业承接，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乙方</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要求合同分包形式参加的项目或采购包，乙方按招标文件第一部分招标公告申请人的资格要求中规定的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分包乙方名称(电子签名/公章)：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color w:val="auto"/>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72" w:name="OLE_LINK13"/>
      <w:bookmarkStart w:id="173" w:name="OLE_LINK14"/>
      <w:r>
        <w:rPr>
          <w:rFonts w:hint="eastAsia" w:ascii="仿宋" w:hAnsi="仿宋" w:eastAsia="仿宋" w:cs="仿宋"/>
          <w:b/>
          <w:spacing w:val="6"/>
          <w:sz w:val="32"/>
          <w:szCs w:val="32"/>
        </w:rPr>
        <w:t>残疾人福利性单位声明函</w:t>
      </w:r>
    </w:p>
    <w:bookmarkEnd w:id="172"/>
    <w:bookmarkEnd w:id="173"/>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3"/>
        <w:rPr>
          <w:rFonts w:ascii="仿宋" w:hAnsi="仿宋" w:eastAsia="仿宋" w:cs="仿宋"/>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ascii="仿宋" w:eastAsia="仿宋" w:cs="仿宋"/>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outlineLvl w:val="0"/>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40502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ascii="仿宋_GB2312" w:eastAsia="仿宋_GB2312"/>
        <w:i/>
        <w:u w:val="single"/>
      </w:rPr>
    </w:pPr>
    <w:r>
      <w:t></w:t>
    </w:r>
    <w:r>
      <w:rPr>
        <w:rFonts w:hint="eastAsia" w:ascii="仿宋" w:hAnsi="仿宋" w:eastAsia="仿宋" w:cs="仿宋"/>
      </w:rPr>
      <w:t xml:space="preserve"> </w:t>
    </w:r>
  </w:p>
  <w:p>
    <w:pPr>
      <w:pStyle w:val="41"/>
      <w:pBdr>
        <w:bottom w:val="none" w:color="auto" w:sz="0" w:space="0"/>
      </w:pBdr>
      <w:tabs>
        <w:tab w:val="clear" w:pos="4153"/>
        <w:tab w:val="clear" w:pos="8306"/>
      </w:tabs>
      <w:jc w:val="both"/>
    </w:pP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ascii="仿宋_GB2312" w:eastAsia="仿宋_GB2312"/>
        <w:i/>
        <w:u w:val="single"/>
      </w:rPr>
    </w:pPr>
    <w:r>
      <w:t></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ascii="仿宋_GB2312" w:eastAsia="仿宋_GB2312"/>
        <w:i/>
        <w:u w:val="single"/>
      </w:rPr>
    </w:pPr>
    <w:r>
      <w:t></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i/>
        <w:u w:val="single"/>
        <w:lang w:val="en-US" w:eastAsia="zh-CN"/>
      </w:rPr>
    </w:pPr>
    <w:r>
      <w:rPr>
        <w:rFonts w:hint="eastAsia"/>
      </w:rPr>
      <w:t xml:space="preserve">                               </w:t>
    </w: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val="en-US" w:eastAsia="zh-CN"/>
      </w:rPr>
    </w:pP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val="en-US" w:eastAsia="zh-CN"/>
      </w:rPr>
    </w:pP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firstLineChars="200"/>
      <w:jc w:val="left"/>
      <w:rPr>
        <w:rFonts w:ascii="仿宋_GB2312" w:eastAsia="仿宋_GB2312"/>
        <w:i/>
        <w:u w:val="single"/>
      </w:rPr>
    </w:pPr>
    <w:r>
      <w:rPr>
        <w:rFonts w:hint="eastAsia" w:ascii="仿宋" w:hAnsi="仿宋" w:eastAsia="仿宋" w:cs="仿宋"/>
      </w:rPr>
      <w:t xml:space="preserve">                                                        文件编号:政府采购2025-0</w:t>
    </w:r>
    <w:r>
      <w:rPr>
        <w:rFonts w:hint="eastAsia" w:ascii="仿宋" w:hAnsi="仿宋" w:eastAsia="仿宋" w:cs="仿宋"/>
        <w:lang w:val="en-US" w:eastAsia="zh-CN"/>
      </w:rPr>
      <w:t>6</w:t>
    </w:r>
    <w:r>
      <w:rPr>
        <w:rFonts w:hint="eastAsia" w:ascii="仿宋" w:hAnsi="仿宋" w:eastAsia="仿宋" w:cs="仿宋"/>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DFA7E8B"/>
    <w:multiLevelType w:val="singleLevel"/>
    <w:tmpl w:val="5DFA7E8B"/>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271A5"/>
    <w:rsid w:val="00172A27"/>
    <w:rsid w:val="00311F18"/>
    <w:rsid w:val="003A79F3"/>
    <w:rsid w:val="004B5C7D"/>
    <w:rsid w:val="004F61DF"/>
    <w:rsid w:val="009A7605"/>
    <w:rsid w:val="00A81265"/>
    <w:rsid w:val="00AE457E"/>
    <w:rsid w:val="00B2494E"/>
    <w:rsid w:val="00B34AC1"/>
    <w:rsid w:val="00CA18D4"/>
    <w:rsid w:val="00E84814"/>
    <w:rsid w:val="00F05477"/>
    <w:rsid w:val="00F431B9"/>
    <w:rsid w:val="010B405F"/>
    <w:rsid w:val="01161381"/>
    <w:rsid w:val="01207B0A"/>
    <w:rsid w:val="015E6F9B"/>
    <w:rsid w:val="01622B00"/>
    <w:rsid w:val="02551A35"/>
    <w:rsid w:val="025C1016"/>
    <w:rsid w:val="028D51BD"/>
    <w:rsid w:val="02C866AB"/>
    <w:rsid w:val="02FA438B"/>
    <w:rsid w:val="031511C4"/>
    <w:rsid w:val="03372BDE"/>
    <w:rsid w:val="035BEF8B"/>
    <w:rsid w:val="035C6DF3"/>
    <w:rsid w:val="036A1510"/>
    <w:rsid w:val="037639FE"/>
    <w:rsid w:val="037E4FBC"/>
    <w:rsid w:val="03F01BD1"/>
    <w:rsid w:val="041A1360"/>
    <w:rsid w:val="04351B1E"/>
    <w:rsid w:val="048760F2"/>
    <w:rsid w:val="04F96FF0"/>
    <w:rsid w:val="054C37C4"/>
    <w:rsid w:val="05616943"/>
    <w:rsid w:val="058D14E6"/>
    <w:rsid w:val="058F34B0"/>
    <w:rsid w:val="060F45F1"/>
    <w:rsid w:val="06106C5E"/>
    <w:rsid w:val="06326665"/>
    <w:rsid w:val="063B6479"/>
    <w:rsid w:val="065B15E4"/>
    <w:rsid w:val="065B7836"/>
    <w:rsid w:val="074849DB"/>
    <w:rsid w:val="07E61381"/>
    <w:rsid w:val="084F5179"/>
    <w:rsid w:val="08841607"/>
    <w:rsid w:val="08E753B1"/>
    <w:rsid w:val="08F301FA"/>
    <w:rsid w:val="08FD2E27"/>
    <w:rsid w:val="09774987"/>
    <w:rsid w:val="09B72FD5"/>
    <w:rsid w:val="09CA0F5B"/>
    <w:rsid w:val="09D815E1"/>
    <w:rsid w:val="09E518F1"/>
    <w:rsid w:val="0A7315F2"/>
    <w:rsid w:val="0A7853DD"/>
    <w:rsid w:val="0A9B28F7"/>
    <w:rsid w:val="0B0264D2"/>
    <w:rsid w:val="0B3C7C36"/>
    <w:rsid w:val="0B4E7969"/>
    <w:rsid w:val="0B7A42BB"/>
    <w:rsid w:val="0BC278A2"/>
    <w:rsid w:val="0BC86369"/>
    <w:rsid w:val="0BE34556"/>
    <w:rsid w:val="0C3152C1"/>
    <w:rsid w:val="0C5E5E59"/>
    <w:rsid w:val="0CCC4FEA"/>
    <w:rsid w:val="0CF777DA"/>
    <w:rsid w:val="0D1F15BD"/>
    <w:rsid w:val="0D3A01A5"/>
    <w:rsid w:val="0DFC43EE"/>
    <w:rsid w:val="0E121122"/>
    <w:rsid w:val="0E745939"/>
    <w:rsid w:val="0F096B8F"/>
    <w:rsid w:val="0F4E7F38"/>
    <w:rsid w:val="0F63063F"/>
    <w:rsid w:val="0FA43FFC"/>
    <w:rsid w:val="0FA85BB8"/>
    <w:rsid w:val="0FB73D2F"/>
    <w:rsid w:val="103510F8"/>
    <w:rsid w:val="107240FA"/>
    <w:rsid w:val="108F6A5A"/>
    <w:rsid w:val="10C36704"/>
    <w:rsid w:val="10CD1330"/>
    <w:rsid w:val="10E52B18"/>
    <w:rsid w:val="11943BFC"/>
    <w:rsid w:val="120F4CE0"/>
    <w:rsid w:val="1249442D"/>
    <w:rsid w:val="128D521B"/>
    <w:rsid w:val="12C80001"/>
    <w:rsid w:val="130D1EB8"/>
    <w:rsid w:val="137178B6"/>
    <w:rsid w:val="13765CAF"/>
    <w:rsid w:val="145D29CB"/>
    <w:rsid w:val="145D5D8B"/>
    <w:rsid w:val="147E4E1C"/>
    <w:rsid w:val="14A34882"/>
    <w:rsid w:val="15001CD4"/>
    <w:rsid w:val="151B32C2"/>
    <w:rsid w:val="151E215B"/>
    <w:rsid w:val="15282FD9"/>
    <w:rsid w:val="15360A41"/>
    <w:rsid w:val="15567B46"/>
    <w:rsid w:val="156D6C3E"/>
    <w:rsid w:val="15932B49"/>
    <w:rsid w:val="159A0E35"/>
    <w:rsid w:val="16013DCC"/>
    <w:rsid w:val="1602382A"/>
    <w:rsid w:val="1636031F"/>
    <w:rsid w:val="168D507E"/>
    <w:rsid w:val="169C5A2D"/>
    <w:rsid w:val="16B55BD2"/>
    <w:rsid w:val="17836259"/>
    <w:rsid w:val="17A54DB5"/>
    <w:rsid w:val="17AD6EBA"/>
    <w:rsid w:val="17E32446"/>
    <w:rsid w:val="18175A3A"/>
    <w:rsid w:val="185D7448"/>
    <w:rsid w:val="18786026"/>
    <w:rsid w:val="188226AC"/>
    <w:rsid w:val="18A137CE"/>
    <w:rsid w:val="18D539AF"/>
    <w:rsid w:val="18E60774"/>
    <w:rsid w:val="196A1E12"/>
    <w:rsid w:val="1A1703CC"/>
    <w:rsid w:val="1A332204"/>
    <w:rsid w:val="1A4B710F"/>
    <w:rsid w:val="1A7F369B"/>
    <w:rsid w:val="1A845156"/>
    <w:rsid w:val="1A9D1D74"/>
    <w:rsid w:val="1ADC289C"/>
    <w:rsid w:val="1B211139"/>
    <w:rsid w:val="1B414DF5"/>
    <w:rsid w:val="1B417D16"/>
    <w:rsid w:val="1BA01B1B"/>
    <w:rsid w:val="1BD20FAE"/>
    <w:rsid w:val="1C021FDE"/>
    <w:rsid w:val="1C07135A"/>
    <w:rsid w:val="1CC730D8"/>
    <w:rsid w:val="1D2F1C3B"/>
    <w:rsid w:val="1DD27F86"/>
    <w:rsid w:val="1E4D0CC2"/>
    <w:rsid w:val="1E630401"/>
    <w:rsid w:val="1E85324A"/>
    <w:rsid w:val="1EF87EC0"/>
    <w:rsid w:val="1F010B23"/>
    <w:rsid w:val="1F0C483C"/>
    <w:rsid w:val="1F1545CE"/>
    <w:rsid w:val="1F231646"/>
    <w:rsid w:val="1FBFFEB0"/>
    <w:rsid w:val="1FF561AE"/>
    <w:rsid w:val="20121B2F"/>
    <w:rsid w:val="201C198C"/>
    <w:rsid w:val="202D76F6"/>
    <w:rsid w:val="20DD736E"/>
    <w:rsid w:val="20F87D04"/>
    <w:rsid w:val="217A4BBD"/>
    <w:rsid w:val="21D00C81"/>
    <w:rsid w:val="21EA7341"/>
    <w:rsid w:val="220B243C"/>
    <w:rsid w:val="22A31EF1"/>
    <w:rsid w:val="22F866E1"/>
    <w:rsid w:val="23C40371"/>
    <w:rsid w:val="23DF164F"/>
    <w:rsid w:val="23E6791D"/>
    <w:rsid w:val="23FE1AD5"/>
    <w:rsid w:val="24155071"/>
    <w:rsid w:val="241A2687"/>
    <w:rsid w:val="244A2F6C"/>
    <w:rsid w:val="245B090D"/>
    <w:rsid w:val="248A3369"/>
    <w:rsid w:val="24AC0D88"/>
    <w:rsid w:val="24BD1F75"/>
    <w:rsid w:val="254759A7"/>
    <w:rsid w:val="256809F7"/>
    <w:rsid w:val="256C0CC0"/>
    <w:rsid w:val="25DD571A"/>
    <w:rsid w:val="26114517"/>
    <w:rsid w:val="26377520"/>
    <w:rsid w:val="267A740D"/>
    <w:rsid w:val="26A326A3"/>
    <w:rsid w:val="26EF01C1"/>
    <w:rsid w:val="270E63AA"/>
    <w:rsid w:val="27130D6B"/>
    <w:rsid w:val="275B2D9A"/>
    <w:rsid w:val="275DFFED"/>
    <w:rsid w:val="27675BE3"/>
    <w:rsid w:val="279A679A"/>
    <w:rsid w:val="279D1605"/>
    <w:rsid w:val="27F21951"/>
    <w:rsid w:val="28153891"/>
    <w:rsid w:val="28757E8C"/>
    <w:rsid w:val="288307FB"/>
    <w:rsid w:val="28C9161C"/>
    <w:rsid w:val="28CD7CC8"/>
    <w:rsid w:val="290F02E0"/>
    <w:rsid w:val="29564161"/>
    <w:rsid w:val="2972287B"/>
    <w:rsid w:val="2A0C3911"/>
    <w:rsid w:val="2ACD4DE6"/>
    <w:rsid w:val="2AD25A69"/>
    <w:rsid w:val="2B397896"/>
    <w:rsid w:val="2BCE7FDF"/>
    <w:rsid w:val="2BE27F2E"/>
    <w:rsid w:val="2C1C51EE"/>
    <w:rsid w:val="2C7A1B9F"/>
    <w:rsid w:val="2E532A1D"/>
    <w:rsid w:val="2E7A11E9"/>
    <w:rsid w:val="2E9C077D"/>
    <w:rsid w:val="2EBE20F6"/>
    <w:rsid w:val="2EDA313F"/>
    <w:rsid w:val="2EE91987"/>
    <w:rsid w:val="2F0C0A43"/>
    <w:rsid w:val="2F2919D0"/>
    <w:rsid w:val="2F3740ED"/>
    <w:rsid w:val="2FD61B58"/>
    <w:rsid w:val="2FDC37AA"/>
    <w:rsid w:val="2FEF4AA6"/>
    <w:rsid w:val="30484BB6"/>
    <w:rsid w:val="304C506B"/>
    <w:rsid w:val="30542A7D"/>
    <w:rsid w:val="3078676B"/>
    <w:rsid w:val="307D0FDC"/>
    <w:rsid w:val="30CD01D9"/>
    <w:rsid w:val="312E32CE"/>
    <w:rsid w:val="315C6E39"/>
    <w:rsid w:val="31B55E64"/>
    <w:rsid w:val="31D43038"/>
    <w:rsid w:val="326F4556"/>
    <w:rsid w:val="331210F9"/>
    <w:rsid w:val="332350B4"/>
    <w:rsid w:val="33462B51"/>
    <w:rsid w:val="3346486F"/>
    <w:rsid w:val="33661445"/>
    <w:rsid w:val="336D632F"/>
    <w:rsid w:val="33AD2BD0"/>
    <w:rsid w:val="33C148CD"/>
    <w:rsid w:val="33CA7BD1"/>
    <w:rsid w:val="341E587B"/>
    <w:rsid w:val="34B8182C"/>
    <w:rsid w:val="34BC7FE4"/>
    <w:rsid w:val="34DD2E52"/>
    <w:rsid w:val="34E268A9"/>
    <w:rsid w:val="34E6283D"/>
    <w:rsid w:val="34EC597A"/>
    <w:rsid w:val="359978AF"/>
    <w:rsid w:val="35A85D44"/>
    <w:rsid w:val="363C648D"/>
    <w:rsid w:val="363D4EA5"/>
    <w:rsid w:val="367D2D2D"/>
    <w:rsid w:val="36B349A1"/>
    <w:rsid w:val="36BF5843"/>
    <w:rsid w:val="379A346B"/>
    <w:rsid w:val="382F0A82"/>
    <w:rsid w:val="387737AC"/>
    <w:rsid w:val="38B60778"/>
    <w:rsid w:val="38CC1D4A"/>
    <w:rsid w:val="39237490"/>
    <w:rsid w:val="39646937"/>
    <w:rsid w:val="39AE76A2"/>
    <w:rsid w:val="3A0B03CA"/>
    <w:rsid w:val="3A2E6B82"/>
    <w:rsid w:val="3A850402"/>
    <w:rsid w:val="3AF763D0"/>
    <w:rsid w:val="3BC74A4B"/>
    <w:rsid w:val="3C666012"/>
    <w:rsid w:val="3C8F299E"/>
    <w:rsid w:val="3CF04229"/>
    <w:rsid w:val="3D2A703F"/>
    <w:rsid w:val="3D4E0F7F"/>
    <w:rsid w:val="3D543DDA"/>
    <w:rsid w:val="3D68171C"/>
    <w:rsid w:val="3D6C7658"/>
    <w:rsid w:val="3D736C38"/>
    <w:rsid w:val="3D766728"/>
    <w:rsid w:val="3DA47E8F"/>
    <w:rsid w:val="3DAE5EC2"/>
    <w:rsid w:val="3DD8264B"/>
    <w:rsid w:val="3DF558E8"/>
    <w:rsid w:val="3DFC1011"/>
    <w:rsid w:val="3E263CAA"/>
    <w:rsid w:val="3E6DF6DC"/>
    <w:rsid w:val="3E80785E"/>
    <w:rsid w:val="3EC05EAD"/>
    <w:rsid w:val="3EE80F60"/>
    <w:rsid w:val="3F402B4A"/>
    <w:rsid w:val="3F8954F2"/>
    <w:rsid w:val="3FCFDA4A"/>
    <w:rsid w:val="403E40B5"/>
    <w:rsid w:val="404843AC"/>
    <w:rsid w:val="40827192"/>
    <w:rsid w:val="408A49C4"/>
    <w:rsid w:val="40D61CCD"/>
    <w:rsid w:val="40E37F0D"/>
    <w:rsid w:val="41517290"/>
    <w:rsid w:val="419B050B"/>
    <w:rsid w:val="41D57EC1"/>
    <w:rsid w:val="41FB71FC"/>
    <w:rsid w:val="425828A0"/>
    <w:rsid w:val="427E60E8"/>
    <w:rsid w:val="42A6287B"/>
    <w:rsid w:val="42ED123B"/>
    <w:rsid w:val="433B2D12"/>
    <w:rsid w:val="43571C4A"/>
    <w:rsid w:val="441647C1"/>
    <w:rsid w:val="44663053"/>
    <w:rsid w:val="4497145E"/>
    <w:rsid w:val="4514485C"/>
    <w:rsid w:val="4517434D"/>
    <w:rsid w:val="452B7DF8"/>
    <w:rsid w:val="45525385"/>
    <w:rsid w:val="459C2AA4"/>
    <w:rsid w:val="45F33C53"/>
    <w:rsid w:val="464849C9"/>
    <w:rsid w:val="46C422B2"/>
    <w:rsid w:val="46F12888"/>
    <w:rsid w:val="473C009B"/>
    <w:rsid w:val="48B31851"/>
    <w:rsid w:val="48B40105"/>
    <w:rsid w:val="48C2328A"/>
    <w:rsid w:val="4980130E"/>
    <w:rsid w:val="49F91789"/>
    <w:rsid w:val="4A0F7CE8"/>
    <w:rsid w:val="4A851D59"/>
    <w:rsid w:val="4A8C1339"/>
    <w:rsid w:val="4A9D70A2"/>
    <w:rsid w:val="4AC8276C"/>
    <w:rsid w:val="4B275459"/>
    <w:rsid w:val="4B616322"/>
    <w:rsid w:val="4BF75B32"/>
    <w:rsid w:val="4CAB7383"/>
    <w:rsid w:val="4CBD7ED0"/>
    <w:rsid w:val="4CBE77A4"/>
    <w:rsid w:val="4CD40D75"/>
    <w:rsid w:val="4CD94F25"/>
    <w:rsid w:val="4CEB2873"/>
    <w:rsid w:val="4D132412"/>
    <w:rsid w:val="4D31371F"/>
    <w:rsid w:val="4D4E7696"/>
    <w:rsid w:val="4D5659DD"/>
    <w:rsid w:val="4D6B792C"/>
    <w:rsid w:val="4DCC4418"/>
    <w:rsid w:val="4E684FDB"/>
    <w:rsid w:val="4E944C60"/>
    <w:rsid w:val="4EA40AAA"/>
    <w:rsid w:val="4ED80FF1"/>
    <w:rsid w:val="4EDD2163"/>
    <w:rsid w:val="4EF97F0B"/>
    <w:rsid w:val="4F2C7426"/>
    <w:rsid w:val="4F4B3D85"/>
    <w:rsid w:val="4F7B5E9F"/>
    <w:rsid w:val="4F813436"/>
    <w:rsid w:val="4F8841AA"/>
    <w:rsid w:val="4FCE41A2"/>
    <w:rsid w:val="4FEC0F16"/>
    <w:rsid w:val="50634852"/>
    <w:rsid w:val="512704DA"/>
    <w:rsid w:val="51A96C75"/>
    <w:rsid w:val="51BC0EF5"/>
    <w:rsid w:val="51E97071"/>
    <w:rsid w:val="522956BF"/>
    <w:rsid w:val="52D23FA9"/>
    <w:rsid w:val="52E2243E"/>
    <w:rsid w:val="52F47453"/>
    <w:rsid w:val="531254ED"/>
    <w:rsid w:val="539A4AC7"/>
    <w:rsid w:val="53A2397B"/>
    <w:rsid w:val="53F566A4"/>
    <w:rsid w:val="54177EC5"/>
    <w:rsid w:val="54B24092"/>
    <w:rsid w:val="55BD684B"/>
    <w:rsid w:val="561346BC"/>
    <w:rsid w:val="56260894"/>
    <w:rsid w:val="56FE35BF"/>
    <w:rsid w:val="570F1328"/>
    <w:rsid w:val="573F208A"/>
    <w:rsid w:val="58003366"/>
    <w:rsid w:val="583C439E"/>
    <w:rsid w:val="585A2A77"/>
    <w:rsid w:val="589747CB"/>
    <w:rsid w:val="58E467E4"/>
    <w:rsid w:val="58E81682"/>
    <w:rsid w:val="59172716"/>
    <w:rsid w:val="59282B75"/>
    <w:rsid w:val="59417793"/>
    <w:rsid w:val="596D39F1"/>
    <w:rsid w:val="59B6307B"/>
    <w:rsid w:val="5A812888"/>
    <w:rsid w:val="5A9D4E9D"/>
    <w:rsid w:val="5ACB1A0A"/>
    <w:rsid w:val="5AE37DDD"/>
    <w:rsid w:val="5B062A42"/>
    <w:rsid w:val="5B24736C"/>
    <w:rsid w:val="5B73EE39"/>
    <w:rsid w:val="5B775E45"/>
    <w:rsid w:val="5B7E082A"/>
    <w:rsid w:val="5BE80399"/>
    <w:rsid w:val="5C2238AB"/>
    <w:rsid w:val="5C62639E"/>
    <w:rsid w:val="5C6C2D78"/>
    <w:rsid w:val="5CFAC9C4"/>
    <w:rsid w:val="5D2231DC"/>
    <w:rsid w:val="5D4D2BAA"/>
    <w:rsid w:val="5D5BDAEE"/>
    <w:rsid w:val="5D5F468B"/>
    <w:rsid w:val="5D8B36D2"/>
    <w:rsid w:val="5E167440"/>
    <w:rsid w:val="5E31427A"/>
    <w:rsid w:val="5E600E88"/>
    <w:rsid w:val="5EF61533"/>
    <w:rsid w:val="5F28567D"/>
    <w:rsid w:val="5F561B6F"/>
    <w:rsid w:val="5F577CFB"/>
    <w:rsid w:val="5F57E5CA"/>
    <w:rsid w:val="5F8F74AA"/>
    <w:rsid w:val="5FA82319"/>
    <w:rsid w:val="5FC5111D"/>
    <w:rsid w:val="601528DB"/>
    <w:rsid w:val="604F276E"/>
    <w:rsid w:val="60634492"/>
    <w:rsid w:val="608E59B3"/>
    <w:rsid w:val="60A056E7"/>
    <w:rsid w:val="61001CE1"/>
    <w:rsid w:val="61994610"/>
    <w:rsid w:val="61E17D65"/>
    <w:rsid w:val="61FC694D"/>
    <w:rsid w:val="63416D0D"/>
    <w:rsid w:val="635822A8"/>
    <w:rsid w:val="641A755E"/>
    <w:rsid w:val="648570CD"/>
    <w:rsid w:val="649B244D"/>
    <w:rsid w:val="64AFCBD0"/>
    <w:rsid w:val="64B259E8"/>
    <w:rsid w:val="64F61D79"/>
    <w:rsid w:val="650A75D2"/>
    <w:rsid w:val="653F1FC9"/>
    <w:rsid w:val="65442AE4"/>
    <w:rsid w:val="654A79CF"/>
    <w:rsid w:val="65706C65"/>
    <w:rsid w:val="65AD68DC"/>
    <w:rsid w:val="65B23EF2"/>
    <w:rsid w:val="65BF216B"/>
    <w:rsid w:val="6623094C"/>
    <w:rsid w:val="662B29CB"/>
    <w:rsid w:val="669C35D3"/>
    <w:rsid w:val="66F83B86"/>
    <w:rsid w:val="68354966"/>
    <w:rsid w:val="683F57E5"/>
    <w:rsid w:val="685E52C7"/>
    <w:rsid w:val="687D7160"/>
    <w:rsid w:val="690F5F80"/>
    <w:rsid w:val="69236EB5"/>
    <w:rsid w:val="698D660D"/>
    <w:rsid w:val="69F12B0F"/>
    <w:rsid w:val="6A0C7949"/>
    <w:rsid w:val="6A4E1D0F"/>
    <w:rsid w:val="6A6D2061"/>
    <w:rsid w:val="6AFF2A6C"/>
    <w:rsid w:val="6B4B624F"/>
    <w:rsid w:val="6BA7215D"/>
    <w:rsid w:val="6BD44496"/>
    <w:rsid w:val="6BE64EB6"/>
    <w:rsid w:val="6C7A722A"/>
    <w:rsid w:val="6CF66F0A"/>
    <w:rsid w:val="6D12171A"/>
    <w:rsid w:val="6D282CEC"/>
    <w:rsid w:val="6E2E3E38"/>
    <w:rsid w:val="6E2E4332"/>
    <w:rsid w:val="6E414065"/>
    <w:rsid w:val="6E5A5127"/>
    <w:rsid w:val="6E663F74"/>
    <w:rsid w:val="6E71421E"/>
    <w:rsid w:val="6E9E14B7"/>
    <w:rsid w:val="6EBAEEF7"/>
    <w:rsid w:val="6EC66318"/>
    <w:rsid w:val="6EED7D49"/>
    <w:rsid w:val="6F1277AF"/>
    <w:rsid w:val="6F286FD3"/>
    <w:rsid w:val="6F4A519B"/>
    <w:rsid w:val="6F7C5A5F"/>
    <w:rsid w:val="6F884CD6"/>
    <w:rsid w:val="6F944668"/>
    <w:rsid w:val="6FC37AD4"/>
    <w:rsid w:val="6FE4739E"/>
    <w:rsid w:val="6FFEB374"/>
    <w:rsid w:val="7016507D"/>
    <w:rsid w:val="70191889"/>
    <w:rsid w:val="70671D7D"/>
    <w:rsid w:val="708C5E3D"/>
    <w:rsid w:val="70A52D10"/>
    <w:rsid w:val="70CF4CEF"/>
    <w:rsid w:val="71381023"/>
    <w:rsid w:val="714069DF"/>
    <w:rsid w:val="7148299F"/>
    <w:rsid w:val="71A52B5D"/>
    <w:rsid w:val="71C32FE3"/>
    <w:rsid w:val="728B1D53"/>
    <w:rsid w:val="729D1A86"/>
    <w:rsid w:val="73AA3A4F"/>
    <w:rsid w:val="73B5202C"/>
    <w:rsid w:val="74561EEC"/>
    <w:rsid w:val="748509F1"/>
    <w:rsid w:val="7498217C"/>
    <w:rsid w:val="74D472B5"/>
    <w:rsid w:val="74E03C1D"/>
    <w:rsid w:val="74F811F5"/>
    <w:rsid w:val="758D7B90"/>
    <w:rsid w:val="76377AFB"/>
    <w:rsid w:val="768D3BBF"/>
    <w:rsid w:val="76AC04E9"/>
    <w:rsid w:val="778CFDC4"/>
    <w:rsid w:val="779A2A38"/>
    <w:rsid w:val="77DA5E9B"/>
    <w:rsid w:val="77DF044B"/>
    <w:rsid w:val="77EDE09C"/>
    <w:rsid w:val="780954C8"/>
    <w:rsid w:val="78342545"/>
    <w:rsid w:val="783469E8"/>
    <w:rsid w:val="7879264D"/>
    <w:rsid w:val="78AD1F79"/>
    <w:rsid w:val="7A150154"/>
    <w:rsid w:val="7AE63579"/>
    <w:rsid w:val="7B114DBF"/>
    <w:rsid w:val="7B2FF6C4"/>
    <w:rsid w:val="7BC17845"/>
    <w:rsid w:val="7BE6624C"/>
    <w:rsid w:val="7BFA3AA5"/>
    <w:rsid w:val="7C376AA7"/>
    <w:rsid w:val="7C3A6CCC"/>
    <w:rsid w:val="7C5B0C23"/>
    <w:rsid w:val="7CB93960"/>
    <w:rsid w:val="7CFF1F58"/>
    <w:rsid w:val="7D0A41BC"/>
    <w:rsid w:val="7D8A0E59"/>
    <w:rsid w:val="7DC84F16"/>
    <w:rsid w:val="7DFF3A1B"/>
    <w:rsid w:val="7E527BC8"/>
    <w:rsid w:val="7E755665"/>
    <w:rsid w:val="7EE64C8E"/>
    <w:rsid w:val="7F2A5316"/>
    <w:rsid w:val="7F765B38"/>
    <w:rsid w:val="7F7B1BF9"/>
    <w:rsid w:val="7FA53D28"/>
    <w:rsid w:val="7FCE9F2A"/>
    <w:rsid w:val="7FFA6A5B"/>
    <w:rsid w:val="B7FEB47E"/>
    <w:rsid w:val="BBFF8C40"/>
    <w:rsid w:val="BF37FCF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7BC3F"/>
    <w:rsid w:val="FBBB8ABF"/>
    <w:rsid w:val="FD6D7CAF"/>
    <w:rsid w:val="FD7B6A7D"/>
    <w:rsid w:val="FDBF4531"/>
    <w:rsid w:val="FDF74FB4"/>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9473</Words>
  <Characters>53997</Characters>
  <Lines>449</Lines>
  <Paragraphs>126</Paragraphs>
  <TotalTime>5</TotalTime>
  <ScaleCrop>false</ScaleCrop>
  <LinksUpToDate>false</LinksUpToDate>
  <CharactersWithSpaces>63344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Administrator</cp:lastModifiedBy>
  <cp:lastPrinted>2025-04-11T10:24:00Z</cp:lastPrinted>
  <dcterms:modified xsi:type="dcterms:W3CDTF">2025-04-14T03:16:25Z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CF8AE6B8D25B4DAF9214176C41D4DB32_13</vt:lpwstr>
  </property>
  <property fmtid="{D5CDD505-2E9C-101B-9397-08002B2CF9AE}" pid="5" name="KSOTemplateDocerSaveRecord">
    <vt:lpwstr>eyJoZGlkIjoiMGEwOTgwYTA2MDk0NjNkNzIwMGM0ZGU5NjE5YjUyYTQiLCJ1c2VySWQiOiIzMTE2ODkzNDQifQ==</vt:lpwstr>
  </property>
</Properties>
</file>