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6648">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2025年度消防技术服务框架协议（封闭式）采购项目</w:t>
      </w:r>
    </w:p>
    <w:p w14:paraId="099FE80D">
      <w:pPr>
        <w:tabs>
          <w:tab w:val="left" w:pos="2362"/>
        </w:tabs>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ab/>
      </w:r>
    </w:p>
    <w:p w14:paraId="2808B84B">
      <w:pPr>
        <w:jc w:val="center"/>
        <w:rPr>
          <w:rFonts w:hint="eastAsia" w:ascii="仿宋" w:hAnsi="仿宋" w:eastAsia="仿宋" w:cs="仿宋"/>
          <w:b/>
          <w:bCs/>
          <w:color w:val="auto"/>
          <w:sz w:val="72"/>
          <w:szCs w:val="72"/>
          <w:highlight w:val="none"/>
        </w:rPr>
      </w:pPr>
    </w:p>
    <w:p w14:paraId="40D41DBA">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w:t>
      </w:r>
    </w:p>
    <w:p w14:paraId="7AAB7DC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开</w:t>
      </w:r>
    </w:p>
    <w:p w14:paraId="0101DFC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征</w:t>
      </w:r>
    </w:p>
    <w:p w14:paraId="4E2FCD2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集</w:t>
      </w:r>
    </w:p>
    <w:p w14:paraId="08C4723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6BBDCC57">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5F81690D">
      <w:pPr>
        <w:pStyle w:val="3"/>
        <w:rPr>
          <w:rFonts w:hint="eastAsia"/>
          <w:color w:val="auto"/>
          <w:highlight w:val="none"/>
        </w:rPr>
      </w:pPr>
    </w:p>
    <w:p w14:paraId="1A7D3F1C">
      <w:pPr>
        <w:rPr>
          <w:rFonts w:hint="eastAsia"/>
          <w:color w:val="auto"/>
          <w:highlight w:val="none"/>
        </w:rPr>
      </w:pPr>
    </w:p>
    <w:p w14:paraId="1C105E70">
      <w:pPr>
        <w:rPr>
          <w:rFonts w:hint="eastAsia" w:ascii="仿宋" w:hAnsi="仿宋" w:eastAsia="仿宋" w:cs="仿宋"/>
          <w:color w:val="auto"/>
          <w:sz w:val="36"/>
          <w:szCs w:val="36"/>
          <w:highlight w:val="none"/>
        </w:rPr>
      </w:pPr>
    </w:p>
    <w:tbl>
      <w:tblPr>
        <w:tblStyle w:val="31"/>
        <w:tblW w:w="8593" w:type="dxa"/>
        <w:jc w:val="center"/>
        <w:tblLayout w:type="autofit"/>
        <w:tblCellMar>
          <w:top w:w="0" w:type="dxa"/>
          <w:left w:w="108" w:type="dxa"/>
          <w:bottom w:w="0" w:type="dxa"/>
          <w:right w:w="108" w:type="dxa"/>
        </w:tblCellMar>
      </w:tblPr>
      <w:tblGrid>
        <w:gridCol w:w="2396"/>
        <w:gridCol w:w="6197"/>
      </w:tblGrid>
      <w:tr w14:paraId="4CACB19F">
        <w:tblPrEx>
          <w:tblCellMar>
            <w:top w:w="0" w:type="dxa"/>
            <w:left w:w="108" w:type="dxa"/>
            <w:bottom w:w="0" w:type="dxa"/>
            <w:right w:w="108" w:type="dxa"/>
          </w:tblCellMar>
        </w:tblPrEx>
        <w:trPr>
          <w:trHeight w:val="470" w:hRule="exact"/>
          <w:jc w:val="center"/>
        </w:trPr>
        <w:tc>
          <w:tcPr>
            <w:tcW w:w="2396" w:type="dxa"/>
            <w:tcBorders>
              <w:top w:val="nil"/>
              <w:left w:val="nil"/>
              <w:bottom w:val="nil"/>
              <w:right w:val="nil"/>
            </w:tcBorders>
            <w:noWrap/>
            <w:vAlign w:val="center"/>
          </w:tcPr>
          <w:p w14:paraId="36C4E544">
            <w:pP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2141F369">
            <w:pPr>
              <w:rPr>
                <w:rFonts w:hint="eastAsia" w:ascii="仿宋" w:hAnsi="仿宋" w:eastAsia="仿宋" w:cs="仿宋"/>
                <w:color w:val="auto"/>
                <w:sz w:val="28"/>
                <w:highlight w:val="none"/>
                <w:u w:val="single"/>
                <w:lang w:eastAsia="zh-CN"/>
              </w:rPr>
            </w:pPr>
            <w:r>
              <w:rPr>
                <w:rFonts w:hint="eastAsia" w:ascii="仿宋" w:hAnsi="仿宋" w:eastAsia="仿宋" w:cs="仿宋"/>
                <w:color w:val="auto"/>
                <w:sz w:val="28"/>
                <w:highlight w:val="none"/>
                <w:lang w:eastAsia="zh-CN"/>
              </w:rPr>
              <w:t>ZJXSC-2025-097</w:t>
            </w:r>
          </w:p>
        </w:tc>
      </w:tr>
      <w:tr w14:paraId="17B29134">
        <w:tblPrEx>
          <w:tblCellMar>
            <w:top w:w="0" w:type="dxa"/>
            <w:left w:w="108" w:type="dxa"/>
            <w:bottom w:w="0" w:type="dxa"/>
            <w:right w:w="108" w:type="dxa"/>
          </w:tblCellMar>
        </w:tblPrEx>
        <w:trPr>
          <w:trHeight w:val="528" w:hRule="exact"/>
          <w:jc w:val="center"/>
        </w:trPr>
        <w:tc>
          <w:tcPr>
            <w:tcW w:w="2396" w:type="dxa"/>
            <w:tcBorders>
              <w:top w:val="nil"/>
              <w:left w:val="nil"/>
              <w:bottom w:val="nil"/>
              <w:right w:val="nil"/>
            </w:tcBorders>
            <w:noWrap/>
            <w:vAlign w:val="center"/>
          </w:tcPr>
          <w:p w14:paraId="18493A9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征集人：</w:t>
            </w:r>
          </w:p>
        </w:tc>
        <w:tc>
          <w:tcPr>
            <w:tcW w:w="6197" w:type="dxa"/>
            <w:tcBorders>
              <w:top w:val="nil"/>
              <w:left w:val="nil"/>
              <w:bottom w:val="nil"/>
              <w:right w:val="nil"/>
            </w:tcBorders>
            <w:noWrap/>
            <w:vAlign w:val="center"/>
          </w:tcPr>
          <w:p w14:paraId="6CDB41B2">
            <w:pPr>
              <w:rPr>
                <w:rFonts w:hint="eastAsia" w:ascii="仿宋" w:hAnsi="仿宋" w:eastAsia="仿宋" w:cs="仿宋"/>
                <w:color w:val="auto"/>
                <w:sz w:val="28"/>
                <w:highlight w:val="none"/>
              </w:rPr>
            </w:pPr>
            <w:r>
              <w:rPr>
                <w:rFonts w:hint="eastAsia" w:ascii="仿宋" w:hAnsi="仿宋" w:eastAsia="仿宋" w:cs="仿宋"/>
                <w:color w:val="auto"/>
                <w:sz w:val="27"/>
                <w:szCs w:val="27"/>
                <w:highlight w:val="none"/>
              </w:rPr>
              <w:t>绍兴市越城区住房和城乡建设局</w:t>
            </w:r>
          </w:p>
        </w:tc>
      </w:tr>
      <w:tr w14:paraId="77DCC336">
        <w:tblPrEx>
          <w:tblCellMar>
            <w:top w:w="0" w:type="dxa"/>
            <w:left w:w="108" w:type="dxa"/>
            <w:bottom w:w="0" w:type="dxa"/>
            <w:right w:w="108" w:type="dxa"/>
          </w:tblCellMar>
        </w:tblPrEx>
        <w:trPr>
          <w:trHeight w:val="467" w:hRule="exact"/>
          <w:jc w:val="center"/>
        </w:trPr>
        <w:tc>
          <w:tcPr>
            <w:tcW w:w="2396" w:type="dxa"/>
            <w:tcBorders>
              <w:top w:val="nil"/>
              <w:left w:val="nil"/>
              <w:bottom w:val="nil"/>
              <w:right w:val="nil"/>
            </w:tcBorders>
            <w:noWrap/>
            <w:vAlign w:val="center"/>
          </w:tcPr>
          <w:p w14:paraId="1F2DBD7C">
            <w:pP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162A2853">
            <w:pPr>
              <w:rPr>
                <w:rFonts w:hint="eastAsia" w:ascii="仿宋" w:hAnsi="仿宋" w:eastAsia="仿宋" w:cs="仿宋"/>
                <w:color w:val="auto"/>
                <w:sz w:val="28"/>
                <w:highlight w:val="none"/>
              </w:rPr>
            </w:pPr>
            <w:r>
              <w:rPr>
                <w:rFonts w:hint="eastAsia" w:ascii="仿宋" w:hAnsi="仿宋" w:eastAsia="仿宋" w:cs="仿宋"/>
                <w:color w:val="auto"/>
                <w:sz w:val="28"/>
                <w:highlight w:val="none"/>
              </w:rPr>
              <w:t>浙江翔实建设项目管理有限公司</w:t>
            </w:r>
          </w:p>
        </w:tc>
      </w:tr>
      <w:tr w14:paraId="50FFC66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2E4D1CC">
            <w:pP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7A86FBD3">
            <w:pP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绍兴市越城区财政局</w:t>
            </w:r>
          </w:p>
        </w:tc>
      </w:tr>
    </w:tbl>
    <w:p w14:paraId="4A914F4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rPr>
        <w:t>202</w:t>
      </w:r>
      <w:r>
        <w:rPr>
          <w:rFonts w:hint="eastAsia" w:ascii="仿宋" w:hAnsi="仿宋" w:eastAsia="仿宋" w:cs="仿宋"/>
          <w:color w:val="auto"/>
          <w:sz w:val="28"/>
          <w:highlight w:val="none"/>
          <w:u w:val="single"/>
          <w:lang w:val="en-US" w:eastAsia="zh-CN"/>
        </w:rPr>
        <w:t>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0</w:t>
      </w:r>
      <w:r>
        <w:rPr>
          <w:rFonts w:hint="eastAsia" w:ascii="仿宋" w:hAnsi="仿宋" w:eastAsia="仿宋" w:cs="仿宋"/>
          <w:color w:val="auto"/>
          <w:sz w:val="28"/>
          <w:highlight w:val="none"/>
          <w:u w:val="single"/>
          <w:lang w:val="en-US" w:eastAsia="zh-CN"/>
        </w:rPr>
        <w:t>5</w:t>
      </w:r>
      <w:r>
        <w:rPr>
          <w:rFonts w:hint="eastAsia" w:ascii="仿宋" w:hAnsi="仿宋" w:eastAsia="仿宋" w:cs="仿宋"/>
          <w:color w:val="auto"/>
          <w:sz w:val="28"/>
          <w:highlight w:val="none"/>
        </w:rPr>
        <w:t>月</w:t>
      </w:r>
    </w:p>
    <w:p w14:paraId="0429BC58">
      <w:pPr>
        <w:rPr>
          <w:rFonts w:hint="eastAsia" w:ascii="仿宋" w:hAnsi="仿宋" w:eastAsia="仿宋" w:cs="仿宋"/>
          <w:color w:val="auto"/>
          <w:sz w:val="28"/>
          <w:highlight w:val="none"/>
        </w:rPr>
      </w:pPr>
    </w:p>
    <w:p w14:paraId="64992BA6">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2529FEBD">
      <w:pPr>
        <w:jc w:val="center"/>
        <w:rPr>
          <w:rFonts w:hint="eastAsia" w:ascii="仿宋" w:hAnsi="仿宋" w:eastAsia="仿宋" w:cs="仿宋"/>
          <w:b/>
          <w:color w:val="auto"/>
          <w:sz w:val="44"/>
          <w:szCs w:val="44"/>
          <w:highlight w:val="none"/>
        </w:rPr>
      </w:pPr>
    </w:p>
    <w:p w14:paraId="634205F9">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"1-2" \h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"_Toc7518"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第一章  征集公告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_Toc7518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26F33F3">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"_Toc32716"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第二章  供应商须知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_Toc32716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34DCFC6">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"_Toc24855"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一、前附表</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_Toc24855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3E40F75">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"_Toc26915"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二、征集文件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_Toc26915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58F46EF">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三、响应文件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_Toc15396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4828E3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"_Toc29928"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四、开标评标</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_Toc29928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81FAB24">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"_Toc7093"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第三章  采购需求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_Toc7093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F5155A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"_Toc16556"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一、服务清单及要求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_Toc16556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25A30F4">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"_Toc8094"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二、商务要求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_Toc8094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D131EFB">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"_Toc2933"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第四章 拟签订的框架协议文本和采购合同文本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_Toc2933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948CF67">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第五章  确定第一阶段入围供应商的评审方法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_Toc2315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2FF4B7A">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"_Toc10425"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第六章  响应文件格式附件</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_Toc10425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C24513D">
      <w:pPr>
        <w:pStyle w:val="21"/>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"_Toc3261"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第七章  询问、质疑及投诉</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_Toc3261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E345AE7">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"_Toc29690"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一、供应商询问</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_Toc29690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A6E04DD">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"_Toc12050"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二、供应商质疑</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_Toc12050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A2864D3">
      <w:pPr>
        <w:pStyle w:val="25"/>
        <w:tabs>
          <w:tab w:val="right" w:leader="dot" w:pos="8641"/>
        </w:tabs>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"_Toc27469"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t>三、供应商投诉</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_Toc27469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98DCEBD">
      <w:pPr>
        <w:pStyle w:val="25"/>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fldChar w:fldCharType="end"/>
      </w:r>
    </w:p>
    <w:p w14:paraId="5BAFCB0D">
      <w:pPr>
        <w:pStyle w:val="2"/>
        <w:jc w:val="both"/>
        <w:rPr>
          <w:rFonts w:hint="eastAsia" w:ascii="仿宋" w:hAnsi="仿宋" w:eastAsia="仿宋" w:cs="仿宋"/>
          <w:color w:val="auto"/>
          <w:sz w:val="28"/>
          <w:szCs w:val="28"/>
          <w:highlight w:val="none"/>
        </w:rPr>
        <w:sectPr>
          <w:footerReference r:id="rId3" w:type="default"/>
          <w:pgSz w:w="11907" w:h="16840"/>
          <w:pgMar w:top="1440" w:right="1463" w:bottom="1440" w:left="1803" w:header="851" w:footer="992" w:gutter="0"/>
          <w:cols w:space="720" w:num="1"/>
          <w:docGrid w:type="lines" w:linePitch="312" w:charSpace="0"/>
        </w:sectPr>
      </w:pPr>
    </w:p>
    <w:p w14:paraId="29E28FBE">
      <w:pPr>
        <w:pStyle w:val="2"/>
        <w:rPr>
          <w:rFonts w:hint="eastAsia" w:ascii="仿宋" w:hAnsi="仿宋" w:eastAsia="仿宋" w:cs="仿宋"/>
          <w:color w:val="auto"/>
          <w:highlight w:val="none"/>
        </w:rPr>
      </w:pPr>
      <w:bookmarkStart w:id="0" w:name="_Toc30685"/>
      <w:bookmarkStart w:id="1" w:name="_Toc7518"/>
      <w:r>
        <w:rPr>
          <w:rFonts w:hint="eastAsia" w:ascii="仿宋" w:hAnsi="仿宋" w:eastAsia="仿宋" w:cs="仿宋"/>
          <w:color w:val="auto"/>
          <w:highlight w:val="none"/>
        </w:rPr>
        <w:t>第一章  征集公告</w:t>
      </w:r>
      <w:bookmarkEnd w:id="0"/>
      <w:bookmarkEnd w:id="1"/>
    </w:p>
    <w:p w14:paraId="33B8AE25">
      <w:pPr>
        <w:spacing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浙江翔实建设项目管理有限公司受绍兴市越城区住房和城乡建设局委托，现公开征集“</w:t>
      </w:r>
      <w:r>
        <w:rPr>
          <w:rFonts w:hint="eastAsia" w:ascii="仿宋" w:hAnsi="仿宋" w:eastAsia="仿宋" w:cs="仿宋"/>
          <w:bCs/>
          <w:color w:val="auto"/>
          <w:sz w:val="24"/>
          <w:szCs w:val="24"/>
          <w:highlight w:val="none"/>
          <w:lang w:eastAsia="zh-CN"/>
        </w:rPr>
        <w:t>2025年度消防技术服务框架协议（封闭式）采购项目</w:t>
      </w:r>
      <w:r>
        <w:rPr>
          <w:rFonts w:hint="eastAsia" w:ascii="仿宋" w:hAnsi="仿宋" w:eastAsia="仿宋" w:cs="仿宋"/>
          <w:bCs/>
          <w:color w:val="auto"/>
          <w:sz w:val="24"/>
          <w:szCs w:val="24"/>
          <w:highlight w:val="none"/>
        </w:rPr>
        <w:t>”供应商，现将有关事项公告如下：</w:t>
      </w:r>
    </w:p>
    <w:p w14:paraId="2AE3F5C6">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5063700E">
      <w:pPr>
        <w:adjustRightInd w:val="0"/>
        <w:spacing w:line="440" w:lineRule="exact"/>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ZJXSC-2025-097</w:t>
      </w:r>
    </w:p>
    <w:p w14:paraId="703272A8">
      <w:pPr>
        <w:adjustRightInd w:val="0"/>
        <w:spacing w:line="440" w:lineRule="exac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 xml:space="preserve">    项目名称：</w:t>
      </w:r>
      <w:r>
        <w:rPr>
          <w:rFonts w:hint="eastAsia" w:ascii="仿宋" w:hAnsi="仿宋" w:eastAsia="仿宋" w:cs="仿宋"/>
          <w:bCs/>
          <w:color w:val="auto"/>
          <w:sz w:val="24"/>
          <w:szCs w:val="24"/>
          <w:highlight w:val="none"/>
          <w:lang w:eastAsia="zh-CN"/>
        </w:rPr>
        <w:t>2025年度消防技术服务框架协议（封闭式）采购项目</w:t>
      </w:r>
    </w:p>
    <w:p w14:paraId="2D6C3A54">
      <w:pPr>
        <w:pStyle w:val="16"/>
        <w:adjustRightInd w:val="0"/>
        <w:snapToGrid w:val="0"/>
        <w:spacing w:line="44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采购需求：详见征集文件第三章采购需求。</w:t>
      </w:r>
    </w:p>
    <w:p w14:paraId="0E4F7DEA">
      <w:pPr>
        <w:pStyle w:val="8"/>
        <w:adjustRightInd w:val="0"/>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项目概况及最高限价：</w:t>
      </w:r>
    </w:p>
    <w:tbl>
      <w:tblPr>
        <w:tblStyle w:val="3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388"/>
        <w:gridCol w:w="2137"/>
        <w:gridCol w:w="2335"/>
      </w:tblGrid>
      <w:tr w14:paraId="30D7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8" w:type="dxa"/>
            <w:noWrap/>
            <w:vAlign w:val="center"/>
          </w:tcPr>
          <w:p w14:paraId="0A843526">
            <w:pPr>
              <w:widowControl/>
              <w:adjustRightInd w:val="0"/>
              <w:snapToGrid w:val="0"/>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w:t>
            </w:r>
          </w:p>
        </w:tc>
        <w:tc>
          <w:tcPr>
            <w:tcW w:w="3388" w:type="dxa"/>
            <w:noWrap/>
            <w:vAlign w:val="center"/>
          </w:tcPr>
          <w:p w14:paraId="12BF9FA5">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c>
          <w:tcPr>
            <w:tcW w:w="2137" w:type="dxa"/>
            <w:noWrap/>
            <w:vAlign w:val="center"/>
          </w:tcPr>
          <w:p w14:paraId="03228A60">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p>
        </w:tc>
        <w:tc>
          <w:tcPr>
            <w:tcW w:w="2335" w:type="dxa"/>
            <w:noWrap/>
            <w:vAlign w:val="center"/>
          </w:tcPr>
          <w:p w14:paraId="6A227C89">
            <w:pPr>
              <w:widowControl/>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最高限制单价</w:t>
            </w:r>
          </w:p>
        </w:tc>
      </w:tr>
      <w:tr w14:paraId="6F12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58" w:type="dxa"/>
            <w:noWrap/>
            <w:vAlign w:val="center"/>
          </w:tcPr>
          <w:p w14:paraId="1A3D5DDE">
            <w:pPr>
              <w:adjustRightInd w:val="0"/>
              <w:snapToGrid w:val="0"/>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388" w:type="dxa"/>
            <w:noWrap/>
            <w:vAlign w:val="center"/>
          </w:tcPr>
          <w:p w14:paraId="1F6CA973">
            <w:pPr>
              <w:widowControl/>
              <w:adjustRightInd w:val="0"/>
              <w:snapToGrid w:val="0"/>
              <w:spacing w:line="440" w:lineRule="exact"/>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2025年度消防技术服务框架协议（封闭式）采购项目</w:t>
            </w:r>
          </w:p>
        </w:tc>
        <w:tc>
          <w:tcPr>
            <w:tcW w:w="2137" w:type="dxa"/>
            <w:noWrap/>
            <w:vAlign w:val="center"/>
          </w:tcPr>
          <w:p w14:paraId="4A460674">
            <w:pPr>
              <w:widowControl/>
              <w:adjustRightInd w:val="0"/>
              <w:snapToGrid w:val="0"/>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3000000</w:t>
            </w:r>
          </w:p>
        </w:tc>
        <w:tc>
          <w:tcPr>
            <w:tcW w:w="2335" w:type="dxa"/>
            <w:noWrap/>
            <w:vAlign w:val="center"/>
          </w:tcPr>
          <w:p w14:paraId="6BE4D070">
            <w:pPr>
              <w:widowControl/>
              <w:adjustRightInd w:val="0"/>
              <w:snapToGrid w:val="0"/>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pacing w:val="20"/>
                <w:sz w:val="24"/>
                <w:highlight w:val="none"/>
              </w:rPr>
              <w:t>1.</w:t>
            </w:r>
            <w:r>
              <w:rPr>
                <w:rFonts w:hint="eastAsia" w:ascii="仿宋" w:hAnsi="仿宋" w:eastAsia="仿宋" w:cs="仿宋"/>
                <w:color w:val="auto"/>
                <w:spacing w:val="20"/>
                <w:sz w:val="24"/>
                <w:highlight w:val="none"/>
                <w:lang w:val="en-US" w:eastAsia="zh-CN"/>
              </w:rPr>
              <w:t>2</w:t>
            </w:r>
            <w:r>
              <w:rPr>
                <w:rFonts w:hint="eastAsia" w:ascii="仿宋" w:hAnsi="仿宋" w:eastAsia="仿宋" w:cs="仿宋"/>
                <w:color w:val="auto"/>
                <w:sz w:val="24"/>
                <w:highlight w:val="none"/>
              </w:rPr>
              <w:t>元/㎡</w:t>
            </w:r>
          </w:p>
        </w:tc>
      </w:tr>
    </w:tbl>
    <w:p w14:paraId="464DEA22">
      <w:pPr>
        <w:pStyle w:val="8"/>
        <w:adjustRightInd w:val="0"/>
        <w:spacing w:line="44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具体以征集文件第三章采购需求为准。</w:t>
      </w:r>
    </w:p>
    <w:p w14:paraId="76AE8CA6">
      <w:pPr>
        <w:pStyle w:val="48"/>
        <w:adjustRightInd w:val="0"/>
        <w:spacing w:before="0" w:line="440" w:lineRule="exact"/>
        <w:ind w:firstLine="482"/>
        <w:outlineLvl w:val="2"/>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适用范围：绍兴市越城区住房和城乡建设局管辖的消防验收或备案抽查项目。</w:t>
      </w:r>
    </w:p>
    <w:p w14:paraId="10940FF9">
      <w:pPr>
        <w:pStyle w:val="48"/>
        <w:adjustRightInd w:val="0"/>
        <w:spacing w:before="0" w:line="440" w:lineRule="exact"/>
        <w:ind w:firstLine="482"/>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框架协议期限：</w:t>
      </w:r>
      <w:r>
        <w:rPr>
          <w:rFonts w:hint="eastAsia" w:ascii="仿宋" w:hAnsi="仿宋" w:eastAsia="仿宋" w:cs="仿宋"/>
          <w:b/>
          <w:color w:val="auto"/>
          <w:szCs w:val="24"/>
          <w:highlight w:val="none"/>
          <w:lang w:val="en-US" w:eastAsia="zh-CN"/>
        </w:rPr>
        <w:t>12</w:t>
      </w:r>
      <w:r>
        <w:rPr>
          <w:rFonts w:hint="eastAsia" w:ascii="仿宋" w:hAnsi="仿宋" w:eastAsia="仿宋" w:cs="仿宋"/>
          <w:b/>
          <w:color w:val="auto"/>
          <w:szCs w:val="24"/>
          <w:highlight w:val="none"/>
          <w:lang w:eastAsia="zh-CN"/>
        </w:rPr>
        <w:t>个月</w:t>
      </w:r>
      <w:r>
        <w:rPr>
          <w:rFonts w:hint="eastAsia" w:ascii="仿宋" w:hAnsi="仿宋" w:eastAsia="仿宋" w:cs="仿宋"/>
          <w:b/>
          <w:color w:val="auto"/>
          <w:szCs w:val="24"/>
          <w:highlight w:val="none"/>
        </w:rPr>
        <w:t>，具体以合同签订时间为准。</w:t>
      </w:r>
    </w:p>
    <w:p w14:paraId="6A3789EB">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二、供应商应具备的资格条件：</w:t>
      </w:r>
    </w:p>
    <w:p w14:paraId="5059D93B">
      <w:pPr>
        <w:adjustRightInd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1.基本要求：</w:t>
      </w:r>
      <w:r>
        <w:rPr>
          <w:rFonts w:hint="eastAsia" w:ascii="仿宋" w:hAnsi="仿宋" w:eastAsia="仿宋" w:cs="仿宋"/>
          <w:bCs/>
          <w:color w:val="auto"/>
          <w:sz w:val="24"/>
          <w:szCs w:val="24"/>
          <w:highlight w:val="none"/>
        </w:rPr>
        <w:t>符合《中华人民共和国政府采购法》第二十二条和《关于规范政府采购供应商资格设定及资格审查的通知》（浙财采监﹝2013﹞24号）的第六条之规定,且未被“信用中国”（www.creditchina.gov.cn）、中国政府采购网（www.ccgp.gov.cn）列入失信被执行人、重大税收违法案件当事人名单和政府采购严重违法失信行为记录名单</w:t>
      </w:r>
      <w:r>
        <w:rPr>
          <w:rFonts w:hint="eastAsia" w:ascii="仿宋" w:hAnsi="仿宋" w:eastAsia="仿宋" w:cs="仿宋"/>
          <w:color w:val="auto"/>
          <w:sz w:val="24"/>
          <w:szCs w:val="24"/>
          <w:highlight w:val="none"/>
        </w:rPr>
        <w:t>。</w:t>
      </w:r>
    </w:p>
    <w:p w14:paraId="2B3D702C">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2.特定资格要求：</w:t>
      </w:r>
    </w:p>
    <w:p w14:paraId="2432EBBD">
      <w:pPr>
        <w:spacing w:line="360" w:lineRule="auto"/>
        <w:ind w:firstLine="480" w:firstLineChars="200"/>
        <w:jc w:val="left"/>
        <w:rPr>
          <w:rFonts w:hint="eastAsia" w:ascii="仿宋" w:hAnsi="仿宋" w:eastAsia="仿宋" w:cs="仿宋"/>
          <w:strike/>
          <w:color w:val="auto"/>
          <w:sz w:val="24"/>
          <w:szCs w:val="24"/>
          <w:highlight w:val="none"/>
        </w:rPr>
      </w:pPr>
      <w:r>
        <w:rPr>
          <w:rFonts w:hint="eastAsia" w:ascii="仿宋" w:hAnsi="仿宋" w:eastAsia="仿宋" w:cs="仿宋"/>
          <w:bCs/>
          <w:color w:val="auto"/>
          <w:sz w:val="24"/>
          <w:szCs w:val="24"/>
          <w:highlight w:val="none"/>
        </w:rPr>
        <w:t>标项1：</w:t>
      </w:r>
      <w:r>
        <w:rPr>
          <w:rFonts w:hint="eastAsia" w:ascii="仿宋" w:hAnsi="仿宋" w:eastAsia="仿宋" w:cs="仿宋"/>
          <w:bCs/>
          <w:color w:val="auto"/>
          <w:sz w:val="24"/>
          <w:szCs w:val="24"/>
          <w:highlight w:val="none"/>
          <w:lang w:val="en-US" w:eastAsia="zh-CN"/>
        </w:rPr>
        <w:t>符合《消防技术服务机构从业条件》中从事消防设施维护保养检测或消防安全评估服务的消防技术服务机构（提供承诺书）</w:t>
      </w:r>
      <w:r>
        <w:rPr>
          <w:rFonts w:hint="eastAsia" w:ascii="仿宋" w:hAnsi="仿宋" w:eastAsia="仿宋" w:cs="仿宋"/>
          <w:bCs/>
          <w:color w:val="auto"/>
          <w:sz w:val="24"/>
          <w:szCs w:val="24"/>
          <w:highlight w:val="none"/>
        </w:rPr>
        <w:t>、具有建筑设计乙级资质以上的单位。</w:t>
      </w:r>
    </w:p>
    <w:p w14:paraId="7E840403">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3.落实政府采购政策需满足的资格要求：无。  </w:t>
      </w:r>
    </w:p>
    <w:p w14:paraId="03C39BB9">
      <w:pPr>
        <w:adjustRightInd w:val="0"/>
        <w:snapToGrid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4.单位负责人为同一人或者存在直接控股、管理关系的不同供应商，不得同时参加同一采购包（标项）。</w:t>
      </w:r>
    </w:p>
    <w:p w14:paraId="65D2EBDA">
      <w:pPr>
        <w:pStyle w:val="30"/>
        <w:spacing w:after="0" w:line="440" w:lineRule="exact"/>
        <w:ind w:left="0" w:leftChars="0"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5.本项目接受联合体投标。</w:t>
      </w:r>
    </w:p>
    <w:p w14:paraId="79D77C65">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三、获取征集文件的时间、地点和方式 </w:t>
      </w:r>
    </w:p>
    <w:p w14:paraId="34A5E64F">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/至</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月 日</w:t>
      </w:r>
      <w:r>
        <w:rPr>
          <w:rFonts w:hint="eastAsia" w:ascii="仿宋" w:hAnsi="仿宋" w:eastAsia="仿宋" w:cs="仿宋"/>
          <w:color w:val="auto"/>
          <w:sz w:val="24"/>
          <w:szCs w:val="24"/>
          <w:highlight w:val="none"/>
        </w:rPr>
        <w:t xml:space="preserve"> ，每天上午00:00至12:00 ，下午12:00至23:59（北京时间，线上获取法定节假日均可，线下获取文件法定节假日除外）。</w:t>
      </w:r>
    </w:p>
    <w:p w14:paraId="68EA72A5">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"http://zcy.gov.cn/"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u w:val="single"/>
        </w:rPr>
        <w:t>http://www.zcygov.cn/</w:t>
      </w:r>
      <w:r>
        <w:rPr>
          <w:rFonts w:hint="eastAsia" w:ascii="仿宋" w:hAnsi="仿宋" w:eastAsia="仿宋" w:cs="仿宋"/>
          <w:bCs/>
          <w:color w:val="auto"/>
          <w:sz w:val="24"/>
          <w:szCs w:val="24"/>
          <w:highlight w:val="none"/>
          <w:u w:val="single"/>
        </w:rPr>
        <w:fldChar w:fldCharType="end"/>
      </w:r>
    </w:p>
    <w:p w14:paraId="1FF99284">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0F414433">
      <w:pPr>
        <w:adjustRightIn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四、响应文件的提交方式、提交截止时间和地点，开启方式、时间和地点</w:t>
      </w:r>
    </w:p>
    <w:p w14:paraId="6DB5D9E6">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提交响应文件截止时间：</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月  日09</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rPr>
        <w:t>（北京时间）</w:t>
      </w:r>
    </w:p>
    <w:p w14:paraId="0037D0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投标地点（网址）：政采云平台http://www.zcygov.cn/在线递交，不接收纸质响应文件。</w:t>
      </w:r>
    </w:p>
    <w:p w14:paraId="1A6CB6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月  日09</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00</w:t>
      </w:r>
    </w:p>
    <w:p w14:paraId="7E461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开标地点（网址）：政采云平台http://www.zcygov.cn/；现场开标地点：</w:t>
      </w:r>
      <w:r>
        <w:rPr>
          <w:rFonts w:hint="eastAsia" w:ascii="仿宋" w:hAnsi="仿宋" w:eastAsia="仿宋" w:cs="仿宋"/>
          <w:color w:val="auto"/>
          <w:sz w:val="24"/>
          <w:szCs w:val="24"/>
          <w:highlight w:val="none"/>
          <w:lang w:eastAsia="zh-CN"/>
        </w:rPr>
        <w:t>浙江省绍兴市越城区阳明北路692号浙江翔实建设项目管理有限公司一楼</w:t>
      </w:r>
      <w:r>
        <w:rPr>
          <w:rFonts w:hint="eastAsia" w:ascii="仿宋" w:hAnsi="仿宋" w:eastAsia="仿宋" w:cs="仿宋"/>
          <w:color w:val="auto"/>
          <w:sz w:val="24"/>
          <w:szCs w:val="24"/>
          <w:highlight w:val="none"/>
          <w:lang w:val="en-US" w:eastAsia="zh-CN"/>
        </w:rPr>
        <w:t>开标室。</w:t>
      </w:r>
    </w:p>
    <w:p w14:paraId="5E0BCF1C">
      <w:pPr>
        <w:adjustRightIn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307CE112">
      <w:pPr>
        <w:adjustRightIn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06CF91FF">
      <w:pPr>
        <w:spacing w:line="440" w:lineRule="exact"/>
        <w:ind w:firstLine="482" w:firstLineChars="200"/>
        <w:rPr>
          <w:rFonts w:hint="eastAsia" w:ascii="仿宋" w:hAnsi="仿宋" w:eastAsia="仿宋" w:cs="仿宋"/>
          <w:b/>
          <w:bCs/>
          <w:color w:val="auto"/>
          <w:sz w:val="24"/>
          <w:szCs w:val="24"/>
          <w:highlight w:val="none"/>
        </w:rPr>
      </w:pPr>
      <w:bookmarkStart w:id="2" w:name="_Toc35393795"/>
      <w:bookmarkStart w:id="3" w:name="_Toc35393626"/>
      <w:r>
        <w:rPr>
          <w:rFonts w:hint="eastAsia" w:ascii="仿宋" w:hAnsi="仿宋" w:eastAsia="仿宋" w:cs="仿宋"/>
          <w:b/>
          <w:bCs/>
          <w:color w:val="auto"/>
          <w:sz w:val="24"/>
          <w:szCs w:val="24"/>
          <w:highlight w:val="none"/>
        </w:rPr>
        <w:t>六、其他补充事宜</w:t>
      </w:r>
      <w:bookmarkEnd w:id="2"/>
      <w:bookmarkEnd w:id="3"/>
    </w:p>
    <w:p w14:paraId="6D585D34">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征集文件有关规定与上述文件内容不一致的，按上述文件要求执行。</w:t>
      </w:r>
    </w:p>
    <w:p w14:paraId="76823FF3">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auto"/>
          <w:sz w:val="24"/>
          <w:szCs w:val="24"/>
          <w:highlight w:val="none"/>
        </w:rPr>
        <w:t>详见征集文件第七章。</w:t>
      </w:r>
    </w:p>
    <w:p w14:paraId="28B3B441">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详见征集文件“征集公告补充事项”。（重要）</w:t>
      </w:r>
    </w:p>
    <w:p w14:paraId="10EE67A5">
      <w:pPr>
        <w:spacing w:beforeLines="100" w:afterLines="100"/>
        <w:rPr>
          <w:rFonts w:hint="eastAsia" w:ascii="仿宋" w:hAnsi="仿宋" w:eastAsia="仿宋" w:cs="仿宋"/>
          <w:b/>
          <w:bCs/>
          <w:color w:val="auto"/>
          <w:sz w:val="24"/>
          <w:szCs w:val="24"/>
          <w:highlight w:val="none"/>
        </w:rPr>
      </w:pPr>
      <w:bookmarkStart w:id="4" w:name="_Toc35393796"/>
      <w:bookmarkStart w:id="5" w:name="_Toc35393627"/>
      <w:bookmarkStart w:id="6" w:name="_Toc28359085"/>
      <w:bookmarkStart w:id="7" w:name="_Toc28359008"/>
      <w:r>
        <w:rPr>
          <w:rFonts w:hint="eastAsia" w:ascii="仿宋" w:hAnsi="仿宋" w:eastAsia="仿宋" w:cs="仿宋"/>
          <w:b/>
          <w:bCs/>
          <w:color w:val="auto"/>
          <w:sz w:val="24"/>
          <w:szCs w:val="24"/>
          <w:highlight w:val="none"/>
        </w:rPr>
        <w:t>七、对本次征集提出询问、质疑、投诉，请按以下方式联系</w:t>
      </w:r>
      <w:bookmarkEnd w:id="4"/>
      <w:bookmarkEnd w:id="5"/>
      <w:bookmarkEnd w:id="6"/>
      <w:bookmarkEnd w:id="7"/>
    </w:p>
    <w:p w14:paraId="2E6D00A5">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1.征集人信息</w:t>
      </w:r>
    </w:p>
    <w:p w14:paraId="495D4DAD">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绍兴市越城区住房和城乡建设局</w:t>
      </w:r>
    </w:p>
    <w:p w14:paraId="091E3E4C">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绍兴市越城区延安东路481号</w:t>
      </w:r>
    </w:p>
    <w:p w14:paraId="4717F4D2">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bookmarkStart w:id="8" w:name="_Toc28359009"/>
      <w:bookmarkStart w:id="9" w:name="_Toc28359086"/>
    </w:p>
    <w:p w14:paraId="5F6F429B">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卞贤源</w:t>
      </w:r>
      <w:r>
        <w:rPr>
          <w:rFonts w:hint="eastAsia" w:ascii="仿宋" w:hAnsi="仿宋" w:eastAsia="仿宋" w:cs="仿宋"/>
          <w:color w:val="auto"/>
          <w:sz w:val="24"/>
          <w:szCs w:val="24"/>
          <w:highlight w:val="none"/>
          <w:u w:val="single"/>
        </w:rPr>
        <w:t xml:space="preserve">　 </w:t>
      </w:r>
    </w:p>
    <w:p w14:paraId="1576D606">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0575-88267220</w:t>
      </w:r>
    </w:p>
    <w:p w14:paraId="4CD8D090">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张劲虎 </w:t>
      </w:r>
      <w:r>
        <w:rPr>
          <w:rFonts w:hint="eastAsia" w:ascii="仿宋" w:hAnsi="仿宋" w:eastAsia="仿宋" w:cs="仿宋"/>
          <w:color w:val="auto"/>
          <w:sz w:val="24"/>
          <w:szCs w:val="24"/>
          <w:highlight w:val="none"/>
          <w:u w:val="single"/>
        </w:rPr>
        <w:t xml:space="preserve">    </w:t>
      </w:r>
    </w:p>
    <w:p w14:paraId="56EA0401">
      <w:pPr>
        <w:keepNext w:val="0"/>
        <w:keepLines w:val="0"/>
        <w:pageBreakBefore w:val="0"/>
        <w:widowControl/>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0575-85095573</w:t>
      </w:r>
    </w:p>
    <w:p w14:paraId="283A1D32">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采购代理机构信息</w:t>
      </w:r>
      <w:bookmarkEnd w:id="8"/>
      <w:bookmarkEnd w:id="9"/>
      <w:bookmarkStart w:id="10" w:name="_Toc28359087"/>
      <w:bookmarkStart w:id="11" w:name="_Toc28359010"/>
    </w:p>
    <w:p w14:paraId="6074223E">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浙江翔实建设项目管理有限公司</w:t>
      </w:r>
    </w:p>
    <w:p w14:paraId="0DC2BC87">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绍兴市越城区阳明北路692号</w:t>
      </w:r>
    </w:p>
    <w:p w14:paraId="2A0B1D69">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p>
    <w:p w14:paraId="68C9D579">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丁诗哲　　</w:t>
      </w:r>
    </w:p>
    <w:p w14:paraId="0F719710">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0575-88682896</w:t>
      </w:r>
      <w:r>
        <w:rPr>
          <w:rFonts w:hint="eastAsia" w:ascii="仿宋" w:hAnsi="仿宋" w:eastAsia="仿宋" w:cs="仿宋"/>
          <w:color w:val="auto"/>
          <w:sz w:val="24"/>
          <w:szCs w:val="24"/>
          <w:highlight w:val="none"/>
          <w:u w:val="single"/>
          <w:lang w:val="en-US" w:eastAsia="zh-CN"/>
        </w:rPr>
        <w:t>/13857501150</w:t>
      </w:r>
    </w:p>
    <w:p w14:paraId="0F80EAB0">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孙莉　</w:t>
      </w:r>
    </w:p>
    <w:p w14:paraId="4E43330F">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0575-88976639</w:t>
      </w:r>
    </w:p>
    <w:bookmarkEnd w:id="10"/>
    <w:bookmarkEnd w:id="11"/>
    <w:p w14:paraId="30487FEA">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同级政府采购监督管理部门</w:t>
      </w:r>
    </w:p>
    <w:p w14:paraId="1D1FCEE9">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绍兴市越城区财政局　　　</w:t>
      </w:r>
    </w:p>
    <w:p w14:paraId="1E347C1A">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浙江省绍兴市人民东路1187号</w:t>
      </w:r>
    </w:p>
    <w:p w14:paraId="13AD5784">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　　　　　</w:t>
      </w:r>
    </w:p>
    <w:p w14:paraId="4891D858">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季扬</w:t>
      </w:r>
    </w:p>
    <w:p w14:paraId="31E57654">
      <w:pPr>
        <w:keepNext w:val="0"/>
        <w:keepLines w:val="0"/>
        <w:pageBreakBefore w:val="0"/>
        <w:numPr>
          <w:ilvl w:val="0"/>
          <w:numId w:val="0"/>
        </w:numPr>
        <w:kinsoku/>
        <w:wordWrap/>
        <w:overflowPunct/>
        <w:topLinePunct w:val="0"/>
        <w:autoSpaceDE/>
        <w:autoSpaceDN/>
        <w:bidi w:val="0"/>
        <w:adjustRightInd/>
        <w:snapToGrid/>
        <w:spacing w:line="440" w:lineRule="exact"/>
        <w:ind w:left="420" w:leftChars="200" w:firstLine="0" w:firstLine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0575-85221643</w:t>
      </w:r>
    </w:p>
    <w:p w14:paraId="180D7EC8">
      <w:pPr>
        <w:widowControl/>
        <w:ind w:firstLine="480" w:firstLineChars="200"/>
        <w:jc w:val="left"/>
        <w:rPr>
          <w:rFonts w:hint="eastAsia" w:ascii="仿宋" w:hAnsi="仿宋" w:eastAsia="仿宋" w:cs="仿宋"/>
          <w:color w:val="auto"/>
          <w:sz w:val="24"/>
          <w:szCs w:val="24"/>
          <w:highlight w:val="none"/>
        </w:rPr>
      </w:pPr>
    </w:p>
    <w:p w14:paraId="512FAA46">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BDFED86">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21C1AE3B">
      <w:pPr>
        <w:widowControl/>
        <w:jc w:val="left"/>
        <w:rPr>
          <w:rFonts w:hint="eastAsia" w:ascii="仿宋" w:hAnsi="仿宋" w:eastAsia="仿宋" w:cs="仿宋"/>
          <w:color w:val="auto"/>
          <w:sz w:val="24"/>
          <w:szCs w:val="24"/>
          <w:highlight w:val="none"/>
        </w:rPr>
      </w:pPr>
    </w:p>
    <w:p w14:paraId="38E839A9">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44"/>
          <w:szCs w:val="44"/>
          <w:highlight w:val="none"/>
        </w:rPr>
        <w:t>征集公告补充事项</w:t>
      </w:r>
    </w:p>
    <w:p w14:paraId="7BE2BC98">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
          <w:bCs/>
          <w:color w:val="auto"/>
          <w:sz w:val="24"/>
          <w:highlight w:val="none"/>
          <w:u w:val="single"/>
        </w:rPr>
        <w:t>分散委托-委托采购</w:t>
      </w:r>
    </w:p>
    <w:p w14:paraId="0AEDF35A">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服务   </w:t>
      </w:r>
    </w:p>
    <w:p w14:paraId="10F195E4">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
          <w:color w:val="auto"/>
          <w:sz w:val="24"/>
          <w:highlight w:val="none"/>
          <w:u w:val="single"/>
        </w:rPr>
        <w:t>框架协议</w:t>
      </w:r>
    </w:p>
    <w:p w14:paraId="108F1B40">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5FBE93FF">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7D4237C7">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4EADFB8C">
      <w:pPr>
        <w:spacing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130AC9F6">
      <w:pPr>
        <w:spacing w:line="440" w:lineRule="exact"/>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3、请投标供应商务必认真学习网上相关培训课程。电子化交易准备工作详见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"http://www.sxyc.gov.cn/art/2019/9/11/art_1559761_38044415.html"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pacing w:val="-4"/>
          <w:sz w:val="24"/>
          <w:highlight w:val="none"/>
        </w:rPr>
        <w:t>http://www.sxyc.gov.cn/art/2019/9/11/art_1559761_38044415.html</w:t>
      </w:r>
      <w:r>
        <w:rPr>
          <w:rStyle w:val="37"/>
          <w:rFonts w:hint="eastAsia" w:ascii="仿宋" w:hAnsi="仿宋" w:eastAsia="仿宋" w:cs="仿宋"/>
          <w:color w:val="auto"/>
          <w:spacing w:val="-4"/>
          <w:sz w:val="24"/>
          <w:highlight w:val="none"/>
        </w:rPr>
        <w:fldChar w:fldCharType="end"/>
      </w:r>
      <w:r>
        <w:rPr>
          <w:rFonts w:hint="eastAsia" w:ascii="仿宋" w:hAnsi="仿宋" w:eastAsia="仿宋" w:cs="仿宋"/>
          <w:color w:val="auto"/>
          <w:spacing w:val="-4"/>
          <w:sz w:val="24"/>
          <w:highlight w:val="none"/>
        </w:rPr>
        <w:t xml:space="preserve">  《关于做好政府采购项目电子化交易准备工作的通知》。</w:t>
      </w:r>
    </w:p>
    <w:p w14:paraId="2E748467">
      <w:pPr>
        <w:spacing w:line="440" w:lineRule="exact"/>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z w:val="24"/>
          <w:highlight w:val="none"/>
        </w:rPr>
        <w:t>供应商-政府采购项目电子交易操作指南：</w:t>
      </w:r>
      <w:r>
        <w:rPr>
          <w:rStyle w:val="37"/>
          <w:rFonts w:hint="eastAsia" w:ascii="仿宋" w:hAnsi="仿宋" w:eastAsia="仿宋" w:cs="仿宋"/>
          <w:color w:val="auto"/>
          <w:sz w:val="24"/>
          <w:szCs w:val="24"/>
          <w:highlight w:val="none"/>
        </w:rPr>
        <w:t>https://service.zcygov.cn/#/knowledges/CW1EtGwBFdiHxlNd6I3m/6IMVAG0BFdiHxlNdQ8Na</w:t>
      </w:r>
      <w:r>
        <w:rPr>
          <w:rFonts w:hint="eastAsia" w:ascii="仿宋" w:hAnsi="仿宋" w:eastAsia="仿宋" w:cs="仿宋"/>
          <w:color w:val="auto"/>
          <w:sz w:val="24"/>
          <w:highlight w:val="none"/>
        </w:rPr>
        <w:t>。</w:t>
      </w:r>
    </w:p>
    <w:p w14:paraId="42D8E3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5、CA申领需要时间，请各潜在投标供应商及时办理和绑定。</w:t>
      </w:r>
    </w:p>
    <w:p w14:paraId="2E779D5A">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6、获取征集文件后不参加投标的供应商，须向采购代理机构提供书面说明。</w:t>
      </w:r>
    </w:p>
    <w:p w14:paraId="1352A238">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7、需登陆政采云平台后在交易系统内获取征集文件，只网站下载不视为获取。</w:t>
      </w:r>
    </w:p>
    <w:p w14:paraId="7025694A">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8、预留充足时间上传加密电子响应文件（建议提前一天，供应商解密电子响应文件前处于加密状态）。</w:t>
      </w:r>
    </w:p>
    <w:p w14:paraId="04BE1089">
      <w:pPr>
        <w:spacing w:line="360" w:lineRule="auto"/>
        <w:ind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征集公告及更正公告发布网址：</w:t>
      </w:r>
      <w:bookmarkStart w:id="12" w:name="_Hlt10553107"/>
      <w:bookmarkEnd w:id="12"/>
      <w:bookmarkStart w:id="13" w:name="_Hlt10553106"/>
      <w:bookmarkEnd w:id="13"/>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请自行登录政采云平台或在浙江政府采购网更正公告页面或越城区人民政府门户网站征集公告页面中下载。</w:t>
      </w:r>
    </w:p>
    <w:p w14:paraId="7D30792D">
      <w:pPr>
        <w:spacing w:line="3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七、供应商入驻</w:t>
      </w:r>
      <w:r>
        <w:rPr>
          <w:rFonts w:hint="eastAsia" w:ascii="仿宋" w:hAnsi="仿宋" w:eastAsia="仿宋" w:cs="仿宋"/>
          <w:color w:val="auto"/>
          <w:sz w:val="24"/>
          <w:highlight w:val="none"/>
        </w:rPr>
        <w:t>（无需提交纸质资料现场审核）：</w:t>
      </w:r>
    </w:p>
    <w:p w14:paraId="68467A75">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绍兴市越城区政府采购活动的供应商，必须入驻浙江省政府采购供应商库，接受征集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auto"/>
          <w:sz w:val="24"/>
          <w:highlight w:val="none"/>
        </w:rPr>
        <w:t>越城区内企业入驻咨询电话：0575-89116928；非越城区内企业入驻详询当地集中征集机构；浙江省外企业入驻咨询电话：400-881-7190</w:t>
      </w:r>
    </w:p>
    <w:p w14:paraId="5DB9BD4B">
      <w:pPr>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供应商入驻操作指南：</w:t>
      </w:r>
    </w:p>
    <w:p w14:paraId="6E9EA862">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https://service.zcygov.cn/#/knowledges/cm2eqWwBFdiHxlNd_otq/w3Cd3GwBFdiHxlNd-BRD</w:t>
      </w:r>
    </w:p>
    <w:p w14:paraId="2835D01B">
      <w:pPr>
        <w:pStyle w:val="2"/>
        <w:rPr>
          <w:rFonts w:hint="eastAsia" w:ascii="仿宋" w:hAnsi="仿宋" w:eastAsia="仿宋" w:cs="仿宋"/>
          <w:color w:val="auto"/>
          <w:highlight w:val="none"/>
        </w:rPr>
      </w:pPr>
      <w:bookmarkStart w:id="14" w:name="_Toc32716"/>
      <w:bookmarkStart w:id="15" w:name="_Toc30816"/>
      <w:r>
        <w:rPr>
          <w:rFonts w:hint="eastAsia" w:ascii="仿宋" w:hAnsi="仿宋" w:eastAsia="仿宋" w:cs="仿宋"/>
          <w:color w:val="auto"/>
          <w:highlight w:val="none"/>
        </w:rPr>
        <w:t xml:space="preserve">第二章  </w:t>
      </w:r>
      <w:bookmarkEnd w:id="14"/>
      <w:bookmarkEnd w:id="15"/>
      <w:r>
        <w:rPr>
          <w:rFonts w:hint="eastAsia" w:ascii="仿宋" w:hAnsi="仿宋" w:eastAsia="仿宋" w:cs="仿宋"/>
          <w:color w:val="auto"/>
          <w:highlight w:val="none"/>
        </w:rPr>
        <w:t>供应商须知</w:t>
      </w:r>
    </w:p>
    <w:p w14:paraId="3B03625E">
      <w:pPr>
        <w:pStyle w:val="3"/>
        <w:rPr>
          <w:rFonts w:hint="eastAsia" w:ascii="仿宋" w:hAnsi="仿宋" w:eastAsia="仿宋" w:cs="仿宋"/>
          <w:color w:val="auto"/>
          <w:highlight w:val="none"/>
        </w:rPr>
      </w:pPr>
      <w:bookmarkStart w:id="16" w:name="_Toc24855"/>
      <w:bookmarkStart w:id="17" w:name="_Toc14735"/>
      <w:r>
        <w:rPr>
          <w:rFonts w:hint="eastAsia" w:ascii="仿宋" w:hAnsi="仿宋" w:eastAsia="仿宋" w:cs="仿宋"/>
          <w:color w:val="auto"/>
          <w:highlight w:val="none"/>
        </w:rPr>
        <w:t>一、前附表</w:t>
      </w:r>
      <w:bookmarkEnd w:id="16"/>
      <w:bookmarkEnd w:id="17"/>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B27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6E3FF1">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FACC11">
            <w:pPr>
              <w:spacing w:beforeLines="50"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27D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9F370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34AE29">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eastAsia="zh-CN"/>
              </w:rPr>
              <w:t>2025年度消防技术服务框架协议（封闭式）采购项目</w:t>
            </w:r>
          </w:p>
        </w:tc>
      </w:tr>
      <w:tr w14:paraId="0063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D166E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A3A1B1">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响应有效期：</w:t>
            </w:r>
            <w:r>
              <w:rPr>
                <w:rFonts w:hint="eastAsia" w:ascii="仿宋" w:hAnsi="仿宋" w:eastAsia="仿宋" w:cs="仿宋"/>
                <w:color w:val="auto"/>
                <w:sz w:val="24"/>
                <w:highlight w:val="none"/>
              </w:rPr>
              <w:t>自投标截止日起60天。如征集人认为必要，可延长至总计最长不超过90天。</w:t>
            </w:r>
          </w:p>
        </w:tc>
      </w:tr>
      <w:tr w14:paraId="49A6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6AF78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60300C">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否</w:t>
            </w:r>
          </w:p>
        </w:tc>
      </w:tr>
      <w:tr w14:paraId="1227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12582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74BC0A">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否</w:t>
            </w:r>
          </w:p>
        </w:tc>
      </w:tr>
      <w:tr w14:paraId="2539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3DB91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00C837">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highlight w:val="none"/>
                <w:u w:val="single"/>
              </w:rPr>
              <w:t>否</w:t>
            </w:r>
          </w:p>
        </w:tc>
      </w:tr>
      <w:tr w14:paraId="5195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09D50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894F47">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响应文件份数：上传加密电子响应文件一份，准备备份加密电子响应文件一份</w:t>
            </w:r>
            <w:r>
              <w:rPr>
                <w:rFonts w:hint="eastAsia" w:ascii="仿宋" w:hAnsi="仿宋" w:eastAsia="仿宋" w:cs="仿宋"/>
                <w:color w:val="auto"/>
                <w:sz w:val="24"/>
                <w:highlight w:val="none"/>
              </w:rPr>
              <w:t>。</w:t>
            </w:r>
          </w:p>
          <w:p w14:paraId="78108962">
            <w:pPr>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em w:val="dot"/>
              </w:rPr>
              <w:t>鉴于本次采购为电子交易，本征集文件中要求供应商提供的证明材料原件、复印件等均只需提供相应扫描件或图片，不作纸质资料核验，如有前后不一致，以此为准。</w:t>
            </w:r>
          </w:p>
        </w:tc>
      </w:tr>
      <w:tr w14:paraId="36B8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5AFFB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9FCABBF">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无。</w:t>
            </w:r>
          </w:p>
          <w:p w14:paraId="67B168A0">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4DF6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2F0B6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A798129">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p>
        </w:tc>
      </w:tr>
      <w:tr w14:paraId="29F7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0849A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F750F9">
            <w:pPr>
              <w:snapToGrid w:val="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本项目采购标的（服务部分）所属行业：</w:t>
            </w:r>
          </w:p>
          <w:tbl>
            <w:tblPr>
              <w:tblStyle w:val="32"/>
              <w:tblpPr w:leftFromText="180" w:rightFromText="180" w:vertAnchor="text" w:horzAnchor="page" w:tblpX="58" w:tblpY="177"/>
              <w:tblOverlap w:val="never"/>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9"/>
              <w:gridCol w:w="2800"/>
            </w:tblGrid>
            <w:tr w14:paraId="1C0E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299" w:type="dxa"/>
                  <w:vAlign w:val="center"/>
                </w:tcPr>
                <w:p w14:paraId="110596F3">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采购标的名称</w:t>
                  </w:r>
                </w:p>
              </w:tc>
              <w:tc>
                <w:tcPr>
                  <w:tcW w:w="2800" w:type="dxa"/>
                  <w:vAlign w:val="center"/>
                </w:tcPr>
                <w:p w14:paraId="33306D50">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所属行业</w:t>
                  </w:r>
                </w:p>
              </w:tc>
            </w:tr>
            <w:tr w14:paraId="754F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299" w:type="dxa"/>
                  <w:vAlign w:val="center"/>
                </w:tcPr>
                <w:p w14:paraId="6BE8E09A">
                  <w:pPr>
                    <w:snapToGrid w:val="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标项一：</w:t>
                  </w:r>
                  <w:r>
                    <w:rPr>
                      <w:rFonts w:hint="eastAsia" w:ascii="仿宋" w:hAnsi="仿宋" w:eastAsia="仿宋" w:cs="仿宋"/>
                      <w:b/>
                      <w:bCs/>
                      <w:color w:val="auto"/>
                      <w:sz w:val="24"/>
                      <w:highlight w:val="none"/>
                      <w:lang w:eastAsia="zh-CN"/>
                    </w:rPr>
                    <w:t>2025年度消防技术服务框架协议（封闭式）采购项目</w:t>
                  </w:r>
                </w:p>
              </w:tc>
              <w:tc>
                <w:tcPr>
                  <w:tcW w:w="2800" w:type="dxa"/>
                  <w:vAlign w:val="center"/>
                </w:tcPr>
                <w:p w14:paraId="553FBC6D">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其他未列明行业</w:t>
                  </w:r>
                </w:p>
              </w:tc>
            </w:tr>
          </w:tbl>
          <w:p w14:paraId="7F3689D4">
            <w:pPr>
              <w:snapToGrid w:val="0"/>
              <w:jc w:val="left"/>
              <w:rPr>
                <w:rFonts w:hint="eastAsia" w:ascii="仿宋" w:hAnsi="仿宋" w:eastAsia="仿宋" w:cs="仿宋"/>
                <w:b/>
                <w:bCs/>
                <w:color w:val="auto"/>
                <w:sz w:val="24"/>
                <w:highlight w:val="none"/>
              </w:rPr>
            </w:pPr>
          </w:p>
        </w:tc>
      </w:tr>
      <w:tr w14:paraId="4A20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C3BF6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7F9490">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0525A2F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入围供应商须向采购代理机构按如下标准和规定交纳代理服务费，并在投标报价中自行考虑(由入围单位按均摊)：</w:t>
            </w:r>
          </w:p>
          <w:p w14:paraId="72B9F933">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（1）以入围通知书中确定的中标金额作为服务费的计算基数，成交金额100万元以下的部分,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类采购费率1.50%;成交金额100万元至500万元的部分,</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类采购费率</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%，不足5000元按5000元计取。</w:t>
            </w:r>
          </w:p>
          <w:p w14:paraId="7FB9A330">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14:paraId="3684D981">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7123422C">
            <w:pPr>
              <w:tabs>
                <w:tab w:val="left" w:pos="6056"/>
              </w:tabs>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公司名称：浙江翔实建设项目管理有限公司</w:t>
            </w:r>
            <w:r>
              <w:rPr>
                <w:rFonts w:hint="eastAsia" w:ascii="仿宋" w:hAnsi="仿宋" w:eastAsia="仿宋" w:cs="仿宋"/>
                <w:color w:val="auto"/>
                <w:sz w:val="24"/>
                <w:highlight w:val="none"/>
              </w:rPr>
              <w:tab/>
            </w:r>
          </w:p>
          <w:p w14:paraId="5A45E7C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开户行：建行绍兴越城支行 </w:t>
            </w:r>
          </w:p>
          <w:p w14:paraId="39DF52C5">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号：33001653549053003519</w:t>
            </w:r>
          </w:p>
          <w:p w14:paraId="58139E42">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（3）交纳时间：领取入围通知书</w:t>
            </w:r>
            <w:r>
              <w:rPr>
                <w:rFonts w:hint="eastAsia" w:ascii="仿宋" w:hAnsi="仿宋" w:eastAsia="仿宋" w:cs="仿宋"/>
                <w:color w:val="auto"/>
                <w:sz w:val="24"/>
                <w:highlight w:val="none"/>
                <w:lang w:val="en-US" w:eastAsia="zh-CN"/>
              </w:rPr>
              <w:t>后十五个工作日内</w:t>
            </w:r>
            <w:r>
              <w:rPr>
                <w:rFonts w:hint="eastAsia" w:ascii="仿宋" w:hAnsi="仿宋" w:eastAsia="仿宋" w:cs="仿宋"/>
                <w:color w:val="auto"/>
                <w:sz w:val="24"/>
                <w:highlight w:val="none"/>
              </w:rPr>
              <w:t>交纳。</w:t>
            </w:r>
          </w:p>
        </w:tc>
      </w:tr>
    </w:tbl>
    <w:p w14:paraId="50561C2F">
      <w:pPr>
        <w:ind w:left="238"/>
        <w:jc w:val="center"/>
        <w:rPr>
          <w:rFonts w:hint="eastAsia" w:ascii="仿宋" w:hAnsi="仿宋" w:eastAsia="仿宋" w:cs="仿宋"/>
          <w:color w:val="auto"/>
          <w:sz w:val="24"/>
          <w:highlight w:val="none"/>
        </w:rPr>
      </w:pPr>
    </w:p>
    <w:p w14:paraId="26607D14">
      <w:pPr>
        <w:ind w:left="238"/>
        <w:jc w:val="center"/>
        <w:rPr>
          <w:rFonts w:hint="eastAsia" w:ascii="仿宋" w:hAnsi="仿宋" w:eastAsia="仿宋" w:cs="仿宋"/>
          <w:color w:val="auto"/>
          <w:sz w:val="24"/>
          <w:highlight w:val="none"/>
        </w:rPr>
      </w:pPr>
    </w:p>
    <w:p w14:paraId="34E71949">
      <w:pPr>
        <w:ind w:left="238"/>
        <w:jc w:val="center"/>
        <w:rPr>
          <w:rFonts w:hint="eastAsia" w:ascii="仿宋" w:hAnsi="仿宋" w:eastAsia="仿宋" w:cs="仿宋"/>
          <w:color w:val="auto"/>
          <w:sz w:val="24"/>
          <w:highlight w:val="none"/>
        </w:rPr>
      </w:pPr>
    </w:p>
    <w:p w14:paraId="4D962B1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539DE21">
      <w:pPr>
        <w:pStyle w:val="3"/>
        <w:rPr>
          <w:rFonts w:hint="eastAsia" w:ascii="仿宋" w:hAnsi="仿宋" w:eastAsia="仿宋" w:cs="仿宋"/>
          <w:color w:val="auto"/>
          <w:highlight w:val="none"/>
        </w:rPr>
      </w:pPr>
      <w:bookmarkStart w:id="18" w:name="_Toc18895"/>
      <w:bookmarkStart w:id="19" w:name="_Toc26915"/>
      <w:r>
        <w:rPr>
          <w:rFonts w:hint="eastAsia" w:ascii="仿宋" w:hAnsi="仿宋" w:eastAsia="仿宋" w:cs="仿宋"/>
          <w:color w:val="auto"/>
          <w:highlight w:val="none"/>
        </w:rPr>
        <w:t>二、征集文件</w:t>
      </w:r>
      <w:bookmarkEnd w:id="18"/>
      <w:bookmarkEnd w:id="19"/>
    </w:p>
    <w:p w14:paraId="208E3AA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征集文件效力</w:t>
      </w:r>
    </w:p>
    <w:p w14:paraId="3F08D24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本征集文件适用于本次所述项目的征集、投标、评标、定标、验收、合同签订及履约、付款等全过程（法律法规另有规定的从其规定）。</w:t>
      </w:r>
    </w:p>
    <w:p w14:paraId="7E991A67">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供应商对本征集文件如有异议，均应在法定时间内提出质疑或投诉，否则即被视为认可征集文件的全部内容。</w:t>
      </w:r>
    </w:p>
    <w:p w14:paraId="6AE9ED9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5A30510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”：征集公告中载明的本项目的采购代理机构。</w:t>
      </w:r>
    </w:p>
    <w:p w14:paraId="6F9BEC4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征集人</w:t>
      </w:r>
      <w:r>
        <w:rPr>
          <w:rFonts w:hint="eastAsia" w:ascii="仿宋" w:hAnsi="仿宋" w:eastAsia="仿宋" w:cs="仿宋"/>
          <w:color w:val="auto"/>
          <w:sz w:val="24"/>
          <w:highlight w:val="none"/>
        </w:rPr>
        <w:t>”：系指征集公告中载明的本项目的征集人。</w:t>
      </w:r>
    </w:p>
    <w:p w14:paraId="122C7F1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”系指供方按征集文件规定，经合法途径取得的，须向征集人提供的一切产品、保险、税金、安装、施工、调试、备品备件、工具、手册及其他有关技术资料和材料。</w:t>
      </w:r>
    </w:p>
    <w:p w14:paraId="2B4D368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”系指征集文件规定供应商须承担的安装、调试、技术协助、校准、培训、技术指导以及其他类似的义务。</w:t>
      </w:r>
    </w:p>
    <w:p w14:paraId="0257969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”指已经按征集公告要求获取征集文件的响应供应商。“</w:t>
      </w:r>
      <w:r>
        <w:rPr>
          <w:rFonts w:hint="eastAsia" w:ascii="仿宋" w:hAnsi="仿宋" w:eastAsia="仿宋" w:cs="仿宋"/>
          <w:b/>
          <w:bCs/>
          <w:color w:val="auto"/>
          <w:sz w:val="24"/>
          <w:highlight w:val="none"/>
        </w:rPr>
        <w:t>潜在供应商</w:t>
      </w:r>
      <w:r>
        <w:rPr>
          <w:rFonts w:hint="eastAsia" w:ascii="仿宋" w:hAnsi="仿宋" w:eastAsia="仿宋" w:cs="仿宋"/>
          <w:color w:val="auto"/>
          <w:sz w:val="24"/>
          <w:highlight w:val="none"/>
        </w:rPr>
        <w:t>”指未按征集公告要求获取征集文件的供应商。</w:t>
      </w:r>
    </w:p>
    <w:p w14:paraId="15C57E3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供应商代表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25796FE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”：供应商必须响应的条款，未响应的作无效投标处理。在本征集文件中，实质性响应条款前标注“★”符号。</w:t>
      </w:r>
    </w:p>
    <w:p w14:paraId="572D5E2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供应商公章</w:t>
      </w:r>
      <w:r>
        <w:rPr>
          <w:rFonts w:hint="eastAsia" w:ascii="仿宋" w:hAnsi="仿宋" w:eastAsia="仿宋" w:cs="仿宋"/>
          <w:color w:val="auto"/>
          <w:sz w:val="24"/>
          <w:highlight w:val="none"/>
        </w:rPr>
        <w:t>”指供应商法定名称章（或其电子签章）。</w:t>
      </w:r>
    </w:p>
    <w:p w14:paraId="5556D04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响应有效期</w:t>
      </w:r>
      <w:r>
        <w:rPr>
          <w:rFonts w:hint="eastAsia" w:ascii="仿宋" w:hAnsi="仿宋" w:eastAsia="仿宋" w:cs="仿宋"/>
          <w:color w:val="auto"/>
          <w:sz w:val="24"/>
          <w:highlight w:val="none"/>
        </w:rPr>
        <w:t>”指征集文件中规定的一个适当时间，响应有效期内需完成开评标以及与入围供应商签订合同的事宜。</w:t>
      </w:r>
    </w:p>
    <w:p w14:paraId="3B2E561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6CAB10C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3.1采购国产</w:t>
      </w:r>
    </w:p>
    <w:p w14:paraId="47572847">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除征集文件明确允许采购进口产品外，集中采购目录内或分散采购限额标准以上的产品应当提供本国生产的产品，否则作无效投标处理。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7F9A529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25988476">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本项目依据《政府采购促进中小企业发展管理办法》（</w:t>
      </w:r>
      <w:r>
        <w:rPr>
          <w:rFonts w:hint="eastAsia" w:ascii="仿宋" w:hAnsi="仿宋" w:eastAsia="仿宋" w:cs="仿宋"/>
          <w:color w:val="auto"/>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color w:val="auto"/>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规定，投标供应商提供的服务部分（不含货物部分，详见前附表）全部为小微企业承接的，对投标报价给予10%的扣除，用扣除后的价格参加评审。</w:t>
      </w:r>
    </w:p>
    <w:p w14:paraId="277374C7">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1EB6E3E9">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14:paraId="28465462">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DF6BEB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征集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15CB35F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01E4AC9B">
      <w:pPr>
        <w:snapToGrid w:val="0"/>
        <w:spacing w:line="42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75551D6">
      <w:pPr>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30358A6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594C4C9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C9743E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4.征集文件的澄清与修改</w:t>
      </w:r>
    </w:p>
    <w:p w14:paraId="379ADC75">
      <w:pPr>
        <w:pStyle w:val="7"/>
        <w:widowControl w:val="0"/>
        <w:numPr>
          <w:ilvl w:val="0"/>
          <w:numId w:val="0"/>
        </w:numPr>
        <w:spacing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4.1征集人如对征集文件进行澄清、补充、变更的，或者在提交截止时间前规定时间内，</w:t>
      </w:r>
      <w:r>
        <w:rPr>
          <w:rFonts w:hint="eastAsia" w:ascii="仿宋" w:hAnsi="仿宋" w:eastAsia="仿宋" w:cs="仿宋"/>
          <w:bCs/>
          <w:color w:val="auto"/>
          <w:kern w:val="2"/>
          <w:szCs w:val="24"/>
          <w:highlight w:val="none"/>
        </w:rPr>
        <w:t>征集人</w:t>
      </w:r>
      <w:r>
        <w:rPr>
          <w:rFonts w:hint="eastAsia" w:ascii="仿宋" w:hAnsi="仿宋" w:eastAsia="仿宋" w:cs="仿宋"/>
          <w:color w:val="auto"/>
          <w:highlight w:val="none"/>
        </w:rPr>
        <w:t>需要对征集文件进行补充或修改的，征集人将会通过浙江省政府采购网（</w:t>
      </w:r>
      <w:r>
        <w:rPr>
          <w:rFonts w:hint="eastAsia" w:ascii="仿宋" w:hAnsi="仿宋" w:eastAsia="仿宋" w:cs="仿宋"/>
          <w:color w:val="auto"/>
          <w:spacing w:val="-4"/>
          <w:highlight w:val="none"/>
        </w:rPr>
        <w:t>http://zfcg.czt.zj.gov.cn/</w:t>
      </w:r>
      <w:r>
        <w:rPr>
          <w:rFonts w:hint="eastAsia" w:ascii="仿宋" w:hAnsi="仿宋" w:eastAsia="仿宋" w:cs="仿宋"/>
          <w:color w:val="auto"/>
          <w:highlight w:val="none"/>
        </w:rPr>
        <w:t>）和绍兴市越城区人民政府网站公共资源交易征集公告版块（http://www.sxyc.gov.cn）以更正公告的形式发布，公告中没有注明更改提交截止时间的视为截止时间不变。更正公告作为征集文件的补充和组成部分，对所有供应商均有约束力。供应商也可以登录政采云平台下载。</w:t>
      </w:r>
    </w:p>
    <w:p w14:paraId="310080F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4.2为使供应商有足够的时间按更正公告要求修改响应文件，</w:t>
      </w:r>
      <w:r>
        <w:rPr>
          <w:rFonts w:hint="eastAsia" w:ascii="仿宋" w:hAnsi="仿宋" w:eastAsia="仿宋" w:cs="仿宋"/>
          <w:bCs/>
          <w:color w:val="auto"/>
          <w:sz w:val="24"/>
          <w:szCs w:val="24"/>
          <w:highlight w:val="none"/>
        </w:rPr>
        <w:t>征集人</w:t>
      </w:r>
      <w:r>
        <w:rPr>
          <w:rFonts w:hint="eastAsia" w:ascii="仿宋" w:hAnsi="仿宋" w:eastAsia="仿宋" w:cs="仿宋"/>
          <w:color w:val="auto"/>
          <w:sz w:val="24"/>
          <w:highlight w:val="none"/>
        </w:rPr>
        <w:t>可酌情推迟提交截止时间和开标时间，并将此变更以更正公告的形式通过上述途径通知供应商。</w:t>
      </w:r>
    </w:p>
    <w:p w14:paraId="6AA7326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02E2B8F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征集文件如涉及各类品牌、型号，则所述品牌、型号是结合实际现有情况的推荐性参考方案，供应商也可根据征集文件的要求推荐性能相当或高于、服务条款相等或高于、符合征集人实际业务需求其他同档次优质品牌的产品，进行方案优化。</w:t>
      </w:r>
    </w:p>
    <w:p w14:paraId="68EDC1D7">
      <w:pPr>
        <w:pStyle w:val="3"/>
        <w:rPr>
          <w:rFonts w:hint="eastAsia" w:ascii="仿宋" w:hAnsi="仿宋" w:eastAsia="仿宋" w:cs="仿宋"/>
          <w:color w:val="auto"/>
          <w:highlight w:val="none"/>
        </w:rPr>
      </w:pPr>
      <w:bookmarkStart w:id="20" w:name="_Toc15396"/>
      <w:bookmarkStart w:id="21" w:name="_Toc2519"/>
      <w:r>
        <w:rPr>
          <w:rFonts w:hint="eastAsia" w:ascii="仿宋" w:hAnsi="仿宋" w:eastAsia="仿宋" w:cs="仿宋"/>
          <w:color w:val="auto"/>
          <w:highlight w:val="none"/>
        </w:rPr>
        <w:t>三、响应文件</w:t>
      </w:r>
      <w:bookmarkEnd w:id="20"/>
      <w:bookmarkEnd w:id="21"/>
    </w:p>
    <w:p w14:paraId="57F22984">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响应文件的语言及货币单位</w:t>
      </w:r>
    </w:p>
    <w:p w14:paraId="6747442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响应文件以及有关投标事宜的所有来往函电均应以中文书写，专业术语和外文证明材料除外。</w:t>
      </w:r>
    </w:p>
    <w:p w14:paraId="3A06641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1.2响应文件以人民币元报价或以下浮率（优惠率）报价，具体详见《开标一览表》。</w:t>
      </w:r>
    </w:p>
    <w:p w14:paraId="22D1ED2C">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响应文件的组成</w:t>
      </w: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格式详见第六章附件</w:t>
      </w:r>
      <w:r>
        <w:rPr>
          <w:rFonts w:hint="eastAsia" w:ascii="仿宋" w:hAnsi="仿宋" w:eastAsia="仿宋" w:cs="仿宋"/>
          <w:bCs/>
          <w:color w:val="auto"/>
          <w:sz w:val="24"/>
          <w:highlight w:val="none"/>
        </w:rPr>
        <w:t>）</w:t>
      </w:r>
    </w:p>
    <w:p w14:paraId="12E477D2">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本项目响应文件由“资格文件”、“商务和技术文件”、“报价文件”三部分组成：</w:t>
      </w:r>
    </w:p>
    <w:p w14:paraId="581A35B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46EA780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投标声明函；</w:t>
      </w:r>
    </w:p>
    <w:p w14:paraId="1405B92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14348D0B">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rPr>
        <w:t>分包意向协议（如有）；</w:t>
      </w:r>
    </w:p>
    <w:p w14:paraId="7FE510C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2.1.4法定代表人授权委托书（个体工商户需经营者参与投标，不得授权）</w:t>
      </w:r>
      <w:r>
        <w:rPr>
          <w:rFonts w:hint="eastAsia" w:ascii="仿宋" w:hAnsi="仿宋" w:eastAsia="仿宋" w:cs="仿宋"/>
          <w:bCs/>
          <w:color w:val="auto"/>
          <w:sz w:val="24"/>
          <w:highlight w:val="none"/>
        </w:rPr>
        <w:t>；</w:t>
      </w:r>
    </w:p>
    <w:p w14:paraId="256FF3B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2.1.5法定代表人及其授权代表的身份证；</w:t>
      </w:r>
    </w:p>
    <w:p w14:paraId="59325B5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 资格条件证明材料：</w:t>
      </w:r>
    </w:p>
    <w:p w14:paraId="34A15849">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2.1.6.1营业执照或事业单位法人登记证书或民办非企业单位登记证书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如为联合体投标的，提供联合体所有成员的</w:t>
      </w:r>
      <w:r>
        <w:rPr>
          <w:rFonts w:hint="eastAsia" w:ascii="仿宋" w:hAnsi="仿宋" w:eastAsia="仿宋" w:cs="仿宋"/>
          <w:color w:val="auto"/>
          <w:sz w:val="24"/>
          <w:highlight w:val="none"/>
        </w:rPr>
        <w:t>营业执照或事业单位法人登记证书或民办非企业单位登记证书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B911B4E">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2.1.6.2特定资格条件证明材料（如有）。</w:t>
      </w:r>
    </w:p>
    <w:p w14:paraId="5A7267C1">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注：“资格文件”需按征集文件的要求制作，2.1.5-2.1.</w:t>
      </w:r>
      <w:r>
        <w:rPr>
          <w:rFonts w:hint="eastAsia" w:ascii="仿宋" w:hAnsi="仿宋" w:eastAsia="仿宋" w:cs="仿宋"/>
          <w:b/>
          <w:bCs/>
          <w:color w:val="auto"/>
          <w:sz w:val="32"/>
          <w:szCs w:val="32"/>
          <w:highlight w:val="none"/>
          <w:u w:val="single"/>
          <w:lang w:val="en-US" w:eastAsia="zh-CN"/>
        </w:rPr>
        <w:t>6</w:t>
      </w:r>
      <w:r>
        <w:rPr>
          <w:rFonts w:hint="eastAsia" w:ascii="仿宋" w:hAnsi="仿宋" w:eastAsia="仿宋" w:cs="仿宋"/>
          <w:b/>
          <w:bCs/>
          <w:color w:val="auto"/>
          <w:sz w:val="32"/>
          <w:szCs w:val="32"/>
          <w:highlight w:val="none"/>
          <w:u w:val="single"/>
        </w:rPr>
        <w:t>均为原件扫描件或彩色图片，未按征集文件要求签字、盖CA章或内容有实质性偏离的，资格审查不通过。无需提供纸质资格审查资料。</w:t>
      </w:r>
    </w:p>
    <w:p w14:paraId="672D82B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414C839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55796E8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2.2.2技术响应表（供应商在技术响应表中，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响应有效期内对其响应文件进行了实质性修改，其</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将被追认为无效，征集机构将把这一情况报送采购监管部门。</w:t>
      </w:r>
      <w:r>
        <w:rPr>
          <w:rFonts w:hint="eastAsia" w:ascii="仿宋" w:hAnsi="仿宋" w:eastAsia="仿宋" w:cs="仿宋"/>
          <w:color w:val="auto"/>
          <w:sz w:val="24"/>
          <w:highlight w:val="none"/>
        </w:rPr>
        <w:t>）；</w:t>
      </w:r>
    </w:p>
    <w:p w14:paraId="7090B67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2.2.3商务响应表（需对征集文件中付款方式、服务期限等商务要求进行逐一答复、说明和解释，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1B3E8BD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2BA3DE7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7B257421">
      <w:pPr>
        <w:pStyle w:val="44"/>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2.2.6类似业绩一览表（附业绩证明材料）（如有）；</w:t>
      </w:r>
    </w:p>
    <w:p w14:paraId="12C32E2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2.2.7享受政府采购政策性规定情况表（如有）（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792E2C8F">
      <w:pPr>
        <w:snapToGrid w:val="0"/>
        <w:spacing w:line="440" w:lineRule="exact"/>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33E3FB1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2.2.10其他供应商认为需要提供的材料，如供应商简介等，格式自拟。</w:t>
      </w:r>
    </w:p>
    <w:p w14:paraId="48258AB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商务和技术文件”可在征集文件格式的基础上进行调整，以使内容更加完备。供应商自有的各类证书、业绩等证明材料均为原件彩色扫描件或图片（标项内另有规定的除外），加盖供应商CA签章。无需提供纸质证明材料核验。</w:t>
      </w:r>
    </w:p>
    <w:p w14:paraId="43E6785D">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2.3“报价文件”包括以下内容：</w:t>
      </w:r>
    </w:p>
    <w:p w14:paraId="1AA747A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2.3.1第一阶段响应报价表；</w:t>
      </w:r>
    </w:p>
    <w:p w14:paraId="349042A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2.3.2关于报价的其他说明（如有，格式自拟）。</w:t>
      </w:r>
    </w:p>
    <w:p w14:paraId="0F9C4175">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注：“第一阶段响应报价表”需按征集文件第六章附件的要求制作，未按征集文件要求签字、盖CA章或内容有实质性偏离的，作无效投标处理。</w:t>
      </w:r>
    </w:p>
    <w:p w14:paraId="09FBB1A4">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4637CE90">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响应文件的制作要求</w:t>
      </w:r>
    </w:p>
    <w:p w14:paraId="13175D8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3.1电子响应文件，按“供应商-政府采购项目电子交易操作指南”（https://help.zcygov.cn/web/site_2/2018/12-28/2573.html?utm=a0017.1b5152f3.cl12.1.6a74a560d9dd11e9943b71555d71591e）及本征集文件要求制作、加密并上传，</w:t>
      </w:r>
      <w:r>
        <w:rPr>
          <w:rFonts w:hint="eastAsia" w:ascii="仿宋" w:hAnsi="仿宋" w:eastAsia="仿宋" w:cs="仿宋"/>
          <w:b/>
          <w:bCs/>
          <w:color w:val="auto"/>
          <w:spacing w:val="-4"/>
          <w:sz w:val="24"/>
          <w:highlight w:val="none"/>
        </w:rPr>
        <w:t>未按“政采云”平台电子投标工具（政府采购电子交易客户端）制作将无法上传和解密</w:t>
      </w:r>
      <w:r>
        <w:rPr>
          <w:rFonts w:hint="eastAsia" w:ascii="仿宋" w:hAnsi="仿宋" w:eastAsia="仿宋" w:cs="仿宋"/>
          <w:b/>
          <w:color w:val="auto"/>
          <w:sz w:val="24"/>
          <w:highlight w:val="none"/>
        </w:rPr>
        <w:t>。</w:t>
      </w:r>
    </w:p>
    <w:p w14:paraId="57E0B7D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3.2响应文件须为PDF格式文档。</w:t>
      </w:r>
    </w:p>
    <w:p w14:paraId="1361679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3.3响应文件需做好“标书关联”（即设置关联点），未设置关联点而导致失分或作无效投标处理的风险由供应商承担。</w:t>
      </w:r>
    </w:p>
    <w:p w14:paraId="7A0137FA">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供应商需在上传加密电子响应文件的同时，准备备份加密电子响应文件，以便在上传的加密电子响应文件解密失败后启用备份加密响应文件。备份加密电子响应文件在解密失败后发送采购代理机构，由采购代理机构上传。</w:t>
      </w:r>
    </w:p>
    <w:p w14:paraId="0D6F0BF0">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5BFA0F23">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友情提醒：在生成加密电子标书过程中，花费时间较长，预计需要10-20分钟时间，请供应商耐心等待，不要关闭电子交易客户端。</w:t>
      </w:r>
    </w:p>
    <w:p w14:paraId="669749F9">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响应文件的补充和修改</w:t>
      </w:r>
    </w:p>
    <w:p w14:paraId="208D14EC">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截止时间前，供应商可以通过替换加密电子响应文件的形式以对响应文件进行补充和修改，补充和修改将以提交截止时间后的最终加密电子响应文件为准，提交截止时间前未完成上传的，视为响应文件撤回。不接受其他途径的补充和修改。</w:t>
      </w:r>
    </w:p>
    <w:p w14:paraId="07C7BCBF">
      <w:pPr>
        <w:pStyle w:val="7"/>
        <w:numPr>
          <w:ilvl w:val="0"/>
          <w:numId w:val="0"/>
        </w:numPr>
        <w:spacing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5.响应文件的有效期</w:t>
      </w:r>
    </w:p>
    <w:p w14:paraId="5EED30C1">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响应文件有效期详见前附表。响应有效期内，供应商不得撤销或更换响应文件。</w:t>
      </w:r>
    </w:p>
    <w:p w14:paraId="151936D9">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5.2响应有效期内未完成开评标及与入围供应商签订合同的，征集人需与供应商书面协商延长投标书的有效期。</w:t>
      </w:r>
    </w:p>
    <w:p w14:paraId="49652235">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5.3供应商可拒绝接受延期要求。同意延长有效期的供应商不能修改响应文件。</w:t>
      </w:r>
    </w:p>
    <w:p w14:paraId="733880AB">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5.4响应文件不予退还。</w:t>
      </w:r>
    </w:p>
    <w:p w14:paraId="461CF1EE">
      <w:pPr>
        <w:pStyle w:val="7"/>
        <w:numPr>
          <w:ilvl w:val="0"/>
          <w:numId w:val="0"/>
        </w:numPr>
        <w:spacing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6.响应文件的保密</w:t>
      </w:r>
    </w:p>
    <w:p w14:paraId="1EE2B4F1">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6.1备份电子响应文件在解密前处于保密状态。</w:t>
      </w:r>
    </w:p>
    <w:p w14:paraId="3CA9DF35">
      <w:pPr>
        <w:pStyle w:val="7"/>
        <w:numPr>
          <w:ilvl w:val="0"/>
          <w:numId w:val="0"/>
        </w:numPr>
        <w:spacing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6.2解密成功后，“资格文件”、“商务和技术文件”、“报价文件”各自处于数据隔离状态，各部分信息只有在相关环节评审时可见，不受解密影响。</w:t>
      </w:r>
    </w:p>
    <w:p w14:paraId="0847B348">
      <w:pPr>
        <w:pStyle w:val="3"/>
        <w:rPr>
          <w:rFonts w:hint="eastAsia" w:ascii="仿宋" w:hAnsi="仿宋" w:eastAsia="仿宋" w:cs="仿宋"/>
          <w:color w:val="auto"/>
          <w:highlight w:val="none"/>
        </w:rPr>
      </w:pPr>
      <w:bookmarkStart w:id="22" w:name="_Toc29398"/>
      <w:bookmarkStart w:id="23" w:name="_Toc29928"/>
      <w:r>
        <w:rPr>
          <w:rFonts w:hint="eastAsia" w:ascii="仿宋" w:hAnsi="仿宋" w:eastAsia="仿宋" w:cs="仿宋"/>
          <w:color w:val="auto"/>
          <w:highlight w:val="none"/>
        </w:rPr>
        <w:t>四、开标评标</w:t>
      </w:r>
      <w:bookmarkEnd w:id="22"/>
      <w:bookmarkEnd w:id="23"/>
    </w:p>
    <w:p w14:paraId="724D2F58">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36DC109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xml:space="preserve"> 供应商法定代表人或其授权代表或个体工商户经营者需准时通过“政采云平台”在线参加开标，否则将导致响应文件无法按时解密、无法在线询标等。</w:t>
      </w:r>
    </w:p>
    <w:p w14:paraId="633298C7">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1.2供应商自主选择是否出席现场开标会议，但除电子交易技术指导外，现场不接受任何与投标有关的资料。</w:t>
      </w:r>
    </w:p>
    <w:p w14:paraId="783907D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77F6A74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开标大会由采购代理机构主持：</w:t>
      </w:r>
    </w:p>
    <w:p w14:paraId="3DEA35A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w:t>
      </w:r>
    </w:p>
    <w:p w14:paraId="57EEA1E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2.2宣读完成加密电子响应文件上传的供应商名单。</w:t>
      </w:r>
    </w:p>
    <w:p w14:paraId="4A21B5D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2.3组织各供应商法定代表人或其授权代表签署《政府采购活动现场确认声明书》（视情）。</w:t>
      </w:r>
    </w:p>
    <w:p w14:paraId="1C68B01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政采云平台和上传电子响应文件时登记的手机号发出解密指令，供应商对加密电子响应文件进行在线解密。在系统规定时间内解密电子响应文件，解密成功的，备份加密电子响应文件自动失效。若在规定时间内无法解密或解密失败，上传备份电子加密响应文件并解密。</w:t>
      </w:r>
    </w:p>
    <w:p w14:paraId="3A2770E0">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制作电子响应文件和解密响应文件的需为同一把CA。解密时间截止后仍未解密成功的，视为撤回响应文件，放弃投标。</w:t>
      </w:r>
    </w:p>
    <w:p w14:paraId="793022F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2.5征集人或采购代理机构对“资格文件”进行审查，发布资格审查结果。</w:t>
      </w:r>
    </w:p>
    <w:p w14:paraId="1246338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249843B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注：评审期间的询标、澄清都将在政采云平台上进行。</w:t>
      </w:r>
    </w:p>
    <w:p w14:paraId="2C29BA3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2.7评审委员会对报价文件进行审查。</w:t>
      </w:r>
    </w:p>
    <w:p w14:paraId="31D280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2.8汇总技术商务分，根据总得分排序确定入围候选人，公布评审结果。</w:t>
      </w:r>
    </w:p>
    <w:p w14:paraId="07F38AE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3.信用信息查询</w:t>
      </w:r>
    </w:p>
    <w:p w14:paraId="4DB8AC85">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信用信息查询渠道及截止时间：采购代理机构或征集人将在资格审查时通过“信用中国”网站(www.creditchina.gov.cn)、中国政府采购网(www.ccgp.gov.cn)渠道查询响应供应商接受资格审查时的信用记录。</w:t>
      </w:r>
    </w:p>
    <w:p w14:paraId="1CA9CCC1">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3.1信用信息查询记录和证据留存的具体方式：现场查询的响应供应商的信用记录、查询结果经确认后将与采购文件一起存档。</w:t>
      </w:r>
    </w:p>
    <w:p w14:paraId="20DDD3A8">
      <w:pPr>
        <w:pStyle w:val="48"/>
        <w:adjustRightInd w:val="0"/>
        <w:spacing w:before="0" w:line="420" w:lineRule="exact"/>
        <w:ind w:firstLine="495"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3.2信用信息的使用规则：经查询列入失信被执行人名单、重大税收违法案件当事人名单、政府采购严重违法失信行为记录名单的响应供应商将被拒绝参与政府采购活动。</w:t>
      </w:r>
    </w:p>
    <w:p w14:paraId="008A38B1">
      <w:pPr>
        <w:pStyle w:val="48"/>
        <w:adjustRightInd w:val="0"/>
        <w:spacing w:before="0" w:line="420" w:lineRule="exact"/>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19B897">
      <w:pPr>
        <w:numPr>
          <w:ilvl w:val="0"/>
          <w:numId w:val="4"/>
        </w:num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评审委员会的组成</w:t>
      </w:r>
    </w:p>
    <w:p w14:paraId="3DDFDD0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4.1评审委员会由采购单位依法组建，负责评标活动及协助处理质疑投诉。参与本项目进口论证的专家不得作为采购评审专家参与同一项目的采购评审工作。</w:t>
      </w:r>
    </w:p>
    <w:p w14:paraId="269AC3B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4.2评审委员会由征集人代表和有关方面的专家组成，成员人数为五人及以上单数。预算金额在1000万及以上的，成员人数为七人及以上单数。</w:t>
      </w:r>
    </w:p>
    <w:p w14:paraId="1134553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4.3征集人代表不担任评审组长。</w:t>
      </w:r>
    </w:p>
    <w:p w14:paraId="62D1458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4.4经采购监督部门同意，由于专家库无相应专业专家或技术复杂等原因允许征集人自行组建或推荐抽取评审专家，相关操作规则需符合法律规定。</w:t>
      </w:r>
    </w:p>
    <w:p w14:paraId="5E51BFB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5.评审</w:t>
      </w:r>
    </w:p>
    <w:p w14:paraId="0935DA5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5.1评审程序：</w:t>
      </w:r>
    </w:p>
    <w:p w14:paraId="3429AFD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资格审查：征集人或采购代理机构依据法律、法规和征集文件规定，对响应文件中“资格文件”等进行审查，以确定供应商是否具备投标资格。</w:t>
      </w:r>
    </w:p>
    <w:p w14:paraId="23078F95">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5.1.2“商务和技术文件”的符合性审查：评定每份响应文件是否在实质上响应了征集文件要求，审查范围包括实质性响应条款、征集文件规定的无效投标条款、违反法律法规的行为以及评审委员会认为的对征集文件构成重大偏差的内容。</w:t>
      </w:r>
    </w:p>
    <w:p w14:paraId="75F84335">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5.1.3商务技术评分：对“商务和技术文件”中的响应情况进行评分。</w:t>
      </w:r>
    </w:p>
    <w:p w14:paraId="71B415FE">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5.1.4“报价文件”的符合性审查：审查范围包括报价有效性、准确性等。</w:t>
      </w:r>
    </w:p>
    <w:p w14:paraId="0020104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5.2评审委员会不负责解释供应商的得分高低和失分情况。</w:t>
      </w:r>
    </w:p>
    <w:p w14:paraId="7D7DDA4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5.3评审委员会不得依据响应文件（包括样品、演示）以外的资料评分。</w:t>
      </w:r>
    </w:p>
    <w:p w14:paraId="6DA15D2B">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5.4对于响应文件中含义不明确、同类问题表述不一致或者有明显文字和计算错误的内容，评审委员会将在政采云平台中要求供应商作出必要的澄清、说明或者补正。供应商的澄清、说明或者补正应当在政采云平台中完成。供应商的澄清、说明或者补正不得超出响应文件的范围或者改变响应文件的实质性内容。</w:t>
      </w:r>
      <w:r>
        <w:rPr>
          <w:rFonts w:hint="eastAsia" w:ascii="仿宋" w:hAnsi="仿宋" w:eastAsia="仿宋" w:cs="仿宋"/>
          <w:b/>
          <w:bCs/>
          <w:color w:val="auto"/>
          <w:sz w:val="24"/>
          <w:highlight w:val="none"/>
        </w:rPr>
        <w:t>不接受供应商提出的主动澄清。</w:t>
      </w:r>
    </w:p>
    <w:p w14:paraId="17A29D0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5.5评审委员会不向落标方解释落标的原因，不退还响应文件。</w:t>
      </w:r>
    </w:p>
    <w:p w14:paraId="59F697ED">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highlight w:val="none"/>
        </w:rPr>
        <w:t>6</w:t>
      </w:r>
      <w:r>
        <w:rPr>
          <w:rFonts w:hint="eastAsia" w:ascii="仿宋" w:hAnsi="仿宋" w:eastAsia="仿宋" w:cs="仿宋"/>
          <w:b/>
          <w:color w:val="auto"/>
          <w:sz w:val="24"/>
          <w:szCs w:val="24"/>
          <w:highlight w:val="none"/>
        </w:rPr>
        <w:t>．无效投标的情形</w:t>
      </w:r>
    </w:p>
    <w:p w14:paraId="737539C5">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响应文件有下列情形之一的作无效投标处理：</w:t>
      </w:r>
    </w:p>
    <w:p w14:paraId="466CAFC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6.1单位负责人为同一人或者存在直接控股、管理关系的不同供应商参加同一框架协议下（标项）下的政府采购活动的（双方均作无效投标处理）；</w:t>
      </w:r>
    </w:p>
    <w:p w14:paraId="1021F9B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479E1B9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6.3供应商不具备征集文件中规定的资格要求的（供应商未按征集文件要求提供资格文件的，视为供应商不具备征集文件中规定的资格要求）；</w:t>
      </w:r>
    </w:p>
    <w:p w14:paraId="37B3CEFA">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olor w:val="auto"/>
          <w:kern w:val="0"/>
          <w:sz w:val="24"/>
          <w:szCs w:val="24"/>
          <w:highlight w:val="none"/>
        </w:rPr>
        <w:t>《中小企业声明函》、《残疾人福利性单位声明函》提供不实信息的</w:t>
      </w:r>
      <w:r>
        <w:rPr>
          <w:rFonts w:hint="eastAsia" w:ascii="仿宋" w:hAnsi="仿宋" w:eastAsia="仿宋" w:cs="仿宋"/>
          <w:b/>
          <w:color w:val="auto"/>
          <w:kern w:val="0"/>
          <w:sz w:val="24"/>
          <w:highlight w:val="none"/>
        </w:rPr>
        <w:t>；</w:t>
      </w:r>
    </w:p>
    <w:p w14:paraId="1E6EED52">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6.5响应文件制作出现如下情况：</w:t>
      </w:r>
    </w:p>
    <w:p w14:paraId="4D5C3C37">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6.5.1未按征集文件要求制作“资格文件”的；</w:t>
      </w:r>
    </w:p>
    <w:p w14:paraId="42B1379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6667D50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6.5.3“资格文件”或“商务和技术文件”部分中出现用于价格分评审的投标报价的（征集文件另有规定的参与“商务和技术文件”评审的报价除外）；</w:t>
      </w:r>
    </w:p>
    <w:p w14:paraId="5F4E473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6.5.4对征集服务或技术或产品等要求未详细应答或应答内容不全、有缺失的,经评审委员会认定为无法评审的；</w:t>
      </w:r>
    </w:p>
    <w:p w14:paraId="612778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3A7F0047">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6.5.6未按征集文件规定要求签署盖章的。</w:t>
      </w:r>
    </w:p>
    <w:p w14:paraId="6E686FE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6.5.7在第一阶段响应报价表中有2个（含）以上的报价或方案的。</w:t>
      </w:r>
    </w:p>
    <w:p w14:paraId="07ABB2C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供应商递交的响应文件与项目不符或内容严重不全的；</w:t>
      </w:r>
    </w:p>
    <w:p w14:paraId="0C577445">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7FCF7A3B">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响应文件含有征集人不能接受的附加条件</w:t>
      </w:r>
      <w:r>
        <w:rPr>
          <w:rFonts w:hint="eastAsia" w:ascii="仿宋" w:hAnsi="仿宋" w:eastAsia="仿宋" w:cs="仿宋"/>
          <w:color w:val="auto"/>
          <w:sz w:val="24"/>
          <w:highlight w:val="none"/>
        </w:rPr>
        <w:t>；</w:t>
      </w:r>
    </w:p>
    <w:p w14:paraId="4260455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6.9报价超过征集文件中规定的预算金额或最高限价（包括单价限价等征集文件规定的各类限价）的；</w:t>
      </w:r>
    </w:p>
    <w:p w14:paraId="706BD9D4">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6.10征集人拟采购的产品属于政府强制采购的节能产品品目清单范围的，供应商未按征集文件要求提供国家确定的认证机构出具的、处于有效期之内的节能产品认证证书的；</w:t>
      </w:r>
    </w:p>
    <w:p w14:paraId="3FC1FE9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6.11</w:t>
      </w:r>
      <w:r>
        <w:rPr>
          <w:rFonts w:hint="eastAsia" w:ascii="仿宋" w:hAnsi="仿宋" w:eastAsia="仿宋" w:cs="仿宋"/>
          <w:color w:val="auto"/>
          <w:sz w:val="24"/>
          <w:highlight w:val="none"/>
        </w:rPr>
        <w:t>评审委员会认定有重大偏差或实质性不响应征集文件要求的；</w:t>
      </w:r>
    </w:p>
    <w:p w14:paraId="18C31D4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6.12供应商对根据修正原则修正后的报价不确认的；</w:t>
      </w:r>
    </w:p>
    <w:p w14:paraId="223D3ED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6.13供应商提供虚假材料投标的（包括但不限于以下情节）：</w:t>
      </w:r>
    </w:p>
    <w:p w14:paraId="550425A9">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6.13.1使用伪造、变造的许可证件、资质证书；</w:t>
      </w:r>
    </w:p>
    <w:p w14:paraId="3035DFB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6.13.2提供虚假的财务状况或者业绩；</w:t>
      </w:r>
    </w:p>
    <w:p w14:paraId="7C4626C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6.13.3提供虚假的项目负责人或者主要项目实施人员简历、劳动关系证明；</w:t>
      </w:r>
    </w:p>
    <w:p w14:paraId="745440C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6.13.4提供虚假的信用状况；</w:t>
      </w:r>
    </w:p>
    <w:p w14:paraId="616748B1">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6.13.5其他弄虚作假的行为。</w:t>
      </w:r>
    </w:p>
    <w:p w14:paraId="32512A3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6.14供应商串通投标的。</w:t>
      </w:r>
    </w:p>
    <w:p w14:paraId="3E6EDDF5">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有下列情形之一的，视为供应商串通投标，其投标无效：</w:t>
      </w:r>
    </w:p>
    <w:p w14:paraId="457106C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6.14.1不同供应商的响应文件由同一单位或者个人编制；</w:t>
      </w:r>
    </w:p>
    <w:p w14:paraId="74FD2BE7">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6.14.2不同供应商委托同一单位或者个人办理投标事宜；</w:t>
      </w:r>
    </w:p>
    <w:p w14:paraId="04A162EC">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6.14.3不同供应商的响应文件载明的项目管理成员或者联系人员为同一人；</w:t>
      </w:r>
    </w:p>
    <w:p w14:paraId="130A36A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6.14.4不同供应商的响应文件异常一致或者投标报价呈规律性差异；</w:t>
      </w:r>
    </w:p>
    <w:p w14:paraId="2A2ACC81">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6.14.5不同供应商的响应文件相互混装；</w:t>
      </w:r>
    </w:p>
    <w:p w14:paraId="10D3747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6.14.6法律规定的其他串通投标情形。</w:t>
      </w:r>
    </w:p>
    <w:p w14:paraId="42DDF3E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6.15属于《中华人民共和国政府采购法实施条例》第七十四条规定的恶意串通情形的，其投标无效；</w:t>
      </w:r>
    </w:p>
    <w:p w14:paraId="403C7E7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6.16联合体投标的，联合体各方在同一征集项目中以自己名义单独投标或者参加其他联合体投标的，相关投标均无效；</w:t>
      </w:r>
    </w:p>
    <w:p w14:paraId="4FA1647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6.17供应商违反政府采购强制执行的政策性规定的；</w:t>
      </w:r>
    </w:p>
    <w:p w14:paraId="7D61808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6.20违反法律、法规及本征集文件规定的其他无效情形。</w:t>
      </w:r>
    </w:p>
    <w:p w14:paraId="7A78BCF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7.确定入围供应商</w:t>
      </w:r>
    </w:p>
    <w:p w14:paraId="3641617F">
      <w:pPr>
        <w:pStyle w:val="48"/>
        <w:adjustRightInd w:val="0"/>
        <w:snapToGrid w:val="0"/>
        <w:spacing w:before="0" w:line="420" w:lineRule="exact"/>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7.1本项目对满足采购需求且响应报价不超过最高限制单价的服务进行综合评分，按照评审总得分从高到低排序。根据征集文件规定的淘汰率或者入围供应商数量上限，确定入围供应商。</w:t>
      </w:r>
      <w:r>
        <w:rPr>
          <w:rFonts w:hint="eastAsia" w:ascii="仿宋" w:hAnsi="仿宋" w:eastAsia="仿宋" w:cs="仿宋"/>
          <w:b/>
          <w:color w:val="auto"/>
          <w:szCs w:val="24"/>
          <w:highlight w:val="none"/>
        </w:rPr>
        <w:t>详见征集文件第五部分确定第一阶段入围供应商的评审方法。</w:t>
      </w:r>
    </w:p>
    <w:p w14:paraId="648CD131">
      <w:pPr>
        <w:pStyle w:val="48"/>
        <w:adjustRightInd w:val="0"/>
        <w:snapToGrid w:val="0"/>
        <w:spacing w:before="0" w:line="420" w:lineRule="exact"/>
        <w:ind w:firstLine="480"/>
        <w:jc w:val="left"/>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7.2政府采购项目实行全流程电子化，评审报告送交、采购结果确定和入围结果公告均在线完成。</w:t>
      </w:r>
    </w:p>
    <w:p w14:paraId="5B28535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color w:val="auto"/>
          <w:sz w:val="24"/>
          <w:szCs w:val="24"/>
          <w:highlight w:val="none"/>
        </w:rPr>
        <w:t>入围通知与入围结果公告</w:t>
      </w:r>
    </w:p>
    <w:p w14:paraId="62816BA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8.1自入围供应商确定之日起2个工作日内，征集人通过电子交易平台向入围供应商发出入围通知书，同时编制发布入围结果公告。</w:t>
      </w:r>
    </w:p>
    <w:p w14:paraId="10AAAB04">
      <w:pPr>
        <w:widowControl/>
        <w:shd w:val="clear" w:color="auto" w:fill="FFFFFF"/>
        <w:spacing w:line="360" w:lineRule="auto"/>
        <w:ind w:firstLine="480"/>
        <w:jc w:val="lef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8.2公告期限为1个工作日。</w:t>
      </w:r>
    </w:p>
    <w:p w14:paraId="684EB704">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36A54033">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采购过程中出现以下情形，导致电子交易平台无法正常运行，或者无法保证电子交易的公开、公平、公正和安全时，征集机构可经采购监督部门同意后中止电子交易活动：</w:t>
      </w:r>
    </w:p>
    <w:p w14:paraId="6E80D82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7E0B5D7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6565209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01AFB17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1A42600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20893539">
      <w:pPr>
        <w:widowControl/>
        <w:snapToGrid w:val="0"/>
        <w:spacing w:line="480" w:lineRule="exact"/>
        <w:ind w:firstLine="488"/>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2BF09841">
      <w:pPr>
        <w:widowControl/>
        <w:snapToGrid w:val="0"/>
        <w:spacing w:line="480" w:lineRule="exact"/>
        <w:ind w:firstLine="488"/>
        <w:rPr>
          <w:rFonts w:hint="eastAsia" w:ascii="仿宋" w:hAnsi="仿宋" w:eastAsia="仿宋" w:cs="仿宋"/>
          <w:color w:val="auto"/>
          <w:kern w:val="0"/>
          <w:sz w:val="24"/>
          <w:highlight w:val="none"/>
        </w:rPr>
      </w:pPr>
    </w:p>
    <w:p w14:paraId="35F44876">
      <w:pPr>
        <w:adjustRightInd w:val="0"/>
        <w:snapToGrid w:val="0"/>
        <w:spacing w:line="420" w:lineRule="exact"/>
        <w:jc w:val="center"/>
        <w:rPr>
          <w:rFonts w:hint="eastAsia" w:ascii="仿宋" w:hAnsi="仿宋" w:eastAsia="仿宋" w:cs="仿宋"/>
          <w:b/>
          <w:color w:val="auto"/>
          <w:sz w:val="32"/>
          <w:highlight w:val="none"/>
        </w:rPr>
      </w:pPr>
      <w:bookmarkStart w:id="24" w:name="_Toc2626"/>
      <w:r>
        <w:rPr>
          <w:rFonts w:hint="eastAsia" w:ascii="仿宋" w:hAnsi="仿宋" w:eastAsia="仿宋" w:cs="仿宋"/>
          <w:b/>
          <w:color w:val="auto"/>
          <w:sz w:val="32"/>
          <w:highlight w:val="none"/>
        </w:rPr>
        <w:t>五、框架协议、采购合同签订及履约</w:t>
      </w:r>
      <w:bookmarkEnd w:id="24"/>
    </w:p>
    <w:p w14:paraId="7DFCEAA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1.框架协议签订</w:t>
      </w:r>
    </w:p>
    <w:p w14:paraId="5521783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征集人和入围供应商应当在入围通知书发出之日起30日内（投诉处理等原因导致签订框架协议延误的除外），按照征集文件和入围供应商响应文件的规定，签订框架协议。所签订的框架协议不得对征集文件确定的事项和入围供应商响应文件作实质性修改。</w:t>
      </w:r>
    </w:p>
    <w:p w14:paraId="6B865EC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1.2征集人和入围供应商不得向对方提出任何不合理的要求作为签订框架协议的条件。</w:t>
      </w:r>
    </w:p>
    <w:p w14:paraId="61FDD30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1.3征集人和入围供应商需在响应有效期内签订框架协议。响应有效期允许延长，但需征得入围供应商同意。</w:t>
      </w:r>
    </w:p>
    <w:p w14:paraId="331FB979">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1.4封闭式框架协议入围供应商无正当理由，不得主动放弃入围资格或者退出框架协议。</w:t>
      </w:r>
    </w:p>
    <w:p w14:paraId="32036D66">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1.5框架协议主要条款详见第四章拟签订的框架协议文本。</w:t>
      </w:r>
    </w:p>
    <w:p w14:paraId="00359AA1">
      <w:pPr>
        <w:widowControl/>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2.采购合同的签订</w:t>
      </w:r>
    </w:p>
    <w:p w14:paraId="3B9481C3">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2.1确定第二阶段成交供应商的方式：由征集人依据入围产品价格、质量以及服务便利性、用户评价等因素，从第一阶段入围供应商中直接选定。</w:t>
      </w:r>
    </w:p>
    <w:p w14:paraId="4B5ECF7D">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2.2采购合同主要条款详见第四章拟签订的采购合同文本，征集人和供应商不得擅自改变框架协议约定的合同实质性条款。</w:t>
      </w:r>
    </w:p>
    <w:p w14:paraId="6B65EA51">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2.3 框架协议采购应当订立固定价格合同。根据实际采购数量和协议价格确定合同总价的，合同中应当列明实际采购数量或者计量方式，包括服务项目用于计算合同价的工日数、服务工作量等详细工作量清单。征集人应当要求供应商提供能证明其按照合同约定数量或者工作量清单履约的相关记录或者凭证，作为验收资料一并存档。 </w:t>
      </w:r>
    </w:p>
    <w:p w14:paraId="16A24451">
      <w:pPr>
        <w:widowControl/>
        <w:adjustRightInd w:val="0"/>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2.4征集人和供应商应当约定资金支付的方式、时间和条件，明确逾期支付资金的违约责任。</w:t>
      </w:r>
    </w:p>
    <w:p w14:paraId="5DAC5FE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2.5采购合同由征集人与成交供应商通过政府采购电子交易平台在线签订，自动备案。</w:t>
      </w:r>
    </w:p>
    <w:p w14:paraId="047B95BF">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6155665F">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2.1鼓励征集人免收履约保证金，政府采购货物和服务项目确需收取履约保证金的，最高比例不超过合同金额的1%，项目验收结束后应及时退还。</w:t>
      </w:r>
    </w:p>
    <w:p w14:paraId="6B3E8FB7">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2.2框架协议签订的同时，入围供应商应当以支票、汇票、本票或者金融机构、担保机构出具的保函等非现金形式交纳履约保证金。</w:t>
      </w:r>
    </w:p>
    <w:p w14:paraId="5706C368">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2.3供应商在履行完框架协议约定事项后，征集人应及时退还履约保证金及其利息，利率在框架协议中约定。征集人验收不合格的，不予退还履约保证金。</w:t>
      </w:r>
    </w:p>
    <w:p w14:paraId="021E52B4">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2.4供应商以银行、保险公司出具保函形式提交履约保证金的，征集人不得拒收。</w:t>
      </w:r>
    </w:p>
    <w:p w14:paraId="78B7B5CF">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3．框架协议备案</w:t>
      </w:r>
    </w:p>
    <w:p w14:paraId="6B241F8F">
      <w:pPr>
        <w:widowControl/>
        <w:shd w:val="clear" w:color="auto" w:fill="FFFFFF"/>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3.1框架协议自签订之日起七个工作日内，</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应当将协议副本报本级财政部门备案。</w:t>
      </w:r>
    </w:p>
    <w:p w14:paraId="7A4B537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0EDAF21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自行组织或委托采购代理机构对供应商进行履约验收，出具验收书，存档备查。如果发现与框架协议中要求不符，供应商须承担由此发生的一切损失和费用，并承担相应的法律责任。</w:t>
      </w:r>
    </w:p>
    <w:p w14:paraId="47C08D8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3EF937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可以邀请参加本项目的其他供应商或者第三方机构参与验收。参与验收的供应商或者第三方机构的意见作为验收书的参考资料一并存档。</w:t>
      </w:r>
    </w:p>
    <w:p w14:paraId="138F805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1182C7B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框架协议的履行、违约责任和解决争议的方式等适用《中华人民共和国民法典》。</w:t>
      </w:r>
    </w:p>
    <w:p w14:paraId="39A142E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w:t>
      </w:r>
      <w:r>
        <w:rPr>
          <w:rFonts w:hint="eastAsia" w:ascii="仿宋" w:hAnsi="仿宋" w:eastAsia="仿宋" w:cs="仿宋"/>
          <w:color w:val="auto"/>
          <w:kern w:val="0"/>
          <w:sz w:val="24"/>
          <w:highlight w:val="none"/>
        </w:rPr>
        <w:t>征集人</w:t>
      </w:r>
      <w:r>
        <w:rPr>
          <w:rFonts w:hint="eastAsia" w:ascii="仿宋" w:hAnsi="仿宋" w:eastAsia="仿宋" w:cs="仿宋"/>
          <w:color w:val="auto"/>
          <w:sz w:val="24"/>
          <w:highlight w:val="none"/>
        </w:rPr>
        <w:t>应当及时报告本级财政部门。</w:t>
      </w:r>
    </w:p>
    <w:p w14:paraId="5359598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478F422A">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将联合政府采购监管部门不定期对框架协议的履约情况进行检查，发现未按框架协议规定进行履约的，有弄虚作假，偷工减料，以次充好、服务不达标等情形，达不到国家、行业有关标准和征集文件规定或有违框架协议的，一经查实，由政府采购监督管理部门给予相应处罚。</w:t>
      </w:r>
    </w:p>
    <w:p w14:paraId="2DA27535">
      <w:pPr>
        <w:spacing w:line="440" w:lineRule="exact"/>
        <w:ind w:firstLine="480" w:firstLineChars="200"/>
        <w:jc w:val="left"/>
        <w:rPr>
          <w:rFonts w:hint="eastAsia" w:ascii="仿宋" w:hAnsi="仿宋" w:eastAsia="仿宋" w:cs="仿宋"/>
          <w:color w:val="auto"/>
          <w:sz w:val="24"/>
          <w:highlight w:val="none"/>
        </w:rPr>
      </w:pPr>
    </w:p>
    <w:p w14:paraId="2881C6B5">
      <w:pPr>
        <w:pStyle w:val="29"/>
        <w:spacing w:line="420" w:lineRule="exact"/>
        <w:ind w:firstLine="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br w:type="page"/>
      </w:r>
      <w:r>
        <w:rPr>
          <w:rFonts w:hint="eastAsia" w:ascii="仿宋" w:hAnsi="仿宋" w:eastAsia="仿宋" w:cs="仿宋"/>
          <w:b/>
          <w:color w:val="auto"/>
          <w:sz w:val="32"/>
          <w:highlight w:val="none"/>
          <w:lang w:val="en-US"/>
        </w:rPr>
        <w:t>六、协议期内管理</w:t>
      </w:r>
    </w:p>
    <w:p w14:paraId="7E771DB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1.入围供应商清退规则</w:t>
      </w:r>
    </w:p>
    <w:p w14:paraId="594C5E7F">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1.入围供应商有下列情形之一，尚未签订框架协议的，取消其入围资格；已经签订框架协议的，解除与其签订的框架协议： </w:t>
      </w:r>
    </w:p>
    <w:p w14:paraId="067E68E1">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恶意串通谋取入围或者合同成交的； </w:t>
      </w:r>
    </w:p>
    <w:p w14:paraId="71C23755">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1.2提供虚假材料谋取入围或者合同成交的；</w:t>
      </w:r>
    </w:p>
    <w:p w14:paraId="6AA1399C">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1.3无正当理由拒不接受合同授予的； </w:t>
      </w:r>
    </w:p>
    <w:p w14:paraId="49F0E4FE">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1.4不履行合同义务或者履行合同义务不符合约定，经征集人请求履行后仍不履行或者仍未按约定履行的； </w:t>
      </w:r>
    </w:p>
    <w:p w14:paraId="1F55AF00">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1.5框架协议有效期内，因违法行为被禁止或限制参加政府采购活动的；</w:t>
      </w:r>
    </w:p>
    <w:p w14:paraId="44528986">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1.6框架协议约定的其他情形。 </w:t>
      </w:r>
    </w:p>
    <w:p w14:paraId="1A6B264C">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2.入围供应商无正当理由拒不与征集人签订框架协议的，取消其入围资格。</w:t>
      </w:r>
    </w:p>
    <w:p w14:paraId="0B871B6E">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3.入围供应商如发生实质性变动（营业执照注销、不再符合本项目资格条件等）的，尚未签订框架协议的，取消其入围资格；已经签订框架协议的，解除与其签订的框架协议。</w:t>
      </w:r>
    </w:p>
    <w:p w14:paraId="2F6BF41B">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4.被取消入围资格或者被解除框架协议的供应商不得参加本封闭式框架协议补充征集。  </w:t>
      </w:r>
    </w:p>
    <w:p w14:paraId="64BA0AB1">
      <w:pPr>
        <w:pStyle w:val="12"/>
        <w:spacing w:line="420" w:lineRule="exact"/>
        <w:jc w:val="left"/>
        <w:rPr>
          <w:rFonts w:hint="eastAsia" w:ascii="仿宋" w:hAnsi="仿宋" w:eastAsia="仿宋" w:cs="仿宋"/>
          <w:b/>
          <w:snapToGrid/>
          <w:color w:val="auto"/>
          <w:szCs w:val="20"/>
          <w:highlight w:val="none"/>
          <w:lang w:val="en-US"/>
        </w:rPr>
      </w:pPr>
      <w:r>
        <w:rPr>
          <w:rFonts w:hint="eastAsia" w:ascii="仿宋" w:hAnsi="仿宋" w:eastAsia="仿宋" w:cs="仿宋"/>
          <w:b/>
          <w:snapToGrid/>
          <w:color w:val="auto"/>
          <w:szCs w:val="20"/>
          <w:highlight w:val="none"/>
          <w:lang w:val="en-US"/>
        </w:rPr>
        <w:t>2.入围供应商信息变更</w:t>
      </w:r>
    </w:p>
    <w:p w14:paraId="151830D7">
      <w:pPr>
        <w:autoSpaceDE w:val="0"/>
        <w:autoSpaceDN w:val="0"/>
        <w:adjustRightIn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 在协议期内，入围供应商如有信息变更（如变更法定代表人、主要负责人、联系人、联系电话、地址等），应及时在政采云系统中更新相关信息并通知征集人，按征集人要求提供相关资料备案。</w:t>
      </w:r>
    </w:p>
    <w:p w14:paraId="43FEDCFB">
      <w:pPr>
        <w:autoSpaceDE w:val="0"/>
        <w:autoSpaceDN w:val="0"/>
        <w:adjustRightIn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2.2在协议期内，入围供应商应遵守和履行本项目征集文件、框架协议的各项规定，遵守电子系统的操作规定和交易规则，积极配合征集人和采购监管部门的工作。</w:t>
      </w:r>
    </w:p>
    <w:p w14:paraId="6AAF095F">
      <w:pPr>
        <w:pStyle w:val="29"/>
        <w:spacing w:line="420" w:lineRule="exact"/>
        <w:ind w:firstLine="0"/>
        <w:jc w:val="left"/>
        <w:rPr>
          <w:rFonts w:hint="eastAsia" w:ascii="仿宋" w:hAnsi="仿宋" w:eastAsia="仿宋" w:cs="仿宋"/>
          <w:b/>
          <w:color w:val="auto"/>
          <w:highlight w:val="none"/>
          <w:lang w:val="en-US"/>
        </w:rPr>
      </w:pPr>
      <w:r>
        <w:rPr>
          <w:rFonts w:hint="eastAsia" w:ascii="仿宋" w:hAnsi="仿宋" w:eastAsia="仿宋" w:cs="仿宋"/>
          <w:b/>
          <w:color w:val="auto"/>
          <w:highlight w:val="none"/>
          <w:lang w:val="en-US"/>
        </w:rPr>
        <w:t>3.入围供应商补充规则</w:t>
      </w:r>
    </w:p>
    <w:p w14:paraId="7D0A72AB">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14:paraId="76346CA7">
      <w:pPr>
        <w:rPr>
          <w:rFonts w:hint="eastAsia" w:ascii="仿宋" w:hAnsi="仿宋" w:eastAsia="仿宋" w:cs="仿宋"/>
          <w:color w:val="auto"/>
          <w:highlight w:val="none"/>
        </w:rPr>
      </w:pPr>
    </w:p>
    <w:p w14:paraId="34496504">
      <w:pPr>
        <w:pStyle w:val="2"/>
        <w:rPr>
          <w:rFonts w:hint="eastAsia" w:ascii="仿宋" w:hAnsi="仿宋" w:eastAsia="仿宋" w:cs="仿宋"/>
          <w:color w:val="auto"/>
          <w:highlight w:val="none"/>
        </w:rPr>
      </w:pPr>
      <w:bookmarkStart w:id="25" w:name="_Toc9140"/>
      <w:bookmarkStart w:id="26" w:name="_Toc7093"/>
      <w:r>
        <w:rPr>
          <w:rFonts w:hint="eastAsia" w:ascii="仿宋" w:hAnsi="仿宋" w:eastAsia="仿宋" w:cs="仿宋"/>
          <w:color w:val="auto"/>
          <w:highlight w:val="none"/>
        </w:rPr>
        <w:t>第三章  采购需求</w:t>
      </w:r>
      <w:bookmarkEnd w:id="25"/>
      <w:bookmarkEnd w:id="26"/>
    </w:p>
    <w:p w14:paraId="4F9D8F9E">
      <w:pPr>
        <w:pStyle w:val="3"/>
        <w:rPr>
          <w:rFonts w:hint="eastAsia" w:ascii="仿宋" w:hAnsi="仿宋" w:eastAsia="仿宋" w:cs="仿宋"/>
          <w:color w:val="auto"/>
          <w:highlight w:val="none"/>
        </w:rPr>
      </w:pPr>
      <w:bookmarkStart w:id="27" w:name="_Toc16556"/>
      <w:bookmarkStart w:id="28" w:name="_Toc29549"/>
      <w:r>
        <w:rPr>
          <w:rFonts w:hint="eastAsia" w:ascii="仿宋" w:hAnsi="仿宋" w:eastAsia="仿宋" w:cs="仿宋"/>
          <w:color w:val="auto"/>
          <w:highlight w:val="none"/>
        </w:rPr>
        <w:t>一、服务清单及要求</w:t>
      </w:r>
      <w:bookmarkEnd w:id="27"/>
      <w:bookmarkEnd w:id="28"/>
    </w:p>
    <w:p w14:paraId="44F7219C">
      <w:pPr>
        <w:keepNext w:val="0"/>
        <w:keepLines w:val="0"/>
        <w:pageBreakBefore w:val="0"/>
        <w:wordWrap/>
        <w:overflowPunct/>
        <w:topLinePunct w:val="0"/>
        <w:bidi w:val="0"/>
        <w:adjustRightInd/>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05834143">
      <w:pPr>
        <w:keepNext w:val="0"/>
        <w:keepLines w:val="0"/>
        <w:pageBreakBefore w:val="0"/>
        <w:wordWrap/>
        <w:overflowPunct/>
        <w:topLinePunct w:val="0"/>
        <w:bidi w:val="0"/>
        <w:adjustRightInd/>
        <w:spacing w:line="440" w:lineRule="exact"/>
        <w:outlineLvl w:val="0"/>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kern w:val="0"/>
          <w:sz w:val="24"/>
          <w:szCs w:val="24"/>
          <w:highlight w:val="none"/>
        </w:rPr>
        <w:t>建设工程消防验收工作事关人民群众生命财产安全，与人民对美好生活的向往息息相关。为贯彻党中央、国务院机构改革决策部署，落实《建设工程消防设计审查验收管理暂行规定》(住房和城乡建设部令第58号)(以下简称《暂行规定》)，切实履行建设工程消防设计</w:t>
      </w:r>
      <w:r>
        <w:rPr>
          <w:rFonts w:hint="eastAsia" w:ascii="仿宋" w:hAnsi="仿宋" w:eastAsia="仿宋" w:cs="仿宋"/>
          <w:color w:val="auto"/>
          <w:kern w:val="0"/>
          <w:sz w:val="24"/>
          <w:szCs w:val="24"/>
          <w:highlight w:val="none"/>
          <w:lang w:eastAsia="zh-CN"/>
        </w:rPr>
        <w:t>审查</w:t>
      </w:r>
      <w:r>
        <w:rPr>
          <w:rFonts w:hint="eastAsia" w:ascii="仿宋" w:hAnsi="仿宋" w:eastAsia="仿宋" w:cs="仿宋"/>
          <w:color w:val="auto"/>
          <w:kern w:val="0"/>
          <w:sz w:val="24"/>
          <w:szCs w:val="24"/>
          <w:highlight w:val="none"/>
        </w:rPr>
        <w:t>验收工作细则中的有关消防验收职责和规定，做好建设工程消防验收工作。</w:t>
      </w:r>
    </w:p>
    <w:p w14:paraId="267D25F5">
      <w:pPr>
        <w:keepNext w:val="0"/>
        <w:keepLines w:val="0"/>
        <w:pageBreakBefore w:val="0"/>
        <w:wordWrap/>
        <w:overflowPunct/>
        <w:topLinePunct w:val="0"/>
        <w:bidi w:val="0"/>
        <w:adjustRightInd/>
        <w:spacing w:line="440" w:lineRule="exact"/>
        <w:ind w:firstLine="470" w:firstLineChars="196"/>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color w:val="auto"/>
          <w:kern w:val="0"/>
          <w:sz w:val="24"/>
          <w:szCs w:val="24"/>
          <w:highlight w:val="none"/>
        </w:rPr>
        <w:t>指定的项目（具体详见招标范围），严格依据国家法律法规、国家工程建设消防技术标准和省、市有关规定，开展图纸核验及技术交底服务、建设过程服务、现场评定服务、档案整理服务等工作，及时出具意见或报告，并对出具的意见或报告负责。消防验收项目的建设单位、设计单位、图审单位、消防服务机构及存在相关利益的单位不能参加相应标段内的所有项目投标。</w:t>
      </w:r>
    </w:p>
    <w:p w14:paraId="671C948F">
      <w:pPr>
        <w:keepNext w:val="0"/>
        <w:keepLines w:val="0"/>
        <w:pageBreakBefore w:val="0"/>
        <w:wordWrap/>
        <w:overflowPunct/>
        <w:topLinePunct w:val="0"/>
        <w:bidi w:val="0"/>
        <w:adjustRightInd/>
        <w:spacing w:line="440" w:lineRule="exact"/>
        <w:ind w:firstLine="470" w:firstLineChars="196"/>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本次项目</w:t>
      </w:r>
      <w:r>
        <w:rPr>
          <w:rFonts w:hint="eastAsia" w:ascii="仿宋" w:hAnsi="仿宋" w:eastAsia="仿宋" w:cs="仿宋"/>
          <w:color w:val="auto"/>
          <w:sz w:val="24"/>
          <w:szCs w:val="24"/>
          <w:highlight w:val="none"/>
        </w:rPr>
        <w:t>通过招投标确定服务机构入围开展消防验收技术服务工作，以确工作正常有序开展。</w:t>
      </w:r>
    </w:p>
    <w:p w14:paraId="488BA01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2、服务内容：</w:t>
      </w:r>
    </w:p>
    <w:p w14:paraId="16E6BEF0">
      <w:pPr>
        <w:keepNext w:val="0"/>
        <w:keepLines w:val="0"/>
        <w:pageBreakBefore w:val="0"/>
        <w:wordWrap/>
        <w:overflowPunct/>
        <w:topLinePunct w:val="0"/>
        <w:autoSpaceDE w:val="0"/>
        <w:autoSpaceDN w:val="0"/>
        <w:bidi w:val="0"/>
        <w:adjustRightInd/>
        <w:spacing w:line="440" w:lineRule="exact"/>
        <w:ind w:firstLine="472" w:firstLineChars="197"/>
        <w:jc w:val="left"/>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对采购人指定的项目，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w:t>
      </w:r>
      <w:r>
        <w:rPr>
          <w:rFonts w:hint="eastAsia" w:ascii="仿宋" w:hAnsi="仿宋" w:eastAsia="仿宋" w:cs="仿宋"/>
          <w:bCs/>
          <w:color w:val="auto"/>
          <w:sz w:val="24"/>
          <w:szCs w:val="24"/>
          <w:highlight w:val="none"/>
        </w:rPr>
        <w:t>服务的</w:t>
      </w:r>
      <w:r>
        <w:rPr>
          <w:rFonts w:hint="eastAsia" w:ascii="仿宋" w:hAnsi="仿宋" w:eastAsia="仿宋" w:cs="仿宋"/>
          <w:color w:val="auto"/>
          <w:sz w:val="24"/>
          <w:szCs w:val="24"/>
          <w:highlight w:val="none"/>
        </w:rPr>
        <w:t>具体内容包括但不限于以下内容：</w:t>
      </w:r>
    </w:p>
    <w:p w14:paraId="66FD3BC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（一）图纸会审及技术交底服务</w:t>
      </w:r>
    </w:p>
    <w:p w14:paraId="4332C57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在项目建设过程中，须对涉及消防相关施工图纸进行会审，并组织参建主体对项目进行技术交底。对施工图不明或存在疑问的，形成书面的设计咨询文件，由设计单位书面答复。</w:t>
      </w:r>
    </w:p>
    <w:p w14:paraId="0188AEC8">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（二）建设过程服务</w:t>
      </w:r>
    </w:p>
    <w:p w14:paraId="14529DB0">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特殊建设工程在项目建设阶段性过程中，根据招标人工作计划及要求随时开展项目现场指导服务。其他建设工程在完成现场评定后需指导整改。</w:t>
      </w:r>
    </w:p>
    <w:p w14:paraId="1022431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（三）</w:t>
      </w:r>
      <w:r>
        <w:rPr>
          <w:rFonts w:hint="eastAsia" w:ascii="仿宋" w:hAnsi="仿宋" w:eastAsia="仿宋" w:cs="仿宋"/>
          <w:b/>
          <w:bCs/>
          <w:color w:val="auto"/>
          <w:sz w:val="24"/>
          <w:szCs w:val="24"/>
          <w:highlight w:val="none"/>
        </w:rPr>
        <w:t>现场评定服务</w:t>
      </w:r>
    </w:p>
    <w:p w14:paraId="4D75F1FA">
      <w:pPr>
        <w:keepNext w:val="0"/>
        <w:keepLines w:val="0"/>
        <w:pageBreakBefore w:val="0"/>
        <w:wordWrap/>
        <w:overflowPunct/>
        <w:topLinePunct w:val="0"/>
        <w:autoSpaceDE w:val="0"/>
        <w:autoSpaceDN w:val="0"/>
        <w:bidi w:val="0"/>
        <w:adjustRightInd/>
        <w:spacing w:line="4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核验咨询</w:t>
      </w:r>
      <w:r>
        <w:rPr>
          <w:rFonts w:hint="eastAsia" w:ascii="仿宋" w:hAnsi="仿宋" w:eastAsia="仿宋" w:cs="仿宋"/>
          <w:color w:val="auto"/>
          <w:sz w:val="24"/>
          <w:szCs w:val="24"/>
          <w:highlight w:val="none"/>
        </w:rPr>
        <w:t>涉及消防的建设工程竣工图纸与经核验咨询合格的消防设计文件相符情况。</w:t>
      </w:r>
      <w:r>
        <w:rPr>
          <w:rFonts w:hint="eastAsia" w:ascii="仿宋" w:hAnsi="仿宋" w:eastAsia="仿宋" w:cs="仿宋"/>
          <w:bCs/>
          <w:color w:val="auto"/>
          <w:sz w:val="24"/>
          <w:szCs w:val="24"/>
          <w:highlight w:val="none"/>
        </w:rPr>
        <w:t>核验咨询</w:t>
      </w:r>
      <w:r>
        <w:rPr>
          <w:rFonts w:hint="eastAsia" w:ascii="仿宋" w:hAnsi="仿宋" w:eastAsia="仿宋" w:cs="仿宋"/>
          <w:color w:val="auto"/>
          <w:sz w:val="24"/>
          <w:szCs w:val="24"/>
          <w:highlight w:val="none"/>
        </w:rPr>
        <w:t>消防验收报验材料是否齐全完整，真实合法。</w:t>
      </w:r>
    </w:p>
    <w:p w14:paraId="3929772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①现场评定应当依据消防法律法规、国家工程建设消防技术标准和省、市住房和城乡建设主管部门有关规定、涉及消防的建设工程竣工图纸、消防设计核验咨询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4DE28DA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(1)建筑类别与耐火等级；</w:t>
      </w:r>
    </w:p>
    <w:p w14:paraId="349483A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(2)总平面布局，包括防火间距、消防车道、消防车登高面、消防车登高操作场地等项目；</w:t>
      </w:r>
    </w:p>
    <w:p w14:paraId="5A9B3023">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7BAC84C5">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(4)建筑外墙、屋面保温和建筑外墙装饰；</w:t>
      </w:r>
    </w:p>
    <w:p w14:paraId="79DA2E01">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70F4E70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(6)防火分隔，包括防火分区，防火墙，防火门、窗，竖向管道井、其他有防火分隔要求的部位等项目；</w:t>
      </w:r>
    </w:p>
    <w:p w14:paraId="1974790A">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(7)防爆，包括泄压设施，以及防静电、防积聚、防流散等措施；</w:t>
      </w:r>
    </w:p>
    <w:p w14:paraId="6620A94B">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(8)安全疏散，包括安全出口、疏散门、疏散走道、避难层(间)、消防应急照明和疏散指示标志等项目；</w:t>
      </w:r>
    </w:p>
    <w:p w14:paraId="6AD8F1EE">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(9)消防电梯；</w:t>
      </w:r>
    </w:p>
    <w:p w14:paraId="7AC940B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(10)消火栓系统，包括供水水源、消防水池、消防水泵、官网、室内外消火栓、系统功能等项目；</w:t>
      </w:r>
    </w:p>
    <w:p w14:paraId="5D28E739">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(11)自动喷水灭火系统，包括供水水源、消防水池、消防水泵、报警阀组、喷头、系统功能等项目；</w:t>
      </w:r>
    </w:p>
    <w:p w14:paraId="414B466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(12)火灾自动报警系统，包括系统形式、火灾探测器的报警功能、系统功能、以及火灾报警控制器、联动设备和消防控制室图形显示装置等项目；</w:t>
      </w:r>
    </w:p>
    <w:p w14:paraId="208EBEDC">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(13)防烟排烟系统及通风、空调系统防火，包括系统设置、排烟风机、管道、系统功能等项目；</w:t>
      </w:r>
    </w:p>
    <w:p w14:paraId="6698F82B">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(14)消防电气，包括消防电源、柴油发电机房、变配电房、消防配电、用电设施等项目；</w:t>
      </w:r>
    </w:p>
    <w:p w14:paraId="7D908B05">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(15)建筑灭火器，包括种类、数量、配置、布置等项目；</w:t>
      </w:r>
    </w:p>
    <w:p w14:paraId="7D83F80E">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(16)泡沫灭火系统，包括泡沫灭火系统防护区、以及泡沫比例混合、泡沫发生装置等项目；</w:t>
      </w:r>
    </w:p>
    <w:p w14:paraId="0E9AB272">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(17)气体灭火系统的系统功能；</w:t>
      </w:r>
    </w:p>
    <w:p w14:paraId="5A52A0C0">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(18)其他国家工程建设消防技术标准强制性条文规定的项目，以及带有“严禁”、“必须”、“应”、“不应”、“不得”要求的非强制性条文规定的项目。</w:t>
      </w:r>
    </w:p>
    <w:p w14:paraId="19FE97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②抽样要求</w:t>
      </w:r>
    </w:p>
    <w:p w14:paraId="36B27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现场抽样查看、测量、设施及系统功能测试应符合下列要求：</w:t>
      </w:r>
    </w:p>
    <w:p w14:paraId="614636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（1）每一项目的抽样数量不少于 2 处，当总数不大于 2 处时，全部检查；</w:t>
      </w:r>
    </w:p>
    <w:p w14:paraId="058F28F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（2）防火间距、消防车登高操作场地、消防车道的设置及安全出口的形式和数量应全部检查。</w:t>
      </w:r>
    </w:p>
    <w:p w14:paraId="1AED11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③现场评定结论</w:t>
      </w:r>
    </w:p>
    <w:p w14:paraId="5B8687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消防验收现场评定符合下列条件的，结论为合格；不符合下列任意一项的，结论为不合格：</w:t>
      </w:r>
    </w:p>
    <w:p w14:paraId="2D52A5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（1）现场评定内容符合经消防设计审查合格的消防设计文件；</w:t>
      </w:r>
    </w:p>
    <w:p w14:paraId="64F4DA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（2）现场评定内容符合国家工程建设消防技术标准强制性条文规定的要求；</w:t>
      </w:r>
    </w:p>
    <w:p w14:paraId="6F53D97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 5%，且不影响正常使用功能和消防安全；</w:t>
      </w:r>
    </w:p>
    <w:p w14:paraId="4923C6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（4）现场评定内容为消防设施性能的，满足设计文件要求并能正常实现；</w:t>
      </w:r>
    </w:p>
    <w:p w14:paraId="4FB7860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（5）现场评定内容为系统功能的，系统主要功能满足设计文件要求并能正常实现。</w:t>
      </w:r>
    </w:p>
    <w:p w14:paraId="7A2DD72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    （四）</w:t>
      </w:r>
      <w:r>
        <w:rPr>
          <w:rFonts w:hint="eastAsia" w:ascii="仿宋" w:hAnsi="仿宋" w:eastAsia="仿宋" w:cs="仿宋"/>
          <w:b/>
          <w:bCs/>
          <w:color w:val="auto"/>
          <w:sz w:val="24"/>
          <w:szCs w:val="24"/>
          <w:highlight w:val="none"/>
        </w:rPr>
        <w:t>档案整理服务</w:t>
      </w:r>
    </w:p>
    <w:p w14:paraId="6384A6C4">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应当协助采购人及时对所承办的消防验收的相关资料进行收集、整理，及时按照归档内容及装订顺序立卷存放，确保案卷材料齐全完整、真实合法。</w:t>
      </w:r>
    </w:p>
    <w:p w14:paraId="759B2AEA">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3、服务要求：</w:t>
      </w:r>
    </w:p>
    <w:p w14:paraId="30DAF736">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（一）投标人应严格按照</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color w:val="auto"/>
          <w:kern w:val="0"/>
          <w:sz w:val="24"/>
          <w:szCs w:val="24"/>
          <w:highlight w:val="none"/>
        </w:rPr>
        <w:t xml:space="preserve">有关规定和要求开展建设工程消防验收前期检查和现场评定技术服务工作，具体规定和要求另行制定。 </w:t>
      </w:r>
    </w:p>
    <w:p w14:paraId="3C36AAFA">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（二）投标人在接到任务书后，应以项目为单位组成技术服务组开展技术服务，技术服务组须明确负责人及成员，其中负责人应具有国家一级注册消防工程师资格或者一</w:t>
      </w:r>
      <w:r>
        <w:rPr>
          <w:rFonts w:hint="eastAsia" w:ascii="仿宋" w:hAnsi="仿宋" w:eastAsia="仿宋" w:cs="仿宋"/>
          <w:color w:val="auto"/>
          <w:kern w:val="0"/>
          <w:sz w:val="24"/>
          <w:szCs w:val="24"/>
          <w:highlight w:val="none"/>
        </w:rPr>
        <w:t>级注册建筑师、一级注册结构工程师、注册公用设备工程师（给排水）、注册电气工程师、注册公用设备工程师（暖通空调）、一级注册建造书。单个项目技术服务组成员人数应满足以下要求：建筑面积10万平方米及以上的不少于6人，建筑面积5万（含)-10万的不少于4人，建筑面积5万以下不少于3人。</w:t>
      </w:r>
    </w:p>
    <w:p w14:paraId="391C795E">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单个项目建筑面积10万平方米及以上的4天内完成现场评定，建筑面积5万平方米（含)-10万平方米的3天内完成现场评定，建筑面积5万平方米以下2天内完成现场评定。建设单位问题整改完毕，</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应在3日内进行复查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检查合格的及时</w:t>
      </w:r>
      <w:r>
        <w:rPr>
          <w:rFonts w:hint="eastAsia" w:ascii="仿宋" w:hAnsi="仿宋" w:eastAsia="仿宋" w:cs="仿宋"/>
          <w:color w:val="auto"/>
          <w:kern w:val="0"/>
          <w:sz w:val="24"/>
          <w:szCs w:val="24"/>
          <w:highlight w:val="none"/>
        </w:rPr>
        <w:t>出具纸质评定报告</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份、电子文档1份</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由于</w:t>
      </w:r>
      <w:r>
        <w:rPr>
          <w:rFonts w:hint="eastAsia" w:ascii="仿宋" w:hAnsi="仿宋" w:eastAsia="仿宋" w:cs="仿宋"/>
          <w:color w:val="auto"/>
          <w:kern w:val="0"/>
          <w:sz w:val="24"/>
          <w:szCs w:val="24"/>
          <w:highlight w:val="none"/>
          <w:lang w:val="en-US" w:eastAsia="zh-CN"/>
        </w:rPr>
        <w:t>特殊</w:t>
      </w:r>
      <w:r>
        <w:rPr>
          <w:rFonts w:hint="eastAsia" w:ascii="仿宋" w:hAnsi="仿宋" w:eastAsia="仿宋" w:cs="仿宋"/>
          <w:color w:val="auto"/>
          <w:kern w:val="0"/>
          <w:sz w:val="24"/>
          <w:szCs w:val="24"/>
          <w:highlight w:val="none"/>
        </w:rPr>
        <w:t>原因需延长工期时，延期赔偿金可不计，也不对中标人作任何赔偿。</w:t>
      </w:r>
    </w:p>
    <w:p w14:paraId="2EA572AD">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(三）每个中标单位需提供一名专业技术人员配合日常检查，每年服务时间不少于三分之一的工作日并提供检查所需交通工具。</w:t>
      </w:r>
    </w:p>
    <w:p w14:paraId="129F852C">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每个中标单位需配合征集人每年度开展不少于4次项目现场指导服务。</w:t>
      </w:r>
    </w:p>
    <w:p w14:paraId="04240FA3">
      <w:pPr>
        <w:keepNext w:val="0"/>
        <w:keepLines w:val="0"/>
        <w:pageBreakBefore w:val="0"/>
        <w:widowControl/>
        <w:wordWrap/>
        <w:overflowPunct/>
        <w:topLinePunct w:val="0"/>
        <w:bidi w:val="0"/>
        <w:adjustRightInd/>
        <w:spacing w:line="440" w:lineRule="exact"/>
        <w:ind w:firstLine="48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每个中标单位需配合征集人每年度开展不少于4次的消防设计核验咨询服务，每个中标单位要求须配备结构专业技术人员不少于1人（需取得一级注册结构工程师）、建筑专业技术人员不少于1人（需取得一级注册建筑工程师）、暖通专业技术人员不少于1人（需取得注册公用设备工程师（暖通空调））、给排水专业技术人员不少于1人（需取得注册公用设备工程师（给排水））、电气专业技术人员不少于1人（需取得国家注册电气工程师）。</w:t>
      </w:r>
    </w:p>
    <w:p w14:paraId="1C593919">
      <w:pPr>
        <w:keepNext w:val="0"/>
        <w:keepLines w:val="0"/>
        <w:pageBreakBefore w:val="0"/>
        <w:wordWrap/>
        <w:overflowPunct/>
        <w:topLinePunct w:val="0"/>
        <w:autoSpaceDE w:val="0"/>
        <w:autoSpaceDN w:val="0"/>
        <w:bidi w:val="0"/>
        <w:adjustRightInd/>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服务人员未经采购人同意不得随意变更。采购人对服务人员的责任心、工作能力、合作性、廉洁性进行考核，如有考核不合格人员需立即更换，直至能满足相应岗位要求，采购人不承担任何人员更换的额外费用，期间不合格服务人员的服务费用不予支付，项目负责人调换处违约金为单个项目中标价的5%，其他人员调换每人处违约金为单个项目中标价的1%，人员未到位扣除每人1000元/次，出具的报告有误视情扣除单个项目中标价的2%至5%。</w:t>
      </w:r>
    </w:p>
    <w:p w14:paraId="3A5F1E07">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）投标人应向本项目提供完整的记录和相关资料，并对评估报告的真实性和有效性和时效性负责。</w:t>
      </w:r>
    </w:p>
    <w:p w14:paraId="4E7F5A33">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）投标人检测期间，必须遵守项目业主或采购人的各项规定。</w:t>
      </w:r>
    </w:p>
    <w:p w14:paraId="21AC619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）投标人在为本项目服务期间，须与项目业主或采购人做好沟通、协调、配合工作。</w:t>
      </w:r>
    </w:p>
    <w:p w14:paraId="0EC71B71">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）投标人应按要求记录现场评定（包含功能测试）的相关情况，判断建设工程消防安全状况，并出具消防安全评估咨询意见。</w:t>
      </w:r>
    </w:p>
    <w:p w14:paraId="7FC5CE32">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4、项目须执行的标准、规范（如有新法规或制度的按新规范执行）</w:t>
      </w:r>
    </w:p>
    <w:p w14:paraId="0DB987BF">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①《中华人民共和国消防法》（2021年4月29日修正版）；</w:t>
      </w:r>
    </w:p>
    <w:p w14:paraId="6016BB2C">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②《建设工程消防设计审查验收管理暂行规定》（住房和城乡建设部令第5</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号）；</w:t>
      </w:r>
    </w:p>
    <w:p w14:paraId="5D9FEA1D">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③住房城乡建设部关于修改《建设工程消防设计审查验收工作细则》并印发建设工程消防验收备案凭证、告知承诺文书式样的通知 （建科规〔2024〕3号 ）；</w:t>
      </w:r>
    </w:p>
    <w:p w14:paraId="60DB96E7">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④《关于深化消防执法改革的意见》（厅字〔2019〕34号）；</w:t>
      </w:r>
    </w:p>
    <w:p w14:paraId="047B3734">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⑤《浙江省建设工程消防设计审查验收管理暂行办法》；</w:t>
      </w:r>
    </w:p>
    <w:p w14:paraId="1CEF0943">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⑥建设部门相关监督管理办法及规章制度；</w:t>
      </w:r>
    </w:p>
    <w:p w14:paraId="0160184D">
      <w:pPr>
        <w:keepNext w:val="0"/>
        <w:keepLines w:val="0"/>
        <w:pageBreakBefore w:val="0"/>
        <w:wordWrap/>
        <w:overflowPunct/>
        <w:topLinePunct w:val="0"/>
        <w:autoSpaceDE w:val="0"/>
        <w:autoSpaceDN w:val="0"/>
        <w:bidi w:val="0"/>
        <w:adjustRightInd/>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⑦其他国家和地方要求执行的法律法规。</w:t>
      </w:r>
    </w:p>
    <w:p w14:paraId="4526F461">
      <w:pPr>
        <w:pStyle w:val="30"/>
        <w:keepNext w:val="0"/>
        <w:keepLines w:val="0"/>
        <w:pageBreakBefore w:val="0"/>
        <w:wordWrap/>
        <w:overflowPunct/>
        <w:topLinePunct w:val="0"/>
        <w:bidi w:val="0"/>
        <w:adjustRightInd/>
        <w:spacing w:after="0" w:line="440" w:lineRule="exact"/>
        <w:ind w:left="0" w:lef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8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⑧</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现场查验及评定表式按照《浙江省住房和城乡建设厅关于印发房屋建筑和市政基础设施工程竣工验收消防查验和消防验收现场评定表格样式的通知》（浙建质安发〔2021〕50 号）执行。</w:t>
      </w:r>
    </w:p>
    <w:p w14:paraId="3EA30EDF">
      <w:pPr>
        <w:keepNext w:val="0"/>
        <w:keepLines w:val="0"/>
        <w:pageBreakBefore w:val="0"/>
        <w:wordWrap/>
        <w:overflowPunct/>
        <w:topLinePunct w:val="0"/>
        <w:autoSpaceDE w:val="0"/>
        <w:autoSpaceDN w:val="0"/>
        <w:bidi w:val="0"/>
        <w:adjustRightInd/>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注：如违背上述法规或规章制度，采购人有权终止合同，并要求投标人做出相应赔偿。</w:t>
      </w:r>
    </w:p>
    <w:p w14:paraId="611F48D3">
      <w:pPr>
        <w:keepNext w:val="0"/>
        <w:keepLines w:val="0"/>
        <w:pageBreakBefore w:val="0"/>
        <w:numPr>
          <w:ilvl w:val="0"/>
          <w:numId w:val="5"/>
        </w:numPr>
        <w:wordWrap/>
        <w:overflowPunct/>
        <w:topLinePunct w:val="0"/>
        <w:autoSpaceDE w:val="0"/>
        <w:autoSpaceDN w:val="0"/>
        <w:bidi w:val="0"/>
        <w:adjustRightInd/>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廉洁服务及其他事项</w:t>
      </w:r>
    </w:p>
    <w:p w14:paraId="68D13ED4">
      <w:pPr>
        <w:pStyle w:val="30"/>
        <w:keepNext w:val="0"/>
        <w:keepLines w:val="0"/>
        <w:pageBreakBefore w:val="0"/>
        <w:wordWrap/>
        <w:overflowPunct/>
        <w:topLinePunct w:val="0"/>
        <w:bidi w:val="0"/>
        <w:adjustRightInd/>
        <w:spacing w:after="0" w:line="440" w:lineRule="exact"/>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（一）</w:t>
      </w:r>
      <w:r>
        <w:rPr>
          <w:rFonts w:hint="eastAsia" w:ascii="仿宋" w:hAnsi="仿宋" w:eastAsia="仿宋" w:cs="仿宋"/>
          <w:color w:val="auto"/>
          <w:sz w:val="24"/>
          <w:szCs w:val="24"/>
          <w:highlight w:val="none"/>
          <w:u w:val="single"/>
        </w:rPr>
        <w:t>在项目招标及服务过程中，发生任何一起廉洁问题，一经查实扣除本项目全部服务费用，由其他两家单位之一重新评定，并取消下一年度的投标资格。</w:t>
      </w:r>
    </w:p>
    <w:p w14:paraId="3BC7180F">
      <w:pPr>
        <w:pStyle w:val="30"/>
        <w:keepNext w:val="0"/>
        <w:keepLines w:val="0"/>
        <w:pageBreakBefore w:val="0"/>
        <w:wordWrap/>
        <w:overflowPunct/>
        <w:topLinePunct w:val="0"/>
        <w:bidi w:val="0"/>
        <w:adjustRightInd/>
        <w:spacing w:after="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投标人对所有成果资料和采购人提供的所有资料负有保密的责任，未经采购人认可，投标人不得向第三方提供本合同范围内的技术服务成果。否则，采购人有权提起诉讼，由此引起的所有费用及损失由投标人承担。</w:t>
      </w:r>
    </w:p>
    <w:p w14:paraId="61DF9618">
      <w:pPr>
        <w:keepNext w:val="0"/>
        <w:keepLines w:val="0"/>
        <w:pageBreakBefore w:val="0"/>
        <w:wordWrap/>
        <w:overflowPunct/>
        <w:topLinePunct w:val="0"/>
        <w:bidi w:val="0"/>
        <w:adjustRightInd/>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（三）投标人应在规定时间内，按采购文件及采购人相关要求签订年度合同，未签订合同的，不得参加具体项目的抽签。</w:t>
      </w:r>
    </w:p>
    <w:p w14:paraId="3A931B34">
      <w:pPr>
        <w:keepNext w:val="0"/>
        <w:keepLines w:val="0"/>
        <w:pageBreakBefore w:val="0"/>
        <w:wordWrap/>
        <w:overflowPunct/>
        <w:topLinePunct w:val="0"/>
        <w:bidi w:val="0"/>
        <w:adjustRightInd/>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（四）投标人确定后，采购人将根据实际业务需求及相关规定选择投标人承担相应的业务，不保证服务期限内投标人的最低项目数量和项目的连续性。</w:t>
      </w:r>
    </w:p>
    <w:p w14:paraId="742C3E28">
      <w:pPr>
        <w:keepNext w:val="0"/>
        <w:keepLines w:val="0"/>
        <w:pageBreakBefore w:val="0"/>
        <w:kinsoku w:val="0"/>
        <w:wordWrap/>
        <w:overflowPunct/>
        <w:topLinePunct w:val="0"/>
        <w:autoSpaceDE w:val="0"/>
        <w:autoSpaceDN w:val="0"/>
        <w:bidi w:val="0"/>
        <w:adjustRightInd/>
        <w:snapToGrid w:val="0"/>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（五）具体消防技术服务由</w:t>
      </w:r>
      <w:r>
        <w:rPr>
          <w:rFonts w:hint="eastAsia" w:ascii="仿宋" w:hAnsi="仿宋" w:eastAsia="仿宋" w:cs="仿宋"/>
          <w:color w:val="auto"/>
          <w:sz w:val="24"/>
          <w:szCs w:val="24"/>
          <w:highlight w:val="none"/>
          <w:lang w:eastAsia="zh-CN"/>
        </w:rPr>
        <w:t>绍兴市越城区住房和城乡建设局</w:t>
      </w:r>
      <w:r>
        <w:rPr>
          <w:rFonts w:hint="eastAsia" w:ascii="仿宋" w:hAnsi="仿宋" w:eastAsia="仿宋" w:cs="仿宋"/>
          <w:color w:val="auto"/>
          <w:sz w:val="24"/>
          <w:szCs w:val="24"/>
          <w:highlight w:val="none"/>
        </w:rPr>
        <w:t>根据建设单位申请后下发任务书。</w:t>
      </w:r>
    </w:p>
    <w:p w14:paraId="78081FFC">
      <w:pPr>
        <w:keepNext w:val="0"/>
        <w:keepLines w:val="0"/>
        <w:pageBreakBefore w:val="0"/>
        <w:kinsoku w:val="0"/>
        <w:wordWrap/>
        <w:overflowPunct/>
        <w:topLinePunct w:val="0"/>
        <w:autoSpaceDE w:val="0"/>
        <w:autoSpaceDN w:val="0"/>
        <w:bidi w:val="0"/>
        <w:adjustRightInd/>
        <w:snapToGrid w:val="0"/>
        <w:spacing w:line="440" w:lineRule="exact"/>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24"/>
          <w:szCs w:val="24"/>
          <w:highlight w:val="none"/>
        </w:rPr>
        <w:t xml:space="preserve">    （六）</w:t>
      </w:r>
      <w:r>
        <w:rPr>
          <w:rFonts w:hint="eastAsia" w:ascii="仿宋" w:hAnsi="仿宋" w:eastAsia="仿宋" w:cs="仿宋"/>
          <w:snapToGrid w:val="0"/>
          <w:color w:val="auto"/>
          <w:kern w:val="0"/>
          <w:sz w:val="24"/>
          <w:szCs w:val="24"/>
          <w:highlight w:val="none"/>
        </w:rPr>
        <w:t>第一阶段入围供应商的评审方法为质量优先法，第二阶段成交供应商的方式为</w:t>
      </w:r>
      <w:r>
        <w:rPr>
          <w:rFonts w:hint="eastAsia" w:ascii="仿宋" w:hAnsi="仿宋" w:eastAsia="仿宋" w:cs="仿宋"/>
          <w:color w:val="auto"/>
          <w:sz w:val="24"/>
          <w:szCs w:val="24"/>
          <w:highlight w:val="none"/>
        </w:rPr>
        <w:t>消防技术服务项目任务书下达后，原则上采用轮流方式在投标人中确定项目技术服务单位（即第一中标候人、第二中标候选人、第三中标候选人顺序依次轮流），原则上三次单次为一轮；若存在技术服务单位与项目消防业务相关联的情况，在轮流过程中应予以回避，本次机会自动扣除，回避单位将直接开始新一轮，不在本轮增加项目。</w:t>
      </w:r>
    </w:p>
    <w:p w14:paraId="35175D12">
      <w:pPr>
        <w:keepNext w:val="0"/>
        <w:keepLines w:val="0"/>
        <w:pageBreakBefore w:val="0"/>
        <w:kinsoku w:val="0"/>
        <w:wordWrap/>
        <w:overflowPunct/>
        <w:topLinePunct w:val="0"/>
        <w:autoSpaceDE w:val="0"/>
        <w:autoSpaceDN w:val="0"/>
        <w:bidi w:val="0"/>
        <w:adjustRightInd/>
        <w:snapToGrid w:val="0"/>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（七）为避免其他利益关系，项目建设单位须在服务介入前委托消防设备设施的检测机构。</w:t>
      </w:r>
    </w:p>
    <w:p w14:paraId="05CEBFF4">
      <w:pPr>
        <w:pStyle w:val="30"/>
        <w:keepNext w:val="0"/>
        <w:keepLines w:val="0"/>
        <w:pageBreakBefore w:val="0"/>
        <w:wordWrap/>
        <w:overflowPunct/>
        <w:topLinePunct w:val="0"/>
        <w:bidi w:val="0"/>
        <w:adjustRightInd/>
        <w:spacing w:after="0"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（八）投标人承担建设部58号令中相应的法律责任。</w:t>
      </w:r>
    </w:p>
    <w:p w14:paraId="77FCEDC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、用户反馈和评价机制：</w:t>
      </w:r>
    </w:p>
    <w:p w14:paraId="50FBE1ED">
      <w:pPr>
        <w:pStyle w:val="30"/>
        <w:spacing w:after="0" w:line="420" w:lineRule="exact"/>
        <w:ind w:left="0" w:leftChars="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将依托政采云平台建立用户反馈和评价机制，接受采购人对入围供应商履行框架协议和采购合同情况的反馈与评价，并将用户反馈和评价情况向采购人和服务对象公开，作为采购人第二阶段直接选定成交供应商的参考。</w:t>
      </w:r>
    </w:p>
    <w:p w14:paraId="0C3F39C9">
      <w:pPr>
        <w:rPr>
          <w:rFonts w:hint="eastAsia" w:ascii="仿宋" w:hAnsi="仿宋" w:eastAsia="仿宋" w:cs="仿宋"/>
          <w:color w:val="auto"/>
          <w:highlight w:val="none"/>
        </w:rPr>
      </w:pPr>
    </w:p>
    <w:p w14:paraId="3105E35A">
      <w:pPr>
        <w:pStyle w:val="3"/>
        <w:rPr>
          <w:rFonts w:hint="eastAsia" w:ascii="仿宋" w:hAnsi="仿宋" w:eastAsia="仿宋" w:cs="仿宋"/>
          <w:color w:val="auto"/>
          <w:highlight w:val="none"/>
        </w:rPr>
      </w:pPr>
      <w:bookmarkStart w:id="29" w:name="_Toc16000"/>
      <w:bookmarkStart w:id="30" w:name="_Toc8094"/>
      <w:r>
        <w:rPr>
          <w:rFonts w:hint="eastAsia" w:ascii="仿宋" w:hAnsi="仿宋" w:eastAsia="仿宋" w:cs="仿宋"/>
          <w:color w:val="auto"/>
          <w:highlight w:val="none"/>
        </w:rPr>
        <w:t>二、商务要求</w:t>
      </w:r>
      <w:bookmarkEnd w:id="29"/>
      <w:bookmarkEnd w:id="30"/>
    </w:p>
    <w:p w14:paraId="67BFF414">
      <w:pPr>
        <w:widowControl/>
        <w:snapToGrid w:val="0"/>
        <w:spacing w:line="360" w:lineRule="auto"/>
        <w:jc w:val="left"/>
        <w:rPr>
          <w:rFonts w:hint="eastAsia" w:ascii="仿宋" w:hAnsi="仿宋" w:eastAsia="仿宋" w:cs="仿宋"/>
          <w:color w:val="auto"/>
          <w:sz w:val="24"/>
          <w:szCs w:val="24"/>
          <w:highlight w:val="none"/>
        </w:rPr>
      </w:pPr>
    </w:p>
    <w:p w14:paraId="670FF7D1">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★2.1框架协议期限</w:t>
      </w:r>
    </w:p>
    <w:p w14:paraId="073C3988">
      <w:pPr>
        <w:widowControl/>
        <w:snapToGrid w:val="0"/>
        <w:spacing w:line="4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12个月，（实际的服务起始点以项目任务书下达和项目验收合格为准）。如遇上级相关行业主管部门有新规定出台时，可随时终止。</w:t>
      </w:r>
    </w:p>
    <w:p w14:paraId="58DE58C1">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2.2质量要求</w:t>
      </w:r>
    </w:p>
    <w:p w14:paraId="190ED2D1">
      <w:pPr>
        <w:widowControl/>
        <w:snapToGrid w:val="0"/>
        <w:spacing w:line="480" w:lineRule="exact"/>
        <w:ind w:firstLine="481"/>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投标人严格依据建设工程法律法规、国家工程建设消防技术标准、《建设工程消防设计审查验收管理暂行规定》（住建部令第58号）和国家、省、市有关规定和实施细则要求、涉及消防的建设工程竣工图纸等提供服务，开展图纸核验及技术交底服务、建设过程服务、现场评定服务、档案整理服务等，现场评定意见或报告应及时反馈，结论应清晰、明确，并对提供的意见或报告负责，提供的意见或报告须技术负责人、项目负责人签字，投标人盖章确认。现场服务指导后，需要3天内提供书面意见给</w:t>
      </w:r>
      <w:r>
        <w:rPr>
          <w:rFonts w:hint="eastAsia" w:ascii="仿宋" w:hAnsi="仿宋" w:eastAsia="仿宋" w:cs="仿宋"/>
          <w:color w:val="auto"/>
          <w:kern w:val="0"/>
          <w:sz w:val="24"/>
          <w:szCs w:val="24"/>
          <w:highlight w:val="none"/>
          <w:lang w:eastAsia="zh-CN"/>
        </w:rPr>
        <w:t>绍兴市越城区住房和城乡建设局</w:t>
      </w:r>
      <w:r>
        <w:rPr>
          <w:rFonts w:hint="eastAsia" w:ascii="仿宋" w:hAnsi="仿宋" w:eastAsia="仿宋" w:cs="仿宋"/>
          <w:b w:val="0"/>
          <w:bCs w:val="0"/>
          <w:color w:val="auto"/>
          <w:kern w:val="0"/>
          <w:sz w:val="24"/>
          <w:highlight w:val="none"/>
        </w:rPr>
        <w:t>。</w:t>
      </w:r>
    </w:p>
    <w:p w14:paraId="3B9371A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3</w:t>
      </w:r>
      <w:r>
        <w:rPr>
          <w:rFonts w:hint="eastAsia" w:ascii="仿宋" w:hAnsi="仿宋" w:eastAsia="仿宋" w:cs="仿宋"/>
          <w:b/>
          <w:bCs/>
          <w:color w:val="auto"/>
          <w:kern w:val="0"/>
          <w:sz w:val="24"/>
          <w:highlight w:val="none"/>
        </w:rPr>
        <w:t>付款方式</w:t>
      </w:r>
    </w:p>
    <w:p w14:paraId="6DC5B785">
      <w:pPr>
        <w:widowControl/>
        <w:snapToGrid w:val="0"/>
        <w:spacing w:line="480" w:lineRule="exact"/>
        <w:ind w:firstLine="481"/>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rPr>
        <w:t>合同签订之日起三个月为一个结算周期，结算周期内服务项目及价款经双方确认，</w:t>
      </w:r>
      <w:r>
        <w:rPr>
          <w:rFonts w:hint="eastAsia" w:ascii="仿宋" w:hAnsi="仿宋" w:eastAsia="仿宋" w:cs="仿宋"/>
          <w:b w:val="0"/>
          <w:bCs w:val="0"/>
          <w:color w:val="auto"/>
          <w:kern w:val="0"/>
          <w:sz w:val="24"/>
          <w:highlight w:val="none"/>
          <w:lang w:val="en-US" w:eastAsia="zh-CN"/>
        </w:rPr>
        <w:t>入围单位</w:t>
      </w:r>
      <w:r>
        <w:rPr>
          <w:rFonts w:hint="eastAsia" w:ascii="仿宋" w:hAnsi="仿宋" w:eastAsia="仿宋" w:cs="仿宋"/>
          <w:b w:val="0"/>
          <w:bCs w:val="0"/>
          <w:color w:val="auto"/>
          <w:kern w:val="0"/>
          <w:sz w:val="24"/>
          <w:highlight w:val="none"/>
        </w:rPr>
        <w:t>提交符合采购人财务入帐要求的发票后7个工作日内向</w:t>
      </w:r>
      <w:r>
        <w:rPr>
          <w:rFonts w:hint="eastAsia" w:ascii="仿宋" w:hAnsi="仿宋" w:eastAsia="仿宋" w:cs="仿宋"/>
          <w:b w:val="0"/>
          <w:bCs w:val="0"/>
          <w:color w:val="auto"/>
          <w:kern w:val="0"/>
          <w:sz w:val="24"/>
          <w:highlight w:val="none"/>
          <w:lang w:val="en-US" w:eastAsia="zh-CN"/>
        </w:rPr>
        <w:t>入围单位</w:t>
      </w:r>
      <w:r>
        <w:rPr>
          <w:rFonts w:hint="eastAsia" w:ascii="仿宋" w:hAnsi="仿宋" w:eastAsia="仿宋" w:cs="仿宋"/>
          <w:b w:val="0"/>
          <w:bCs w:val="0"/>
          <w:color w:val="auto"/>
          <w:kern w:val="0"/>
          <w:sz w:val="24"/>
          <w:highlight w:val="none"/>
        </w:rPr>
        <w:t>一次性支付服务费。具体以财政资金到位为准，若当年年底拨付资金不足，不足部分在下一次支付款项时补足。</w:t>
      </w:r>
    </w:p>
    <w:p w14:paraId="7F0A0A5B">
      <w:pPr>
        <w:keepNext w:val="0"/>
        <w:keepLines w:val="0"/>
        <w:pageBreakBefore w:val="0"/>
        <w:widowControl w:val="0"/>
        <w:kinsoku/>
        <w:wordWrap/>
        <w:overflowPunct/>
        <w:topLinePunct w:val="0"/>
        <w:autoSpaceDE/>
        <w:autoSpaceDN/>
        <w:bidi w:val="0"/>
        <w:adjustRightInd/>
        <w:snapToGrid w:val="0"/>
        <w:spacing w:line="480" w:lineRule="exact"/>
        <w:ind w:firstLine="481"/>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涉及中小企业合同的，付款根据浙财采监(2022)3号文件相关规定执行。</w:t>
      </w:r>
    </w:p>
    <w:p w14:paraId="0B187C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验收</w:t>
      </w:r>
    </w:p>
    <w:p w14:paraId="200D08D6">
      <w:pPr>
        <w:keepNext w:val="0"/>
        <w:keepLines w:val="0"/>
        <w:pageBreakBefore w:val="0"/>
        <w:widowControl w:val="0"/>
        <w:kinsoku/>
        <w:wordWrap/>
        <w:overflowPunct/>
        <w:topLinePunct w:val="0"/>
        <w:autoSpaceDE/>
        <w:autoSpaceDN/>
        <w:bidi w:val="0"/>
        <w:adjustRightInd/>
        <w:snapToGrid w:val="0"/>
        <w:spacing w:line="480" w:lineRule="exact"/>
        <w:ind w:firstLine="481"/>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服务期满后，采购人按照政府采购合同规定的技术、服务、安全标准组织对投标人履约情况进行验收，并出具验收书。出具合格报告，接收采购人及相关部门监督。验收单位包括但不限于人员到位情况、服务响应情况、报告质量情况、完成时间情况等。</w:t>
      </w:r>
    </w:p>
    <w:p w14:paraId="497D043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2.5结算原则</w:t>
      </w:r>
    </w:p>
    <w:p w14:paraId="798DBF9A">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bidi="ar-SA"/>
        </w:rPr>
        <w:t>单个项目以</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为结算单位，承担前期检查技术服务及验收现场验评技术服务的，结算价款=</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w:t>
      </w:r>
      <w:r>
        <w:rPr>
          <w:rFonts w:hint="eastAsia" w:ascii="仿宋" w:hAnsi="仿宋" w:cs="仿宋"/>
          <w:b w:val="0"/>
          <w:bCs w:val="0"/>
          <w:color w:val="auto"/>
          <w:kern w:val="0"/>
          <w:sz w:val="24"/>
          <w:highlight w:val="none"/>
          <w:lang w:val="en-US" w:eastAsia="zh-CN" w:bidi="ar-SA"/>
        </w:rPr>
        <w:t>最高限制</w:t>
      </w:r>
      <w:r>
        <w:rPr>
          <w:rFonts w:hint="eastAsia" w:ascii="仿宋" w:hAnsi="仿宋" w:eastAsia="仿宋" w:cs="仿宋"/>
          <w:b w:val="0"/>
          <w:bCs w:val="0"/>
          <w:color w:val="auto"/>
          <w:kern w:val="0"/>
          <w:sz w:val="24"/>
          <w:highlight w:val="none"/>
          <w:lang w:val="en-US" w:eastAsia="zh-CN" w:bidi="ar-SA"/>
        </w:rPr>
        <w:t>单价*</w:t>
      </w:r>
      <w:r>
        <w:rPr>
          <w:rFonts w:hint="eastAsia" w:ascii="仿宋" w:hAnsi="仿宋" w:eastAsia="仿宋" w:cs="仿宋"/>
          <w:b w:val="0"/>
          <w:bCs w:val="0"/>
          <w:color w:val="auto"/>
          <w:kern w:val="0"/>
          <w:sz w:val="24"/>
          <w:highlight w:val="none"/>
        </w:rPr>
        <w:t>中标折扣率</w:t>
      </w:r>
      <w:r>
        <w:rPr>
          <w:rFonts w:hint="eastAsia" w:ascii="仿宋" w:hAnsi="仿宋" w:eastAsia="仿宋" w:cs="仿宋"/>
          <w:b w:val="0"/>
          <w:bCs w:val="0"/>
          <w:color w:val="auto"/>
          <w:kern w:val="0"/>
          <w:sz w:val="24"/>
          <w:highlight w:val="none"/>
          <w:lang w:val="en-US" w:eastAsia="zh-CN" w:bidi="ar-SA"/>
        </w:rPr>
        <w:t>；</w:t>
      </w:r>
      <w:r>
        <w:rPr>
          <w:rFonts w:hint="eastAsia" w:ascii="仿宋" w:hAnsi="仿宋" w:eastAsia="仿宋" w:cs="仿宋"/>
          <w:b w:val="0"/>
          <w:bCs w:val="0"/>
          <w:color w:val="auto"/>
          <w:kern w:val="0"/>
          <w:sz w:val="24"/>
          <w:highlight w:val="none"/>
        </w:rPr>
        <w:t>在结算时按中标单价按实调整,现场评定建筑面积以受理凭证为准。</w:t>
      </w:r>
    </w:p>
    <w:p w14:paraId="6E670EEB">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bidi="ar-SA"/>
        </w:rPr>
      </w:pPr>
      <w:r>
        <w:rPr>
          <w:rFonts w:hint="eastAsia" w:ascii="仿宋" w:hAnsi="仿宋" w:eastAsia="仿宋" w:cs="仿宋"/>
          <w:b w:val="0"/>
          <w:bCs w:val="0"/>
          <w:color w:val="auto"/>
          <w:kern w:val="0"/>
          <w:sz w:val="24"/>
          <w:highlight w:val="none"/>
          <w:lang w:val="en-US" w:eastAsia="zh-CN" w:bidi="ar-SA"/>
        </w:rPr>
        <w:t>建设工程经消防验收现场评定不合格，需由项目建设单位负责整改后重新申请消防验收的，服务商应重新开展技术服务，合同价款不予增加。</w:t>
      </w:r>
    </w:p>
    <w:p w14:paraId="22F4187A">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cs="仿宋"/>
          <w:b w:val="0"/>
          <w:bCs w:val="0"/>
          <w:color w:val="auto"/>
          <w:kern w:val="0"/>
          <w:sz w:val="24"/>
          <w:highlight w:val="none"/>
          <w:lang w:eastAsia="zh-CN"/>
        </w:rPr>
        <w:t>当单个项目收费少于8000元的，按8000元计，单个项目上限20万元</w:t>
      </w:r>
      <w:r>
        <w:rPr>
          <w:rFonts w:hint="eastAsia" w:ascii="仿宋" w:hAnsi="仿宋" w:eastAsia="仿宋" w:cs="仿宋"/>
          <w:b w:val="0"/>
          <w:bCs w:val="0"/>
          <w:color w:val="auto"/>
          <w:kern w:val="0"/>
          <w:sz w:val="24"/>
          <w:highlight w:val="none"/>
        </w:rPr>
        <w:t>。</w:t>
      </w:r>
    </w:p>
    <w:p w14:paraId="77A05CD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★2.6检查、考核</w:t>
      </w:r>
    </w:p>
    <w:p w14:paraId="2222DB4F">
      <w:pPr>
        <w:widowControl/>
        <w:snapToGrid w:val="0"/>
        <w:spacing w:line="480" w:lineRule="exact"/>
        <w:ind w:firstLine="482" w:firstLineChars="200"/>
        <w:rPr>
          <w:rFonts w:hint="eastAsia" w:ascii="仿宋" w:hAnsi="仿宋" w:eastAsia="仿宋" w:cs="仿宋"/>
          <w:b/>
          <w:bCs/>
          <w:color w:val="auto"/>
          <w:kern w:val="0"/>
          <w:sz w:val="32"/>
          <w:szCs w:val="22"/>
          <w:highlight w:val="none"/>
          <w:lang w:eastAsia="zh-CN"/>
        </w:rPr>
        <w:sectPr>
          <w:footerReference r:id="rId4" w:type="default"/>
          <w:pgSz w:w="11907" w:h="16840"/>
          <w:pgMar w:top="1440" w:right="1463" w:bottom="1440" w:left="1803" w:header="851" w:footer="992" w:gutter="0"/>
          <w:cols w:space="720" w:num="1"/>
          <w:docGrid w:type="lines" w:linePitch="312" w:charSpace="0"/>
        </w:sectPr>
      </w:pPr>
      <w:r>
        <w:rPr>
          <w:rFonts w:hint="eastAsia" w:ascii="仿宋" w:hAnsi="仿宋" w:eastAsia="仿宋" w:cs="仿宋"/>
          <w:b/>
          <w:bCs/>
          <w:color w:val="auto"/>
          <w:kern w:val="0"/>
          <w:sz w:val="24"/>
          <w:highlight w:val="none"/>
        </w:rPr>
        <w:t>由征集人对入围供应商进行检查和考核，</w:t>
      </w:r>
      <w:r>
        <w:rPr>
          <w:rFonts w:hint="eastAsia" w:ascii="仿宋" w:hAnsi="仿宋" w:eastAsia="仿宋" w:cs="仿宋"/>
          <w:b/>
          <w:bCs/>
          <w:color w:val="auto"/>
          <w:kern w:val="0"/>
          <w:sz w:val="24"/>
          <w:highlight w:val="none"/>
        </w:rPr>
        <w:t>详见《</w:t>
      </w:r>
      <w:r>
        <w:rPr>
          <w:rFonts w:hint="eastAsia" w:ascii="仿宋" w:hAnsi="仿宋" w:eastAsia="仿宋" w:cs="仿宋"/>
          <w:b/>
          <w:bCs/>
          <w:color w:val="auto"/>
          <w:kern w:val="0"/>
          <w:sz w:val="24"/>
          <w:highlight w:val="none"/>
          <w:lang w:eastAsia="zh-CN"/>
        </w:rPr>
        <w:t>关于开展绍兴市建设工程消防验收技术服务机构评定工作的通知</w:t>
      </w:r>
      <w:r>
        <w:rPr>
          <w:rFonts w:hint="eastAsia" w:ascii="仿宋" w:hAnsi="仿宋" w:eastAsia="仿宋" w:cs="仿宋"/>
          <w:b/>
          <w:bCs/>
          <w:color w:val="auto"/>
          <w:kern w:val="0"/>
          <w:sz w:val="24"/>
          <w:highlight w:val="none"/>
        </w:rPr>
        <w:t>》。</w:t>
      </w:r>
    </w:p>
    <w:p w14:paraId="337D36C3">
      <w:pPr>
        <w:pStyle w:val="2"/>
        <w:numPr>
          <w:ilvl w:val="0"/>
          <w:numId w:val="7"/>
        </w:numPr>
        <w:rPr>
          <w:rFonts w:hint="eastAsia" w:ascii="仿宋" w:hAnsi="仿宋" w:eastAsia="仿宋" w:cs="仿宋"/>
          <w:b/>
          <w:color w:val="auto"/>
          <w:spacing w:val="-6"/>
          <w:kern w:val="0"/>
          <w:sz w:val="44"/>
          <w:highlight w:val="none"/>
        </w:rPr>
      </w:pPr>
      <w:bookmarkStart w:id="31" w:name="_Toc2933"/>
      <w:bookmarkStart w:id="32" w:name="_Toc17214"/>
      <w:r>
        <w:rPr>
          <w:rFonts w:hint="eastAsia" w:ascii="仿宋" w:hAnsi="仿宋" w:eastAsia="仿宋" w:cs="仿宋"/>
          <w:b/>
          <w:color w:val="auto"/>
          <w:spacing w:val="-6"/>
          <w:kern w:val="0"/>
          <w:sz w:val="44"/>
          <w:highlight w:val="none"/>
        </w:rPr>
        <w:t>拟签订的框架协议文本</w:t>
      </w:r>
      <w:r>
        <w:rPr>
          <w:rFonts w:hint="eastAsia" w:ascii="仿宋" w:hAnsi="仿宋" w:eastAsia="仿宋" w:cs="仿宋"/>
          <w:b/>
          <w:snapToGrid w:val="0"/>
          <w:color w:val="auto"/>
          <w:spacing w:val="-6"/>
          <w:kern w:val="0"/>
          <w:sz w:val="44"/>
          <w:highlight w:val="none"/>
        </w:rPr>
        <w:t>和</w:t>
      </w:r>
      <w:r>
        <w:rPr>
          <w:rFonts w:hint="eastAsia" w:ascii="仿宋" w:hAnsi="仿宋" w:eastAsia="仿宋" w:cs="仿宋"/>
          <w:b/>
          <w:color w:val="auto"/>
          <w:spacing w:val="-6"/>
          <w:kern w:val="0"/>
          <w:sz w:val="44"/>
          <w:highlight w:val="none"/>
        </w:rPr>
        <w:t>采购合同文本</w:t>
      </w:r>
      <w:bookmarkEnd w:id="31"/>
    </w:p>
    <w:p w14:paraId="65334A5A">
      <w:pPr>
        <w:spacing w:line="440" w:lineRule="exact"/>
        <w:jc w:val="center"/>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t>封闭式框架协议主要条款</w:t>
      </w:r>
    </w:p>
    <w:bookmarkEnd w:id="32"/>
    <w:p w14:paraId="2B96EDE3">
      <w:pPr>
        <w:pStyle w:val="2"/>
        <w:snapToGrid w:val="0"/>
        <w:rPr>
          <w:rFonts w:hint="eastAsia" w:ascii="仿宋" w:hAnsi="仿宋" w:eastAsia="仿宋" w:cs="仿宋"/>
          <w:bCs/>
          <w:color w:val="auto"/>
          <w:kern w:val="0"/>
          <w:sz w:val="24"/>
          <w:highlight w:val="none"/>
          <w:u w:val="single"/>
        </w:rPr>
      </w:pPr>
      <w:bookmarkStart w:id="33" w:name="_Toc5982"/>
      <w:r>
        <w:rPr>
          <w:rFonts w:hint="eastAsia" w:ascii="仿宋" w:hAnsi="仿宋" w:eastAsia="仿宋" w:cs="仿宋"/>
          <w:bCs/>
          <w:color w:val="auto"/>
          <w:kern w:val="0"/>
          <w:sz w:val="24"/>
          <w:highlight w:val="none"/>
          <w:u w:val="single"/>
        </w:rPr>
        <w:t>（框架协议按征集文件及入围供应商响应文件的内容制定，以下仅为部分主要条款）</w:t>
      </w:r>
      <w:bookmarkEnd w:id="33"/>
    </w:p>
    <w:p w14:paraId="4334683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协议编号：</w:t>
      </w:r>
    </w:p>
    <w:p w14:paraId="0B34AC3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0C873E65">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甲方（征集人）：                   </w:t>
      </w:r>
    </w:p>
    <w:p w14:paraId="2BFB0CC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乙方（入围单位）：                                           </w:t>
      </w:r>
    </w:p>
    <w:p w14:paraId="1EFA7A21">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经过公开征集，确定乙方为绍兴市越城区住房和城乡建设局</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的入围单位，为明确双方权利义务，经协商一致，签订本协议书。</w:t>
      </w:r>
    </w:p>
    <w:p w14:paraId="0F58E818">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一、服务内容和范围</w:t>
      </w:r>
    </w:p>
    <w:p w14:paraId="7140FCD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绍兴市越城区住房和城乡建设局管辖的消防验收或备案抽查项目。</w:t>
      </w:r>
    </w:p>
    <w:p w14:paraId="0C90C824">
      <w:pPr>
        <w:pStyle w:val="16"/>
        <w:numPr>
          <w:ilvl w:val="0"/>
          <w:numId w:val="8"/>
        </w:numPr>
        <w:tabs>
          <w:tab w:val="left" w:pos="840"/>
        </w:tabs>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服务要求</w:t>
      </w:r>
    </w:p>
    <w:p w14:paraId="7215E97E">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（一）乙方应严格按照绍兴市越城区住房和城乡建设局有关规定和要求开展建设工程消防验收前期检查和现场评定技术服务工作，具体规定和要求另行制定。 </w:t>
      </w:r>
    </w:p>
    <w:p w14:paraId="0AF441D7">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二）乙方在接到任务书后，应以项目为单位组成技术服务组开展技术服务，技术服务组须明确负责人及成员，其中负责人应具有国家一级注册消防工程师资格或者一级注册建筑师、一级注册结构工程师、注册公用设备工程师（给排水）、注册电气工程师、注册公用设备工程师（暖通空调）、一级注册建造书。单个项目技术服务组成员人数应满足以下要求：建筑面积10万平方米及以上的不少于6人，建筑面积5万（含)-10万的不少于4人，建筑面积5万以下不少于3人。乙方项目负责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none"/>
          <w:lang w:val="en-US" w:eastAsia="zh-CN" w:bidi="ar-SA"/>
        </w:rPr>
        <w:t>。</w:t>
      </w:r>
    </w:p>
    <w:p w14:paraId="70C1B005">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单个项目建筑面积10万平方米及以上的4天内完成现场评定，建筑面积5万平方米（含)-10万平方米的3天内完成现场评定，建筑面积5万平方米以下2天内完成现场评定。建设单位问题整改完毕，乙方应在3日内进行复查，检查合格的及时出具纸质评定报告1份、电子文档1份。甲方由于特殊原因需延长工期时，延期赔偿金可不计，也不对乙方作任何赔偿。</w:t>
      </w:r>
    </w:p>
    <w:p w14:paraId="001D1F0A">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(三）乙方需提供一名专业技术人员配合日常检查，每年服务时间不少于三分之一的工作日并提供检查所需交通工具。</w:t>
      </w:r>
    </w:p>
    <w:p w14:paraId="1AF71555">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乙方需配合甲方每年度开展不少于4次项目现场指导服务。</w:t>
      </w:r>
    </w:p>
    <w:p w14:paraId="0AB4A662">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需配合甲方每年度开展不少于4次的消防设计核验咨询服务，乙方要求须配备结构专业技术人员不少于1人（需取得一级注册结构工程师）、建筑专业技术人员不少于1人（需取得一级注册建筑工程师）、暖通专业技术人员不少于1人（需取得注册公用设备工程师（暖通空调））、给排水专业技术人员不少于1人（需取得注册公用设备工程师（给排水））、电气专业技术人员不少于1人（需取得国家注册电气工程师）。</w:t>
      </w:r>
    </w:p>
    <w:p w14:paraId="6C5C94F2">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服务人员未经甲方同意不得随意变更。甲方对服务人员的责任心、工作能力、合作性、廉洁性进行考核，如有考核不合格人员需立即更换，直至能满足相应岗位要求，甲方不承担任何人员更换的额外费用，期间不合格服务人员的服务费用不予支付，项目负责人调换处违约金为单个项目中标价的5%，其他人员调换每人处违约金为单个项目中标价的1%，人员未到位扣除每人1000元/次，出具的报告有误视情扣除单个项目中标价的2%至5%。</w:t>
      </w:r>
    </w:p>
    <w:p w14:paraId="44167B7A">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（四）乙方应向本项目提供完整的记录和相关资料，并对评估报告的真实性和有效性和时效性负责。</w:t>
      </w:r>
    </w:p>
    <w:p w14:paraId="278ED597">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（五）乙方检测期间，必须遵守项目业主或甲方的各项规定。</w:t>
      </w:r>
    </w:p>
    <w:p w14:paraId="6A07DC00">
      <w:pPr>
        <w:keepNext w:val="0"/>
        <w:keepLines w:val="0"/>
        <w:pageBreakBefore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（六）乙方在为本项目服务期间，须与项目业主或甲方做好沟通、协调、配合工作。</w:t>
      </w:r>
    </w:p>
    <w:p w14:paraId="27EC08AA">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（七）乙方应按要求记录现场评定（包含功能测试）的相关情况，判断建设工程消防安全状况，并出具消防安全评估咨询意见。</w:t>
      </w:r>
    </w:p>
    <w:p w14:paraId="67B5FFA9">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报告要求：乙方严格依据建设工程法律法规、国家工程建设消防技术标准、</w:t>
      </w:r>
      <w:r>
        <w:rPr>
          <w:rFonts w:hint="eastAsia" w:ascii="仿宋" w:hAnsi="仿宋" w:eastAsia="仿宋" w:cs="仿宋"/>
          <w:b w:val="0"/>
          <w:bCs w:val="0"/>
          <w:color w:val="auto"/>
          <w:kern w:val="0"/>
          <w:sz w:val="24"/>
          <w:highlight w:val="none"/>
        </w:rPr>
        <w:t>《建设工程消防设计审查验收管理暂行规定》（住建部令第58号）</w:t>
      </w:r>
      <w:r>
        <w:rPr>
          <w:rFonts w:hint="eastAsia" w:ascii="仿宋" w:hAnsi="仿宋" w:eastAsia="仿宋" w:cs="仿宋"/>
          <w:color w:val="auto"/>
          <w:kern w:val="0"/>
          <w:sz w:val="24"/>
          <w:szCs w:val="24"/>
          <w:highlight w:val="none"/>
          <w:lang w:val="en-US" w:eastAsia="zh-CN" w:bidi="ar-SA"/>
        </w:rPr>
        <w:t>和国家、省、市有关规定和实施细则要求，出具现场评定报告，结论应清晰、明确，并对出具的报告负责。</w:t>
      </w:r>
    </w:p>
    <w:p w14:paraId="68B2B120">
      <w:pPr>
        <w:pStyle w:val="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现场评定规则：</w:t>
      </w:r>
      <w:r>
        <w:rPr>
          <w:rFonts w:hint="eastAsia" w:ascii="仿宋" w:hAnsi="仿宋" w:eastAsia="仿宋" w:cs="仿宋"/>
          <w:b w:val="0"/>
          <w:bCs w:val="0"/>
          <w:color w:val="auto"/>
          <w:kern w:val="0"/>
          <w:sz w:val="24"/>
          <w:highlight w:val="none"/>
        </w:rPr>
        <w:t>《建设工程消防设计审查验收管理暂行规定》（住建部令第58号）</w:t>
      </w:r>
      <w:r>
        <w:rPr>
          <w:rFonts w:hint="eastAsia" w:ascii="仿宋" w:hAnsi="仿宋" w:eastAsia="仿宋" w:cs="仿宋"/>
          <w:color w:val="auto"/>
          <w:kern w:val="0"/>
          <w:sz w:val="24"/>
          <w:szCs w:val="24"/>
          <w:highlight w:val="none"/>
          <w:lang w:val="en-US" w:eastAsia="zh-CN" w:bidi="ar-SA"/>
        </w:rPr>
        <w:t>和国家、省、市有关文件、规定和实施细则要求。现场查验及评定表式按照《浙江省建筑工程消防验收操作技术导则（试行）》执行。</w:t>
      </w:r>
    </w:p>
    <w:p w14:paraId="4D7421BB">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三、框架协议期限</w:t>
      </w:r>
    </w:p>
    <w:p w14:paraId="00A0CDD7">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 月  日至</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月  日止（实际的服务起始点以项目任务书下达和项目验收合格为准）。如遇上级相关行业主管部门有新规定出台时，可随时终止。</w:t>
      </w:r>
    </w:p>
    <w:p w14:paraId="7E882018">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四、甲方的权利和义务</w:t>
      </w:r>
      <w:bookmarkStart w:id="72" w:name="_GoBack"/>
      <w:bookmarkEnd w:id="72"/>
    </w:p>
    <w:p w14:paraId="7E8763C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负责选定第二阶段成交供应商。 </w:t>
      </w:r>
    </w:p>
    <w:p w14:paraId="737604DE">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进行考核。</w:t>
      </w:r>
      <w:r>
        <w:rPr>
          <w:rFonts w:hint="eastAsia" w:ascii="仿宋" w:hAnsi="仿宋" w:eastAsia="仿宋" w:cs="仿宋"/>
          <w:color w:val="auto"/>
          <w:kern w:val="0"/>
          <w:sz w:val="24"/>
          <w:szCs w:val="24"/>
          <w:highlight w:val="none"/>
          <w:lang w:val="en-US" w:eastAsia="zh-CN"/>
        </w:rPr>
        <w:t>在委托项目完成后</w:t>
      </w:r>
      <w:r>
        <w:rPr>
          <w:rFonts w:hint="eastAsia" w:ascii="仿宋" w:hAnsi="仿宋" w:eastAsia="仿宋" w:cs="仿宋"/>
          <w:color w:val="auto"/>
          <w:kern w:val="0"/>
          <w:sz w:val="24"/>
          <w:szCs w:val="24"/>
          <w:highlight w:val="none"/>
        </w:rPr>
        <w:t>根据项目</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val="en-US" w:eastAsia="zh-CN"/>
        </w:rPr>
        <w:t>对乙方</w:t>
      </w:r>
      <w:r>
        <w:rPr>
          <w:rFonts w:hint="eastAsia" w:ascii="仿宋" w:hAnsi="仿宋" w:eastAsia="仿宋" w:cs="仿宋"/>
          <w:color w:val="auto"/>
          <w:kern w:val="0"/>
          <w:sz w:val="24"/>
          <w:szCs w:val="24"/>
          <w:highlight w:val="none"/>
        </w:rPr>
        <w:t>进行</w:t>
      </w:r>
      <w:r>
        <w:rPr>
          <w:rFonts w:hint="eastAsia" w:ascii="仿宋" w:hAnsi="仿宋" w:eastAsia="仿宋" w:cs="仿宋"/>
          <w:color w:val="auto"/>
          <w:kern w:val="0"/>
          <w:sz w:val="24"/>
          <w:szCs w:val="24"/>
          <w:highlight w:val="none"/>
          <w:lang w:val="en-US" w:eastAsia="zh-CN"/>
        </w:rPr>
        <w:t>考核</w:t>
      </w:r>
      <w:r>
        <w:rPr>
          <w:rFonts w:hint="eastAsia" w:ascii="仿宋" w:hAnsi="仿宋" w:eastAsia="仿宋" w:cs="仿宋"/>
          <w:color w:val="auto"/>
          <w:kern w:val="0"/>
          <w:sz w:val="24"/>
          <w:szCs w:val="24"/>
          <w:highlight w:val="none"/>
        </w:rPr>
        <w:t>评分，按考核排名、项目特征、专业需求</w:t>
      </w:r>
      <w:r>
        <w:rPr>
          <w:rFonts w:hint="eastAsia" w:ascii="仿宋" w:hAnsi="仿宋" w:eastAsia="仿宋" w:cs="仿宋"/>
          <w:color w:val="auto"/>
          <w:kern w:val="0"/>
          <w:sz w:val="24"/>
          <w:szCs w:val="24"/>
          <w:highlight w:val="none"/>
          <w:lang w:eastAsia="zh-CN"/>
        </w:rPr>
        <w:t>分配项目</w:t>
      </w:r>
      <w:r>
        <w:rPr>
          <w:rFonts w:hint="eastAsia" w:ascii="仿宋" w:hAnsi="仿宋" w:eastAsia="仿宋" w:cs="仿宋"/>
          <w:color w:val="auto"/>
          <w:kern w:val="0"/>
          <w:sz w:val="24"/>
          <w:szCs w:val="24"/>
          <w:highlight w:val="none"/>
        </w:rPr>
        <w:t>，并对连续考核较差单位</w:t>
      </w:r>
      <w:r>
        <w:rPr>
          <w:rFonts w:hint="eastAsia" w:ascii="仿宋" w:hAnsi="仿宋" w:eastAsia="仿宋" w:cs="仿宋"/>
          <w:color w:val="auto"/>
          <w:kern w:val="0"/>
          <w:sz w:val="24"/>
          <w:szCs w:val="24"/>
          <w:highlight w:val="none"/>
          <w:lang w:val="en-US" w:eastAsia="zh-CN"/>
        </w:rPr>
        <w:t>暂停</w:t>
      </w:r>
      <w:r>
        <w:rPr>
          <w:rFonts w:hint="eastAsia" w:ascii="仿宋" w:hAnsi="仿宋" w:eastAsia="仿宋" w:cs="仿宋"/>
          <w:color w:val="auto"/>
          <w:kern w:val="0"/>
          <w:sz w:val="24"/>
          <w:szCs w:val="24"/>
          <w:highlight w:val="none"/>
        </w:rPr>
        <w:t>业务安排</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 xml:space="preserve">清退。 </w:t>
      </w:r>
    </w:p>
    <w:p w14:paraId="3162690E">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负责对乙方及其派出人员完成的</w:t>
      </w:r>
      <w:r>
        <w:rPr>
          <w:rFonts w:hint="eastAsia" w:ascii="仿宋" w:hAnsi="仿宋" w:eastAsia="仿宋" w:cs="仿宋"/>
          <w:color w:val="auto"/>
          <w:kern w:val="0"/>
          <w:sz w:val="24"/>
          <w:szCs w:val="24"/>
          <w:highlight w:val="none"/>
          <w:lang w:eastAsia="zh-CN"/>
        </w:rPr>
        <w:t>技术服务</w:t>
      </w:r>
      <w:r>
        <w:rPr>
          <w:rFonts w:hint="eastAsia" w:ascii="仿宋" w:hAnsi="仿宋" w:eastAsia="仿宋" w:cs="仿宋"/>
          <w:color w:val="auto"/>
          <w:kern w:val="0"/>
          <w:sz w:val="24"/>
          <w:szCs w:val="24"/>
          <w:highlight w:val="none"/>
        </w:rPr>
        <w:t xml:space="preserve">及工作结果进行审核验收评价。 </w:t>
      </w:r>
    </w:p>
    <w:p w14:paraId="409523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有权要求乙方派出投标书所列人员，并要求乙方及其派出人员协助配合</w:t>
      </w:r>
      <w:r>
        <w:rPr>
          <w:rFonts w:hint="eastAsia" w:ascii="仿宋" w:hAnsi="仿宋" w:eastAsia="仿宋" w:cs="仿宋"/>
          <w:color w:val="auto"/>
          <w:kern w:val="0"/>
          <w:sz w:val="24"/>
          <w:szCs w:val="24"/>
          <w:highlight w:val="none"/>
          <w:lang w:eastAsia="zh-CN"/>
        </w:rPr>
        <w:t>消防技术服务</w:t>
      </w:r>
      <w:r>
        <w:rPr>
          <w:rFonts w:hint="eastAsia" w:ascii="仿宋" w:hAnsi="仿宋" w:eastAsia="仿宋" w:cs="仿宋"/>
          <w:color w:val="auto"/>
          <w:kern w:val="0"/>
          <w:sz w:val="24"/>
          <w:szCs w:val="24"/>
          <w:highlight w:val="none"/>
        </w:rPr>
        <w:t>相关工作。若乙方未按要求派出投标书中项目负责人及项目组成员或未经甲方同意更换人员，甲方有权在</w:t>
      </w:r>
      <w:r>
        <w:rPr>
          <w:rFonts w:hint="eastAsia" w:ascii="仿宋" w:hAnsi="仿宋" w:eastAsia="仿宋" w:cs="仿宋"/>
          <w:color w:val="auto"/>
          <w:kern w:val="0"/>
          <w:sz w:val="24"/>
          <w:szCs w:val="24"/>
          <w:highlight w:val="none"/>
          <w:lang w:eastAsia="zh-CN"/>
        </w:rPr>
        <w:t>项目服务</w:t>
      </w:r>
      <w:r>
        <w:rPr>
          <w:rFonts w:hint="eastAsia" w:ascii="仿宋" w:hAnsi="仿宋" w:eastAsia="仿宋" w:cs="仿宋"/>
          <w:color w:val="auto"/>
          <w:kern w:val="0"/>
          <w:sz w:val="24"/>
          <w:szCs w:val="24"/>
          <w:highlight w:val="none"/>
        </w:rPr>
        <w:t>分配中进行合理调整，取消乙方当轮业务资格及下一轮业务安排资格。</w:t>
      </w:r>
    </w:p>
    <w:p w14:paraId="67FBC935">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、根据乙方的</w:t>
      </w:r>
      <w:r>
        <w:rPr>
          <w:rFonts w:hint="eastAsia" w:ascii="仿宋" w:hAnsi="仿宋" w:eastAsia="仿宋" w:cs="仿宋"/>
          <w:color w:val="auto"/>
          <w:kern w:val="0"/>
          <w:sz w:val="24"/>
          <w:szCs w:val="24"/>
          <w:highlight w:val="none"/>
          <w:lang w:eastAsia="zh-CN"/>
        </w:rPr>
        <w:t>合理</w:t>
      </w:r>
      <w:r>
        <w:rPr>
          <w:rFonts w:hint="eastAsia" w:ascii="仿宋" w:hAnsi="仿宋" w:eastAsia="仿宋" w:cs="仿宋"/>
          <w:color w:val="auto"/>
          <w:kern w:val="0"/>
          <w:sz w:val="24"/>
          <w:szCs w:val="24"/>
          <w:highlight w:val="none"/>
        </w:rPr>
        <w:t>要求，协调处理项目实施中的相关事宜。</w:t>
      </w:r>
    </w:p>
    <w:p w14:paraId="29108C78">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、其他应该由甲方履行的义务和承担的责任。</w:t>
      </w:r>
    </w:p>
    <w:p w14:paraId="7BF40ABF">
      <w:pPr>
        <w:pStyle w:val="16"/>
        <w:tabs>
          <w:tab w:val="left" w:pos="840"/>
        </w:tabs>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kern w:val="0"/>
          <w:sz w:val="24"/>
          <w:szCs w:val="24"/>
          <w:highlight w:val="none"/>
        </w:rPr>
        <w:t>五、乙方的权利和义务</w:t>
      </w:r>
    </w:p>
    <w:p w14:paraId="1CCFD4F6">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1.乙方可以要求甲方提供与委托内容有关的资料。</w:t>
      </w:r>
    </w:p>
    <w:p w14:paraId="6D60F12F">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2.乙方可以要求甲方对有关问题作出解释和补充有关资料。</w:t>
      </w:r>
    </w:p>
    <w:p w14:paraId="25FA4B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color w:val="auto"/>
          <w:kern w:val="0"/>
          <w:sz w:val="24"/>
          <w:szCs w:val="24"/>
          <w:highlight w:val="none"/>
        </w:rPr>
        <w:t>3.乙方在</w:t>
      </w:r>
      <w:r>
        <w:rPr>
          <w:rFonts w:hint="eastAsia" w:ascii="仿宋" w:hAnsi="仿宋" w:eastAsia="仿宋" w:cs="仿宋"/>
          <w:color w:val="auto"/>
          <w:kern w:val="0"/>
          <w:sz w:val="24"/>
          <w:szCs w:val="24"/>
          <w:highlight w:val="none"/>
          <w:lang w:eastAsia="zh-CN"/>
        </w:rPr>
        <w:t>项目技术</w:t>
      </w:r>
      <w:r>
        <w:rPr>
          <w:rFonts w:hint="eastAsia" w:ascii="仿宋" w:hAnsi="仿宋" w:eastAsia="仿宋" w:cs="仿宋"/>
          <w:color w:val="auto"/>
          <w:kern w:val="0"/>
          <w:sz w:val="24"/>
          <w:szCs w:val="24"/>
          <w:highlight w:val="none"/>
        </w:rPr>
        <w:t>服务过程中应</w:t>
      </w:r>
      <w:r>
        <w:rPr>
          <w:rFonts w:hint="eastAsia" w:ascii="仿宋" w:hAnsi="仿宋" w:eastAsia="仿宋" w:cs="仿宋"/>
          <w:color w:val="auto"/>
          <w:kern w:val="0"/>
          <w:sz w:val="24"/>
          <w:szCs w:val="24"/>
          <w:highlight w:val="none"/>
          <w:lang w:eastAsia="zh-CN"/>
        </w:rPr>
        <w:t>严格</w:t>
      </w:r>
      <w:r>
        <w:rPr>
          <w:rFonts w:hint="eastAsia" w:ascii="仿宋" w:hAnsi="仿宋" w:eastAsia="仿宋" w:cs="仿宋"/>
          <w:color w:val="auto"/>
          <w:kern w:val="0"/>
          <w:sz w:val="24"/>
          <w:szCs w:val="24"/>
          <w:highlight w:val="none"/>
        </w:rPr>
        <w:t>遵守</w:t>
      </w:r>
      <w:r>
        <w:rPr>
          <w:rFonts w:hint="eastAsia" w:ascii="仿宋" w:hAnsi="仿宋" w:eastAsia="仿宋" w:cs="仿宋"/>
          <w:color w:val="auto"/>
          <w:kern w:val="0"/>
          <w:sz w:val="24"/>
          <w:szCs w:val="24"/>
          <w:highlight w:val="none"/>
          <w:lang w:eastAsia="zh-CN"/>
        </w:rPr>
        <w:t>廉洁和工作</w:t>
      </w:r>
      <w:r>
        <w:rPr>
          <w:rFonts w:hint="eastAsia" w:ascii="仿宋" w:hAnsi="仿宋" w:eastAsia="仿宋" w:cs="仿宋"/>
          <w:color w:val="auto"/>
          <w:kern w:val="0"/>
          <w:sz w:val="24"/>
          <w:szCs w:val="24"/>
          <w:highlight w:val="none"/>
        </w:rPr>
        <w:t>纪律、规范</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行为，严格按照</w:t>
      </w:r>
      <w:r>
        <w:rPr>
          <w:rFonts w:hint="eastAsia" w:ascii="仿宋" w:hAnsi="仿宋" w:eastAsia="仿宋" w:cs="仿宋"/>
          <w:color w:val="auto"/>
          <w:kern w:val="0"/>
          <w:sz w:val="24"/>
          <w:szCs w:val="24"/>
          <w:highlight w:val="none"/>
          <w:lang w:eastAsia="zh-CN"/>
        </w:rPr>
        <w:t>消防</w:t>
      </w:r>
      <w:r>
        <w:rPr>
          <w:rFonts w:hint="eastAsia" w:ascii="仿宋" w:hAnsi="仿宋" w:eastAsia="仿宋" w:cs="仿宋"/>
          <w:color w:val="auto"/>
          <w:kern w:val="0"/>
          <w:sz w:val="24"/>
          <w:szCs w:val="24"/>
          <w:highlight w:val="none"/>
        </w:rPr>
        <w:t>规范</w:t>
      </w:r>
      <w:r>
        <w:rPr>
          <w:rFonts w:hint="eastAsia" w:ascii="仿宋" w:hAnsi="仿宋" w:eastAsia="仿宋" w:cs="仿宋"/>
          <w:color w:val="auto"/>
          <w:kern w:val="0"/>
          <w:sz w:val="24"/>
          <w:szCs w:val="24"/>
          <w:highlight w:val="none"/>
          <w:lang w:eastAsia="zh-CN"/>
        </w:rPr>
        <w:t>标准</w:t>
      </w:r>
      <w:r>
        <w:rPr>
          <w:rFonts w:hint="eastAsia" w:ascii="仿宋" w:hAnsi="仿宋" w:eastAsia="仿宋" w:cs="仿宋"/>
          <w:color w:val="auto"/>
          <w:kern w:val="0"/>
          <w:sz w:val="24"/>
          <w:szCs w:val="24"/>
          <w:highlight w:val="none"/>
        </w:rPr>
        <w:t>要求开展工作。</w:t>
      </w:r>
    </w:p>
    <w:p w14:paraId="3234F16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4.乙方应严格按照甲方的有关规定和要求实施</w:t>
      </w:r>
      <w:r>
        <w:rPr>
          <w:rFonts w:hint="eastAsia" w:ascii="仿宋" w:hAnsi="仿宋" w:eastAsia="仿宋" w:cs="仿宋"/>
          <w:color w:val="auto"/>
          <w:kern w:val="0"/>
          <w:sz w:val="24"/>
          <w:szCs w:val="24"/>
          <w:highlight w:val="none"/>
          <w:lang w:eastAsia="zh-CN"/>
        </w:rPr>
        <w:t>技术</w:t>
      </w:r>
      <w:r>
        <w:rPr>
          <w:rFonts w:hint="eastAsia" w:ascii="仿宋" w:hAnsi="仿宋" w:eastAsia="仿宋" w:cs="仿宋"/>
          <w:color w:val="auto"/>
          <w:kern w:val="0"/>
          <w:sz w:val="24"/>
          <w:szCs w:val="24"/>
          <w:highlight w:val="none"/>
        </w:rPr>
        <w:t>服务，接受甲方的监督，按期完成服务任务，并确保结果真实、合法和准确</w:t>
      </w:r>
      <w:r>
        <w:rPr>
          <w:rFonts w:hint="eastAsia" w:ascii="仿宋" w:hAnsi="仿宋" w:eastAsia="仿宋" w:cs="仿宋"/>
          <w:color w:val="auto"/>
          <w:kern w:val="0"/>
          <w:sz w:val="24"/>
          <w:szCs w:val="24"/>
          <w:highlight w:val="none"/>
          <w:lang w:eastAsia="zh-CN"/>
        </w:rPr>
        <w:t>。</w:t>
      </w:r>
    </w:p>
    <w:p w14:paraId="3B7B42C6">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5.在合同履行期间，乙方应按甲方要求开展工作，在工作中遵循公平、公正、公开、合法、</w:t>
      </w:r>
      <w:r>
        <w:rPr>
          <w:rFonts w:hint="eastAsia" w:ascii="仿宋" w:hAnsi="仿宋" w:eastAsia="仿宋" w:cs="仿宋"/>
          <w:color w:val="auto"/>
          <w:kern w:val="0"/>
          <w:sz w:val="24"/>
          <w:szCs w:val="24"/>
          <w:highlight w:val="none"/>
          <w:lang w:eastAsia="zh-CN"/>
        </w:rPr>
        <w:t>合规、</w:t>
      </w:r>
      <w:r>
        <w:rPr>
          <w:rFonts w:hint="eastAsia" w:ascii="仿宋" w:hAnsi="仿宋" w:eastAsia="仿宋" w:cs="仿宋"/>
          <w:color w:val="auto"/>
          <w:kern w:val="0"/>
          <w:sz w:val="24"/>
          <w:szCs w:val="24"/>
          <w:highlight w:val="none"/>
        </w:rPr>
        <w:t>独立的原则，认真、细致、周到的进行服务。</w:t>
      </w:r>
    </w:p>
    <w:p w14:paraId="171C1A94">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乙方应严格遵守相关安全生产法律法规及操作规程，自行负责服务过程中技术人员的安全，并承担全部责任。</w:t>
      </w:r>
    </w:p>
    <w:p w14:paraId="0407AE8B">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相关资料移交给乙方后，乙方有义务对所有资料进行妥善保管，确保</w:t>
      </w:r>
      <w:r>
        <w:rPr>
          <w:rFonts w:hint="eastAsia" w:ascii="仿宋" w:hAnsi="仿宋" w:eastAsia="仿宋" w:cs="仿宋"/>
          <w:color w:val="auto"/>
          <w:kern w:val="0"/>
          <w:sz w:val="24"/>
          <w:szCs w:val="24"/>
          <w:highlight w:val="none"/>
          <w:lang w:eastAsia="zh-CN"/>
        </w:rPr>
        <w:t>项目技术服务</w:t>
      </w:r>
      <w:r>
        <w:rPr>
          <w:rFonts w:hint="eastAsia" w:ascii="仿宋" w:hAnsi="仿宋" w:eastAsia="仿宋" w:cs="仿宋"/>
          <w:color w:val="auto"/>
          <w:kern w:val="0"/>
          <w:sz w:val="24"/>
          <w:szCs w:val="24"/>
          <w:highlight w:val="none"/>
        </w:rPr>
        <w:t>结束后完整移交</w:t>
      </w:r>
      <w:r>
        <w:rPr>
          <w:rFonts w:hint="eastAsia" w:ascii="仿宋" w:hAnsi="仿宋" w:eastAsia="仿宋" w:cs="仿宋"/>
          <w:color w:val="auto"/>
          <w:kern w:val="0"/>
          <w:sz w:val="24"/>
          <w:szCs w:val="24"/>
          <w:highlight w:val="none"/>
          <w:lang w:eastAsia="zh-CN"/>
        </w:rPr>
        <w:t>档案</w:t>
      </w:r>
      <w:r>
        <w:rPr>
          <w:rFonts w:hint="eastAsia" w:ascii="仿宋" w:hAnsi="仿宋" w:eastAsia="仿宋" w:cs="仿宋"/>
          <w:color w:val="auto"/>
          <w:kern w:val="0"/>
          <w:sz w:val="24"/>
          <w:szCs w:val="24"/>
          <w:highlight w:val="none"/>
        </w:rPr>
        <w:t>资料。乙方及其派出人员不得使用甲方委托事项的资料</w:t>
      </w:r>
      <w:r>
        <w:rPr>
          <w:rFonts w:hint="eastAsia" w:ascii="仿宋" w:hAnsi="仿宋" w:eastAsia="仿宋" w:cs="仿宋"/>
          <w:b w:val="0"/>
          <w:bCs w:val="0"/>
          <w:color w:val="auto"/>
          <w:kern w:val="0"/>
          <w:sz w:val="24"/>
          <w:szCs w:val="24"/>
          <w:highlight w:val="none"/>
        </w:rPr>
        <w:t>和结果，用于与委托事项无关的</w:t>
      </w:r>
      <w:r>
        <w:rPr>
          <w:rFonts w:hint="eastAsia" w:ascii="仿宋" w:hAnsi="仿宋" w:eastAsia="仿宋" w:cs="仿宋"/>
          <w:b w:val="0"/>
          <w:bCs w:val="0"/>
          <w:color w:val="auto"/>
          <w:kern w:val="0"/>
          <w:sz w:val="24"/>
          <w:szCs w:val="24"/>
          <w:highlight w:val="none"/>
          <w:lang w:eastAsia="zh-CN"/>
        </w:rPr>
        <w:t>用途</w:t>
      </w:r>
      <w:r>
        <w:rPr>
          <w:rFonts w:hint="eastAsia" w:ascii="仿宋" w:hAnsi="仿宋" w:eastAsia="仿宋" w:cs="仿宋"/>
          <w:b w:val="0"/>
          <w:bCs w:val="0"/>
          <w:color w:val="auto"/>
          <w:kern w:val="0"/>
          <w:sz w:val="24"/>
          <w:szCs w:val="24"/>
          <w:highlight w:val="none"/>
        </w:rPr>
        <w:t>。</w:t>
      </w:r>
    </w:p>
    <w:p w14:paraId="30AC99F0">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.入围供应商无正当理由，不得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放弃入围资格或者退出框架协议。</w:t>
      </w:r>
    </w:p>
    <w:p w14:paraId="6BBFD118">
      <w:pPr>
        <w:pStyle w:val="16"/>
        <w:keepNext w:val="0"/>
        <w:keepLines w:val="0"/>
        <w:pageBreakBefore w:val="0"/>
        <w:widowControl w:val="0"/>
        <w:tabs>
          <w:tab w:val="left" w:pos="840"/>
        </w:tabs>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.乙方有义务在本单位中选派投标书中所列的项目组成员（必须要有项目负责人带队）参与服务工作，在本协议履行期间不得</w:t>
      </w:r>
      <w:r>
        <w:rPr>
          <w:rFonts w:hint="eastAsia" w:ascii="仿宋" w:hAnsi="仿宋" w:eastAsia="仿宋" w:cs="仿宋"/>
          <w:b w:val="0"/>
          <w:bCs w:val="0"/>
          <w:color w:val="auto"/>
          <w:kern w:val="0"/>
          <w:sz w:val="24"/>
          <w:szCs w:val="24"/>
          <w:highlight w:val="none"/>
          <w:lang w:eastAsia="zh-CN"/>
        </w:rPr>
        <w:t>擅自</w:t>
      </w:r>
      <w:r>
        <w:rPr>
          <w:rFonts w:hint="eastAsia" w:ascii="仿宋" w:hAnsi="仿宋" w:eastAsia="仿宋" w:cs="仿宋"/>
          <w:b w:val="0"/>
          <w:bCs w:val="0"/>
          <w:color w:val="auto"/>
          <w:kern w:val="0"/>
          <w:sz w:val="24"/>
          <w:szCs w:val="24"/>
          <w:highlight w:val="none"/>
        </w:rPr>
        <w:t>更换服务人员。</w:t>
      </w:r>
    </w:p>
    <w:p w14:paraId="05A9DD80">
      <w:pPr>
        <w:keepNext w:val="0"/>
        <w:keepLines w:val="0"/>
        <w:pageBreakBefore w:val="0"/>
        <w:widowControl w:val="0"/>
        <w:kinsoku/>
        <w:wordWrap/>
        <w:overflowPunct/>
        <w:topLinePunct w:val="0"/>
        <w:autoSpaceDE/>
        <w:autoSpaceDN/>
        <w:bidi w:val="0"/>
        <w:adjustRightInd w:val="0"/>
        <w:snapToGrid w:val="0"/>
        <w:spacing w:line="360" w:lineRule="auto"/>
        <w:ind w:firstLine="51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10</w:t>
      </w:r>
      <w:r>
        <w:rPr>
          <w:rFonts w:hint="eastAsia" w:ascii="仿宋" w:hAnsi="仿宋" w:eastAsia="仿宋" w:cs="仿宋"/>
          <w:b w:val="0"/>
          <w:bCs w:val="0"/>
          <w:color w:val="auto"/>
          <w:kern w:val="0"/>
          <w:sz w:val="24"/>
          <w:szCs w:val="24"/>
          <w:highlight w:val="none"/>
        </w:rPr>
        <w:t>.乙方对其出具的成果报告真实性、合法性</w:t>
      </w:r>
      <w:r>
        <w:rPr>
          <w:rFonts w:hint="eastAsia" w:ascii="仿宋" w:hAnsi="仿宋" w:eastAsia="仿宋" w:cs="仿宋"/>
          <w:b w:val="0"/>
          <w:bCs w:val="0"/>
          <w:color w:val="auto"/>
          <w:kern w:val="0"/>
          <w:sz w:val="24"/>
          <w:szCs w:val="24"/>
          <w:highlight w:val="none"/>
          <w:lang w:eastAsia="zh-CN"/>
        </w:rPr>
        <w:t>承担法律责任</w:t>
      </w:r>
      <w:r>
        <w:rPr>
          <w:rFonts w:hint="eastAsia" w:ascii="仿宋" w:hAnsi="仿宋" w:eastAsia="仿宋" w:cs="仿宋"/>
          <w:b w:val="0"/>
          <w:bCs w:val="0"/>
          <w:color w:val="auto"/>
          <w:kern w:val="0"/>
          <w:sz w:val="24"/>
          <w:szCs w:val="24"/>
          <w:highlight w:val="none"/>
        </w:rPr>
        <w:t>。</w:t>
      </w:r>
    </w:p>
    <w:p w14:paraId="0C852022">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六、收费标准</w:t>
      </w:r>
    </w:p>
    <w:p w14:paraId="47A8A1AF">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bidi="ar-SA"/>
        </w:rPr>
        <w:t>单个项目以</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为结算单位，承担前期检查技术服务及验收现场验评技术服务的，结算价款=</w:t>
      </w:r>
      <w:r>
        <w:rPr>
          <w:rFonts w:hint="eastAsia" w:ascii="仿宋" w:hAnsi="仿宋" w:eastAsia="仿宋" w:cs="仿宋"/>
          <w:b w:val="0"/>
          <w:bCs w:val="0"/>
          <w:color w:val="auto"/>
          <w:kern w:val="0"/>
          <w:sz w:val="24"/>
          <w:highlight w:val="none"/>
        </w:rPr>
        <w:t>现场评定建筑面积</w:t>
      </w:r>
      <w:r>
        <w:rPr>
          <w:rFonts w:hint="eastAsia" w:ascii="仿宋" w:hAnsi="仿宋" w:eastAsia="仿宋" w:cs="仿宋"/>
          <w:b w:val="0"/>
          <w:bCs w:val="0"/>
          <w:color w:val="auto"/>
          <w:kern w:val="0"/>
          <w:sz w:val="24"/>
          <w:highlight w:val="none"/>
          <w:lang w:val="en-US" w:eastAsia="zh-CN" w:bidi="ar-SA"/>
        </w:rPr>
        <w:t>×</w:t>
      </w:r>
      <w:r>
        <w:rPr>
          <w:rFonts w:hint="eastAsia" w:ascii="仿宋" w:hAnsi="仿宋" w:cs="仿宋"/>
          <w:b w:val="0"/>
          <w:bCs w:val="0"/>
          <w:color w:val="auto"/>
          <w:kern w:val="0"/>
          <w:sz w:val="24"/>
          <w:highlight w:val="none"/>
          <w:lang w:val="en-US" w:eastAsia="zh-CN" w:bidi="ar-SA"/>
        </w:rPr>
        <w:t>最高限制</w:t>
      </w:r>
      <w:r>
        <w:rPr>
          <w:rFonts w:hint="eastAsia" w:ascii="仿宋" w:hAnsi="仿宋" w:eastAsia="仿宋" w:cs="仿宋"/>
          <w:b w:val="0"/>
          <w:bCs w:val="0"/>
          <w:color w:val="auto"/>
          <w:kern w:val="0"/>
          <w:sz w:val="24"/>
          <w:highlight w:val="none"/>
          <w:lang w:val="en-US" w:eastAsia="zh-CN" w:bidi="ar-SA"/>
        </w:rPr>
        <w:t>单价*</w:t>
      </w:r>
      <w:r>
        <w:rPr>
          <w:rFonts w:hint="eastAsia" w:ascii="仿宋" w:hAnsi="仿宋" w:eastAsia="仿宋" w:cs="仿宋"/>
          <w:b w:val="0"/>
          <w:bCs w:val="0"/>
          <w:color w:val="auto"/>
          <w:kern w:val="0"/>
          <w:sz w:val="24"/>
          <w:highlight w:val="none"/>
        </w:rPr>
        <w:t>中标折扣率</w:t>
      </w:r>
      <w:r>
        <w:rPr>
          <w:rFonts w:hint="eastAsia" w:ascii="仿宋" w:hAnsi="仿宋" w:eastAsia="仿宋" w:cs="仿宋"/>
          <w:b w:val="0"/>
          <w:bCs w:val="0"/>
          <w:color w:val="auto"/>
          <w:kern w:val="0"/>
          <w:sz w:val="24"/>
          <w:highlight w:val="none"/>
          <w:lang w:val="en-US" w:eastAsia="zh-CN" w:bidi="ar-SA"/>
        </w:rPr>
        <w:t>；</w:t>
      </w:r>
      <w:r>
        <w:rPr>
          <w:rFonts w:hint="eastAsia" w:ascii="仿宋" w:hAnsi="仿宋" w:eastAsia="仿宋" w:cs="仿宋"/>
          <w:b w:val="0"/>
          <w:bCs w:val="0"/>
          <w:color w:val="auto"/>
          <w:kern w:val="0"/>
          <w:sz w:val="24"/>
          <w:highlight w:val="none"/>
        </w:rPr>
        <w:t>在结算时按中标单价按实调整,现场评定建筑面积以受理凭证为准。</w:t>
      </w:r>
    </w:p>
    <w:p w14:paraId="2C37FD10">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lang w:val="en-US" w:eastAsia="zh-CN" w:bidi="ar-SA"/>
        </w:rPr>
      </w:pPr>
      <w:r>
        <w:rPr>
          <w:rFonts w:hint="eastAsia" w:ascii="仿宋" w:hAnsi="仿宋" w:eastAsia="仿宋" w:cs="仿宋"/>
          <w:b w:val="0"/>
          <w:bCs w:val="0"/>
          <w:color w:val="auto"/>
          <w:kern w:val="0"/>
          <w:sz w:val="24"/>
          <w:highlight w:val="none"/>
          <w:lang w:val="en-US" w:eastAsia="zh-CN" w:bidi="ar-SA"/>
        </w:rPr>
        <w:t>建设工程经消防验收现场评定不合格，需由项目建设单位负责整改后重新申请消防验收的，服务商应重新开展技术服务，合同价款不予增加。</w:t>
      </w:r>
    </w:p>
    <w:p w14:paraId="62FA374B">
      <w:pPr>
        <w:pStyle w:val="3"/>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left="-60" w:leftChars="0" w:firstLine="480" w:firstLineChars="0"/>
        <w:jc w:val="both"/>
        <w:textAlignment w:val="auto"/>
        <w:rPr>
          <w:rFonts w:hint="eastAsia" w:ascii="仿宋" w:hAnsi="仿宋" w:eastAsia="仿宋" w:cs="仿宋"/>
          <w:b w:val="0"/>
          <w:bCs w:val="0"/>
          <w:color w:val="auto"/>
          <w:kern w:val="0"/>
          <w:sz w:val="24"/>
          <w:highlight w:val="none"/>
        </w:rPr>
      </w:pPr>
      <w:r>
        <w:rPr>
          <w:rFonts w:hint="eastAsia" w:ascii="仿宋" w:hAnsi="仿宋" w:cs="仿宋"/>
          <w:b w:val="0"/>
          <w:bCs w:val="0"/>
          <w:color w:val="auto"/>
          <w:kern w:val="0"/>
          <w:sz w:val="24"/>
          <w:highlight w:val="none"/>
          <w:lang w:eastAsia="zh-CN"/>
        </w:rPr>
        <w:t>当单个项目收费少于8000元的，按8000元计，单个项目上限20万元</w:t>
      </w:r>
      <w:r>
        <w:rPr>
          <w:rFonts w:hint="eastAsia" w:ascii="仿宋" w:hAnsi="仿宋" w:eastAsia="仿宋" w:cs="仿宋"/>
          <w:b w:val="0"/>
          <w:bCs w:val="0"/>
          <w:color w:val="auto"/>
          <w:kern w:val="0"/>
          <w:sz w:val="24"/>
          <w:highlight w:val="none"/>
        </w:rPr>
        <w:t>。</w:t>
      </w:r>
    </w:p>
    <w:p w14:paraId="780CDF0D">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七、入围供应商的清退和补充规则</w:t>
      </w:r>
    </w:p>
    <w:p w14:paraId="569999F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1、清退规则：在下列情形下</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有权清退入围供应商，而不需要承担任何责任：</w:t>
      </w:r>
    </w:p>
    <w:p w14:paraId="1CE28367">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1）入围供应商实质性违反本协议约定的；</w:t>
      </w:r>
    </w:p>
    <w:p w14:paraId="695A96DB">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2）入围供应商有违反合同约定或其职责、义务的行为，在</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 xml:space="preserve">指定期限内未予以纠正或补救的； </w:t>
      </w:r>
    </w:p>
    <w:p w14:paraId="435A85A2">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3）入围供应商资质吊销或注销的；</w:t>
      </w:r>
    </w:p>
    <w:p w14:paraId="246BC73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4）入围供应商未严格执行保密制度，泄漏委托方的秘密或与第三方串通损害</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利益的；由此造成的经济损失，入围方应予赔偿；存在违法违规行为的，由相关部门进行处理；</w:t>
      </w:r>
    </w:p>
    <w:p w14:paraId="64BB0115">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5）入围供应商与项目相关单位或个人私下交易，接受财物、吃请等违纪行为经查实的；存在违法违规行为的，由相关部门进行处理；</w:t>
      </w:r>
    </w:p>
    <w:p w14:paraId="6EDC7B7E">
      <w:pPr>
        <w:pStyle w:val="16"/>
        <w:tabs>
          <w:tab w:val="left" w:pos="840"/>
        </w:tabs>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6）入围供应商不能在约定时间内响应消防验收现场评定，影响甲方消防验收工作正常开展的</w:t>
      </w:r>
      <w:r>
        <w:rPr>
          <w:rFonts w:hint="eastAsia" w:ascii="仿宋" w:hAnsi="仿宋" w:eastAsia="仿宋" w:cs="仿宋"/>
          <w:color w:val="auto"/>
          <w:kern w:val="0"/>
          <w:sz w:val="24"/>
          <w:szCs w:val="24"/>
          <w:highlight w:val="none"/>
          <w:lang w:eastAsia="zh-CN"/>
        </w:rPr>
        <w:t>；</w:t>
      </w:r>
    </w:p>
    <w:p w14:paraId="2D84F83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7）确定入围供应商后，</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有权对入围供应商提供的业绩材料等相关资料到相关部门进行核实，如响应文件存在虚假情况，则取消中标候选人的中标资格，存在违法违规行为的，由相关部门进行处理；</w:t>
      </w:r>
    </w:p>
    <w:p w14:paraId="187A9AA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8）入围供应商</w:t>
      </w:r>
      <w:r>
        <w:rPr>
          <w:rFonts w:hint="eastAsia" w:ascii="仿宋" w:hAnsi="仿宋" w:eastAsia="仿宋" w:cs="仿宋"/>
          <w:color w:val="auto"/>
          <w:kern w:val="0"/>
          <w:sz w:val="24"/>
          <w:szCs w:val="24"/>
          <w:highlight w:val="none"/>
          <w:lang w:val="en-US" w:eastAsia="zh-CN"/>
        </w:rPr>
        <w:t>出具虚假报告或报告内容与事实明显不符，被指出后仍不改正的；</w:t>
      </w:r>
    </w:p>
    <w:p w14:paraId="4DBA4701">
      <w:pPr>
        <w:pStyle w:val="16"/>
        <w:tabs>
          <w:tab w:val="left" w:pos="840"/>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在合同约定期限内擅自解除本协议；</w:t>
      </w:r>
    </w:p>
    <w:p w14:paraId="5C983B93">
      <w:pPr>
        <w:pStyle w:val="16"/>
        <w:tabs>
          <w:tab w:val="left" w:pos="840"/>
        </w:tabs>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10）甲方有权根据需要随时检验</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相应能力。如本协议有效期内</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丧失规定具备的相应能力，</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应在收到甲方书面通知后的【15】天内达到甲方要求的标准。</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在收到甲方书面通知后的【15】天内未达到甲方要求的标准，甲方有权解除本协议。</w:t>
      </w:r>
    </w:p>
    <w:p w14:paraId="62995597">
      <w:pPr>
        <w:pStyle w:val="16"/>
        <w:tabs>
          <w:tab w:val="left" w:pos="840"/>
        </w:tabs>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入围供应商</w:t>
      </w:r>
      <w:r>
        <w:rPr>
          <w:rFonts w:hint="eastAsia" w:ascii="仿宋" w:hAnsi="仿宋" w:eastAsia="仿宋" w:cs="仿宋"/>
          <w:color w:val="auto"/>
          <w:kern w:val="0"/>
          <w:sz w:val="24"/>
          <w:szCs w:val="24"/>
          <w:highlight w:val="none"/>
          <w:lang w:val="en-US" w:eastAsia="zh-CN"/>
        </w:rPr>
        <w:t>及员工违反廉洁规定、违反从业规定、被相关部门处理、损害甲方形象声誉，故意拖延或刁难企业消防验收现场评定的，甲方可视情实施惩戒，直至解除合同。</w:t>
      </w:r>
    </w:p>
    <w:p w14:paraId="7DA0609A">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如遇到政策变化或者其他不可抗力因素，本协议自动解除。</w:t>
      </w:r>
    </w:p>
    <w:p w14:paraId="43E02BFB">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2、补充规则：在框架协议有效期内，不再补充征集供应商。</w:t>
      </w:r>
    </w:p>
    <w:p w14:paraId="2BDFB19F">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合同的变更和终止</w:t>
      </w:r>
    </w:p>
    <w:p w14:paraId="7A585D0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对本合同的任何变更，须经双方同意，并以书面形式作出方可生效。</w:t>
      </w:r>
    </w:p>
    <w:p w14:paraId="0CAD831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本合同按下列方式终止：</w:t>
      </w:r>
    </w:p>
    <w:p w14:paraId="1A4D4E4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（1）本合同约定的服务期限届满并由甲方在服务期限内委托乙方实施的技术服务全部经甲方认可后；</w:t>
      </w:r>
    </w:p>
    <w:p w14:paraId="3194F12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（2）本合同任何一方因地震、风暴、灾害、战争等不可抗力丧失继续履行本协议的能力；</w:t>
      </w:r>
    </w:p>
    <w:p w14:paraId="386C33BA">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（3）因政策调整或上级部门出台新规，不再适用本验收评定办法和本合同条款的。</w:t>
      </w:r>
    </w:p>
    <w:p w14:paraId="56E3EC0F">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解除合同应按《浙江省合同管理办法》向财政备案。</w:t>
      </w:r>
    </w:p>
    <w:p w14:paraId="1D2376A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双方终止本协议，并不免除乙方在合同约定期间给甲方及第三人造成的任何损失，包括但不限于合同约定期间造成的甲方事后手相关机构处罚、诉讼的，乙方仍需要继续积极补救并对已履行的行为承担一切责任。</w:t>
      </w:r>
    </w:p>
    <w:p w14:paraId="19AA3A1C">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违约责任及损害赔偿</w:t>
      </w:r>
    </w:p>
    <w:p w14:paraId="1AB75BDF">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乙方违约的，乙方应赔付甲方除违约金外，还包括但不限于诉讼费、财产保全费、财产保全担保费、公证费、律师费、差旅费、损害赔偿金及其他甲方合理支出的费用。乙方给第三人造成的损失的，甲方保留向乙方追诉的权利。</w:t>
      </w:r>
    </w:p>
    <w:p w14:paraId="74F4B73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乙方逾期提供服务的，乙方应按逾期交付项目总额每日千分之一向甲方支付违约金，由甲方从合同款项中或从保证金中直接扣除。逾期超过约定日期10个工作日不能交付的，甲方可解除本合同。乙方因逾期交付或因其他违约行为导致甲方解除合同的，甲方有权扣除乙方全部保证金，并且乙方应向甲方支付合同总值5%的违约金，如造成甲方损失超过违约金的，超出部分由乙方继续承担赔偿责任。 </w:t>
      </w:r>
    </w:p>
    <w:p w14:paraId="0F078BC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乙方及员工违反廉洁规定、违反从业规定、被相关部门处理、损害甲方形象声誉，故意拖延或刁难企业消防验收现场评定的，甲方可视情实施惩戒，直至解除合同。</w:t>
      </w:r>
    </w:p>
    <w:p w14:paraId="0E92FED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任何一方违反本合同约定，另一方可以要求或采纳本合同和法律所允许的补救措施，包括但不限于实际履行和补偿经济损失。</w:t>
      </w:r>
    </w:p>
    <w:p w14:paraId="32F2086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甲方无正当理由拒绝验收项目的，甲方向乙方偿付拒收合同总价的5%违约金。</w:t>
      </w:r>
    </w:p>
    <w:p w14:paraId="71A77713">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甲方无故逾期验收和办理合同款项支付手续的,甲方应按逾期付款总额每日万分之五向乙方支付违约金。</w:t>
      </w:r>
    </w:p>
    <w:p w14:paraId="6B31EEE2">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其它规定</w:t>
      </w:r>
    </w:p>
    <w:p w14:paraId="78C2CC2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乙方及关联企业在绍兴市越城区管辖项目范围内，不得从事可能影响公正实施消防验收现场评定的中介代办等相关业务。禁止收受建设、设计、施工、监理、检测等相关单位和人员的宴请、有价证券、礼金、礼卡、礼品等，做到公平、公正、廉洁。不得承接绍兴市越城区管辖项目范围内的消防设施检测业务，特殊情况应报甲方进行利害关系评估，并报甲方进行合同备案。发现与建设单位存在直接利害关系的，未主动回避的，暂停当年服务一个月，并取消下一年中标资格。</w:t>
      </w:r>
    </w:p>
    <w:p w14:paraId="1DD32BC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乙方及关联企业参与设计、施工、监理、图审、消防设施设备检测、钢结构检测等可能影响验收评定结果的项目，需回避该项目的消防验收现场评定。</w:t>
      </w:r>
    </w:p>
    <w:p w14:paraId="5564956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建设工程经现场评定后，乙方需配合指导建设单位整改，服务合同价款不予增加。</w:t>
      </w:r>
    </w:p>
    <w:p w14:paraId="74DC9BF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如乙方违背文件法规或规章制度，甲方有权终止合同，并要求供应商做出相应赔偿。</w:t>
      </w:r>
    </w:p>
    <w:p w14:paraId="11946849">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本次采用封闭式框架协议，第一阶段入围供应商的评审方法为质量优先法，第二阶段成交供应商的方式为直接选定。</w:t>
      </w:r>
    </w:p>
    <w:p w14:paraId="3414E48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7.8直接选定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消防技术服务项目任务书下达后，原则上采用轮流方式在</w:t>
      </w:r>
      <w:r>
        <w:rPr>
          <w:rFonts w:hint="eastAsia" w:ascii="仿宋" w:hAnsi="仿宋" w:eastAsia="仿宋" w:cs="仿宋"/>
          <w:color w:val="auto"/>
          <w:sz w:val="24"/>
          <w:szCs w:val="24"/>
          <w:highlight w:val="none"/>
          <w:lang w:val="en-US" w:eastAsia="zh-CN"/>
        </w:rPr>
        <w:t>入围单位</w:t>
      </w:r>
      <w:r>
        <w:rPr>
          <w:rFonts w:hint="eastAsia" w:ascii="仿宋" w:hAnsi="仿宋" w:eastAsia="仿宋" w:cs="仿宋"/>
          <w:color w:val="auto"/>
          <w:sz w:val="24"/>
          <w:szCs w:val="24"/>
          <w:highlight w:val="none"/>
        </w:rPr>
        <w:t>中确定项目技术服务单位（即第一中标候人、第二中标候选人、第三中标候选人顺序依次轮流），原则上三次单次为一轮；若存在技术服务单位与项目消防业务相关联的情况，在轮流过程中应予以回避，本次机会自动扣除，回避单位将直接开始新一轮，不在本轮增加项目。</w:t>
      </w:r>
    </w:p>
    <w:p w14:paraId="6BCA265F">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14:paraId="076D5CE5">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十一</w:t>
      </w:r>
      <w:r>
        <w:rPr>
          <w:rFonts w:hint="eastAsia" w:ascii="仿宋" w:hAnsi="仿宋" w:eastAsia="仿宋" w:cs="仿宋"/>
          <w:b/>
          <w:bCs/>
          <w:color w:val="auto"/>
          <w:kern w:val="0"/>
          <w:sz w:val="24"/>
          <w:szCs w:val="24"/>
          <w:highlight w:val="none"/>
        </w:rPr>
        <w:t>、争议解决方式</w:t>
      </w:r>
    </w:p>
    <w:p w14:paraId="33E80399">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本协议履行过程中发生的任何争议，双方当事人均可通过和解或者调解解决；不愿和解、调解或者和解、调解不成的，可以选择下列第2种方式解决：</w:t>
      </w:r>
    </w:p>
    <w:p w14:paraId="75C87D8D">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1.将争议提交</w:t>
      </w:r>
      <w:r>
        <w:rPr>
          <w:rFonts w:hint="eastAsia" w:ascii="仿宋" w:hAnsi="仿宋" w:eastAsia="仿宋" w:cs="仿宋"/>
          <w:color w:val="auto"/>
          <w:kern w:val="0"/>
          <w:sz w:val="24"/>
          <w:szCs w:val="24"/>
          <w:highlight w:val="none"/>
          <w:u w:val="single"/>
        </w:rPr>
        <w:t xml:space="preserve">  绍兴市  </w:t>
      </w:r>
      <w:r>
        <w:rPr>
          <w:rFonts w:hint="eastAsia" w:ascii="仿宋" w:hAnsi="仿宋" w:eastAsia="仿宋" w:cs="仿宋"/>
          <w:color w:val="auto"/>
          <w:kern w:val="0"/>
          <w:sz w:val="24"/>
          <w:szCs w:val="24"/>
          <w:highlight w:val="none"/>
        </w:rPr>
        <w:t>仲裁委员会依申请仲裁时其现行有效的仲裁规则裁决；</w:t>
      </w:r>
    </w:p>
    <w:p w14:paraId="5AFB834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向甲方所在地的人民法院起诉</w:t>
      </w:r>
      <w:r>
        <w:rPr>
          <w:rFonts w:hint="eastAsia" w:ascii="仿宋" w:hAnsi="仿宋" w:eastAsia="仿宋" w:cs="仿宋"/>
          <w:color w:val="auto"/>
          <w:kern w:val="0"/>
          <w:sz w:val="24"/>
          <w:szCs w:val="24"/>
          <w:highlight w:val="none"/>
        </w:rPr>
        <w:t>。</w:t>
      </w:r>
    </w:p>
    <w:p w14:paraId="4FB505A0">
      <w:pPr>
        <w:pStyle w:val="16"/>
        <w:tabs>
          <w:tab w:val="left" w:pos="84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十二</w:t>
      </w:r>
      <w:r>
        <w:rPr>
          <w:rFonts w:hint="eastAsia" w:ascii="仿宋" w:hAnsi="仿宋" w:eastAsia="仿宋" w:cs="仿宋"/>
          <w:b/>
          <w:bCs/>
          <w:color w:val="auto"/>
          <w:kern w:val="0"/>
          <w:sz w:val="24"/>
          <w:szCs w:val="24"/>
          <w:highlight w:val="none"/>
        </w:rPr>
        <w:t>、合同生效和其他</w:t>
      </w:r>
    </w:p>
    <w:p w14:paraId="5E317770">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1.本协议未尽的事宜，均遵照国家有关法律、法规，双方另行协商议定补充条款。补充协议与本协议具有同等效力。</w:t>
      </w:r>
    </w:p>
    <w:p w14:paraId="5198F7B4">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2.本协议一式三份，甲方二份、乙方一份，具有同等法律效力。</w:t>
      </w:r>
    </w:p>
    <w:p w14:paraId="2C4194F2">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3.本协议经甲方、乙方法定代表人或其授权代表签字并加盖双方公章后生效。</w:t>
      </w:r>
    </w:p>
    <w:p w14:paraId="3D9BA0F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p>
    <w:p w14:paraId="6A807710">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甲方（盖章）：                        乙方（盖章）：</w:t>
      </w:r>
    </w:p>
    <w:p w14:paraId="1E8B7FC3">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法人代表或授权代表（签字）：         法人代表或授权代表（签字）：</w:t>
      </w:r>
    </w:p>
    <w:p w14:paraId="4E942E7E">
      <w:pPr>
        <w:pStyle w:val="16"/>
        <w:tabs>
          <w:tab w:val="left" w:pos="84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                            联系电话：</w:t>
      </w:r>
    </w:p>
    <w:p w14:paraId="5EAB0AD4">
      <w:pPr>
        <w:widowControl/>
        <w:snapToGrid w:val="0"/>
        <w:spacing w:line="480" w:lineRule="exact"/>
        <w:ind w:firstLine="480" w:firstLineChars="200"/>
        <w:rPr>
          <w:rFonts w:hint="eastAsia" w:ascii="仿宋" w:hAnsi="仿宋" w:eastAsia="仿宋" w:cs="仿宋"/>
          <w:color w:val="auto"/>
          <w:kern w:val="0"/>
          <w:sz w:val="24"/>
          <w:szCs w:val="24"/>
          <w:highlight w:val="none"/>
        </w:rPr>
        <w:sectPr>
          <w:headerReference r:id="rId5" w:type="default"/>
          <w:footerReference r:id="rId6" w:type="default"/>
          <w:pgSz w:w="11907" w:h="16840"/>
          <w:pgMar w:top="1440" w:right="1440" w:bottom="1440" w:left="1440" w:header="851" w:footer="992" w:gutter="0"/>
          <w:cols w:space="720" w:num="1"/>
          <w:docGrid w:type="lines" w:linePitch="312" w:charSpace="0"/>
        </w:sectPr>
      </w:pPr>
      <w:r>
        <w:rPr>
          <w:rFonts w:hint="eastAsia" w:ascii="仿宋" w:hAnsi="仿宋" w:eastAsia="仿宋" w:cs="仿宋"/>
          <w:color w:val="auto"/>
          <w:kern w:val="0"/>
          <w:sz w:val="24"/>
          <w:szCs w:val="24"/>
          <w:highlight w:val="none"/>
        </w:rPr>
        <w:t>签订日期：     年   月   日           签订日期：     年   月   日</w:t>
      </w:r>
    </w:p>
    <w:p w14:paraId="01856161">
      <w:pPr>
        <w:widowControl/>
        <w:snapToGrid w:val="0"/>
        <w:spacing w:line="480" w:lineRule="exact"/>
        <w:ind w:firstLine="480" w:firstLineChars="200"/>
        <w:rPr>
          <w:rFonts w:hint="eastAsia" w:ascii="仿宋" w:hAnsi="仿宋" w:eastAsia="仿宋" w:cs="仿宋"/>
          <w:color w:val="auto"/>
          <w:kern w:val="0"/>
          <w:sz w:val="24"/>
          <w:szCs w:val="24"/>
          <w:highlight w:val="none"/>
        </w:rPr>
      </w:pPr>
    </w:p>
    <w:p w14:paraId="4866CF31">
      <w:pPr>
        <w:widowControl/>
        <w:snapToGrid w:val="0"/>
        <w:spacing w:line="480" w:lineRule="exact"/>
        <w:ind w:firstLine="480" w:firstLineChars="200"/>
        <w:rPr>
          <w:rFonts w:hint="eastAsia" w:ascii="仿宋" w:hAnsi="仿宋" w:eastAsia="仿宋" w:cs="仿宋"/>
          <w:color w:val="auto"/>
          <w:kern w:val="0"/>
          <w:sz w:val="24"/>
          <w:szCs w:val="24"/>
          <w:highlight w:val="none"/>
        </w:rPr>
      </w:pPr>
    </w:p>
    <w:p w14:paraId="12FCE466">
      <w:pPr>
        <w:pStyle w:val="52"/>
        <w:jc w:val="center"/>
        <w:rPr>
          <w:rFonts w:hint="eastAsia" w:ascii="仿宋" w:hAnsi="仿宋" w:eastAsia="仿宋" w:cs="仿宋"/>
          <w:bCs/>
          <w:color w:val="auto"/>
          <w:spacing w:val="20"/>
          <w:sz w:val="44"/>
          <w:szCs w:val="22"/>
          <w:highlight w:val="none"/>
        </w:rPr>
      </w:pPr>
      <w:bookmarkStart w:id="34" w:name="_Toc2315"/>
      <w:bookmarkStart w:id="35" w:name="_Toc1293"/>
      <w:r>
        <w:rPr>
          <w:rFonts w:hint="eastAsia" w:ascii="仿宋" w:hAnsi="仿宋" w:eastAsia="仿宋" w:cs="仿宋"/>
          <w:bCs/>
          <w:color w:val="auto"/>
          <w:spacing w:val="20"/>
          <w:sz w:val="44"/>
          <w:szCs w:val="22"/>
          <w:highlight w:val="none"/>
        </w:rPr>
        <w:t>消防验收现场评定服务项目结算表</w:t>
      </w:r>
    </w:p>
    <w:p w14:paraId="6236E871">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服务单位：</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服务时段：   年  月  日至  年  月  日</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50"/>
        <w:gridCol w:w="2017"/>
        <w:gridCol w:w="2316"/>
        <w:gridCol w:w="2667"/>
        <w:gridCol w:w="2363"/>
      </w:tblGrid>
      <w:tr w14:paraId="292E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center"/>
          </w:tcPr>
          <w:p w14:paraId="25BE3B6D">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3650" w:type="dxa"/>
            <w:tcBorders>
              <w:top w:val="single" w:color="auto" w:sz="4" w:space="0"/>
              <w:left w:val="single" w:color="auto" w:sz="4" w:space="0"/>
              <w:bottom w:val="single" w:color="auto" w:sz="4" w:space="0"/>
              <w:right w:val="single" w:color="auto" w:sz="4" w:space="0"/>
            </w:tcBorders>
            <w:noWrap w:val="0"/>
            <w:vAlign w:val="center"/>
          </w:tcPr>
          <w:p w14:paraId="7A6FD060">
            <w:pPr>
              <w:pStyle w:val="29"/>
              <w:ind w:firstLine="32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62783F6">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建筑面积</w:t>
            </w:r>
          </w:p>
          <w:p w14:paraId="0920DCEA">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（平方米）</w:t>
            </w:r>
          </w:p>
        </w:tc>
        <w:tc>
          <w:tcPr>
            <w:tcW w:w="2316" w:type="dxa"/>
            <w:tcBorders>
              <w:top w:val="single" w:color="auto" w:sz="4" w:space="0"/>
              <w:left w:val="single" w:color="auto" w:sz="4" w:space="0"/>
              <w:bottom w:val="single" w:color="auto" w:sz="4" w:space="0"/>
              <w:right w:val="single" w:color="auto" w:sz="4" w:space="0"/>
            </w:tcBorders>
            <w:noWrap w:val="0"/>
            <w:vAlign w:val="center"/>
          </w:tcPr>
          <w:p w14:paraId="3CABE56B">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单价</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ADDF8AE">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服务费用（元）</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284A45D0">
            <w:pPr>
              <w:pStyle w:val="29"/>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14:paraId="358E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33D1ADDD">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524265CA">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C4DE416">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7CDD6CD6">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5E696225">
            <w:pPr>
              <w:pStyle w:val="29"/>
              <w:ind w:firstLine="321"/>
              <w:jc w:val="both"/>
              <w:rPr>
                <w:rFonts w:hint="eastAsia" w:ascii="仿宋" w:hAnsi="仿宋" w:eastAsia="仿宋" w:cs="仿宋"/>
                <w:color w:val="auto"/>
                <w:sz w:val="32"/>
                <w:szCs w:val="32"/>
                <w:highlight w:val="none"/>
              </w:rPr>
            </w:pPr>
          </w:p>
        </w:tc>
        <w:tc>
          <w:tcPr>
            <w:tcW w:w="2363" w:type="dxa"/>
            <w:vMerge w:val="restart"/>
            <w:tcBorders>
              <w:top w:val="single" w:color="auto" w:sz="4" w:space="0"/>
              <w:left w:val="single" w:color="auto" w:sz="4" w:space="0"/>
              <w:bottom w:val="single" w:color="auto" w:sz="4" w:space="0"/>
              <w:right w:val="single" w:color="auto" w:sz="4" w:space="0"/>
            </w:tcBorders>
            <w:noWrap w:val="0"/>
            <w:vAlign w:val="center"/>
          </w:tcPr>
          <w:p w14:paraId="1C341D75">
            <w:pPr>
              <w:autoSpaceDE w:val="0"/>
              <w:autoSpaceDN w:val="0"/>
              <w:adjustRightInd w:val="0"/>
              <w:spacing w:line="340" w:lineRule="exact"/>
              <w:rPr>
                <w:rFonts w:hint="eastAsia" w:ascii="仿宋" w:hAnsi="仿宋" w:eastAsia="仿宋" w:cs="仿宋"/>
                <w:color w:val="auto"/>
                <w:sz w:val="32"/>
                <w:szCs w:val="32"/>
                <w:highlight w:val="none"/>
              </w:rPr>
            </w:pPr>
          </w:p>
        </w:tc>
      </w:tr>
      <w:tr w14:paraId="2C2C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7333F117">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37F3BE6B">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5417B92">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6EB95AE8">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07CD86F1">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581DEB3F">
            <w:pPr>
              <w:pStyle w:val="29"/>
              <w:ind w:firstLine="321"/>
              <w:jc w:val="both"/>
              <w:rPr>
                <w:rFonts w:hint="eastAsia" w:ascii="仿宋" w:hAnsi="仿宋" w:eastAsia="仿宋" w:cs="仿宋"/>
                <w:color w:val="auto"/>
                <w:sz w:val="32"/>
                <w:szCs w:val="32"/>
                <w:highlight w:val="none"/>
              </w:rPr>
            </w:pPr>
          </w:p>
        </w:tc>
      </w:tr>
      <w:tr w14:paraId="64B8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68FB1A1A">
            <w:pPr>
              <w:pStyle w:val="29"/>
              <w:ind w:firstLine="32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723FAA87">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412F8341">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773B5E8E">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117E7C6C">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45E41D68">
            <w:pPr>
              <w:pStyle w:val="29"/>
              <w:ind w:firstLine="321"/>
              <w:jc w:val="both"/>
              <w:rPr>
                <w:rFonts w:hint="eastAsia" w:ascii="仿宋" w:hAnsi="仿宋" w:eastAsia="仿宋" w:cs="仿宋"/>
                <w:color w:val="auto"/>
                <w:sz w:val="32"/>
                <w:szCs w:val="32"/>
                <w:highlight w:val="none"/>
              </w:rPr>
            </w:pPr>
          </w:p>
        </w:tc>
      </w:tr>
      <w:tr w14:paraId="5F8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Borders>
              <w:top w:val="single" w:color="auto" w:sz="4" w:space="0"/>
              <w:left w:val="single" w:color="auto" w:sz="4" w:space="0"/>
              <w:bottom w:val="single" w:color="auto" w:sz="4" w:space="0"/>
              <w:right w:val="single" w:color="auto" w:sz="4" w:space="0"/>
            </w:tcBorders>
            <w:noWrap w:val="0"/>
            <w:vAlign w:val="top"/>
          </w:tcPr>
          <w:p w14:paraId="6432FE8D">
            <w:pPr>
              <w:pStyle w:val="29"/>
              <w:ind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合计</w:t>
            </w:r>
          </w:p>
        </w:tc>
        <w:tc>
          <w:tcPr>
            <w:tcW w:w="3650" w:type="dxa"/>
            <w:tcBorders>
              <w:top w:val="single" w:color="auto" w:sz="4" w:space="0"/>
              <w:left w:val="single" w:color="auto" w:sz="4" w:space="0"/>
              <w:bottom w:val="single" w:color="auto" w:sz="4" w:space="0"/>
              <w:right w:val="single" w:color="auto" w:sz="4" w:space="0"/>
            </w:tcBorders>
            <w:noWrap w:val="0"/>
            <w:vAlign w:val="top"/>
          </w:tcPr>
          <w:p w14:paraId="249233C6">
            <w:pPr>
              <w:pStyle w:val="29"/>
              <w:ind w:firstLine="321"/>
              <w:jc w:val="both"/>
              <w:rPr>
                <w:rFonts w:hint="eastAsia" w:ascii="仿宋" w:hAnsi="仿宋" w:eastAsia="仿宋" w:cs="仿宋"/>
                <w:color w:val="auto"/>
                <w:sz w:val="32"/>
                <w:szCs w:val="32"/>
                <w:highlight w:val="none"/>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4A0950B8">
            <w:pPr>
              <w:pStyle w:val="29"/>
              <w:ind w:firstLine="321"/>
              <w:jc w:val="both"/>
              <w:rPr>
                <w:rFonts w:hint="eastAsia" w:ascii="仿宋" w:hAnsi="仿宋" w:eastAsia="仿宋" w:cs="仿宋"/>
                <w:color w:val="auto"/>
                <w:sz w:val="32"/>
                <w:szCs w:val="32"/>
                <w:highlight w:val="none"/>
              </w:rPr>
            </w:pPr>
          </w:p>
        </w:tc>
        <w:tc>
          <w:tcPr>
            <w:tcW w:w="2316" w:type="dxa"/>
            <w:tcBorders>
              <w:top w:val="single" w:color="auto" w:sz="4" w:space="0"/>
              <w:left w:val="single" w:color="auto" w:sz="4" w:space="0"/>
              <w:bottom w:val="single" w:color="auto" w:sz="4" w:space="0"/>
              <w:right w:val="single" w:color="auto" w:sz="4" w:space="0"/>
            </w:tcBorders>
            <w:noWrap w:val="0"/>
            <w:vAlign w:val="top"/>
          </w:tcPr>
          <w:p w14:paraId="068BD08A">
            <w:pPr>
              <w:pStyle w:val="29"/>
              <w:ind w:firstLine="321"/>
              <w:jc w:val="both"/>
              <w:rPr>
                <w:rFonts w:hint="eastAsia" w:ascii="仿宋" w:hAnsi="仿宋" w:eastAsia="仿宋" w:cs="仿宋"/>
                <w:color w:val="auto"/>
                <w:sz w:val="32"/>
                <w:szCs w:val="32"/>
                <w:highlight w:val="none"/>
              </w:rPr>
            </w:pPr>
          </w:p>
        </w:tc>
        <w:tc>
          <w:tcPr>
            <w:tcW w:w="2667" w:type="dxa"/>
            <w:tcBorders>
              <w:top w:val="single" w:color="auto" w:sz="4" w:space="0"/>
              <w:left w:val="single" w:color="auto" w:sz="4" w:space="0"/>
              <w:bottom w:val="single" w:color="auto" w:sz="4" w:space="0"/>
              <w:right w:val="single" w:color="auto" w:sz="4" w:space="0"/>
            </w:tcBorders>
            <w:noWrap w:val="0"/>
            <w:vAlign w:val="top"/>
          </w:tcPr>
          <w:p w14:paraId="5159865F">
            <w:pPr>
              <w:pStyle w:val="29"/>
              <w:ind w:firstLine="321"/>
              <w:jc w:val="both"/>
              <w:rPr>
                <w:rFonts w:hint="eastAsia" w:ascii="仿宋" w:hAnsi="仿宋" w:eastAsia="仿宋" w:cs="仿宋"/>
                <w:color w:val="auto"/>
                <w:sz w:val="32"/>
                <w:szCs w:val="32"/>
                <w:highlight w:val="none"/>
              </w:rPr>
            </w:pPr>
          </w:p>
        </w:tc>
        <w:tc>
          <w:tcPr>
            <w:tcW w:w="2363" w:type="dxa"/>
            <w:vMerge w:val="continue"/>
            <w:tcBorders>
              <w:top w:val="single" w:color="auto" w:sz="4" w:space="0"/>
              <w:left w:val="single" w:color="auto" w:sz="4" w:space="0"/>
              <w:bottom w:val="single" w:color="auto" w:sz="4" w:space="0"/>
              <w:right w:val="single" w:color="auto" w:sz="4" w:space="0"/>
            </w:tcBorders>
            <w:noWrap w:val="0"/>
            <w:vAlign w:val="top"/>
          </w:tcPr>
          <w:p w14:paraId="03B9D136">
            <w:pPr>
              <w:pStyle w:val="29"/>
              <w:ind w:firstLine="321"/>
              <w:jc w:val="both"/>
              <w:rPr>
                <w:rFonts w:hint="eastAsia" w:ascii="仿宋" w:hAnsi="仿宋" w:eastAsia="仿宋" w:cs="仿宋"/>
                <w:color w:val="auto"/>
                <w:sz w:val="32"/>
                <w:szCs w:val="32"/>
                <w:highlight w:val="none"/>
              </w:rPr>
            </w:pPr>
          </w:p>
        </w:tc>
      </w:tr>
    </w:tbl>
    <w:p w14:paraId="678E41E8">
      <w:pPr>
        <w:pStyle w:val="29"/>
        <w:ind w:firstLine="0" w:firstLineChars="0"/>
        <w:jc w:val="both"/>
        <w:rPr>
          <w:rFonts w:hint="eastAsia" w:ascii="仿宋" w:hAnsi="仿宋" w:eastAsia="仿宋" w:cs="仿宋"/>
          <w:color w:val="auto"/>
          <w:sz w:val="32"/>
          <w:szCs w:val="32"/>
          <w:highlight w:val="none"/>
        </w:rPr>
      </w:pPr>
    </w:p>
    <w:p w14:paraId="23139F72">
      <w:pPr>
        <w:rPr>
          <w:rFonts w:hint="eastAsia" w:ascii="仿宋" w:hAnsi="仿宋" w:eastAsia="仿宋" w:cs="仿宋"/>
          <w:b/>
          <w:bCs/>
          <w:color w:val="auto"/>
          <w:sz w:val="30"/>
          <w:szCs w:val="30"/>
          <w:highlight w:val="none"/>
          <w:lang w:eastAsia="zh-CN"/>
        </w:rPr>
      </w:pPr>
      <w:r>
        <w:rPr>
          <w:rFonts w:hint="eastAsia" w:ascii="仿宋" w:hAnsi="仿宋" w:eastAsia="仿宋" w:cs="仿宋"/>
          <w:color w:val="auto"/>
          <w:sz w:val="32"/>
          <w:szCs w:val="32"/>
          <w:highlight w:val="none"/>
        </w:rPr>
        <w:t>经办人：                                          科室负责人：</w:t>
      </w:r>
    </w:p>
    <w:p w14:paraId="439545BB">
      <w:pPr>
        <w:rPr>
          <w:rFonts w:hint="eastAsia" w:ascii="仿宋" w:hAnsi="仿宋" w:eastAsia="仿宋" w:cs="仿宋"/>
          <w:b/>
          <w:bCs/>
          <w:color w:val="auto"/>
          <w:sz w:val="30"/>
          <w:szCs w:val="30"/>
          <w:highlight w:val="none"/>
          <w:lang w:eastAsia="zh-CN"/>
        </w:rPr>
        <w:sectPr>
          <w:headerReference r:id="rId7" w:type="default"/>
          <w:footerReference r:id="rId8" w:type="default"/>
          <w:pgSz w:w="16840" w:h="11907" w:orient="landscape"/>
          <w:pgMar w:top="1803" w:right="1440" w:bottom="1236" w:left="1440" w:header="851" w:footer="992" w:gutter="0"/>
          <w:cols w:space="720" w:num="1"/>
          <w:docGrid w:type="lines" w:linePitch="312" w:charSpace="0"/>
        </w:sectPr>
      </w:pPr>
      <w:r>
        <w:rPr>
          <w:rFonts w:hint="eastAsia" w:ascii="仿宋" w:hAnsi="仿宋" w:eastAsia="仿宋" w:cs="仿宋"/>
          <w:b/>
          <w:bCs/>
          <w:color w:val="auto"/>
          <w:sz w:val="30"/>
          <w:szCs w:val="30"/>
          <w:highlight w:val="none"/>
          <w:lang w:eastAsia="zh-CN"/>
        </w:rPr>
        <w:br w:type="page"/>
      </w:r>
    </w:p>
    <w:p w14:paraId="732EC5E6">
      <w:pPr>
        <w:rPr>
          <w:rFonts w:hint="eastAsia" w:ascii="仿宋" w:hAnsi="仿宋" w:eastAsia="仿宋" w:cs="仿宋"/>
          <w:b/>
          <w:bCs/>
          <w:color w:val="auto"/>
          <w:sz w:val="30"/>
          <w:szCs w:val="30"/>
          <w:highlight w:val="none"/>
          <w:lang w:eastAsia="zh-CN"/>
        </w:rPr>
      </w:pPr>
    </w:p>
    <w:p w14:paraId="0932DBB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关于</w:t>
      </w:r>
      <w:r>
        <w:rPr>
          <w:rFonts w:hint="eastAsia" w:ascii="仿宋" w:hAnsi="仿宋" w:eastAsia="仿宋" w:cs="仿宋"/>
          <w:b/>
          <w:bCs/>
          <w:color w:val="auto"/>
          <w:sz w:val="44"/>
          <w:szCs w:val="44"/>
          <w:highlight w:val="none"/>
          <w:lang w:eastAsia="zh-CN"/>
        </w:rPr>
        <w:t>开展绍兴市建设工程消防验收技术服务机构评定工作</w:t>
      </w:r>
      <w:r>
        <w:rPr>
          <w:rFonts w:hint="eastAsia" w:ascii="仿宋" w:hAnsi="仿宋" w:eastAsia="仿宋" w:cs="仿宋"/>
          <w:b/>
          <w:bCs/>
          <w:color w:val="auto"/>
          <w:sz w:val="44"/>
          <w:szCs w:val="44"/>
          <w:highlight w:val="none"/>
        </w:rPr>
        <w:t>的通知</w:t>
      </w:r>
    </w:p>
    <w:p w14:paraId="69E7B83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rPr>
      </w:pPr>
    </w:p>
    <w:p w14:paraId="5B2CD1D0">
      <w:pPr>
        <w:pStyle w:val="53"/>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各区、县（市）建设局，滨海新区</w:t>
      </w:r>
      <w:r>
        <w:rPr>
          <w:rFonts w:hint="eastAsia" w:ascii="仿宋" w:hAnsi="仿宋" w:eastAsia="仿宋" w:cs="仿宋"/>
          <w:color w:val="auto"/>
          <w:sz w:val="32"/>
          <w:szCs w:val="32"/>
          <w:highlight w:val="none"/>
          <w:lang w:eastAsia="zh-CN"/>
        </w:rPr>
        <w:t>规建局、</w:t>
      </w:r>
      <w:r>
        <w:rPr>
          <w:rFonts w:hint="eastAsia" w:ascii="仿宋" w:hAnsi="仿宋" w:eastAsia="仿宋" w:cs="仿宋"/>
          <w:b w:val="0"/>
          <w:bCs w:val="0"/>
          <w:color w:val="auto"/>
          <w:sz w:val="32"/>
          <w:szCs w:val="32"/>
          <w:highlight w:val="none"/>
        </w:rPr>
        <w:t>镜湖新区</w:t>
      </w:r>
      <w:r>
        <w:rPr>
          <w:rFonts w:hint="eastAsia" w:ascii="仿宋" w:hAnsi="仿宋" w:eastAsia="仿宋" w:cs="仿宋"/>
          <w:b w:val="0"/>
          <w:bCs w:val="0"/>
          <w:color w:val="auto"/>
          <w:sz w:val="32"/>
          <w:szCs w:val="32"/>
          <w:highlight w:val="none"/>
          <w:lang w:eastAsia="zh-CN"/>
        </w:rPr>
        <w:t>开发办综合事务部、市质安中心，各有关单位</w:t>
      </w:r>
      <w:r>
        <w:rPr>
          <w:rFonts w:hint="eastAsia" w:ascii="仿宋" w:hAnsi="仿宋" w:eastAsia="仿宋" w:cs="仿宋"/>
          <w:color w:val="auto"/>
          <w:sz w:val="32"/>
          <w:szCs w:val="32"/>
          <w:highlight w:val="none"/>
        </w:rPr>
        <w:t>：</w:t>
      </w:r>
    </w:p>
    <w:p w14:paraId="39D0E97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为规范消防验收技术服务机构服务行为，提升消防验收技术服务质量，根据《建设工程消防设计审查验收管理暂行规定》（住建部令第5</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号）《浙江省建设工程消防设计审查验收管理暂行办法》等有关规定</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kern w:val="0"/>
          <w:sz w:val="32"/>
          <w:szCs w:val="32"/>
          <w:highlight w:val="none"/>
          <w:u w:val="none"/>
          <w:lang w:val="en-US" w:eastAsia="zh-CN" w:bidi="ar-SA"/>
        </w:rPr>
        <w:t>全市建设主管部门公开招投标中标的</w:t>
      </w:r>
      <w:r>
        <w:rPr>
          <w:rFonts w:hint="eastAsia" w:ascii="仿宋" w:hAnsi="仿宋" w:eastAsia="仿宋" w:cs="仿宋"/>
          <w:color w:val="auto"/>
          <w:sz w:val="32"/>
          <w:szCs w:val="32"/>
          <w:highlight w:val="none"/>
          <w:u w:val="none"/>
        </w:rPr>
        <w:t>第三方</w:t>
      </w:r>
      <w:r>
        <w:rPr>
          <w:rFonts w:hint="eastAsia" w:ascii="仿宋" w:hAnsi="仿宋" w:eastAsia="仿宋" w:cs="仿宋"/>
          <w:color w:val="auto"/>
          <w:sz w:val="32"/>
          <w:szCs w:val="32"/>
          <w:highlight w:val="none"/>
          <w:u w:val="none"/>
          <w:lang w:eastAsia="zh-CN"/>
        </w:rPr>
        <w:t>消防验收技术服务</w:t>
      </w:r>
      <w:r>
        <w:rPr>
          <w:rFonts w:hint="eastAsia" w:ascii="仿宋" w:hAnsi="仿宋" w:eastAsia="仿宋" w:cs="仿宋"/>
          <w:color w:val="auto"/>
          <w:sz w:val="32"/>
          <w:szCs w:val="32"/>
          <w:highlight w:val="none"/>
          <w:u w:val="none"/>
        </w:rPr>
        <w:t>机构</w:t>
      </w:r>
      <w:r>
        <w:rPr>
          <w:rFonts w:hint="eastAsia" w:ascii="仿宋" w:hAnsi="仿宋" w:eastAsia="仿宋" w:cs="仿宋"/>
          <w:color w:val="auto"/>
          <w:sz w:val="32"/>
          <w:szCs w:val="32"/>
          <w:highlight w:val="none"/>
        </w:rPr>
        <w:t>（以下简称“第三方机构”）</w:t>
      </w:r>
      <w:r>
        <w:rPr>
          <w:rFonts w:hint="eastAsia" w:ascii="仿宋" w:hAnsi="仿宋" w:eastAsia="仿宋" w:cs="仿宋"/>
          <w:color w:val="auto"/>
          <w:sz w:val="32"/>
          <w:szCs w:val="32"/>
          <w:highlight w:val="none"/>
          <w:lang w:eastAsia="zh-CN"/>
        </w:rPr>
        <w:t>开展评定工作</w:t>
      </w:r>
      <w:r>
        <w:rPr>
          <w:rFonts w:hint="eastAsia" w:ascii="仿宋" w:hAnsi="仿宋" w:eastAsia="仿宋" w:cs="仿宋"/>
          <w:color w:val="auto"/>
          <w:sz w:val="32"/>
          <w:szCs w:val="32"/>
          <w:highlight w:val="none"/>
        </w:rPr>
        <w:t>。</w:t>
      </w:r>
    </w:p>
    <w:p w14:paraId="4C40B19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一、评定对象</w:t>
      </w:r>
    </w:p>
    <w:p w14:paraId="4B2A4FC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kern w:val="0"/>
          <w:sz w:val="32"/>
          <w:szCs w:val="32"/>
          <w:highlight w:val="none"/>
          <w:u w:val="none"/>
          <w:lang w:val="en-US" w:eastAsia="zh-CN" w:bidi="ar-SA"/>
        </w:rPr>
        <w:t>全市建设主管部门公开招投标中标的</w:t>
      </w:r>
      <w:r>
        <w:rPr>
          <w:rFonts w:hint="eastAsia" w:ascii="仿宋" w:hAnsi="仿宋" w:eastAsia="仿宋" w:cs="仿宋"/>
          <w:color w:val="auto"/>
          <w:sz w:val="32"/>
          <w:szCs w:val="32"/>
          <w:highlight w:val="none"/>
          <w:u w:val="none"/>
        </w:rPr>
        <w:t>第三方</w:t>
      </w:r>
      <w:r>
        <w:rPr>
          <w:rFonts w:hint="eastAsia" w:ascii="仿宋" w:hAnsi="仿宋" w:eastAsia="仿宋" w:cs="仿宋"/>
          <w:color w:val="auto"/>
          <w:sz w:val="32"/>
          <w:szCs w:val="32"/>
          <w:highlight w:val="none"/>
          <w:u w:val="none"/>
          <w:lang w:eastAsia="zh-CN"/>
        </w:rPr>
        <w:t>消防验收技术服务</w:t>
      </w:r>
      <w:r>
        <w:rPr>
          <w:rFonts w:hint="eastAsia" w:ascii="仿宋" w:hAnsi="仿宋" w:eastAsia="仿宋" w:cs="仿宋"/>
          <w:color w:val="auto"/>
          <w:sz w:val="32"/>
          <w:szCs w:val="32"/>
          <w:highlight w:val="none"/>
          <w:u w:val="none"/>
        </w:rPr>
        <w:t>机构。</w:t>
      </w:r>
    </w:p>
    <w:p w14:paraId="221EBF0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二、评定周期</w:t>
      </w:r>
    </w:p>
    <w:p w14:paraId="7E0089AA">
      <w:pPr>
        <w:pStyle w:val="5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lang w:eastAsia="zh-CN"/>
        </w:rPr>
        <w:t>建设主管部门每季度</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第三方机构</w:t>
      </w:r>
      <w:r>
        <w:rPr>
          <w:rFonts w:hint="eastAsia" w:ascii="仿宋" w:hAnsi="仿宋" w:eastAsia="仿宋" w:cs="仿宋"/>
          <w:color w:val="auto"/>
          <w:sz w:val="32"/>
          <w:szCs w:val="32"/>
          <w:highlight w:val="none"/>
        </w:rPr>
        <w:t>的服务情况进行</w:t>
      </w:r>
      <w:r>
        <w:rPr>
          <w:rFonts w:hint="eastAsia" w:ascii="仿宋" w:hAnsi="仿宋" w:eastAsia="仿宋" w:cs="仿宋"/>
          <w:color w:val="auto"/>
          <w:sz w:val="32"/>
          <w:szCs w:val="32"/>
          <w:highlight w:val="none"/>
          <w:lang w:eastAsia="zh-CN"/>
        </w:rPr>
        <w:t>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评定（市本级一月一次）</w:t>
      </w:r>
      <w:r>
        <w:rPr>
          <w:rFonts w:hint="eastAsia" w:ascii="仿宋" w:hAnsi="仿宋" w:eastAsia="仿宋" w:cs="仿宋"/>
          <w:color w:val="auto"/>
          <w:sz w:val="32"/>
          <w:szCs w:val="32"/>
          <w:highlight w:val="none"/>
        </w:rPr>
        <w:t>，于每个自然年年底</w:t>
      </w:r>
      <w:r>
        <w:rPr>
          <w:rFonts w:hint="eastAsia" w:ascii="仿宋" w:hAnsi="仿宋" w:eastAsia="仿宋" w:cs="仿宋"/>
          <w:color w:val="auto"/>
          <w:sz w:val="32"/>
          <w:szCs w:val="32"/>
          <w:highlight w:val="none"/>
          <w:lang w:eastAsia="zh-CN"/>
        </w:rPr>
        <w:t>（或合同结束前）</w:t>
      </w:r>
      <w:r>
        <w:rPr>
          <w:rFonts w:hint="eastAsia" w:ascii="仿宋" w:hAnsi="仿宋" w:eastAsia="仿宋" w:cs="仿宋"/>
          <w:color w:val="auto"/>
          <w:sz w:val="32"/>
          <w:szCs w:val="32"/>
          <w:highlight w:val="none"/>
        </w:rPr>
        <w:t>对全年的服务情况进行年度</w:t>
      </w:r>
      <w:r>
        <w:rPr>
          <w:rFonts w:hint="eastAsia" w:ascii="仿宋" w:hAnsi="仿宋" w:eastAsia="仿宋" w:cs="仿宋"/>
          <w:color w:val="auto"/>
          <w:sz w:val="32"/>
          <w:szCs w:val="32"/>
          <w:highlight w:val="none"/>
          <w:lang w:eastAsia="zh-CN"/>
        </w:rPr>
        <w:t>（阶段）评定，评定</w:t>
      </w:r>
      <w:r>
        <w:rPr>
          <w:rFonts w:hint="eastAsia" w:ascii="仿宋" w:hAnsi="仿宋" w:eastAsia="仿宋" w:cs="仿宋"/>
          <w:color w:val="auto"/>
          <w:sz w:val="32"/>
          <w:szCs w:val="32"/>
          <w:highlight w:val="none"/>
          <w:u w:val="none"/>
          <w:lang w:eastAsia="zh-CN"/>
        </w:rPr>
        <w:t>结果每季度公布一次。</w:t>
      </w:r>
    </w:p>
    <w:p w14:paraId="6039D2B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要求</w:t>
      </w:r>
    </w:p>
    <w:p w14:paraId="0ADD05F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（一）评定</w:t>
      </w:r>
      <w:r>
        <w:rPr>
          <w:rFonts w:hint="eastAsia" w:ascii="仿宋" w:hAnsi="仿宋" w:eastAsia="仿宋" w:cs="仿宋"/>
          <w:color w:val="auto"/>
          <w:sz w:val="32"/>
          <w:szCs w:val="32"/>
          <w:highlight w:val="none"/>
        </w:rPr>
        <w:t>工作应遵循客观、严格的原则进行，确保</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工作公平、公正、公开。被</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rPr>
        <w:t>第三方机构应遵守</w:t>
      </w:r>
      <w:r>
        <w:rPr>
          <w:rFonts w:hint="eastAsia" w:ascii="仿宋" w:hAnsi="仿宋" w:eastAsia="仿宋" w:cs="仿宋"/>
          <w:color w:val="auto"/>
          <w:sz w:val="32"/>
          <w:szCs w:val="32"/>
          <w:highlight w:val="none"/>
          <w:lang w:eastAsia="zh-CN"/>
        </w:rPr>
        <w:t>建设主管部门</w:t>
      </w:r>
      <w:r>
        <w:rPr>
          <w:rFonts w:hint="eastAsia" w:ascii="仿宋" w:hAnsi="仿宋" w:eastAsia="仿宋" w:cs="仿宋"/>
          <w:color w:val="auto"/>
          <w:sz w:val="32"/>
          <w:szCs w:val="32"/>
          <w:highlight w:val="none"/>
        </w:rPr>
        <w:t>的工作要求，积极配合</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及时准确提供相关资料。</w:t>
      </w:r>
    </w:p>
    <w:p w14:paraId="28F167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（二）建设主管部门</w:t>
      </w:r>
      <w:r>
        <w:rPr>
          <w:rFonts w:hint="eastAsia" w:ascii="仿宋" w:hAnsi="仿宋" w:eastAsia="仿宋" w:cs="仿宋"/>
          <w:color w:val="auto"/>
          <w:sz w:val="32"/>
          <w:szCs w:val="32"/>
          <w:highlight w:val="none"/>
        </w:rPr>
        <w:t>应在</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个工作日内生成各第三方机构的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意见</w:t>
      </w:r>
      <w:r>
        <w:rPr>
          <w:rFonts w:hint="eastAsia" w:ascii="仿宋" w:hAnsi="仿宋" w:eastAsia="仿宋" w:cs="仿宋"/>
          <w:color w:val="auto"/>
          <w:sz w:val="32"/>
          <w:szCs w:val="32"/>
          <w:highlight w:val="none"/>
          <w:lang w:eastAsia="zh-CN"/>
        </w:rPr>
        <w:t>，第三方机构</w:t>
      </w:r>
      <w:r>
        <w:rPr>
          <w:rFonts w:hint="eastAsia" w:ascii="仿宋" w:hAnsi="仿宋" w:eastAsia="仿宋" w:cs="仿宋"/>
          <w:color w:val="auto"/>
          <w:sz w:val="32"/>
          <w:szCs w:val="32"/>
          <w:highlight w:val="none"/>
        </w:rPr>
        <w:t>在收到书面</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意见后5个工作日内将</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报告中所提问题</w:t>
      </w:r>
      <w:r>
        <w:rPr>
          <w:rFonts w:hint="eastAsia" w:ascii="仿宋" w:hAnsi="仿宋" w:eastAsia="仿宋" w:cs="仿宋"/>
          <w:color w:val="auto"/>
          <w:sz w:val="32"/>
          <w:szCs w:val="32"/>
          <w:highlight w:val="none"/>
          <w:lang w:eastAsia="zh-CN"/>
        </w:rPr>
        <w:t>书面</w:t>
      </w:r>
      <w:r>
        <w:rPr>
          <w:rFonts w:hint="eastAsia" w:ascii="仿宋" w:hAnsi="仿宋" w:eastAsia="仿宋" w:cs="仿宋"/>
          <w:color w:val="auto"/>
          <w:sz w:val="32"/>
          <w:szCs w:val="32"/>
          <w:highlight w:val="none"/>
        </w:rPr>
        <w:t>整改回复。</w:t>
      </w:r>
    </w:p>
    <w:p w14:paraId="127A55E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w:t>
      </w:r>
    </w:p>
    <w:p w14:paraId="3E804B98">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第三</w:t>
      </w:r>
      <w:r>
        <w:rPr>
          <w:rFonts w:hint="eastAsia" w:ascii="仿宋" w:hAnsi="仿宋" w:eastAsia="仿宋" w:cs="仿宋"/>
          <w:color w:val="auto"/>
          <w:sz w:val="32"/>
          <w:szCs w:val="32"/>
          <w:highlight w:val="none"/>
        </w:rPr>
        <w:t>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基准分</w:t>
      </w:r>
      <w:r>
        <w:rPr>
          <w:rFonts w:hint="eastAsia" w:ascii="仿宋" w:hAnsi="仿宋" w:eastAsia="仿宋" w:cs="仿宋"/>
          <w:color w:val="auto"/>
          <w:sz w:val="32"/>
          <w:szCs w:val="32"/>
          <w:highlight w:val="none"/>
        </w:rPr>
        <w:t>为100分，</w:t>
      </w:r>
      <w:r>
        <w:rPr>
          <w:rFonts w:hint="eastAsia" w:ascii="仿宋" w:hAnsi="仿宋" w:eastAsia="仿宋" w:cs="仿宋"/>
          <w:color w:val="auto"/>
          <w:sz w:val="32"/>
          <w:szCs w:val="32"/>
          <w:highlight w:val="none"/>
          <w:lang w:val="en-US" w:eastAsia="zh-CN"/>
        </w:rPr>
        <w:t>附加分20分。</w:t>
      </w:r>
      <w:r>
        <w:rPr>
          <w:rFonts w:hint="eastAsia" w:ascii="仿宋" w:hAnsi="仿宋" w:eastAsia="仿宋" w:cs="仿宋"/>
          <w:b w:val="0"/>
          <w:bCs w:val="0"/>
          <w:color w:val="auto"/>
          <w:sz w:val="32"/>
          <w:szCs w:val="32"/>
          <w:highlight w:val="none"/>
          <w:lang w:val="en-US" w:eastAsia="zh-CN"/>
        </w:rPr>
        <w:t>针对执业行为和综合管理中违反有关规定的行为予以扣分；针对行政支撑中发挥有效作用的行为予以加分。评定</w:t>
      </w:r>
      <w:r>
        <w:rPr>
          <w:rFonts w:hint="eastAsia" w:ascii="仿宋" w:hAnsi="仿宋" w:eastAsia="仿宋" w:cs="仿宋"/>
          <w:color w:val="auto"/>
          <w:sz w:val="32"/>
          <w:szCs w:val="32"/>
          <w:highlight w:val="none"/>
        </w:rPr>
        <w:t>结果</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分（含）以上的为</w:t>
      </w:r>
      <w:r>
        <w:rPr>
          <w:rFonts w:hint="eastAsia" w:ascii="仿宋" w:hAnsi="仿宋" w:eastAsia="仿宋" w:cs="仿宋"/>
          <w:color w:val="auto"/>
          <w:sz w:val="32"/>
          <w:szCs w:val="32"/>
          <w:highlight w:val="none"/>
          <w:lang w:val="en-US" w:eastAsia="zh-CN"/>
        </w:rPr>
        <w:t>优秀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w:t>
      </w: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rPr>
        <w:t>分（含）以上的为</w:t>
      </w:r>
      <w:r>
        <w:rPr>
          <w:rFonts w:hint="eastAsia" w:ascii="仿宋" w:hAnsi="仿宋" w:eastAsia="仿宋" w:cs="仿宋"/>
          <w:color w:val="auto"/>
          <w:sz w:val="32"/>
          <w:szCs w:val="32"/>
          <w:highlight w:val="none"/>
          <w:lang w:val="en-US" w:eastAsia="zh-CN"/>
        </w:rPr>
        <w:t>良好</w:t>
      </w:r>
      <w:r>
        <w:rPr>
          <w:rFonts w:hint="eastAsia" w:ascii="仿宋" w:hAnsi="仿宋" w:eastAsia="仿宋" w:cs="仿宋"/>
          <w:color w:val="auto"/>
          <w:sz w:val="32"/>
          <w:szCs w:val="32"/>
          <w:highlight w:val="none"/>
        </w:rPr>
        <w:t>；70分（含）至8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分为合格；70分以下为不合格。</w:t>
      </w:r>
      <w:r>
        <w:rPr>
          <w:rFonts w:hint="eastAsia" w:ascii="仿宋" w:hAnsi="仿宋" w:eastAsia="仿宋" w:cs="仿宋"/>
          <w:color w:val="auto"/>
          <w:sz w:val="32"/>
          <w:szCs w:val="32"/>
          <w:highlight w:val="none"/>
          <w:lang w:val="en-US" w:eastAsia="zh-CN"/>
        </w:rPr>
        <w:t xml:space="preserve">  </w:t>
      </w:r>
    </w:p>
    <w:p w14:paraId="0D39E84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（二）评定</w:t>
      </w:r>
      <w:r>
        <w:rPr>
          <w:rFonts w:hint="eastAsia" w:ascii="仿宋" w:hAnsi="仿宋" w:eastAsia="仿宋" w:cs="仿宋"/>
          <w:color w:val="auto"/>
          <w:sz w:val="32"/>
          <w:szCs w:val="32"/>
          <w:highlight w:val="none"/>
        </w:rPr>
        <w:t>结果8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分（含）以上时，按照合同约定支付该阶段的进度款；</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结果8</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分以下时，</w:t>
      </w:r>
      <w:r>
        <w:rPr>
          <w:rFonts w:hint="eastAsia" w:ascii="仿宋" w:hAnsi="仿宋" w:eastAsia="仿宋" w:cs="仿宋"/>
          <w:strike w:val="0"/>
          <w:dstrike w:val="0"/>
          <w:color w:val="auto"/>
          <w:sz w:val="32"/>
          <w:szCs w:val="32"/>
          <w:highlight w:val="none"/>
          <w:u w:val="none"/>
        </w:rPr>
        <w:t>由</w:t>
      </w:r>
      <w:r>
        <w:rPr>
          <w:rFonts w:hint="eastAsia" w:ascii="仿宋" w:hAnsi="仿宋" w:eastAsia="仿宋" w:cs="仿宋"/>
          <w:strike w:val="0"/>
          <w:dstrike w:val="0"/>
          <w:color w:val="auto"/>
          <w:sz w:val="32"/>
          <w:szCs w:val="32"/>
          <w:highlight w:val="none"/>
          <w:u w:val="none"/>
          <w:lang w:eastAsia="zh-CN"/>
        </w:rPr>
        <w:t>建设主管部门相关业务部门</w:t>
      </w:r>
      <w:r>
        <w:rPr>
          <w:rFonts w:hint="eastAsia" w:ascii="仿宋" w:hAnsi="仿宋" w:eastAsia="仿宋" w:cs="仿宋"/>
          <w:color w:val="auto"/>
          <w:sz w:val="32"/>
          <w:szCs w:val="32"/>
          <w:highlight w:val="none"/>
        </w:rPr>
        <w:t>进行约谈。第三方机构如涉及招标文件及合同约定的扣款条款或其他违约行为的，按照招标文件及合同执行。</w:t>
      </w:r>
    </w:p>
    <w:p w14:paraId="3021901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有下列情形之一的，实行一票否决，直接</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为不合格，涉及违法违规的，按有关法律法规执行：</w:t>
      </w:r>
    </w:p>
    <w:p w14:paraId="4973FE2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出具虚假消防技术服务报告的；</w:t>
      </w:r>
    </w:p>
    <w:p w14:paraId="1DBDBB1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出具合格的消防技术服务报告后仍发现存在重大消防安全问题的；</w:t>
      </w:r>
    </w:p>
    <w:p w14:paraId="15112DC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存在与建设、设计、施工等单位相互勾结、利益交换现象的；</w:t>
      </w:r>
    </w:p>
    <w:p w14:paraId="43F10F6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出具合格消防技术服务报告的建设工程</w:t>
      </w:r>
      <w:r>
        <w:rPr>
          <w:rFonts w:hint="eastAsia" w:ascii="仿宋" w:hAnsi="仿宋" w:eastAsia="仿宋" w:cs="仿宋"/>
          <w:color w:val="auto"/>
          <w:sz w:val="32"/>
          <w:szCs w:val="32"/>
          <w:highlight w:val="none"/>
          <w:lang w:eastAsia="zh-CN"/>
        </w:rPr>
        <w:t>因未发现消防安全隐患</w:t>
      </w:r>
      <w:r>
        <w:rPr>
          <w:rFonts w:hint="eastAsia" w:ascii="仿宋" w:hAnsi="仿宋" w:eastAsia="仿宋" w:cs="仿宋"/>
          <w:color w:val="auto"/>
          <w:sz w:val="32"/>
          <w:szCs w:val="32"/>
          <w:highlight w:val="none"/>
        </w:rPr>
        <w:t>发生火灾事故的。</w:t>
      </w:r>
    </w:p>
    <w:p w14:paraId="524E874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eastAsia="zh-CN"/>
        </w:rPr>
        <w:t>（阶段）评定</w:t>
      </w:r>
    </w:p>
    <w:p w14:paraId="2DBA45A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建设主管部门</w:t>
      </w:r>
      <w:r>
        <w:rPr>
          <w:rFonts w:hint="eastAsia" w:ascii="仿宋" w:hAnsi="仿宋" w:eastAsia="仿宋" w:cs="仿宋"/>
          <w:color w:val="auto"/>
          <w:sz w:val="32"/>
          <w:szCs w:val="32"/>
          <w:highlight w:val="none"/>
        </w:rPr>
        <w:t>根据上一自然年度</w:t>
      </w:r>
      <w:r>
        <w:rPr>
          <w:rFonts w:hint="eastAsia" w:ascii="仿宋" w:hAnsi="仿宋" w:eastAsia="仿宋" w:cs="仿宋"/>
          <w:color w:val="auto"/>
          <w:sz w:val="32"/>
          <w:szCs w:val="32"/>
          <w:highlight w:val="none"/>
          <w:lang w:eastAsia="zh-CN"/>
        </w:rPr>
        <w:t>（或合同结束前）</w:t>
      </w:r>
      <w:r>
        <w:rPr>
          <w:rFonts w:hint="eastAsia" w:ascii="仿宋" w:hAnsi="仿宋" w:eastAsia="仿宋" w:cs="仿宋"/>
          <w:color w:val="auto"/>
          <w:sz w:val="32"/>
          <w:szCs w:val="32"/>
          <w:highlight w:val="none"/>
        </w:rPr>
        <w:t>第三方机构的</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情况开展年度</w:t>
      </w:r>
      <w:r>
        <w:rPr>
          <w:rFonts w:hint="eastAsia" w:ascii="仿宋" w:hAnsi="仿宋" w:eastAsia="仿宋" w:cs="仿宋"/>
          <w:color w:val="auto"/>
          <w:sz w:val="32"/>
          <w:szCs w:val="32"/>
          <w:highlight w:val="none"/>
          <w:lang w:eastAsia="zh-CN"/>
        </w:rPr>
        <w:t>（或阶段）评定</w:t>
      </w:r>
      <w:r>
        <w:rPr>
          <w:rFonts w:hint="eastAsia" w:ascii="仿宋" w:hAnsi="仿宋" w:eastAsia="仿宋" w:cs="仿宋"/>
          <w:color w:val="auto"/>
          <w:sz w:val="32"/>
          <w:szCs w:val="32"/>
          <w:highlight w:val="none"/>
        </w:rPr>
        <w:t>，并做出评</w:t>
      </w:r>
      <w:r>
        <w:rPr>
          <w:rFonts w:hint="eastAsia" w:ascii="仿宋" w:hAnsi="仿宋" w:eastAsia="仿宋" w:cs="仿宋"/>
          <w:color w:val="auto"/>
          <w:sz w:val="32"/>
          <w:szCs w:val="32"/>
          <w:highlight w:val="none"/>
          <w:lang w:eastAsia="zh-CN"/>
        </w:rPr>
        <w:t>定</w:t>
      </w:r>
      <w:r>
        <w:rPr>
          <w:rFonts w:hint="eastAsia" w:ascii="仿宋" w:hAnsi="仿宋" w:eastAsia="仿宋" w:cs="仿宋"/>
          <w:color w:val="auto"/>
          <w:sz w:val="32"/>
          <w:szCs w:val="32"/>
          <w:highlight w:val="none"/>
        </w:rPr>
        <w:t>等级，实行差别化监管。具体内容为：</w:t>
      </w:r>
    </w:p>
    <w:p w14:paraId="35DFED8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color w:val="auto"/>
          <w:sz w:val="32"/>
          <w:szCs w:val="32"/>
          <w:highlight w:val="none"/>
          <w:lang w:val="en-US" w:eastAsia="zh-CN"/>
        </w:rPr>
        <w:t>（一）年度（阶段）优秀：</w:t>
      </w:r>
      <w:r>
        <w:rPr>
          <w:rFonts w:hint="eastAsia" w:ascii="仿宋" w:hAnsi="仿宋" w:eastAsia="仿宋" w:cs="仿宋"/>
          <w:color w:val="auto"/>
          <w:sz w:val="32"/>
          <w:szCs w:val="32"/>
          <w:highlight w:val="none"/>
          <w:lang w:eastAsia="zh-CN"/>
        </w:rPr>
        <w:t>季度（月度）</w:t>
      </w:r>
      <w:r>
        <w:rPr>
          <w:rFonts w:hint="eastAsia" w:ascii="仿宋" w:hAnsi="仿宋" w:eastAsia="仿宋" w:cs="仿宋"/>
          <w:color w:val="auto"/>
          <w:sz w:val="32"/>
          <w:szCs w:val="32"/>
          <w:highlight w:val="none"/>
          <w:lang w:val="en-US" w:eastAsia="zh-CN"/>
        </w:rPr>
        <w:t>评定平均分95分以上（含）；或各区、县（市）及开发区季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至少2次以上（含）为优秀；或市本级月度评定优秀至少4次以上（含），</w:t>
      </w:r>
      <w:r>
        <w:rPr>
          <w:rFonts w:hint="eastAsia" w:ascii="仿宋" w:hAnsi="仿宋" w:eastAsia="仿宋" w:cs="仿宋"/>
          <w:color w:val="auto"/>
          <w:sz w:val="32"/>
          <w:szCs w:val="32"/>
          <w:highlight w:val="none"/>
        </w:rPr>
        <w:t>其他均为</w:t>
      </w:r>
      <w:r>
        <w:rPr>
          <w:rFonts w:hint="eastAsia" w:ascii="仿宋" w:hAnsi="仿宋" w:eastAsia="仿宋" w:cs="仿宋"/>
          <w:color w:val="auto"/>
          <w:sz w:val="32"/>
          <w:szCs w:val="32"/>
          <w:highlight w:val="none"/>
          <w:lang w:val="en-US" w:eastAsia="zh-CN"/>
        </w:rPr>
        <w:t>良好以上</w:t>
      </w:r>
      <w:r>
        <w:rPr>
          <w:rFonts w:hint="eastAsia" w:ascii="仿宋" w:hAnsi="仿宋" w:eastAsia="仿宋" w:cs="仿宋"/>
          <w:color w:val="auto"/>
          <w:sz w:val="32"/>
          <w:szCs w:val="32"/>
          <w:highlight w:val="none"/>
        </w:rPr>
        <w:t>；无被主管部门约谈或者警告的记录</w:t>
      </w:r>
      <w:r>
        <w:rPr>
          <w:rFonts w:hint="eastAsia" w:ascii="仿宋" w:hAnsi="仿宋" w:eastAsia="仿宋" w:cs="仿宋"/>
          <w:b w:val="0"/>
          <w:bCs w:val="0"/>
          <w:color w:val="auto"/>
          <w:sz w:val="32"/>
          <w:szCs w:val="32"/>
          <w:highlight w:val="none"/>
        </w:rPr>
        <w:t>。</w:t>
      </w:r>
    </w:p>
    <w:p w14:paraId="4764CF6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监管措施：</w:t>
      </w:r>
      <w:r>
        <w:rPr>
          <w:rFonts w:hint="eastAsia" w:ascii="仿宋" w:hAnsi="仿宋" w:eastAsia="仿宋" w:cs="仿宋"/>
          <w:b w:val="0"/>
          <w:bCs w:val="0"/>
          <w:color w:val="auto"/>
          <w:sz w:val="32"/>
          <w:szCs w:val="32"/>
          <w:highlight w:val="none"/>
          <w:lang w:val="en-US" w:eastAsia="zh-CN"/>
        </w:rPr>
        <w:t>实行激励机制，</w:t>
      </w:r>
      <w:r>
        <w:rPr>
          <w:rFonts w:hint="eastAsia" w:ascii="仿宋" w:hAnsi="仿宋" w:eastAsia="仿宋" w:cs="仿宋"/>
          <w:b w:val="0"/>
          <w:bCs w:val="0"/>
          <w:color w:val="auto"/>
          <w:sz w:val="32"/>
          <w:szCs w:val="32"/>
          <w:highlight w:val="none"/>
        </w:rPr>
        <w:t>以支持发展为主，</w:t>
      </w:r>
      <w:r>
        <w:rPr>
          <w:rFonts w:hint="eastAsia" w:ascii="仿宋" w:hAnsi="仿宋" w:eastAsia="仿宋" w:cs="仿宋"/>
          <w:b w:val="0"/>
          <w:bCs w:val="0"/>
          <w:color w:val="auto"/>
          <w:sz w:val="32"/>
          <w:szCs w:val="32"/>
          <w:highlight w:val="none"/>
          <w:lang w:val="en-US" w:eastAsia="zh-CN"/>
        </w:rPr>
        <w:t>优先考虑作为类似项目的服务供应商</w:t>
      </w:r>
      <w:r>
        <w:rPr>
          <w:rFonts w:hint="eastAsia" w:ascii="仿宋" w:hAnsi="仿宋" w:eastAsia="仿宋" w:cs="仿宋"/>
          <w:b w:val="0"/>
          <w:bCs w:val="0"/>
          <w:color w:val="auto"/>
          <w:sz w:val="32"/>
          <w:szCs w:val="32"/>
          <w:highlight w:val="none"/>
          <w:u w:val="none"/>
        </w:rPr>
        <w:t>。</w:t>
      </w:r>
    </w:p>
    <w:p w14:paraId="52A07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（阶段）良好</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季度（月度）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平均分85分以上（含）；或各区、县（市）及开发区季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最多1次为</w:t>
      </w:r>
      <w:r>
        <w:rPr>
          <w:rFonts w:hint="eastAsia" w:ascii="仿宋" w:hAnsi="仿宋" w:eastAsia="仿宋" w:cs="仿宋"/>
          <w:color w:val="auto"/>
          <w:sz w:val="32"/>
          <w:szCs w:val="32"/>
          <w:highlight w:val="none"/>
          <w:lang w:val="en-US" w:eastAsia="zh-CN"/>
        </w:rPr>
        <w:t>合格</w:t>
      </w:r>
      <w:r>
        <w:rPr>
          <w:rFonts w:hint="eastAsia" w:ascii="仿宋" w:hAnsi="仿宋" w:eastAsia="仿宋" w:cs="仿宋"/>
          <w:color w:val="auto"/>
          <w:sz w:val="32"/>
          <w:szCs w:val="32"/>
          <w:highlight w:val="none"/>
        </w:rPr>
        <w:t>，其他均为</w:t>
      </w:r>
      <w:r>
        <w:rPr>
          <w:rFonts w:hint="eastAsia" w:ascii="仿宋" w:hAnsi="仿宋" w:eastAsia="仿宋" w:cs="仿宋"/>
          <w:color w:val="auto"/>
          <w:sz w:val="32"/>
          <w:szCs w:val="32"/>
          <w:highlight w:val="none"/>
          <w:lang w:val="en-US" w:eastAsia="zh-CN"/>
        </w:rPr>
        <w:t>良好以上；或市本级月度评定最多2次为合格，其他均为良好以上。</w:t>
      </w:r>
    </w:p>
    <w:p w14:paraId="38D64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监管措施：实行引导机制，帮扶、督促与监管并重；依法可提供的其他政策扶持或帮助。</w:t>
      </w:r>
    </w:p>
    <w:p w14:paraId="103CA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w:t>
      </w:r>
      <w:r>
        <w:rPr>
          <w:rFonts w:hint="eastAsia" w:ascii="仿宋" w:hAnsi="仿宋" w:eastAsia="仿宋" w:cs="仿宋"/>
          <w:color w:val="auto"/>
          <w:sz w:val="32"/>
          <w:szCs w:val="32"/>
          <w:highlight w:val="none"/>
        </w:rPr>
        <w:t>合格：</w:t>
      </w:r>
      <w:r>
        <w:rPr>
          <w:rFonts w:hint="eastAsia" w:ascii="仿宋" w:hAnsi="仿宋" w:eastAsia="仿宋" w:cs="仿宋"/>
          <w:color w:val="auto"/>
          <w:sz w:val="32"/>
          <w:szCs w:val="32"/>
          <w:highlight w:val="none"/>
          <w:lang w:val="en-US" w:eastAsia="zh-CN"/>
        </w:rPr>
        <w:t>季度（月度）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平均分70分以上（含）；或各区、县（市）及开发区季</w:t>
      </w:r>
      <w:r>
        <w:rPr>
          <w:rFonts w:hint="eastAsia" w:ascii="仿宋" w:hAnsi="仿宋" w:eastAsia="仿宋" w:cs="仿宋"/>
          <w:color w:val="auto"/>
          <w:sz w:val="32"/>
          <w:szCs w:val="32"/>
          <w:highlight w:val="none"/>
        </w:rPr>
        <w:t>度</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次</w:t>
      </w:r>
      <w:r>
        <w:rPr>
          <w:rFonts w:hint="eastAsia" w:ascii="仿宋" w:hAnsi="仿宋" w:eastAsia="仿宋" w:cs="仿宋"/>
          <w:color w:val="auto"/>
          <w:sz w:val="32"/>
          <w:szCs w:val="32"/>
          <w:highlight w:val="none"/>
          <w:lang w:val="en-US" w:eastAsia="zh-CN"/>
        </w:rPr>
        <w:t>以内</w:t>
      </w:r>
      <w:r>
        <w:rPr>
          <w:rFonts w:hint="eastAsia" w:ascii="仿宋" w:hAnsi="仿宋" w:eastAsia="仿宋" w:cs="仿宋"/>
          <w:color w:val="auto"/>
          <w:sz w:val="32"/>
          <w:szCs w:val="32"/>
          <w:highlight w:val="none"/>
        </w:rPr>
        <w:t>为合格，其他均为</w:t>
      </w:r>
      <w:r>
        <w:rPr>
          <w:rFonts w:hint="eastAsia" w:ascii="仿宋" w:hAnsi="仿宋" w:eastAsia="仿宋" w:cs="仿宋"/>
          <w:color w:val="auto"/>
          <w:sz w:val="32"/>
          <w:szCs w:val="32"/>
          <w:highlight w:val="none"/>
          <w:lang w:val="en-US" w:eastAsia="zh-CN"/>
        </w:rPr>
        <w:t>良好</w:t>
      </w:r>
      <w:r>
        <w:rPr>
          <w:rFonts w:hint="eastAsia" w:ascii="仿宋" w:hAnsi="仿宋" w:eastAsia="仿宋" w:cs="仿宋"/>
          <w:color w:val="auto"/>
          <w:sz w:val="32"/>
          <w:szCs w:val="32"/>
          <w:highlight w:val="none"/>
        </w:rPr>
        <w:t>及以上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主管部门</w:t>
      </w:r>
      <w:r>
        <w:rPr>
          <w:rFonts w:hint="eastAsia" w:ascii="仿宋" w:hAnsi="仿宋" w:eastAsia="仿宋" w:cs="仿宋"/>
          <w:color w:val="auto"/>
          <w:sz w:val="32"/>
          <w:szCs w:val="32"/>
          <w:highlight w:val="none"/>
          <w:lang w:val="en-US" w:eastAsia="zh-CN"/>
        </w:rPr>
        <w:t>最多1</w:t>
      </w:r>
      <w:r>
        <w:rPr>
          <w:rFonts w:hint="eastAsia" w:ascii="仿宋" w:hAnsi="仿宋" w:eastAsia="仿宋" w:cs="仿宋"/>
          <w:color w:val="auto"/>
          <w:sz w:val="32"/>
          <w:szCs w:val="32"/>
          <w:highlight w:val="none"/>
        </w:rPr>
        <w:t>次约谈或警告的记录；</w:t>
      </w:r>
      <w:r>
        <w:rPr>
          <w:rFonts w:hint="eastAsia" w:ascii="仿宋" w:hAnsi="仿宋" w:eastAsia="仿宋" w:cs="仿宋"/>
          <w:color w:val="auto"/>
          <w:sz w:val="32"/>
          <w:szCs w:val="32"/>
          <w:highlight w:val="none"/>
          <w:lang w:val="en-US" w:eastAsia="zh-CN"/>
        </w:rPr>
        <w:t>或市本级月度评定最多3次为合格，其他均为良好以上，</w:t>
      </w:r>
      <w:r>
        <w:rPr>
          <w:rFonts w:hint="eastAsia" w:ascii="仿宋" w:hAnsi="仿宋" w:eastAsia="仿宋" w:cs="仿宋"/>
          <w:color w:val="auto"/>
          <w:sz w:val="32"/>
          <w:szCs w:val="32"/>
          <w:highlight w:val="none"/>
        </w:rPr>
        <w:t>被</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主管部门</w:t>
      </w:r>
      <w:r>
        <w:rPr>
          <w:rFonts w:hint="eastAsia" w:ascii="仿宋" w:hAnsi="仿宋" w:eastAsia="仿宋" w:cs="仿宋"/>
          <w:color w:val="auto"/>
          <w:sz w:val="32"/>
          <w:szCs w:val="32"/>
          <w:highlight w:val="none"/>
          <w:lang w:val="en-US" w:eastAsia="zh-CN"/>
        </w:rPr>
        <w:t>最多1</w:t>
      </w:r>
      <w:r>
        <w:rPr>
          <w:rFonts w:hint="eastAsia" w:ascii="仿宋" w:hAnsi="仿宋" w:eastAsia="仿宋" w:cs="仿宋"/>
          <w:color w:val="auto"/>
          <w:sz w:val="32"/>
          <w:szCs w:val="32"/>
          <w:highlight w:val="none"/>
        </w:rPr>
        <w:t>次约谈或警告的记录</w:t>
      </w:r>
      <w:r>
        <w:rPr>
          <w:rFonts w:hint="eastAsia" w:ascii="仿宋" w:hAnsi="仿宋" w:eastAsia="仿宋" w:cs="仿宋"/>
          <w:color w:val="auto"/>
          <w:sz w:val="32"/>
          <w:szCs w:val="32"/>
          <w:highlight w:val="none"/>
          <w:lang w:val="en-US" w:eastAsia="zh-CN"/>
        </w:rPr>
        <w:t>。</w:t>
      </w:r>
    </w:p>
    <w:p w14:paraId="7BB3C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监管措施：防范与监管并重；定期对机构管理人</w:t>
      </w:r>
      <w:r>
        <w:rPr>
          <w:rFonts w:hint="eastAsia" w:ascii="仿宋" w:hAnsi="仿宋" w:eastAsia="仿宋" w:cs="仿宋"/>
          <w:color w:val="auto"/>
          <w:sz w:val="32"/>
          <w:szCs w:val="32"/>
          <w:highlight w:val="none"/>
        </w:rPr>
        <w:t>员进行法律法规教育；</w:t>
      </w:r>
      <w:r>
        <w:rPr>
          <w:rFonts w:hint="eastAsia" w:ascii="仿宋" w:hAnsi="仿宋" w:eastAsia="仿宋" w:cs="仿宋"/>
          <w:color w:val="auto"/>
          <w:sz w:val="32"/>
          <w:szCs w:val="32"/>
          <w:highlight w:val="none"/>
        </w:rPr>
        <w:t>其他方面的防范性措施。</w:t>
      </w:r>
    </w:p>
    <w:p w14:paraId="71DAE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（阶段）</w:t>
      </w:r>
      <w:r>
        <w:rPr>
          <w:rFonts w:hint="eastAsia" w:ascii="仿宋" w:hAnsi="仿宋" w:eastAsia="仿宋" w:cs="仿宋"/>
          <w:color w:val="auto"/>
          <w:sz w:val="32"/>
          <w:szCs w:val="32"/>
          <w:highlight w:val="none"/>
        </w:rPr>
        <w:t>不合格：</w:t>
      </w:r>
      <w:r>
        <w:rPr>
          <w:rFonts w:hint="eastAsia" w:ascii="仿宋" w:hAnsi="仿宋" w:eastAsia="仿宋" w:cs="仿宋"/>
          <w:color w:val="auto"/>
          <w:sz w:val="32"/>
          <w:szCs w:val="32"/>
          <w:highlight w:val="none"/>
          <w:lang w:eastAsia="zh-CN"/>
        </w:rPr>
        <w:t>评定</w:t>
      </w:r>
      <w:r>
        <w:rPr>
          <w:rFonts w:hint="eastAsia" w:ascii="仿宋" w:hAnsi="仿宋" w:eastAsia="仿宋" w:cs="仿宋"/>
          <w:color w:val="auto"/>
          <w:sz w:val="32"/>
          <w:szCs w:val="32"/>
          <w:highlight w:val="none"/>
        </w:rPr>
        <w:t>有</w:t>
      </w:r>
      <w:r>
        <w:rPr>
          <w:rFonts w:hint="eastAsia" w:ascii="仿宋" w:hAnsi="仿宋" w:eastAsia="仿宋" w:cs="仿宋"/>
          <w:color w:val="auto"/>
          <w:sz w:val="32"/>
          <w:szCs w:val="32"/>
          <w:highlight w:val="none"/>
          <w:lang w:val="en-US" w:eastAsia="zh-CN"/>
        </w:rPr>
        <w:t>不</w:t>
      </w:r>
      <w:r>
        <w:rPr>
          <w:rFonts w:hint="eastAsia" w:ascii="仿宋" w:hAnsi="仿宋" w:eastAsia="仿宋" w:cs="仿宋"/>
          <w:color w:val="auto"/>
          <w:sz w:val="32"/>
          <w:szCs w:val="32"/>
          <w:highlight w:val="none"/>
        </w:rPr>
        <w:t>合格</w:t>
      </w:r>
      <w:r>
        <w:rPr>
          <w:rFonts w:hint="eastAsia" w:ascii="仿宋" w:hAnsi="仿宋" w:eastAsia="仿宋" w:cs="仿宋"/>
          <w:color w:val="auto"/>
          <w:sz w:val="32"/>
          <w:szCs w:val="32"/>
          <w:highlight w:val="none"/>
          <w:lang w:val="en-US" w:eastAsia="zh-CN"/>
        </w:rPr>
        <w:t>记录</w:t>
      </w:r>
      <w:r>
        <w:rPr>
          <w:rFonts w:hint="eastAsia" w:ascii="仿宋" w:hAnsi="仿宋" w:eastAsia="仿宋" w:cs="仿宋"/>
          <w:color w:val="auto"/>
          <w:sz w:val="32"/>
          <w:szCs w:val="32"/>
          <w:highlight w:val="none"/>
        </w:rPr>
        <w:t>；被主管部门</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次及以上约谈或警告的；存在其他重大违约违规情况。</w:t>
      </w:r>
    </w:p>
    <w:p w14:paraId="2543A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highlight w:val="none"/>
          <w:u w:val="none"/>
        </w:rPr>
      </w:pPr>
      <w:r>
        <w:rPr>
          <w:rFonts w:hint="eastAsia" w:ascii="仿宋" w:hAnsi="仿宋" w:eastAsia="仿宋" w:cs="仿宋"/>
          <w:color w:val="auto"/>
          <w:sz w:val="32"/>
          <w:szCs w:val="32"/>
          <w:highlight w:val="none"/>
        </w:rPr>
        <w:t>监管措施：</w:t>
      </w:r>
      <w:r>
        <w:rPr>
          <w:rFonts w:hint="eastAsia" w:ascii="仿宋" w:hAnsi="仿宋" w:eastAsia="仿宋" w:cs="仿宋"/>
          <w:color w:val="auto"/>
          <w:sz w:val="32"/>
          <w:szCs w:val="32"/>
          <w:highlight w:val="none"/>
          <w:lang w:eastAsia="zh-CN"/>
        </w:rPr>
        <w:t>市建设局</w:t>
      </w:r>
      <w:r>
        <w:rPr>
          <w:rFonts w:hint="eastAsia" w:ascii="仿宋" w:hAnsi="仿宋" w:eastAsia="仿宋" w:cs="仿宋"/>
          <w:color w:val="auto"/>
          <w:sz w:val="32"/>
          <w:szCs w:val="32"/>
          <w:highlight w:val="none"/>
        </w:rPr>
        <w:t>及时将有关情况抄送市消防救援</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，实行联合惩戒</w:t>
      </w:r>
      <w:r>
        <w:rPr>
          <w:rFonts w:hint="eastAsia" w:ascii="仿宋" w:hAnsi="仿宋" w:eastAsia="仿宋" w:cs="仿宋"/>
          <w:color w:val="auto"/>
          <w:sz w:val="32"/>
          <w:szCs w:val="32"/>
          <w:highlight w:val="none"/>
          <w:lang w:eastAsia="zh-CN"/>
        </w:rPr>
        <w:t>，不建议各区、县（市）建设主管部门继续采购此服务机构服务，同时</w:t>
      </w:r>
      <w:r>
        <w:rPr>
          <w:rFonts w:hint="eastAsia" w:ascii="仿宋" w:hAnsi="仿宋" w:eastAsia="仿宋" w:cs="仿宋"/>
          <w:color w:val="auto"/>
          <w:sz w:val="32"/>
          <w:szCs w:val="32"/>
          <w:highlight w:val="none"/>
        </w:rPr>
        <w:t>提醒建设单位谨慎选择</w:t>
      </w:r>
      <w:r>
        <w:rPr>
          <w:rFonts w:hint="eastAsia" w:ascii="仿宋" w:hAnsi="仿宋" w:eastAsia="仿宋" w:cs="仿宋"/>
          <w:color w:val="auto"/>
          <w:sz w:val="32"/>
          <w:szCs w:val="32"/>
          <w:highlight w:val="none"/>
          <w:lang w:eastAsia="zh-CN"/>
        </w:rPr>
        <w:t>年度（阶段）评定不合格</w:t>
      </w:r>
      <w:r>
        <w:rPr>
          <w:rFonts w:hint="eastAsia" w:ascii="仿宋" w:hAnsi="仿宋" w:eastAsia="仿宋" w:cs="仿宋"/>
          <w:color w:val="auto"/>
          <w:sz w:val="32"/>
          <w:szCs w:val="32"/>
          <w:highlight w:val="none"/>
        </w:rPr>
        <w:t>的消防查验机构开展消防查验。</w:t>
      </w:r>
    </w:p>
    <w:p w14:paraId="680FBB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23387E04">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w:t>
      </w:r>
      <w:r>
        <w:rPr>
          <w:rFonts w:hint="eastAsia" w:ascii="仿宋" w:hAnsi="仿宋" w:eastAsia="仿宋" w:cs="仿宋"/>
          <w:color w:val="auto"/>
          <w:sz w:val="32"/>
          <w:szCs w:val="32"/>
          <w:highlight w:val="none"/>
          <w:lang w:eastAsia="zh-CN"/>
        </w:rPr>
        <w:t>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第三方</w:t>
      </w:r>
      <w:r>
        <w:rPr>
          <w:rFonts w:hint="eastAsia" w:ascii="仿宋" w:hAnsi="仿宋" w:eastAsia="仿宋" w:cs="仿宋"/>
          <w:color w:val="auto"/>
          <w:sz w:val="32"/>
          <w:szCs w:val="32"/>
          <w:highlight w:val="none"/>
        </w:rPr>
        <w:t>消防验收技术服务</w:t>
      </w:r>
      <w:r>
        <w:rPr>
          <w:rFonts w:hint="eastAsia" w:ascii="仿宋" w:hAnsi="仿宋" w:eastAsia="仿宋" w:cs="仿宋"/>
          <w:color w:val="auto"/>
          <w:sz w:val="32"/>
          <w:szCs w:val="32"/>
          <w:highlight w:val="none"/>
          <w:lang w:eastAsia="zh-CN"/>
        </w:rPr>
        <w:t>机构评定</w:t>
      </w:r>
      <w:r>
        <w:rPr>
          <w:rFonts w:hint="eastAsia" w:ascii="仿宋" w:hAnsi="仿宋" w:eastAsia="仿宋" w:cs="仿宋"/>
          <w:color w:val="auto"/>
          <w:sz w:val="32"/>
          <w:szCs w:val="32"/>
          <w:highlight w:val="none"/>
        </w:rPr>
        <w:t>表</w:t>
      </w:r>
    </w:p>
    <w:p w14:paraId="29EE126E">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p>
    <w:p w14:paraId="7BBEDEC6">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auto"/>
          <w:sz w:val="32"/>
          <w:szCs w:val="32"/>
          <w:highlight w:val="none"/>
        </w:rPr>
      </w:pPr>
    </w:p>
    <w:p w14:paraId="5B00D5A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绍兴市住房和城乡建设局</w:t>
      </w:r>
      <w:r>
        <w:rPr>
          <w:rFonts w:hint="eastAsia" w:ascii="仿宋" w:hAnsi="仿宋" w:eastAsia="仿宋" w:cs="仿宋"/>
          <w:color w:val="auto"/>
          <w:sz w:val="32"/>
          <w:szCs w:val="32"/>
          <w:highlight w:val="none"/>
          <w:lang w:eastAsia="zh-CN"/>
        </w:rPr>
        <w:t>办公室</w:t>
      </w:r>
    </w:p>
    <w:p w14:paraId="17AD1134">
      <w:pPr>
        <w:keepNext w:val="0"/>
        <w:keepLines w:val="0"/>
        <w:pageBreakBefore w:val="0"/>
        <w:widowControl w:val="0"/>
        <w:kinsoku/>
        <w:wordWrap/>
        <w:overflowPunct/>
        <w:topLinePunct w:val="0"/>
        <w:bidi w:val="0"/>
        <w:snapToGrid/>
        <w:spacing w:line="560" w:lineRule="exact"/>
        <w:ind w:firstLine="5120" w:firstLineChars="1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w:t>
      </w:r>
    </w:p>
    <w:p w14:paraId="69518B67">
      <w:pPr>
        <w:keepNext w:val="0"/>
        <w:keepLines w:val="0"/>
        <w:pageBreakBefore w:val="0"/>
        <w:widowControl w:val="0"/>
        <w:kinsoku/>
        <w:wordWrap/>
        <w:overflowPunct/>
        <w:topLinePunct w:val="0"/>
        <w:bidi w:val="0"/>
        <w:snapToGrid/>
        <w:spacing w:line="560" w:lineRule="exact"/>
        <w:ind w:firstLine="5120" w:firstLineChars="1600"/>
        <w:textAlignment w:val="auto"/>
        <w:rPr>
          <w:rFonts w:hint="eastAsia" w:ascii="仿宋" w:hAnsi="仿宋" w:eastAsia="仿宋" w:cs="仿宋"/>
          <w:color w:val="auto"/>
          <w:sz w:val="32"/>
          <w:szCs w:val="32"/>
          <w:highlight w:val="none"/>
        </w:rPr>
      </w:pPr>
    </w:p>
    <w:p w14:paraId="05325755">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3F453A9C">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7D220BF9">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7FBD8016">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63C07BD7">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267E1E5">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25656C5C">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6FE36671">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9EA827A">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1525B6E8">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rPr>
      </w:pPr>
    </w:p>
    <w:p w14:paraId="392015B5">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highlight w:val="none"/>
        </w:rPr>
      </w:pPr>
    </w:p>
    <w:p w14:paraId="4ADEB2C9">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484595A4">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4B2255CA">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color w:val="auto"/>
          <w:sz w:val="44"/>
          <w:szCs w:val="44"/>
          <w:highlight w:val="none"/>
          <w:lang w:eastAsia="zh-CN"/>
        </w:rPr>
      </w:pPr>
    </w:p>
    <w:p w14:paraId="0D39F16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lang w:eastAsia="zh-CN"/>
        </w:rPr>
        <w:t>第三方</w:t>
      </w:r>
      <w:r>
        <w:rPr>
          <w:rFonts w:hint="eastAsia" w:ascii="仿宋" w:hAnsi="仿宋" w:eastAsia="仿宋" w:cs="仿宋"/>
          <w:bCs/>
          <w:color w:val="auto"/>
          <w:sz w:val="44"/>
          <w:szCs w:val="44"/>
          <w:highlight w:val="none"/>
        </w:rPr>
        <w:t>消防验收技术服务</w:t>
      </w:r>
      <w:r>
        <w:rPr>
          <w:rFonts w:hint="eastAsia" w:ascii="仿宋" w:hAnsi="仿宋" w:eastAsia="仿宋" w:cs="仿宋"/>
          <w:bCs/>
          <w:color w:val="auto"/>
          <w:sz w:val="44"/>
          <w:szCs w:val="44"/>
          <w:highlight w:val="none"/>
          <w:lang w:eastAsia="zh-CN"/>
        </w:rPr>
        <w:t>机构评定</w:t>
      </w:r>
      <w:r>
        <w:rPr>
          <w:rFonts w:hint="eastAsia" w:ascii="仿宋" w:hAnsi="仿宋" w:eastAsia="仿宋" w:cs="仿宋"/>
          <w:bCs/>
          <w:color w:val="auto"/>
          <w:sz w:val="44"/>
          <w:szCs w:val="44"/>
          <w:highlight w:val="none"/>
        </w:rPr>
        <w:t>表</w:t>
      </w:r>
    </w:p>
    <w:p w14:paraId="228559F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                                          日期：</w:t>
      </w:r>
    </w:p>
    <w:tbl>
      <w:tblPr>
        <w:tblStyle w:val="31"/>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36"/>
        <w:gridCol w:w="816"/>
        <w:gridCol w:w="4573"/>
        <w:gridCol w:w="1014"/>
        <w:gridCol w:w="833"/>
      </w:tblGrid>
      <w:tr w14:paraId="02E1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71DCA7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指标</w:t>
            </w:r>
          </w:p>
        </w:tc>
        <w:tc>
          <w:tcPr>
            <w:tcW w:w="736" w:type="dxa"/>
            <w:noWrap w:val="0"/>
            <w:vAlign w:val="center"/>
          </w:tcPr>
          <w:p w14:paraId="643B6B3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816" w:type="dxa"/>
            <w:noWrap w:val="0"/>
            <w:vAlign w:val="center"/>
          </w:tcPr>
          <w:p w14:paraId="743C437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内容</w:t>
            </w:r>
          </w:p>
        </w:tc>
        <w:tc>
          <w:tcPr>
            <w:tcW w:w="4573" w:type="dxa"/>
            <w:noWrap w:val="0"/>
            <w:vAlign w:val="center"/>
          </w:tcPr>
          <w:p w14:paraId="0EC0E98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记分项与标准（扣完为止）</w:t>
            </w:r>
          </w:p>
        </w:tc>
        <w:tc>
          <w:tcPr>
            <w:tcW w:w="1014" w:type="dxa"/>
            <w:noWrap w:val="0"/>
            <w:vAlign w:val="center"/>
          </w:tcPr>
          <w:p w14:paraId="37B1BAC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w:t>
            </w:r>
            <w:r>
              <w:rPr>
                <w:rFonts w:hint="eastAsia" w:ascii="仿宋" w:hAnsi="仿宋" w:eastAsia="仿宋" w:cs="仿宋"/>
                <w:color w:val="auto"/>
                <w:sz w:val="24"/>
                <w:highlight w:val="none"/>
              </w:rPr>
              <w:t>分数</w:t>
            </w:r>
          </w:p>
        </w:tc>
        <w:tc>
          <w:tcPr>
            <w:tcW w:w="833" w:type="dxa"/>
            <w:noWrap w:val="0"/>
            <w:vAlign w:val="center"/>
          </w:tcPr>
          <w:p w14:paraId="56AF9A6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实得分数</w:t>
            </w:r>
          </w:p>
        </w:tc>
      </w:tr>
      <w:tr w14:paraId="1B8D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4CBD35C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执业行为（60）</w:t>
            </w:r>
          </w:p>
        </w:tc>
        <w:tc>
          <w:tcPr>
            <w:tcW w:w="736" w:type="dxa"/>
            <w:noWrap w:val="0"/>
            <w:vAlign w:val="center"/>
          </w:tcPr>
          <w:p w14:paraId="5462517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3BCE309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图纸复核及技术交底</w:t>
            </w:r>
          </w:p>
        </w:tc>
        <w:tc>
          <w:tcPr>
            <w:tcW w:w="4573" w:type="dxa"/>
            <w:noWrap w:val="0"/>
            <w:vAlign w:val="top"/>
          </w:tcPr>
          <w:p w14:paraId="7E10A4D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1.未及时复核相关施工图纸，每次扣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C3B4B5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2.未及时组织技术交底，每次扣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24BCF36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3.应当发现而未发现施工图违反国家工程建设消防技术标准强制性条款的（以下简称“强条”），每条扣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1AA78C89">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4.应当发现而未发现施工图违反其他设计条款的，每条扣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p>
        </w:tc>
        <w:tc>
          <w:tcPr>
            <w:tcW w:w="1014" w:type="dxa"/>
            <w:noWrap w:val="0"/>
            <w:vAlign w:val="top"/>
          </w:tcPr>
          <w:p w14:paraId="1F23D6B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restart"/>
            <w:noWrap w:val="0"/>
            <w:vAlign w:val="top"/>
          </w:tcPr>
          <w:p w14:paraId="36521D0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7606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E81944A">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25DB6DF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816" w:type="dxa"/>
            <w:noWrap w:val="0"/>
            <w:vAlign w:val="center"/>
          </w:tcPr>
          <w:p w14:paraId="48C7797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过程检查服务</w:t>
            </w:r>
          </w:p>
        </w:tc>
        <w:tc>
          <w:tcPr>
            <w:tcW w:w="4573" w:type="dxa"/>
            <w:noWrap w:val="0"/>
            <w:vAlign w:val="top"/>
          </w:tcPr>
          <w:p w14:paraId="2A52370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1.在服务过程中应当发现而未发现违反强条，以及其他与消防安全密切相关的总平面布局、防火防烟分区、安全疏散、灭火救援等问题，每条扣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3AD30BC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2.在服务过程中应当发现而未发现其他一般消防问题的，每条扣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62A23F6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3.在服务过程中，第三方机构提出的问题、意见或建议不合理的，经核查情况属实的，每次扣</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p>
          <w:p w14:paraId="4C0DB61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单位应对施工单位的整改情况进行复查，</w:t>
            </w:r>
            <w:r>
              <w:rPr>
                <w:rFonts w:hint="eastAsia" w:ascii="仿宋" w:hAnsi="仿宋" w:eastAsia="仿宋" w:cs="仿宋"/>
                <w:color w:val="auto"/>
                <w:sz w:val="24"/>
                <w:highlight w:val="none"/>
                <w:lang w:val="en-US" w:eastAsia="zh-CN"/>
              </w:rPr>
              <w:t>未及时闭合问题</w:t>
            </w:r>
            <w:r>
              <w:rPr>
                <w:rFonts w:hint="eastAsia" w:ascii="仿宋" w:hAnsi="仿宋" w:eastAsia="仿宋" w:cs="仿宋"/>
                <w:color w:val="auto"/>
                <w:sz w:val="24"/>
                <w:highlight w:val="none"/>
              </w:rPr>
              <w:t>而造成后续影响的，每条扣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1AF4A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.项目负责人未到现场实际地点开展工作，每次扣5分</w:t>
            </w:r>
            <w:r>
              <w:rPr>
                <w:rFonts w:hint="eastAsia" w:ascii="仿宋" w:hAnsi="仿宋" w:eastAsia="仿宋" w:cs="仿宋"/>
                <w:color w:val="auto"/>
                <w:sz w:val="24"/>
                <w:highlight w:val="none"/>
                <w:lang w:eastAsia="zh-CN"/>
              </w:rPr>
              <w:t>；</w:t>
            </w:r>
          </w:p>
          <w:p w14:paraId="0D0F30F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US" w:eastAsia="zh-CN"/>
              </w:rPr>
              <w:t>6.出具的书面检查文件存在失实情况的，每条扣6分。</w:t>
            </w:r>
          </w:p>
        </w:tc>
        <w:tc>
          <w:tcPr>
            <w:tcW w:w="1014" w:type="dxa"/>
            <w:noWrap w:val="0"/>
            <w:vAlign w:val="top"/>
          </w:tcPr>
          <w:p w14:paraId="6C88965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61BFF72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7469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6A2BEA4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59BB539C">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816" w:type="dxa"/>
            <w:noWrap w:val="0"/>
            <w:vAlign w:val="center"/>
          </w:tcPr>
          <w:p w14:paraId="12F2626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现场评定服务</w:t>
            </w:r>
          </w:p>
        </w:tc>
        <w:tc>
          <w:tcPr>
            <w:tcW w:w="4573" w:type="dxa"/>
            <w:noWrap w:val="0"/>
            <w:vAlign w:val="top"/>
          </w:tcPr>
          <w:p w14:paraId="32C851E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在现场评定工作任务交办后，未按规定时间完成现场评定的，每次扣</w:t>
            </w:r>
            <w:r>
              <w:rPr>
                <w:rFonts w:hint="eastAsia" w:ascii="仿宋" w:hAnsi="仿宋" w:eastAsia="仿宋" w:cs="仿宋"/>
                <w:color w:val="auto"/>
                <w:sz w:val="24"/>
                <w:highlight w:val="none"/>
                <w:lang w:val="en-US" w:eastAsia="zh-CN"/>
              </w:rPr>
              <w:t>6分；现场评定后未按规定时间形成完整有效意见报告的，每次扣6分；对服务机构恶意拖延时间、借故加价收费行为</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直接判定为不合格</w:t>
            </w:r>
            <w:r>
              <w:rPr>
                <w:rFonts w:hint="eastAsia" w:ascii="仿宋" w:hAnsi="仿宋" w:eastAsia="仿宋" w:cs="仿宋"/>
                <w:b w:val="0"/>
                <w:bCs w:val="0"/>
                <w:color w:val="auto"/>
                <w:sz w:val="24"/>
                <w:highlight w:val="none"/>
                <w:lang w:eastAsia="zh-CN"/>
              </w:rPr>
              <w:t>。</w:t>
            </w:r>
          </w:p>
          <w:p w14:paraId="12375FB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出具的书面结论文件未经技术负责人、项目负责人签字、盖章或未加盖技术服务机构印章，或由他人代签或代为盖章，每次扣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14:paraId="45493C9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3.出具的消防验收现场评定报告不规范或有明显错误的，视情扣5-10分；</w:t>
            </w:r>
          </w:p>
          <w:p w14:paraId="4658DC79">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.出具的书面结论文件存在失实情况的，每次扣1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val="0"/>
                <w:bCs w:val="0"/>
                <w:color w:val="auto"/>
                <w:sz w:val="24"/>
                <w:highlight w:val="none"/>
              </w:rPr>
              <w:t>情节严重的，当期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直接判定为不合格</w:t>
            </w:r>
            <w:r>
              <w:rPr>
                <w:rFonts w:hint="eastAsia" w:ascii="仿宋" w:hAnsi="仿宋" w:eastAsia="仿宋" w:cs="仿宋"/>
                <w:color w:val="auto"/>
                <w:sz w:val="24"/>
                <w:highlight w:val="none"/>
              </w:rPr>
              <w:t>；</w:t>
            </w:r>
          </w:p>
          <w:p w14:paraId="5341B59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.出具合格消防技术服务报告</w:t>
            </w:r>
            <w:r>
              <w:rPr>
                <w:rFonts w:hint="eastAsia" w:ascii="仿宋" w:hAnsi="仿宋" w:eastAsia="仿宋" w:cs="仿宋"/>
                <w:color w:val="auto"/>
                <w:sz w:val="24"/>
                <w:highlight w:val="none"/>
                <w:lang w:eastAsia="zh-CN"/>
              </w:rPr>
              <w:t>因未发现消防安全隐患导致</w:t>
            </w:r>
            <w:r>
              <w:rPr>
                <w:rFonts w:hint="eastAsia" w:ascii="仿宋" w:hAnsi="仿宋" w:eastAsia="仿宋" w:cs="仿宋"/>
                <w:color w:val="auto"/>
                <w:sz w:val="24"/>
                <w:highlight w:val="none"/>
              </w:rPr>
              <w:t>发生火灾事故的</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tc>
        <w:tc>
          <w:tcPr>
            <w:tcW w:w="1014" w:type="dxa"/>
            <w:noWrap w:val="0"/>
            <w:vAlign w:val="top"/>
          </w:tcPr>
          <w:p w14:paraId="7E2B370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3517090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A0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2F5F9FB2">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1CAEF75F">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D339A02">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档案</w:t>
            </w:r>
            <w:r>
              <w:rPr>
                <w:rFonts w:hint="eastAsia" w:ascii="仿宋" w:hAnsi="仿宋" w:eastAsia="仿宋" w:cs="仿宋"/>
                <w:color w:val="auto"/>
                <w:sz w:val="24"/>
                <w:highlight w:val="none"/>
                <w:lang w:eastAsia="zh-CN"/>
              </w:rPr>
              <w:t>资料</w:t>
            </w:r>
            <w:r>
              <w:rPr>
                <w:rFonts w:hint="eastAsia" w:ascii="仿宋" w:hAnsi="仿宋" w:eastAsia="仿宋" w:cs="仿宋"/>
                <w:color w:val="auto"/>
                <w:sz w:val="24"/>
                <w:highlight w:val="none"/>
              </w:rPr>
              <w:t>管理</w:t>
            </w:r>
          </w:p>
        </w:tc>
        <w:tc>
          <w:tcPr>
            <w:tcW w:w="4573" w:type="dxa"/>
            <w:noWrap w:val="0"/>
            <w:vAlign w:val="top"/>
          </w:tcPr>
          <w:p w14:paraId="1085019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1.未按照合同约定建立技术服务资料管理制度，未及时录入整理存档，未及时报送相关资料，每处扣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7260E69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2.未及时准确报送相关检查资料，造成影响或者损失的，每处扣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037BB9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未协助采购人及时对所承办的消防验收的相关资料进行收集、整理、归档，每</w:t>
            </w:r>
            <w:r>
              <w:rPr>
                <w:rFonts w:hint="eastAsia" w:ascii="仿宋" w:hAnsi="仿宋" w:eastAsia="仿宋" w:cs="仿宋"/>
                <w:color w:val="auto"/>
                <w:sz w:val="24"/>
                <w:highlight w:val="none"/>
                <w:lang w:eastAsia="zh-CN"/>
              </w:rPr>
              <w:t>次</w:t>
            </w:r>
            <w:r>
              <w:rPr>
                <w:rFonts w:hint="eastAsia" w:ascii="仿宋" w:hAnsi="仿宋" w:eastAsia="仿宋" w:cs="仿宋"/>
                <w:color w:val="auto"/>
                <w:sz w:val="24"/>
                <w:highlight w:val="none"/>
              </w:rPr>
              <w:t>扣5分。</w:t>
            </w:r>
          </w:p>
        </w:tc>
        <w:tc>
          <w:tcPr>
            <w:tcW w:w="1014" w:type="dxa"/>
            <w:noWrap w:val="0"/>
            <w:vAlign w:val="top"/>
          </w:tcPr>
          <w:p w14:paraId="784869C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009FEDB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1BE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1CE7D794">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综合管理（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p>
        </w:tc>
        <w:tc>
          <w:tcPr>
            <w:tcW w:w="736" w:type="dxa"/>
            <w:noWrap w:val="0"/>
            <w:vAlign w:val="center"/>
          </w:tcPr>
          <w:p w14:paraId="206CE79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7C16F78B">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w:t>
            </w:r>
          </w:p>
        </w:tc>
        <w:tc>
          <w:tcPr>
            <w:tcW w:w="4573" w:type="dxa"/>
            <w:noWrap w:val="0"/>
            <w:vAlign w:val="top"/>
          </w:tcPr>
          <w:p w14:paraId="27EAC96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方质保体系不完善，未使用齐全且性能符合要求的检测仪器，每次扣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1014" w:type="dxa"/>
            <w:noWrap w:val="0"/>
            <w:vAlign w:val="top"/>
          </w:tcPr>
          <w:p w14:paraId="5F74294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restart"/>
            <w:noWrap w:val="0"/>
            <w:vAlign w:val="top"/>
          </w:tcPr>
          <w:p w14:paraId="12571C2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289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1" w:type="dxa"/>
            <w:vMerge w:val="continue"/>
            <w:noWrap w:val="0"/>
            <w:vAlign w:val="center"/>
          </w:tcPr>
          <w:p w14:paraId="3AEE71F8">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66B8B6FE">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460B5C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联合监管</w:t>
            </w:r>
          </w:p>
        </w:tc>
        <w:tc>
          <w:tcPr>
            <w:tcW w:w="4573" w:type="dxa"/>
            <w:noWrap w:val="0"/>
            <w:vAlign w:val="top"/>
          </w:tcPr>
          <w:p w14:paraId="37ADFE4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1.被省、市或县级消防救援部门处罚并通报的，每次扣10分；</w:t>
            </w:r>
          </w:p>
          <w:p w14:paraId="029F47F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2.被招投标管理部门处罚并通报的，每次扣10分；</w:t>
            </w:r>
          </w:p>
          <w:p w14:paraId="3B5B72E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u w:val="none"/>
                <w:lang w:val="en-US" w:eastAsia="zh-CN"/>
              </w:rPr>
              <w:t>3.在浙江省消防技术服务管理平台上被列入黑榜的，扣10分，并自次月起暂停委托。</w:t>
            </w:r>
          </w:p>
        </w:tc>
        <w:tc>
          <w:tcPr>
            <w:tcW w:w="1014" w:type="dxa"/>
            <w:noWrap w:val="0"/>
            <w:vAlign w:val="top"/>
          </w:tcPr>
          <w:p w14:paraId="0DCD644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5C47EE2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949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3EFECEF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0361548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48CEC5A8">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工作效能</w:t>
            </w:r>
          </w:p>
        </w:tc>
        <w:tc>
          <w:tcPr>
            <w:tcW w:w="4573" w:type="dxa"/>
            <w:noWrap w:val="0"/>
            <w:vAlign w:val="top"/>
          </w:tcPr>
          <w:p w14:paraId="5B37070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1.未按照合同约定完成相应工作，参与审查规范性文件和技术标准编制，有效提供行政管理支撑等情况，全面配合</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单位及上级部门工作，每处扣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66031D9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2.被主管部门约谈、警告或处罚的，视情节轻重，每次扣10分。</w:t>
            </w:r>
          </w:p>
          <w:p w14:paraId="205B4CA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3.在技术服务过程中未与建设主管部门及时沟通、反馈情况，不积极配合主管部门检查，每次扣5分。</w:t>
            </w:r>
          </w:p>
          <w:p w14:paraId="07C35BB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4、项目交底、服务、和验收评定未按时参加，或未按规定流程擅自开展的，每次扣10分。</w:t>
            </w:r>
          </w:p>
          <w:p w14:paraId="71E2F74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5.未及时在全省一体化网上中介超市入驻的，发现后扣5分。</w:t>
            </w:r>
          </w:p>
        </w:tc>
        <w:tc>
          <w:tcPr>
            <w:tcW w:w="1014" w:type="dxa"/>
            <w:noWrap w:val="0"/>
            <w:vAlign w:val="top"/>
          </w:tcPr>
          <w:p w14:paraId="2299C64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6BB6D98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43F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711173A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p>
        </w:tc>
        <w:tc>
          <w:tcPr>
            <w:tcW w:w="736" w:type="dxa"/>
            <w:noWrap w:val="0"/>
            <w:vAlign w:val="center"/>
          </w:tcPr>
          <w:p w14:paraId="313BF82F">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16" w:type="dxa"/>
            <w:noWrap w:val="0"/>
            <w:vAlign w:val="center"/>
          </w:tcPr>
          <w:p w14:paraId="1F667460">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廉政建设</w:t>
            </w:r>
          </w:p>
        </w:tc>
        <w:tc>
          <w:tcPr>
            <w:tcW w:w="4573" w:type="dxa"/>
            <w:noWrap w:val="0"/>
            <w:vAlign w:val="top"/>
          </w:tcPr>
          <w:p w14:paraId="6FE42E7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1.据被服务对象投诉，经查证属实的，视情节轻重，每次扣</w:t>
            </w:r>
            <w:r>
              <w:rPr>
                <w:rFonts w:hint="eastAsia" w:ascii="仿宋" w:hAnsi="仿宋" w:eastAsia="仿宋" w:cs="仿宋"/>
                <w:color w:val="auto"/>
                <w:sz w:val="24"/>
                <w:highlight w:val="none"/>
                <w:lang w:val="en-US" w:eastAsia="zh-CN"/>
              </w:rPr>
              <w:t>6-15</w:t>
            </w:r>
            <w:r>
              <w:rPr>
                <w:rFonts w:hint="eastAsia" w:ascii="仿宋" w:hAnsi="仿宋" w:eastAsia="仿宋" w:cs="仿宋"/>
                <w:color w:val="auto"/>
                <w:sz w:val="24"/>
                <w:highlight w:val="none"/>
              </w:rPr>
              <w:t>分；</w:t>
            </w:r>
          </w:p>
          <w:p w14:paraId="6EA13DEC">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2.据相关单位举证反映，</w:t>
            </w:r>
            <w:r>
              <w:rPr>
                <w:rFonts w:hint="eastAsia" w:ascii="仿宋" w:hAnsi="仿宋" w:eastAsia="仿宋" w:cs="仿宋"/>
                <w:color w:val="auto"/>
                <w:sz w:val="24"/>
                <w:highlight w:val="none"/>
                <w:lang w:eastAsia="zh-CN"/>
              </w:rPr>
              <w:t>评定</w:t>
            </w:r>
            <w:r>
              <w:rPr>
                <w:rFonts w:hint="eastAsia" w:ascii="仿宋" w:hAnsi="仿宋" w:eastAsia="仿宋" w:cs="仿宋"/>
                <w:color w:val="auto"/>
                <w:sz w:val="24"/>
                <w:highlight w:val="none"/>
              </w:rPr>
              <w:t>单位违反廉洁规定，经查证属实的，</w:t>
            </w:r>
            <w:r>
              <w:rPr>
                <w:rFonts w:hint="eastAsia" w:ascii="仿宋" w:hAnsi="仿宋" w:eastAsia="仿宋" w:cs="仿宋"/>
                <w:b w:val="0"/>
                <w:bCs w:val="0"/>
                <w:color w:val="auto"/>
                <w:sz w:val="24"/>
                <w:highlight w:val="none"/>
              </w:rPr>
              <w:t>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p w14:paraId="02F0ED0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3.存在与建设、设计、施工等单位相互勾结、利益交换现象的，当期</w:t>
            </w:r>
            <w:r>
              <w:rPr>
                <w:rFonts w:hint="eastAsia" w:ascii="仿宋" w:hAnsi="仿宋" w:eastAsia="仿宋" w:cs="仿宋"/>
                <w:b w:val="0"/>
                <w:bCs w:val="0"/>
                <w:color w:val="auto"/>
                <w:sz w:val="24"/>
                <w:highlight w:val="none"/>
                <w:lang w:eastAsia="zh-CN"/>
              </w:rPr>
              <w:t>评定</w:t>
            </w:r>
            <w:r>
              <w:rPr>
                <w:rFonts w:hint="eastAsia" w:ascii="仿宋" w:hAnsi="仿宋" w:eastAsia="仿宋" w:cs="仿宋"/>
                <w:b w:val="0"/>
                <w:bCs w:val="0"/>
                <w:color w:val="auto"/>
                <w:sz w:val="24"/>
                <w:highlight w:val="none"/>
              </w:rPr>
              <w:t>判定为不合格</w:t>
            </w:r>
            <w:r>
              <w:rPr>
                <w:rFonts w:hint="eastAsia" w:ascii="仿宋" w:hAnsi="仿宋" w:eastAsia="仿宋" w:cs="仿宋"/>
                <w:color w:val="auto"/>
                <w:sz w:val="24"/>
                <w:highlight w:val="none"/>
              </w:rPr>
              <w:t>。</w:t>
            </w:r>
          </w:p>
          <w:p w14:paraId="2E3FE97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4.对违反廉政建设的情况按合同处理。</w:t>
            </w:r>
          </w:p>
        </w:tc>
        <w:tc>
          <w:tcPr>
            <w:tcW w:w="1014" w:type="dxa"/>
            <w:noWrap w:val="0"/>
            <w:vAlign w:val="top"/>
          </w:tcPr>
          <w:p w14:paraId="5C7CD33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vMerge w:val="continue"/>
            <w:noWrap w:val="0"/>
            <w:vAlign w:val="top"/>
          </w:tcPr>
          <w:p w14:paraId="1851838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156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noWrap w:val="0"/>
            <w:vAlign w:val="center"/>
          </w:tcPr>
          <w:p w14:paraId="349B8C1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行政支撑</w:t>
            </w:r>
          </w:p>
          <w:p w14:paraId="08D66063">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736" w:type="dxa"/>
            <w:noWrap w:val="0"/>
            <w:vAlign w:val="center"/>
          </w:tcPr>
          <w:p w14:paraId="2683059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16" w:type="dxa"/>
            <w:noWrap w:val="0"/>
            <w:vAlign w:val="center"/>
          </w:tcPr>
          <w:p w14:paraId="124130A6">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日常工作</w:t>
            </w:r>
          </w:p>
        </w:tc>
        <w:tc>
          <w:tcPr>
            <w:tcW w:w="4573" w:type="dxa"/>
            <w:noWrap w:val="0"/>
            <w:vAlign w:val="top"/>
          </w:tcPr>
          <w:p w14:paraId="1B3FF24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1.协助出台规范建设工程消防设计审查验收工作的相关文件，每次加5</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p>
          <w:p w14:paraId="2AB20DF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2.协助组织开展建设工程消防验收质量监督抽查检查工作的，每次加1-5分。</w:t>
            </w:r>
          </w:p>
          <w:p w14:paraId="0C24911F">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3.协助开展建设工程消防设计审查验收相关宣贯培训的，每次加1-5分。</w:t>
            </w:r>
          </w:p>
          <w:p w14:paraId="72AE8CB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4.协助组织召开建设工程消防验收专题论证会议，解决消防验收疑难问题的，每次加1-5分。</w:t>
            </w:r>
          </w:p>
          <w:p w14:paraId="672995B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5.为市住建局提供消防设计审查验收法规政策咨询，视工作难度每次加1-5</w:t>
            </w:r>
            <w:r>
              <w:rPr>
                <w:rFonts w:hint="eastAsia" w:ascii="仿宋" w:hAnsi="仿宋" w:eastAsia="仿宋" w:cs="仿宋"/>
                <w:b w:val="0"/>
                <w:bCs w:val="0"/>
                <w:color w:val="auto"/>
                <w:sz w:val="24"/>
                <w:highlight w:val="none"/>
              </w:rPr>
              <w:t>分</w:t>
            </w:r>
            <w:r>
              <w:rPr>
                <w:rFonts w:hint="eastAsia" w:ascii="仿宋" w:hAnsi="仿宋" w:eastAsia="仿宋" w:cs="仿宋"/>
                <w:b w:val="0"/>
                <w:bCs w:val="0"/>
                <w:color w:val="auto"/>
                <w:sz w:val="24"/>
                <w:highlight w:val="none"/>
                <w:lang w:eastAsia="zh-CN"/>
              </w:rPr>
              <w:t>。</w:t>
            </w:r>
          </w:p>
          <w:p w14:paraId="0CE61F8B">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6.在服务过程中发现重大消防隐患，并提出切实可行的解决方案，每次加2分。</w:t>
            </w:r>
          </w:p>
          <w:p w14:paraId="241FB00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7.积极参与课题研究，每次成功申报并完成结题加5分。</w:t>
            </w:r>
          </w:p>
        </w:tc>
        <w:tc>
          <w:tcPr>
            <w:tcW w:w="1014" w:type="dxa"/>
            <w:noWrap w:val="0"/>
            <w:vAlign w:val="top"/>
          </w:tcPr>
          <w:p w14:paraId="6C4134D8">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c>
          <w:tcPr>
            <w:tcW w:w="833" w:type="dxa"/>
            <w:noWrap w:val="0"/>
            <w:vAlign w:val="top"/>
          </w:tcPr>
          <w:p w14:paraId="4DC6594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276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noWrap w:val="0"/>
            <w:vAlign w:val="center"/>
          </w:tcPr>
          <w:p w14:paraId="48269AC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p>
        </w:tc>
        <w:tc>
          <w:tcPr>
            <w:tcW w:w="736" w:type="dxa"/>
            <w:noWrap w:val="0"/>
            <w:vAlign w:val="center"/>
          </w:tcPr>
          <w:p w14:paraId="1A43BE1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16" w:type="dxa"/>
            <w:noWrap w:val="0"/>
            <w:vAlign w:val="center"/>
          </w:tcPr>
          <w:p w14:paraId="6D186BE1">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社会荣誉</w:t>
            </w:r>
          </w:p>
        </w:tc>
        <w:tc>
          <w:tcPr>
            <w:tcW w:w="4573" w:type="dxa"/>
            <w:noWrap w:val="0"/>
            <w:vAlign w:val="top"/>
          </w:tcPr>
          <w:p w14:paraId="556400C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所属人员获政府、主管部门及行业协会表彰</w:t>
            </w:r>
            <w:r>
              <w:rPr>
                <w:rFonts w:hint="eastAsia" w:ascii="仿宋" w:hAnsi="仿宋" w:eastAsia="仿宋" w:cs="仿宋"/>
                <w:b w:val="0"/>
                <w:bCs w:val="0"/>
                <w:color w:val="auto"/>
                <w:sz w:val="24"/>
                <w:highlight w:val="none"/>
                <w:lang w:val="en-US" w:eastAsia="zh-CN"/>
              </w:rPr>
              <w:t>，视荣誉等级</w:t>
            </w:r>
            <w:r>
              <w:rPr>
                <w:rFonts w:hint="eastAsia" w:ascii="仿宋" w:hAnsi="仿宋" w:eastAsia="仿宋" w:cs="仿宋"/>
                <w:b w:val="0"/>
                <w:bCs w:val="0"/>
                <w:color w:val="auto"/>
                <w:sz w:val="24"/>
                <w:highlight w:val="none"/>
              </w:rPr>
              <w:t>每人次加</w:t>
            </w:r>
            <w:r>
              <w:rPr>
                <w:rFonts w:hint="eastAsia" w:ascii="仿宋" w:hAnsi="仿宋" w:eastAsia="仿宋" w:cs="仿宋"/>
                <w:b w:val="0"/>
                <w:bCs w:val="0"/>
                <w:color w:val="auto"/>
                <w:sz w:val="24"/>
                <w:highlight w:val="none"/>
                <w:lang w:val="en-US" w:eastAsia="zh-CN"/>
              </w:rPr>
              <w:t>1-3分。</w:t>
            </w:r>
          </w:p>
          <w:p w14:paraId="336A2E3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所属人员参与消防工程相关规范行业标准文件编制工作</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每人次</w:t>
            </w:r>
            <w:r>
              <w:rPr>
                <w:rFonts w:hint="eastAsia" w:ascii="仿宋" w:hAnsi="仿宋" w:eastAsia="仿宋" w:cs="仿宋"/>
                <w:b w:val="0"/>
                <w:bCs w:val="0"/>
                <w:color w:val="auto"/>
                <w:sz w:val="24"/>
                <w:highlight w:val="none"/>
              </w:rPr>
              <w:t>加</w:t>
            </w:r>
            <w:r>
              <w:rPr>
                <w:rFonts w:hint="eastAsia" w:ascii="仿宋" w:hAnsi="仿宋" w:eastAsia="仿宋" w:cs="仿宋"/>
                <w:b w:val="0"/>
                <w:bCs w:val="0"/>
                <w:color w:val="auto"/>
                <w:sz w:val="24"/>
                <w:highlight w:val="none"/>
                <w:lang w:val="en-US" w:eastAsia="zh-CN"/>
              </w:rPr>
              <w:t>2分。</w:t>
            </w:r>
          </w:p>
          <w:p w14:paraId="2BB2C1BD">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val="en-US" w:eastAsia="zh-CN"/>
              </w:rPr>
              <w:t>或其</w:t>
            </w:r>
            <w:r>
              <w:rPr>
                <w:rFonts w:hint="eastAsia" w:ascii="仿宋" w:hAnsi="仿宋" w:eastAsia="仿宋" w:cs="仿宋"/>
                <w:b w:val="0"/>
                <w:bCs w:val="0"/>
                <w:color w:val="auto"/>
                <w:sz w:val="24"/>
                <w:highlight w:val="none"/>
              </w:rPr>
              <w:t>所属人员参与国家级、省级、市级消防课题研究</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取得相应成果，视课题等级</w:t>
            </w:r>
            <w:r>
              <w:rPr>
                <w:rFonts w:hint="eastAsia" w:ascii="仿宋" w:hAnsi="仿宋" w:eastAsia="仿宋" w:cs="仿宋"/>
                <w:b w:val="0"/>
                <w:bCs w:val="0"/>
                <w:color w:val="auto"/>
                <w:sz w:val="24"/>
                <w:highlight w:val="none"/>
              </w:rPr>
              <w:t>每人次加</w:t>
            </w:r>
            <w:r>
              <w:rPr>
                <w:rFonts w:hint="eastAsia" w:ascii="仿宋" w:hAnsi="仿宋" w:eastAsia="仿宋" w:cs="仿宋"/>
                <w:b w:val="0"/>
                <w:bCs w:val="0"/>
                <w:color w:val="auto"/>
                <w:sz w:val="24"/>
                <w:highlight w:val="none"/>
                <w:lang w:val="en-US" w:eastAsia="zh-CN"/>
              </w:rPr>
              <w:t>1-3分。</w:t>
            </w:r>
          </w:p>
          <w:p w14:paraId="7934FD4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val="0"/>
                <w:bCs w:val="0"/>
                <w:color w:val="auto"/>
                <w:sz w:val="24"/>
                <w:highlight w:val="none"/>
              </w:rPr>
            </w:pPr>
          </w:p>
        </w:tc>
        <w:tc>
          <w:tcPr>
            <w:tcW w:w="1014" w:type="dxa"/>
            <w:noWrap w:val="0"/>
            <w:vAlign w:val="top"/>
          </w:tcPr>
          <w:p w14:paraId="250DA215">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lang w:eastAsia="zh-CN"/>
              </w:rPr>
            </w:pPr>
          </w:p>
        </w:tc>
        <w:tc>
          <w:tcPr>
            <w:tcW w:w="833" w:type="dxa"/>
            <w:noWrap w:val="0"/>
            <w:vAlign w:val="top"/>
          </w:tcPr>
          <w:p w14:paraId="26F3CA20">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p>
        </w:tc>
      </w:tr>
      <w:tr w14:paraId="549B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783" w:type="dxa"/>
            <w:gridSpan w:val="6"/>
            <w:noWrap w:val="0"/>
            <w:vAlign w:val="top"/>
          </w:tcPr>
          <w:p w14:paraId="3B26ADC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其他整改事项：</w:t>
            </w:r>
          </w:p>
        </w:tc>
      </w:tr>
    </w:tbl>
    <w:p w14:paraId="6FB9D1C5">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Cs/>
          <w:color w:val="auto"/>
          <w:sz w:val="44"/>
          <w:szCs w:val="44"/>
          <w:highlight w:val="none"/>
        </w:rPr>
      </w:pPr>
    </w:p>
    <w:p w14:paraId="75EFA8B5">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s="仿宋"/>
          <w:color w:val="auto"/>
          <w:szCs w:val="21"/>
          <w:highlight w:val="none"/>
        </w:rPr>
      </w:pPr>
    </w:p>
    <w:p w14:paraId="0EC0935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11D315">
      <w:pPr>
        <w:pStyle w:val="2"/>
        <w:keepNext w:val="0"/>
        <w:keepLines w:val="0"/>
        <w:spacing w:line="579" w:lineRule="auto"/>
        <w:rPr>
          <w:rFonts w:hint="eastAsia" w:ascii="仿宋" w:hAnsi="仿宋" w:eastAsia="仿宋" w:cs="仿宋"/>
          <w:color w:val="auto"/>
          <w:highlight w:val="none"/>
        </w:rPr>
      </w:pPr>
      <w:r>
        <w:rPr>
          <w:rFonts w:hint="eastAsia" w:ascii="仿宋" w:hAnsi="仿宋" w:eastAsia="仿宋" w:cs="仿宋"/>
          <w:color w:val="auto"/>
          <w:highlight w:val="none"/>
        </w:rPr>
        <w:t>第五章  确定第一阶段入围供应商的评审方法</w:t>
      </w:r>
      <w:bookmarkEnd w:id="34"/>
      <w:bookmarkEnd w:id="35"/>
    </w:p>
    <w:p w14:paraId="1D423D09">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bCs/>
          <w:color w:val="auto"/>
          <w:highlight w:val="none"/>
          <w:lang w:val="en-US"/>
        </w:rPr>
      </w:pPr>
      <w:r>
        <w:rPr>
          <w:rFonts w:hint="eastAsia" w:ascii="仿宋" w:hAnsi="仿宋" w:eastAsia="仿宋" w:cs="仿宋"/>
          <w:b/>
          <w:color w:val="auto"/>
          <w:highlight w:val="none"/>
          <w:lang w:val="en-US"/>
        </w:rPr>
        <w:t>1.评标方法：</w:t>
      </w:r>
      <w:r>
        <w:rPr>
          <w:rFonts w:hint="eastAsia" w:ascii="仿宋" w:hAnsi="仿宋" w:eastAsia="仿宋" w:cs="仿宋"/>
          <w:b/>
          <w:color w:val="auto"/>
          <w:highlight w:val="none"/>
          <w:lang w:val="en-US"/>
        </w:rPr>
        <w:br w:type="textWrapping"/>
      </w:r>
      <w:r>
        <w:rPr>
          <w:rFonts w:hint="eastAsia" w:ascii="仿宋" w:hAnsi="仿宋" w:eastAsia="仿宋" w:cs="仿宋"/>
          <w:bCs/>
          <w:color w:val="auto"/>
          <w:highlight w:val="none"/>
          <w:lang w:val="en-US"/>
        </w:rPr>
        <w:t>本项目采用封闭式框架协议，第一阶段入围供应商的评审方法为质量优先法，对满足采购需求且响应报价不超过最高限制单价的货物、服务进行质量综合评分，按照质量评分从高到低排序，根据征集文件规定的淘汰率或者入围供应商数量上限，确定入围供应商。第二阶段供应商选定方式：直接选定。</w:t>
      </w:r>
    </w:p>
    <w:p w14:paraId="3F3AACDC">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bCs/>
          <w:color w:val="auto"/>
          <w:highlight w:val="none"/>
          <w:lang w:val="en-US"/>
        </w:rPr>
      </w:pPr>
      <w:r>
        <w:rPr>
          <w:rFonts w:hint="eastAsia" w:ascii="仿宋" w:hAnsi="仿宋" w:eastAsia="仿宋" w:cs="仿宋"/>
          <w:b/>
          <w:color w:val="auto"/>
          <w:highlight w:val="none"/>
          <w:lang w:val="en-US"/>
        </w:rPr>
        <w:t>2.入围规则：</w:t>
      </w:r>
    </w:p>
    <w:p w14:paraId="2A678B73">
      <w:pPr>
        <w:pStyle w:val="1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bCs/>
          <w:color w:val="auto"/>
          <w:highlight w:val="none"/>
          <w:lang w:val="en-US"/>
        </w:rPr>
      </w:pPr>
      <w:r>
        <w:rPr>
          <w:rFonts w:hint="eastAsia" w:ascii="仿宋" w:hAnsi="仿宋" w:eastAsia="仿宋" w:cs="仿宋"/>
          <w:bCs/>
          <w:color w:val="auto"/>
          <w:highlight w:val="none"/>
          <w:lang w:val="en-US"/>
        </w:rPr>
        <w:t>本项目第一阶段标项淘汰率为20%，</w:t>
      </w:r>
      <w:r>
        <w:rPr>
          <w:rFonts w:hint="eastAsia" w:ascii="仿宋" w:hAnsi="仿宋" w:eastAsia="仿宋" w:cs="仿宋"/>
          <w:bCs/>
          <w:color w:val="auto"/>
          <w:highlight w:val="none"/>
          <w:lang w:val="en-US" w:eastAsia="zh-CN"/>
        </w:rPr>
        <w:t>且</w:t>
      </w:r>
      <w:r>
        <w:rPr>
          <w:rFonts w:hint="eastAsia" w:ascii="仿宋" w:hAnsi="仿宋" w:eastAsia="仿宋" w:cs="仿宋"/>
          <w:bCs/>
          <w:color w:val="auto"/>
          <w:highlight w:val="none"/>
          <w:lang w:val="en-US"/>
        </w:rPr>
        <w:t>当有效响应单位&gt;3家时，根据排名顺序确定3家入围供应商；有效响应单位=3家时，根据排名顺序确定2家入围供应商；当有效响应单位&lt;3家时重新组织采购。</w:t>
      </w:r>
    </w:p>
    <w:p w14:paraId="5EDEE409">
      <w:pPr>
        <w:pStyle w:val="1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bCs/>
          <w:color w:val="auto"/>
          <w:highlight w:val="none"/>
          <w:lang w:val="en-US"/>
        </w:rPr>
      </w:pPr>
      <w:r>
        <w:rPr>
          <w:rFonts w:hint="eastAsia" w:ascii="仿宋" w:hAnsi="仿宋" w:eastAsia="仿宋" w:cs="仿宋"/>
          <w:bCs/>
          <w:color w:val="auto"/>
          <w:highlight w:val="none"/>
          <w:lang w:val="en-US"/>
        </w:rPr>
        <w:t>对符合资格条件、实质性要求且低于最高限制单价的供应商，按照评审总得分从高到低排序。若商务技术汇总得分一致的，则根据供应商报价进行排序（报价低者排名在前）。若结果仍一致的，由</w:t>
      </w:r>
      <w:r>
        <w:rPr>
          <w:rFonts w:hint="eastAsia" w:ascii="仿宋" w:hAnsi="仿宋" w:eastAsia="仿宋" w:cs="仿宋"/>
          <w:bCs/>
          <w:color w:val="auto"/>
          <w:highlight w:val="none"/>
          <w:lang w:val="en-US" w:eastAsia="zh-CN"/>
        </w:rPr>
        <w:t>征集人代表</w:t>
      </w:r>
      <w:r>
        <w:rPr>
          <w:rFonts w:hint="eastAsia" w:ascii="仿宋" w:hAnsi="仿宋" w:eastAsia="仿宋" w:cs="仿宋"/>
          <w:bCs/>
          <w:color w:val="auto"/>
          <w:highlight w:val="none"/>
          <w:lang w:val="en-US"/>
        </w:rPr>
        <w:t>随机抽取的方式确定。入围公示期间入围供应商被取消入围资格后，入围名额不进行递补。</w:t>
      </w:r>
    </w:p>
    <w:p w14:paraId="798344C6">
      <w:pPr>
        <w:pStyle w:val="1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lang w:val="en-US"/>
        </w:rPr>
        <w:t>3.征集</w:t>
      </w:r>
      <w:r>
        <w:rPr>
          <w:rFonts w:hint="eastAsia" w:ascii="仿宋" w:hAnsi="仿宋" w:eastAsia="仿宋" w:cs="仿宋"/>
          <w:b/>
          <w:color w:val="auto"/>
          <w:highlight w:val="none"/>
        </w:rPr>
        <w:t>标准：</w:t>
      </w:r>
      <w:r>
        <w:rPr>
          <w:rFonts w:hint="eastAsia" w:ascii="仿宋" w:hAnsi="仿宋" w:eastAsia="仿宋" w:cs="仿宋"/>
          <w:color w:val="auto"/>
          <w:highlight w:val="none"/>
        </w:rPr>
        <w:t>总分100分。下述所列为评分依据，分值如下（计算分值时，按其算术平均值保留小数2位）。</w:t>
      </w:r>
    </w:p>
    <w:tbl>
      <w:tblPr>
        <w:tblStyle w:val="31"/>
        <w:tblpPr w:leftFromText="180" w:rightFromText="180" w:vertAnchor="text" w:horzAnchor="page" w:tblpX="2050" w:tblpY="284"/>
        <w:tblOverlap w:val="never"/>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94"/>
        <w:gridCol w:w="6144"/>
        <w:gridCol w:w="834"/>
      </w:tblGrid>
      <w:tr w14:paraId="537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1" w:type="dxa"/>
            <w:noWrap/>
            <w:vAlign w:val="center"/>
          </w:tcPr>
          <w:p w14:paraId="32170E3F">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94" w:type="dxa"/>
            <w:noWrap/>
            <w:vAlign w:val="center"/>
          </w:tcPr>
          <w:p w14:paraId="5FABC296">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6144" w:type="dxa"/>
            <w:noWrap/>
            <w:vAlign w:val="center"/>
          </w:tcPr>
          <w:p w14:paraId="721DD401">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得分标准</w:t>
            </w:r>
          </w:p>
        </w:tc>
        <w:tc>
          <w:tcPr>
            <w:tcW w:w="834" w:type="dxa"/>
            <w:noWrap/>
            <w:vAlign w:val="center"/>
          </w:tcPr>
          <w:p w14:paraId="7E03056E">
            <w:pPr>
              <w:keepNext w:val="0"/>
              <w:keepLines w:val="0"/>
              <w:pageBreakBefore w:val="0"/>
              <w:wordWrap/>
              <w:overflowPunct/>
              <w:topLinePunct w:val="0"/>
              <w:bidi w:val="0"/>
              <w:adjustRightInd/>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342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noWrap/>
            <w:vAlign w:val="center"/>
          </w:tcPr>
          <w:p w14:paraId="0730BD58">
            <w:pPr>
              <w:keepNext w:val="0"/>
              <w:keepLines w:val="0"/>
              <w:pageBreakBefore w:val="0"/>
              <w:wordWrap/>
              <w:overflowPunct/>
              <w:topLinePunct w:val="0"/>
              <w:bidi w:val="0"/>
              <w:adjustRightInd/>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94" w:type="dxa"/>
            <w:noWrap/>
            <w:vAlign w:val="center"/>
          </w:tcPr>
          <w:p w14:paraId="1E21C89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strike w:val="0"/>
                <w:dstrike w:val="0"/>
                <w:color w:val="auto"/>
                <w:kern w:val="0"/>
                <w:sz w:val="24"/>
                <w:szCs w:val="24"/>
                <w:highlight w:val="none"/>
                <w:lang w:val="en-US" w:eastAsia="zh-CN" w:bidi="ar-SA"/>
              </w:rPr>
            </w:pPr>
            <w:r>
              <w:rPr>
                <w:rFonts w:hint="eastAsia" w:ascii="仿宋" w:hAnsi="仿宋" w:eastAsia="仿宋" w:cs="仿宋"/>
                <w:strike w:val="0"/>
                <w:dstrike w:val="0"/>
                <w:color w:val="auto"/>
                <w:sz w:val="24"/>
                <w:szCs w:val="24"/>
                <w:highlight w:val="none"/>
              </w:rPr>
              <w:t>企业实力</w:t>
            </w:r>
          </w:p>
        </w:tc>
        <w:tc>
          <w:tcPr>
            <w:tcW w:w="6144" w:type="dxa"/>
            <w:noWrap/>
            <w:vAlign w:val="center"/>
          </w:tcPr>
          <w:p w14:paraId="3C7A357F">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2021年1月1日至今，供应商参编过省级及以上消防相关技术标准(或技术导则)的得4分，参编过市级消防相关技术标准(或技术导则)的得2分，本项最多只能提供2份证明文件（消防产品类标准除外）。</w:t>
            </w:r>
          </w:p>
          <w:p w14:paraId="66656AB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投标文件中提供相关证明文件扫描件并加盖单位公章，联合体投标的，提供联合体任一成员的相关证明文件扫描件并加盖牵头单位公章。</w:t>
            </w:r>
          </w:p>
        </w:tc>
        <w:tc>
          <w:tcPr>
            <w:tcW w:w="834" w:type="dxa"/>
            <w:noWrap/>
            <w:vAlign w:val="center"/>
          </w:tcPr>
          <w:p w14:paraId="1D9D9781">
            <w:pPr>
              <w:keepNext w:val="0"/>
              <w:keepLines w:val="0"/>
              <w:pageBreakBefore w:val="0"/>
              <w:widowControl/>
              <w:wordWrap/>
              <w:overflowPunct/>
              <w:topLinePunct w:val="0"/>
              <w:bidi w:val="0"/>
              <w:adjustRightInd/>
              <w:spacing w:line="440" w:lineRule="exact"/>
              <w:jc w:val="center"/>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sz w:val="24"/>
                <w:szCs w:val="24"/>
                <w:highlight w:val="none"/>
              </w:rPr>
              <w:t>6</w:t>
            </w:r>
          </w:p>
        </w:tc>
      </w:tr>
      <w:tr w14:paraId="7348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9941573">
            <w:pPr>
              <w:keepNext w:val="0"/>
              <w:keepLines w:val="0"/>
              <w:pageBreakBefore w:val="0"/>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1294" w:type="dxa"/>
            <w:noWrap/>
            <w:vAlign w:val="center"/>
          </w:tcPr>
          <w:p w14:paraId="371685D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企业业绩</w:t>
            </w:r>
          </w:p>
        </w:tc>
        <w:tc>
          <w:tcPr>
            <w:tcW w:w="6144" w:type="dxa"/>
            <w:noWrap/>
            <w:vAlign w:val="center"/>
          </w:tcPr>
          <w:p w14:paraId="322C11E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rPr>
              <w:t>（以合同签订时间为准）承接过政府消防验收主管部门委托的消防验收技术服务，每个得2分，本项最高6分</w:t>
            </w:r>
            <w:r>
              <w:rPr>
                <w:rFonts w:hint="eastAsia" w:ascii="仿宋" w:hAnsi="仿宋" w:eastAsia="仿宋" w:cs="仿宋"/>
                <w:strike w:val="0"/>
                <w:dstrike w:val="0"/>
                <w:color w:val="auto"/>
                <w:sz w:val="24"/>
                <w:szCs w:val="24"/>
                <w:highlight w:val="none"/>
              </w:rPr>
              <w:t>。</w:t>
            </w:r>
          </w:p>
          <w:p w14:paraId="72D109A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lang w:val="en-US" w:eastAsia="zh-CN"/>
              </w:rPr>
              <w:t>投标文件中提供合同</w:t>
            </w:r>
            <w:r>
              <w:rPr>
                <w:rFonts w:hint="eastAsia" w:ascii="仿宋" w:hAnsi="仿宋" w:eastAsia="仿宋" w:cs="仿宋"/>
                <w:strike w:val="0"/>
                <w:dstrike w:val="0"/>
                <w:color w:val="auto"/>
                <w:sz w:val="24"/>
                <w:szCs w:val="24"/>
                <w:highlight w:val="none"/>
              </w:rPr>
              <w:t>复印件</w:t>
            </w:r>
            <w:r>
              <w:rPr>
                <w:rFonts w:hint="eastAsia" w:ascii="仿宋" w:hAnsi="仿宋" w:eastAsia="仿宋" w:cs="仿宋"/>
                <w:strike w:val="0"/>
                <w:dstrike w:val="0"/>
                <w:color w:val="auto"/>
                <w:sz w:val="24"/>
                <w:szCs w:val="24"/>
                <w:highlight w:val="none"/>
                <w:lang w:val="en-US" w:eastAsia="zh-CN"/>
              </w:rPr>
              <w:t>并加盖单位公章，联合体投标的，提供联合体任一成员的中标通知书和合同扫描件并加盖牵头单位公章。</w:t>
            </w:r>
          </w:p>
        </w:tc>
        <w:tc>
          <w:tcPr>
            <w:tcW w:w="834" w:type="dxa"/>
            <w:noWrap/>
            <w:vAlign w:val="center"/>
          </w:tcPr>
          <w:p w14:paraId="3051FCAE">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55EC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5983ACE8">
            <w:pPr>
              <w:keepNext w:val="0"/>
              <w:keepLines w:val="0"/>
              <w:pageBreakBefore w:val="0"/>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94" w:type="dxa"/>
            <w:vMerge w:val="restart"/>
            <w:noWrap/>
            <w:vAlign w:val="center"/>
          </w:tcPr>
          <w:p w14:paraId="2F7D43B2">
            <w:pPr>
              <w:keepNext w:val="0"/>
              <w:keepLines w:val="0"/>
              <w:pageBreakBefore w:val="0"/>
              <w:wordWrap/>
              <w:overflowPunct/>
              <w:topLinePunct w:val="0"/>
              <w:bidi w:val="0"/>
              <w:adjustRightInd/>
              <w:spacing w:line="440" w:lineRule="exact"/>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技术实力</w:t>
            </w:r>
          </w:p>
        </w:tc>
        <w:tc>
          <w:tcPr>
            <w:tcW w:w="6144" w:type="dxa"/>
            <w:noWrap/>
            <w:vAlign w:val="center"/>
          </w:tcPr>
          <w:p w14:paraId="34FA71D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配置4名国家一级注册消防工程师和2名一级注册建筑师为基数，每超过1名注册类工程师（一级消防、一级结构、一级建筑、安全、暖通、给排水、电气）得1分,最高得6分。投标文件中提供相关人员证书及供应商为其缴纳的包含有2025年2-4月社保证明扫描件加盖单位公章，联合体投标的，提供联合体任一成员的相关人员证书及供应商为其缴纳的包含有2025年2-4月社保证明扫描件并加盖牵头单位公章。</w:t>
            </w:r>
          </w:p>
        </w:tc>
        <w:tc>
          <w:tcPr>
            <w:tcW w:w="834" w:type="dxa"/>
            <w:noWrap/>
            <w:vAlign w:val="center"/>
          </w:tcPr>
          <w:p w14:paraId="712CEC35">
            <w:pPr>
              <w:keepNext w:val="0"/>
              <w:keepLines w:val="0"/>
              <w:pageBreakBefore w:val="0"/>
              <w:widowControl/>
              <w:wordWrap/>
              <w:overflowPunct/>
              <w:topLinePunct w:val="0"/>
              <w:bidi w:val="0"/>
              <w:adjustRightInd/>
              <w:spacing w:line="440" w:lineRule="exact"/>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6</w:t>
            </w:r>
          </w:p>
        </w:tc>
      </w:tr>
      <w:tr w14:paraId="53A4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56658504">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1294" w:type="dxa"/>
            <w:vMerge w:val="continue"/>
            <w:noWrap/>
            <w:vAlign w:val="center"/>
          </w:tcPr>
          <w:p w14:paraId="09C39673">
            <w:pPr>
              <w:keepNext w:val="0"/>
              <w:keepLines w:val="0"/>
              <w:pageBreakBefore w:val="0"/>
              <w:widowControl/>
              <w:wordWrap/>
              <w:overflowPunct/>
              <w:topLinePunct w:val="0"/>
              <w:bidi w:val="0"/>
              <w:adjustRightInd/>
              <w:snapToGrid w:val="0"/>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75A1A90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具有省级及以上建设工程消防技术专家库专家的得3分，本项最高得3分。</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注：投标文件中提供相关证明文件扫描件及供应商为其缴纳的包含有2025年2-4月社保证明扫描件加盖单位公章，联合体投标的，提供联合体任一成员的相关证明文件扫描件及供应商为其缴纳的包含有2025年2-4月社保证明扫描件并加盖牵头单位公章。其中离退休返聘人员的，需提供退休证明及单位聘用证明；部队自主择业人员的，需提供自主择业证明及单位聘用证明。</w:t>
            </w:r>
          </w:p>
        </w:tc>
        <w:tc>
          <w:tcPr>
            <w:tcW w:w="834" w:type="dxa"/>
            <w:noWrap/>
            <w:vAlign w:val="center"/>
          </w:tcPr>
          <w:p w14:paraId="6DC4077E">
            <w:pPr>
              <w:keepNext w:val="0"/>
              <w:keepLines w:val="0"/>
              <w:pageBreakBefore w:val="0"/>
              <w:widowControl/>
              <w:wordWrap/>
              <w:overflowPunct/>
              <w:topLinePunct w:val="0"/>
              <w:bidi w:val="0"/>
              <w:adjustRightInd/>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338A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4799951A">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294" w:type="dxa"/>
            <w:vMerge w:val="restart"/>
            <w:noWrap/>
            <w:vAlign w:val="center"/>
          </w:tcPr>
          <w:p w14:paraId="1F0F0B2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项目技术服务组成员</w:t>
            </w:r>
          </w:p>
        </w:tc>
        <w:tc>
          <w:tcPr>
            <w:tcW w:w="6144" w:type="dxa"/>
            <w:noWrap/>
            <w:vAlign w:val="center"/>
          </w:tcPr>
          <w:p w14:paraId="54826D8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技术服务组项目负责人和技术负责人：具有不少于5年建设工程消防设计或施工经历各得1分，以验收组长身份主持过不少于3项竣工验收消防查验或者以项目负责人身份承接过现场评定工作各得1分，具有高级及以上建筑类相关的工程师职称各得1分，本项最高得6分。项目负责人和技术负责人各为一人，多项目负责人或多技术负责人按一人对应最高分计算。</w:t>
            </w:r>
          </w:p>
          <w:p w14:paraId="5D394B2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注：投标文件中提供相关证明文件扫描件加盖单位公章，联合体投标的，提供联合体任一成员的相关证明文件扫描件并加盖牵头单位公章。若证明材料中不能体现项目负责人或技术负责人信息或项目特征的，另行提供业主单位证明材料。</w:t>
            </w:r>
          </w:p>
        </w:tc>
        <w:tc>
          <w:tcPr>
            <w:tcW w:w="834" w:type="dxa"/>
            <w:noWrap/>
            <w:vAlign w:val="center"/>
          </w:tcPr>
          <w:p w14:paraId="15C65E50">
            <w:pPr>
              <w:keepNext w:val="0"/>
              <w:keepLines w:val="0"/>
              <w:pageBreakBefore w:val="0"/>
              <w:widowControl/>
              <w:wordWrap/>
              <w:overflowPunct/>
              <w:topLinePunct w:val="0"/>
              <w:bidi w:val="0"/>
              <w:adjustRightInd/>
              <w:spacing w:line="440" w:lineRule="exact"/>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rPr>
              <w:t>6</w:t>
            </w:r>
          </w:p>
        </w:tc>
      </w:tr>
      <w:tr w14:paraId="3EC5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3ADF80B1">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p>
        </w:tc>
        <w:tc>
          <w:tcPr>
            <w:tcW w:w="1294" w:type="dxa"/>
            <w:vMerge w:val="continue"/>
            <w:noWrap/>
            <w:vAlign w:val="center"/>
          </w:tcPr>
          <w:p w14:paraId="7553C7A4">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3C9089C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拟派遣技术服务组成员中除项目负责人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技术负责人</w:t>
            </w:r>
            <w:r>
              <w:rPr>
                <w:rFonts w:hint="eastAsia" w:ascii="仿宋" w:hAnsi="仿宋" w:eastAsia="仿宋" w:cs="仿宋"/>
                <w:color w:val="auto"/>
                <w:sz w:val="24"/>
                <w:szCs w:val="24"/>
                <w:highlight w:val="none"/>
              </w:rPr>
              <w:t>以外，</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具有不少于5年建设工程消防设计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或施工或验收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经历</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建筑类相关的工程师职称</w:t>
            </w:r>
            <w:r>
              <w:rPr>
                <w:rFonts w:hint="eastAsia" w:ascii="仿宋" w:hAnsi="仿宋" w:eastAsia="仿宋" w:cs="仿宋"/>
                <w:color w:val="auto"/>
                <w:sz w:val="24"/>
                <w:szCs w:val="24"/>
                <w:highlight w:val="none"/>
                <w:lang w:val="en-US" w:eastAsia="zh-CN"/>
              </w:rPr>
              <w:t>的每人各得2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13DF1BF4">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注：投标文件中提供</w:t>
            </w:r>
            <w:r>
              <w:rPr>
                <w:rFonts w:hint="eastAsia" w:ascii="仿宋" w:hAnsi="仿宋" w:eastAsia="仿宋" w:cs="仿宋"/>
                <w:color w:val="auto"/>
                <w:sz w:val="24"/>
                <w:szCs w:val="24"/>
                <w:highlight w:val="none"/>
                <w:lang w:val="en-US" w:eastAsia="zh-CN"/>
              </w:rPr>
              <w:t>相关证明文件</w:t>
            </w:r>
            <w:r>
              <w:rPr>
                <w:rFonts w:hint="eastAsia" w:ascii="仿宋" w:hAnsi="仿宋" w:eastAsia="仿宋" w:cs="仿宋"/>
                <w:strike w:val="0"/>
                <w:dstrike w:val="0"/>
                <w:color w:val="auto"/>
                <w:sz w:val="24"/>
                <w:szCs w:val="24"/>
                <w:highlight w:val="none"/>
                <w:lang w:val="en-US" w:eastAsia="zh-CN"/>
              </w:rPr>
              <w:t>及供应商为其缴纳的包含有2025年2-4月社保证明扫描件加盖单位公章，联合体投标的，提供联合体任一成员的</w:t>
            </w:r>
            <w:r>
              <w:rPr>
                <w:rFonts w:hint="eastAsia" w:ascii="仿宋" w:hAnsi="仿宋" w:eastAsia="仿宋" w:cs="仿宋"/>
                <w:color w:val="auto"/>
                <w:sz w:val="24"/>
                <w:szCs w:val="24"/>
                <w:highlight w:val="none"/>
                <w:lang w:val="en-US" w:eastAsia="zh-CN"/>
              </w:rPr>
              <w:t>相关证明文件</w:t>
            </w:r>
            <w:r>
              <w:rPr>
                <w:rFonts w:hint="eastAsia" w:ascii="仿宋" w:hAnsi="仿宋" w:eastAsia="仿宋" w:cs="仿宋"/>
                <w:strike w:val="0"/>
                <w:dstrike w:val="0"/>
                <w:color w:val="auto"/>
                <w:sz w:val="24"/>
                <w:szCs w:val="24"/>
                <w:highlight w:val="none"/>
                <w:lang w:val="en-US" w:eastAsia="zh-CN"/>
              </w:rPr>
              <w:t>及供应商为其缴纳的包含有2025年2-4月社保证明扫扫描件并加盖牵头单位公章。若证明材料中不能体现成员信息或项目特征的，另行提供业主单位证明材料。</w:t>
            </w:r>
          </w:p>
        </w:tc>
        <w:tc>
          <w:tcPr>
            <w:tcW w:w="834" w:type="dxa"/>
            <w:noWrap/>
            <w:vAlign w:val="center"/>
          </w:tcPr>
          <w:p w14:paraId="6D4022E1">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r>
      <w:tr w14:paraId="79FA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718F7A05">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1294" w:type="dxa"/>
            <w:vMerge w:val="restart"/>
            <w:noWrap/>
            <w:vAlign w:val="center"/>
          </w:tcPr>
          <w:p w14:paraId="1E387BFA">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项目技术服务方案</w:t>
            </w:r>
          </w:p>
        </w:tc>
        <w:tc>
          <w:tcPr>
            <w:tcW w:w="6144" w:type="dxa"/>
            <w:noWrap/>
            <w:vAlign w:val="center"/>
          </w:tcPr>
          <w:p w14:paraId="0C3EA971">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服务内容认知：根据</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要求，分析服务内容，确定服务重点，明确服务目标，落实实施思路。</w:t>
            </w:r>
          </w:p>
          <w:p w14:paraId="3D9D42D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服务内容认知优于征集文件要求的得</w:t>
            </w:r>
            <w:r>
              <w:rPr>
                <w:rFonts w:hint="eastAsia" w:ascii="仿宋" w:hAnsi="仿宋" w:eastAsia="仿宋" w:cs="仿宋"/>
                <w:color w:val="auto"/>
                <w:sz w:val="24"/>
                <w:szCs w:val="24"/>
                <w:highlight w:val="none"/>
                <w:lang w:val="en-US" w:eastAsia="zh-CN"/>
              </w:rPr>
              <w:t>5.1-8</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183E1E6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r>
      <w:tr w14:paraId="402E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01CEC1FD">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1294" w:type="dxa"/>
            <w:vMerge w:val="continue"/>
            <w:noWrap/>
            <w:vAlign w:val="center"/>
          </w:tcPr>
          <w:p w14:paraId="40A3CF6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79C0004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服务质量保障：按照</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要求，强化服务质量，合理配置技术力量、运用检测仪器，明确服务质量保障措施。</w:t>
            </w:r>
          </w:p>
          <w:p w14:paraId="0AFBEBD9">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服务质量保障方案优于征集文件要求的得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2A620FF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r>
      <w:tr w14:paraId="7FF2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23971CEB">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1294" w:type="dxa"/>
            <w:vMerge w:val="continue"/>
            <w:noWrap/>
            <w:vAlign w:val="center"/>
          </w:tcPr>
          <w:p w14:paraId="380AAA57">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24D02B2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服务方案编制：项目技术方案应明确技术服务力量配置，技术服务内容、技术服务时间节点、根据项目特点的相关建议等，根据建设项目性质和特点，识别消防安全风险，做到重点突出、依据充分。</w:t>
            </w:r>
          </w:p>
          <w:p w14:paraId="37083FB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服务方案编制方案优于征集文件要求的得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0AAC8BC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r>
      <w:tr w14:paraId="0FB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A1DD6EF">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1294" w:type="dxa"/>
            <w:vMerge w:val="continue"/>
            <w:noWrap/>
            <w:vAlign w:val="center"/>
          </w:tcPr>
          <w:p w14:paraId="5A5BCDEF">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sz w:val="24"/>
                <w:szCs w:val="24"/>
                <w:highlight w:val="none"/>
              </w:rPr>
            </w:pPr>
          </w:p>
        </w:tc>
        <w:tc>
          <w:tcPr>
            <w:tcW w:w="6144" w:type="dxa"/>
            <w:noWrap/>
            <w:vAlign w:val="center"/>
          </w:tcPr>
          <w:p w14:paraId="2E5C97D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进度计划安排：根据服务方案，快速合理安排工作，按规定时间完成技术服务，提交服务成果。</w:t>
            </w:r>
          </w:p>
          <w:p w14:paraId="3B53CAE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进度计划安排优于征集文件要求的得</w:t>
            </w:r>
            <w:r>
              <w:rPr>
                <w:rFonts w:hint="eastAsia" w:ascii="仿宋" w:hAnsi="仿宋" w:eastAsia="仿宋" w:cs="仿宋"/>
                <w:color w:val="auto"/>
                <w:sz w:val="24"/>
                <w:szCs w:val="24"/>
                <w:highlight w:val="none"/>
                <w:lang w:val="en-US"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33640B3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0E67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6A327E6B">
            <w:pPr>
              <w:keepNext w:val="0"/>
              <w:keepLines w:val="0"/>
              <w:pageBreakBefore w:val="0"/>
              <w:wordWrap/>
              <w:overflowPunct/>
              <w:topLinePunct w:val="0"/>
              <w:bidi w:val="0"/>
              <w:adjustRightInd/>
              <w:spacing w:line="44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11</w:t>
            </w:r>
          </w:p>
        </w:tc>
        <w:tc>
          <w:tcPr>
            <w:tcW w:w="1294" w:type="dxa"/>
            <w:vMerge w:val="continue"/>
            <w:noWrap/>
            <w:vAlign w:val="center"/>
          </w:tcPr>
          <w:p w14:paraId="7B86E3D6">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2B2B380C">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服务成果提交：理解和落实服务内容及要求，突出关键和重点，体现技术服务成效，编制相关技术服务报告。要求提供技术服务报告的文本模板。</w:t>
            </w:r>
          </w:p>
          <w:p w14:paraId="2AADD5C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服务成果提交方案优于征集文件要求的得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4EC84863">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0D7B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4BB5DFE3">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1294" w:type="dxa"/>
            <w:vMerge w:val="continue"/>
            <w:noWrap/>
            <w:vAlign w:val="center"/>
          </w:tcPr>
          <w:p w14:paraId="5D9A830F">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5F989A20">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技术服务支撑:提出与消防验收评定相关的工作建议意见，提供技术咨询和疑难问题处理支撑服务，协助采购人做好消防行政管理工作。</w:t>
            </w:r>
          </w:p>
          <w:p w14:paraId="2EDEB90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技术服务支撑方案优于征集文件要求的得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22E9C3D7">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747D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3FD3648B">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p>
        </w:tc>
        <w:tc>
          <w:tcPr>
            <w:tcW w:w="1294" w:type="dxa"/>
            <w:vMerge w:val="continue"/>
            <w:noWrap/>
            <w:vAlign w:val="center"/>
          </w:tcPr>
          <w:p w14:paraId="29545B58">
            <w:pPr>
              <w:keepNext w:val="0"/>
              <w:keepLines w:val="0"/>
              <w:pageBreakBefore w:val="0"/>
              <w:wordWrap/>
              <w:overflowPunct/>
              <w:topLinePunct w:val="0"/>
              <w:bidi w:val="0"/>
              <w:adjustRightInd/>
              <w:spacing w:line="440" w:lineRule="exact"/>
              <w:jc w:val="center"/>
              <w:rPr>
                <w:rFonts w:hint="eastAsia" w:ascii="仿宋" w:hAnsi="仿宋" w:eastAsia="仿宋" w:cs="仿宋"/>
                <w:color w:val="auto"/>
                <w:sz w:val="24"/>
                <w:szCs w:val="24"/>
                <w:highlight w:val="none"/>
              </w:rPr>
            </w:pPr>
          </w:p>
        </w:tc>
        <w:tc>
          <w:tcPr>
            <w:tcW w:w="6144" w:type="dxa"/>
            <w:noWrap/>
            <w:vAlign w:val="center"/>
          </w:tcPr>
          <w:p w14:paraId="1EF102BA">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风险防控措施：制定明确风险控制预案、廉政防控预案和保障措施。</w:t>
            </w:r>
          </w:p>
          <w:p w14:paraId="2125367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风险防控措施优于征集文件要求的得</w:t>
            </w:r>
            <w:r>
              <w:rPr>
                <w:rFonts w:hint="eastAsia" w:ascii="仿宋" w:hAnsi="仿宋" w:eastAsia="仿宋" w:cs="仿宋"/>
                <w:color w:val="auto"/>
                <w:sz w:val="24"/>
                <w:szCs w:val="24"/>
                <w:highlight w:val="none"/>
                <w:lang w:eastAsia="zh-CN"/>
              </w:rPr>
              <w:t>5.1-7</w:t>
            </w:r>
            <w:r>
              <w:rPr>
                <w:rFonts w:hint="eastAsia" w:ascii="仿宋" w:hAnsi="仿宋" w:eastAsia="仿宋" w:cs="仿宋"/>
                <w:color w:val="auto"/>
                <w:sz w:val="24"/>
                <w:szCs w:val="24"/>
                <w:highlight w:val="none"/>
              </w:rPr>
              <w:t>分，方案内容基本满足征集文件要求的得</w:t>
            </w:r>
            <w:r>
              <w:rPr>
                <w:rFonts w:hint="eastAsia" w:ascii="仿宋" w:hAnsi="仿宋" w:eastAsia="仿宋" w:cs="仿宋"/>
                <w:color w:val="auto"/>
                <w:sz w:val="24"/>
                <w:szCs w:val="24"/>
                <w:highlight w:val="none"/>
                <w:lang w:eastAsia="zh-CN"/>
              </w:rPr>
              <w:t>2.6-5</w:t>
            </w:r>
            <w:r>
              <w:rPr>
                <w:rFonts w:hint="eastAsia" w:ascii="仿宋" w:hAnsi="仿宋" w:eastAsia="仿宋" w:cs="仿宋"/>
                <w:color w:val="auto"/>
                <w:sz w:val="24"/>
                <w:szCs w:val="24"/>
                <w:highlight w:val="none"/>
              </w:rPr>
              <w:t>分，方案内容部分满足征集文件要求的得</w:t>
            </w:r>
            <w:r>
              <w:rPr>
                <w:rFonts w:hint="eastAsia" w:ascii="仿宋" w:hAnsi="仿宋" w:eastAsia="仿宋" w:cs="仿宋"/>
                <w:color w:val="auto"/>
                <w:sz w:val="24"/>
                <w:szCs w:val="24"/>
                <w:highlight w:val="none"/>
                <w:lang w:eastAsia="zh-CN"/>
              </w:rPr>
              <w:t>0-2.5</w:t>
            </w:r>
            <w:r>
              <w:rPr>
                <w:rFonts w:hint="eastAsia" w:ascii="仿宋" w:hAnsi="仿宋" w:eastAsia="仿宋" w:cs="仿宋"/>
                <w:color w:val="auto"/>
                <w:sz w:val="24"/>
                <w:szCs w:val="24"/>
                <w:highlight w:val="none"/>
              </w:rPr>
              <w:t>分，未提供不得分。</w:t>
            </w:r>
          </w:p>
        </w:tc>
        <w:tc>
          <w:tcPr>
            <w:tcW w:w="834" w:type="dxa"/>
            <w:noWrap/>
            <w:vAlign w:val="center"/>
          </w:tcPr>
          <w:p w14:paraId="105678BD">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7</w:t>
            </w:r>
          </w:p>
        </w:tc>
      </w:tr>
      <w:tr w14:paraId="1C85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66BCE203">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1294" w:type="dxa"/>
            <w:noWrap/>
            <w:vAlign w:val="center"/>
          </w:tcPr>
          <w:p w14:paraId="29BFEB18">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培训</w:t>
            </w:r>
          </w:p>
        </w:tc>
        <w:tc>
          <w:tcPr>
            <w:tcW w:w="6144" w:type="dxa"/>
            <w:noWrap/>
            <w:vAlign w:val="center"/>
          </w:tcPr>
          <w:p w14:paraId="6D20D5F2">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提供消防技术相关业务培训2次（含）以上的，得2分，否则不得分。</w:t>
            </w:r>
          </w:p>
        </w:tc>
        <w:tc>
          <w:tcPr>
            <w:tcW w:w="834" w:type="dxa"/>
            <w:noWrap/>
            <w:vAlign w:val="center"/>
          </w:tcPr>
          <w:p w14:paraId="44D370EB">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2</w:t>
            </w:r>
          </w:p>
        </w:tc>
      </w:tr>
      <w:tr w14:paraId="1A92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1" w:type="dxa"/>
            <w:shd w:val="clear" w:color="auto" w:fill="auto"/>
            <w:noWrap/>
            <w:vAlign w:val="center"/>
          </w:tcPr>
          <w:p w14:paraId="145DE632">
            <w:pPr>
              <w:keepNext w:val="0"/>
              <w:keepLines w:val="0"/>
              <w:pageBreakBefore w:val="0"/>
              <w:wordWrap/>
              <w:overflowPunct/>
              <w:topLinePunct w:val="0"/>
              <w:bidi w:val="0"/>
              <w:adjustRightInd/>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15</w:t>
            </w:r>
          </w:p>
        </w:tc>
        <w:tc>
          <w:tcPr>
            <w:tcW w:w="1294" w:type="dxa"/>
            <w:noWrap/>
            <w:vAlign w:val="center"/>
          </w:tcPr>
          <w:p w14:paraId="0F3C77B4">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服务响</w:t>
            </w:r>
          </w:p>
          <w:p w14:paraId="3E43C319">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应能力</w:t>
            </w:r>
          </w:p>
        </w:tc>
        <w:tc>
          <w:tcPr>
            <w:tcW w:w="6144" w:type="dxa"/>
            <w:noWrap/>
            <w:vAlign w:val="center"/>
          </w:tcPr>
          <w:p w14:paraId="4B86E565">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具有较强售后服务能力，提供快速的服务响应，在接到采购单位服务指令后，能快速到达现场，</w:t>
            </w:r>
            <w:r>
              <w:rPr>
                <w:rFonts w:hint="eastAsia" w:ascii="仿宋" w:hAnsi="仿宋" w:eastAsia="仿宋" w:cs="仿宋"/>
                <w:color w:val="auto"/>
                <w:sz w:val="24"/>
                <w:szCs w:val="24"/>
                <w:highlight w:val="none"/>
                <w:lang w:val="en-US" w:eastAsia="zh-CN"/>
              </w:rPr>
              <w:t>服务能力强、响应速度快得6.4-9分，服务能力较强、响应速度较快得3.1-6分，服务能力一般、响应速度缓慢得0-3分。</w:t>
            </w:r>
          </w:p>
        </w:tc>
        <w:tc>
          <w:tcPr>
            <w:tcW w:w="834" w:type="dxa"/>
            <w:noWrap/>
            <w:vAlign w:val="center"/>
          </w:tcPr>
          <w:p w14:paraId="019B9AD6">
            <w:pPr>
              <w:pStyle w:val="50"/>
              <w:keepNext w:val="0"/>
              <w:keepLines w:val="0"/>
              <w:pageBreakBefore w:val="0"/>
              <w:kinsoku w:val="0"/>
              <w:wordWrap/>
              <w:overflowPunct/>
              <w:topLinePunct w:val="0"/>
              <w:autoSpaceDE w:val="0"/>
              <w:autoSpaceDN w:val="0"/>
              <w:bidi w:val="0"/>
              <w:adjustRightInd/>
              <w:snapToGrid w:val="0"/>
              <w:spacing w:before="0" w:beforeLines="0" w:after="0" w:afterLines="0" w:line="440" w:lineRule="exact"/>
              <w:ind w:firstLine="240" w:firstLineChars="100"/>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r>
    </w:tbl>
    <w:p w14:paraId="5D7AFFC8">
      <w:pPr>
        <w:spacing w:line="5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注：所有证书都应在</w:t>
      </w:r>
      <w:r>
        <w:rPr>
          <w:rFonts w:hint="eastAsia" w:ascii="仿宋" w:hAnsi="仿宋" w:eastAsia="仿宋" w:cs="仿宋"/>
          <w:b/>
          <w:iCs/>
          <w:color w:val="auto"/>
          <w:sz w:val="24"/>
          <w:highlight w:val="none"/>
        </w:rPr>
        <w:t>有效期内，逾期不得分。</w:t>
      </w:r>
    </w:p>
    <w:p w14:paraId="2A607033">
      <w:pPr>
        <w:pStyle w:val="12"/>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en-US"/>
        </w:rPr>
        <w:t>第二阶段供应商选定方式：直接选定。</w:t>
      </w:r>
    </w:p>
    <w:p w14:paraId="2DC5D4EC">
      <w:pPr>
        <w:pStyle w:val="12"/>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直接选定：消防技术服务项目任务书下达后，原则上采用轮流方式在入围单位中确定项目技术服务单位（即第一入围候选人、第二入围候选人、第三入围候选人顺序依次轮流），原则上三次单次为一轮；若存在技术服务单位与项目消防业务相关联的情况，在轮流过程中应予以回避，本次机会自动扣除，回避单位将直接开始新一轮，不在本轮增加项目。</w:t>
      </w:r>
    </w:p>
    <w:p w14:paraId="79CF492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3F3BA59">
      <w:pPr>
        <w:pStyle w:val="2"/>
        <w:rPr>
          <w:rFonts w:hint="eastAsia" w:ascii="仿宋" w:hAnsi="仿宋" w:eastAsia="仿宋" w:cs="仿宋"/>
          <w:color w:val="auto"/>
          <w:highlight w:val="none"/>
        </w:rPr>
      </w:pPr>
      <w:bookmarkStart w:id="36" w:name="_Toc10425"/>
      <w:bookmarkStart w:id="37" w:name="_Toc2486"/>
      <w:r>
        <w:rPr>
          <w:rFonts w:hint="eastAsia" w:ascii="仿宋" w:hAnsi="仿宋" w:eastAsia="仿宋" w:cs="仿宋"/>
          <w:color w:val="auto"/>
          <w:highlight w:val="none"/>
        </w:rPr>
        <w:t>第六章  响应文件格式附件</w:t>
      </w:r>
      <w:bookmarkEnd w:id="36"/>
      <w:bookmarkEnd w:id="37"/>
    </w:p>
    <w:p w14:paraId="5F08AC6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响应文件制作请按照本征集文件“第二章 供应商须知”第三部分“响应文件”的规定制作，有关格式附件如下：</w:t>
      </w:r>
    </w:p>
    <w:p w14:paraId="3C074A16">
      <w:pPr>
        <w:widowControl/>
        <w:snapToGrid w:val="0"/>
        <w:spacing w:line="480" w:lineRule="exact"/>
        <w:ind w:firstLine="480" w:firstLineChars="200"/>
        <w:rPr>
          <w:rFonts w:hint="eastAsia" w:ascii="仿宋" w:hAnsi="仿宋" w:eastAsia="仿宋" w:cs="仿宋"/>
          <w:color w:val="auto"/>
          <w:kern w:val="0"/>
          <w:sz w:val="24"/>
          <w:highlight w:val="none"/>
        </w:rPr>
      </w:pPr>
    </w:p>
    <w:p w14:paraId="149EA24B">
      <w:pPr>
        <w:widowControl/>
        <w:snapToGrid w:val="0"/>
        <w:spacing w:line="480" w:lineRule="exact"/>
        <w:ind w:firstLine="480" w:firstLineChars="200"/>
        <w:rPr>
          <w:rFonts w:hint="eastAsia" w:ascii="仿宋" w:hAnsi="仿宋" w:eastAsia="仿宋" w:cs="仿宋"/>
          <w:color w:val="auto"/>
          <w:kern w:val="0"/>
          <w:sz w:val="24"/>
          <w:highlight w:val="none"/>
        </w:rPr>
      </w:pPr>
    </w:p>
    <w:p w14:paraId="3648362A">
      <w:pPr>
        <w:widowControl/>
        <w:snapToGrid w:val="0"/>
        <w:spacing w:line="480" w:lineRule="exact"/>
        <w:ind w:firstLine="480" w:firstLineChars="200"/>
        <w:rPr>
          <w:rFonts w:hint="eastAsia" w:ascii="仿宋" w:hAnsi="仿宋" w:eastAsia="仿宋" w:cs="仿宋"/>
          <w:color w:val="auto"/>
          <w:kern w:val="0"/>
          <w:sz w:val="24"/>
          <w:highlight w:val="none"/>
        </w:rPr>
      </w:pPr>
    </w:p>
    <w:p w14:paraId="6615134D">
      <w:pPr>
        <w:widowControl/>
        <w:snapToGrid w:val="0"/>
        <w:spacing w:line="480" w:lineRule="exact"/>
        <w:ind w:firstLine="480" w:firstLineChars="200"/>
        <w:rPr>
          <w:rFonts w:hint="eastAsia" w:ascii="仿宋" w:hAnsi="仿宋" w:eastAsia="仿宋" w:cs="仿宋"/>
          <w:color w:val="auto"/>
          <w:kern w:val="0"/>
          <w:sz w:val="24"/>
          <w:highlight w:val="none"/>
        </w:rPr>
      </w:pPr>
    </w:p>
    <w:p w14:paraId="59BB3C2A">
      <w:pPr>
        <w:widowControl/>
        <w:snapToGrid w:val="0"/>
        <w:spacing w:line="480" w:lineRule="exact"/>
        <w:ind w:firstLine="480" w:firstLineChars="200"/>
        <w:rPr>
          <w:rFonts w:hint="eastAsia" w:ascii="仿宋" w:hAnsi="仿宋" w:eastAsia="仿宋" w:cs="仿宋"/>
          <w:color w:val="auto"/>
          <w:kern w:val="0"/>
          <w:sz w:val="24"/>
          <w:highlight w:val="none"/>
        </w:rPr>
      </w:pPr>
    </w:p>
    <w:p w14:paraId="3934AA91">
      <w:pPr>
        <w:widowControl/>
        <w:snapToGrid w:val="0"/>
        <w:spacing w:line="480" w:lineRule="exact"/>
        <w:ind w:firstLine="480" w:firstLineChars="200"/>
        <w:rPr>
          <w:rFonts w:hint="eastAsia" w:ascii="仿宋" w:hAnsi="仿宋" w:eastAsia="仿宋" w:cs="仿宋"/>
          <w:color w:val="auto"/>
          <w:kern w:val="0"/>
          <w:sz w:val="24"/>
          <w:highlight w:val="none"/>
        </w:rPr>
      </w:pPr>
    </w:p>
    <w:p w14:paraId="6FD0834C">
      <w:pPr>
        <w:widowControl/>
        <w:snapToGrid w:val="0"/>
        <w:spacing w:line="480" w:lineRule="exact"/>
        <w:ind w:firstLine="480" w:firstLineChars="200"/>
        <w:rPr>
          <w:rFonts w:hint="eastAsia" w:ascii="仿宋" w:hAnsi="仿宋" w:eastAsia="仿宋" w:cs="仿宋"/>
          <w:color w:val="auto"/>
          <w:kern w:val="0"/>
          <w:sz w:val="24"/>
          <w:highlight w:val="none"/>
        </w:rPr>
      </w:pPr>
    </w:p>
    <w:p w14:paraId="48765483">
      <w:pPr>
        <w:widowControl/>
        <w:snapToGrid w:val="0"/>
        <w:spacing w:line="480" w:lineRule="exact"/>
        <w:ind w:firstLine="480" w:firstLineChars="200"/>
        <w:rPr>
          <w:rFonts w:hint="eastAsia" w:ascii="仿宋" w:hAnsi="仿宋" w:eastAsia="仿宋" w:cs="仿宋"/>
          <w:color w:val="auto"/>
          <w:kern w:val="0"/>
          <w:sz w:val="24"/>
          <w:highlight w:val="none"/>
        </w:rPr>
      </w:pPr>
    </w:p>
    <w:p w14:paraId="3F3DB9A9">
      <w:pPr>
        <w:widowControl/>
        <w:snapToGrid w:val="0"/>
        <w:spacing w:line="480" w:lineRule="exact"/>
        <w:ind w:firstLine="480" w:firstLineChars="200"/>
        <w:rPr>
          <w:rFonts w:hint="eastAsia" w:ascii="仿宋" w:hAnsi="仿宋" w:eastAsia="仿宋" w:cs="仿宋"/>
          <w:color w:val="auto"/>
          <w:kern w:val="0"/>
          <w:sz w:val="24"/>
          <w:highlight w:val="none"/>
        </w:rPr>
      </w:pPr>
    </w:p>
    <w:p w14:paraId="37D50BE2">
      <w:pPr>
        <w:widowControl/>
        <w:snapToGrid w:val="0"/>
        <w:spacing w:line="480" w:lineRule="exact"/>
        <w:ind w:firstLine="480" w:firstLineChars="200"/>
        <w:rPr>
          <w:rFonts w:hint="eastAsia" w:ascii="仿宋" w:hAnsi="仿宋" w:eastAsia="仿宋" w:cs="仿宋"/>
          <w:color w:val="auto"/>
          <w:kern w:val="0"/>
          <w:sz w:val="24"/>
          <w:highlight w:val="none"/>
        </w:rPr>
      </w:pPr>
    </w:p>
    <w:p w14:paraId="07176175">
      <w:pPr>
        <w:widowControl/>
        <w:snapToGrid w:val="0"/>
        <w:spacing w:line="480" w:lineRule="exact"/>
        <w:ind w:firstLine="480" w:firstLineChars="200"/>
        <w:rPr>
          <w:rFonts w:hint="eastAsia" w:ascii="仿宋" w:hAnsi="仿宋" w:eastAsia="仿宋" w:cs="仿宋"/>
          <w:color w:val="auto"/>
          <w:kern w:val="0"/>
          <w:sz w:val="24"/>
          <w:highlight w:val="none"/>
        </w:rPr>
      </w:pPr>
    </w:p>
    <w:p w14:paraId="5976E3F0">
      <w:pPr>
        <w:widowControl/>
        <w:snapToGrid w:val="0"/>
        <w:spacing w:line="480" w:lineRule="exact"/>
        <w:ind w:firstLine="480" w:firstLineChars="200"/>
        <w:rPr>
          <w:rFonts w:hint="eastAsia" w:ascii="仿宋" w:hAnsi="仿宋" w:eastAsia="仿宋" w:cs="仿宋"/>
          <w:color w:val="auto"/>
          <w:kern w:val="0"/>
          <w:sz w:val="24"/>
          <w:highlight w:val="none"/>
        </w:rPr>
      </w:pPr>
    </w:p>
    <w:p w14:paraId="32D5BF26">
      <w:pPr>
        <w:widowControl/>
        <w:snapToGrid w:val="0"/>
        <w:spacing w:line="480" w:lineRule="exact"/>
        <w:ind w:firstLine="480" w:firstLineChars="200"/>
        <w:rPr>
          <w:rFonts w:hint="eastAsia" w:ascii="仿宋" w:hAnsi="仿宋" w:eastAsia="仿宋" w:cs="仿宋"/>
          <w:color w:val="auto"/>
          <w:kern w:val="0"/>
          <w:sz w:val="24"/>
          <w:highlight w:val="none"/>
        </w:rPr>
      </w:pPr>
    </w:p>
    <w:p w14:paraId="145D71D3">
      <w:pPr>
        <w:widowControl/>
        <w:snapToGrid w:val="0"/>
        <w:spacing w:line="480" w:lineRule="exact"/>
        <w:ind w:firstLine="480" w:firstLineChars="200"/>
        <w:rPr>
          <w:rFonts w:hint="eastAsia" w:ascii="仿宋" w:hAnsi="仿宋" w:eastAsia="仿宋" w:cs="仿宋"/>
          <w:color w:val="auto"/>
          <w:kern w:val="0"/>
          <w:sz w:val="24"/>
          <w:highlight w:val="none"/>
        </w:rPr>
      </w:pPr>
    </w:p>
    <w:p w14:paraId="671B735F">
      <w:pPr>
        <w:widowControl/>
        <w:snapToGrid w:val="0"/>
        <w:spacing w:line="480" w:lineRule="exact"/>
        <w:ind w:firstLine="480" w:firstLineChars="200"/>
        <w:rPr>
          <w:rFonts w:hint="eastAsia" w:ascii="仿宋" w:hAnsi="仿宋" w:eastAsia="仿宋" w:cs="仿宋"/>
          <w:color w:val="auto"/>
          <w:kern w:val="0"/>
          <w:sz w:val="24"/>
          <w:highlight w:val="none"/>
        </w:rPr>
      </w:pPr>
    </w:p>
    <w:p w14:paraId="4EB3D036">
      <w:pPr>
        <w:widowControl/>
        <w:snapToGrid w:val="0"/>
        <w:spacing w:line="480" w:lineRule="exact"/>
        <w:ind w:firstLine="480" w:firstLineChars="200"/>
        <w:rPr>
          <w:rFonts w:hint="eastAsia" w:ascii="仿宋" w:hAnsi="仿宋" w:eastAsia="仿宋" w:cs="仿宋"/>
          <w:color w:val="auto"/>
          <w:kern w:val="0"/>
          <w:sz w:val="24"/>
          <w:highlight w:val="none"/>
        </w:rPr>
      </w:pPr>
    </w:p>
    <w:p w14:paraId="4D862507">
      <w:pPr>
        <w:widowControl/>
        <w:snapToGrid w:val="0"/>
        <w:spacing w:line="480" w:lineRule="exact"/>
        <w:ind w:firstLine="480" w:firstLineChars="200"/>
        <w:rPr>
          <w:rFonts w:hint="eastAsia" w:ascii="仿宋" w:hAnsi="仿宋" w:eastAsia="仿宋" w:cs="仿宋"/>
          <w:color w:val="auto"/>
          <w:kern w:val="0"/>
          <w:sz w:val="24"/>
          <w:highlight w:val="none"/>
        </w:rPr>
      </w:pPr>
    </w:p>
    <w:p w14:paraId="355265DD">
      <w:pPr>
        <w:widowControl/>
        <w:snapToGrid w:val="0"/>
        <w:spacing w:line="480" w:lineRule="exact"/>
        <w:ind w:firstLine="480" w:firstLineChars="200"/>
        <w:rPr>
          <w:rFonts w:hint="eastAsia" w:ascii="仿宋" w:hAnsi="仿宋" w:eastAsia="仿宋" w:cs="仿宋"/>
          <w:color w:val="auto"/>
          <w:kern w:val="0"/>
          <w:sz w:val="24"/>
          <w:highlight w:val="none"/>
        </w:rPr>
      </w:pPr>
    </w:p>
    <w:p w14:paraId="7A78A28A">
      <w:pPr>
        <w:widowControl/>
        <w:snapToGrid w:val="0"/>
        <w:spacing w:line="480" w:lineRule="exact"/>
        <w:ind w:firstLine="480" w:firstLineChars="200"/>
        <w:rPr>
          <w:rFonts w:hint="eastAsia" w:ascii="仿宋" w:hAnsi="仿宋" w:eastAsia="仿宋" w:cs="仿宋"/>
          <w:color w:val="auto"/>
          <w:kern w:val="0"/>
          <w:sz w:val="24"/>
          <w:highlight w:val="none"/>
        </w:rPr>
      </w:pPr>
    </w:p>
    <w:p w14:paraId="2F9A408B">
      <w:pPr>
        <w:widowControl/>
        <w:snapToGrid w:val="0"/>
        <w:spacing w:line="480" w:lineRule="exact"/>
        <w:ind w:firstLine="480" w:firstLineChars="200"/>
        <w:rPr>
          <w:rFonts w:hint="eastAsia" w:ascii="仿宋" w:hAnsi="仿宋" w:eastAsia="仿宋" w:cs="仿宋"/>
          <w:color w:val="auto"/>
          <w:kern w:val="0"/>
          <w:sz w:val="24"/>
          <w:highlight w:val="none"/>
        </w:rPr>
      </w:pPr>
    </w:p>
    <w:p w14:paraId="0BFD3449">
      <w:pPr>
        <w:widowControl/>
        <w:snapToGrid w:val="0"/>
        <w:spacing w:line="480" w:lineRule="exact"/>
        <w:ind w:firstLine="480" w:firstLineChars="200"/>
        <w:rPr>
          <w:rFonts w:hint="eastAsia" w:ascii="仿宋" w:hAnsi="仿宋" w:eastAsia="仿宋" w:cs="仿宋"/>
          <w:color w:val="auto"/>
          <w:kern w:val="0"/>
          <w:sz w:val="24"/>
          <w:highlight w:val="none"/>
        </w:rPr>
      </w:pPr>
    </w:p>
    <w:p w14:paraId="1D0125FD">
      <w:pPr>
        <w:widowControl/>
        <w:snapToGrid w:val="0"/>
        <w:spacing w:line="480" w:lineRule="exact"/>
        <w:ind w:firstLine="480" w:firstLineChars="200"/>
        <w:rPr>
          <w:rFonts w:hint="eastAsia" w:ascii="仿宋" w:hAnsi="仿宋" w:eastAsia="仿宋" w:cs="仿宋"/>
          <w:color w:val="auto"/>
          <w:kern w:val="0"/>
          <w:sz w:val="24"/>
          <w:highlight w:val="none"/>
        </w:rPr>
      </w:pPr>
    </w:p>
    <w:p w14:paraId="11461226">
      <w:pPr>
        <w:widowControl/>
        <w:snapToGrid w:val="0"/>
        <w:spacing w:line="480" w:lineRule="exact"/>
        <w:ind w:firstLine="480" w:firstLineChars="200"/>
        <w:rPr>
          <w:rFonts w:hint="eastAsia" w:ascii="仿宋" w:hAnsi="仿宋" w:eastAsia="仿宋" w:cs="仿宋"/>
          <w:color w:val="auto"/>
          <w:kern w:val="0"/>
          <w:sz w:val="24"/>
          <w:highlight w:val="none"/>
        </w:rPr>
      </w:pPr>
    </w:p>
    <w:p w14:paraId="33CC3264">
      <w:pPr>
        <w:widowControl/>
        <w:snapToGrid w:val="0"/>
        <w:spacing w:line="480" w:lineRule="exact"/>
        <w:ind w:firstLine="480" w:firstLineChars="200"/>
        <w:rPr>
          <w:rFonts w:hint="eastAsia" w:ascii="仿宋" w:hAnsi="仿宋" w:eastAsia="仿宋" w:cs="仿宋"/>
          <w:color w:val="auto"/>
          <w:kern w:val="0"/>
          <w:sz w:val="24"/>
          <w:highlight w:val="none"/>
        </w:rPr>
      </w:pPr>
    </w:p>
    <w:p w14:paraId="4ACE6377">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18A171AE">
      <w:pPr>
        <w:snapToGrid w:val="0"/>
        <w:spacing w:beforeLines="50" w:after="50"/>
        <w:jc w:val="right"/>
        <w:rPr>
          <w:rFonts w:hint="eastAsia" w:ascii="仿宋" w:hAnsi="仿宋" w:eastAsia="仿宋" w:cs="仿宋"/>
          <w:b/>
          <w:color w:val="auto"/>
          <w:sz w:val="30"/>
          <w:szCs w:val="30"/>
          <w:highlight w:val="none"/>
        </w:rPr>
      </w:pPr>
    </w:p>
    <w:p w14:paraId="56DBEB69">
      <w:pPr>
        <w:snapToGrid w:val="0"/>
        <w:spacing w:beforeLines="50" w:after="50"/>
        <w:jc w:val="right"/>
        <w:rPr>
          <w:rFonts w:hint="eastAsia" w:ascii="仿宋" w:hAnsi="仿宋" w:eastAsia="仿宋" w:cs="仿宋"/>
          <w:bCs/>
          <w:color w:val="auto"/>
          <w:sz w:val="30"/>
          <w:szCs w:val="30"/>
          <w:highlight w:val="none"/>
        </w:rPr>
      </w:pPr>
    </w:p>
    <w:p w14:paraId="1527741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46B0C15F">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6D2EF17D">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758A3F85">
      <w:pPr>
        <w:spacing w:line="1200" w:lineRule="exact"/>
        <w:ind w:right="6"/>
        <w:jc w:val="center"/>
        <w:rPr>
          <w:rFonts w:hint="eastAsia" w:ascii="仿宋" w:hAnsi="仿宋" w:eastAsia="仿宋" w:cs="仿宋"/>
          <w:color w:val="auto"/>
          <w:sz w:val="72"/>
          <w:szCs w:val="72"/>
          <w:highlight w:val="none"/>
        </w:rPr>
      </w:pPr>
    </w:p>
    <w:p w14:paraId="3085E27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23ED820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665B2D6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D67049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46DD829B">
      <w:pPr>
        <w:spacing w:line="1200" w:lineRule="exact"/>
        <w:ind w:right="6"/>
        <w:jc w:val="center"/>
        <w:rPr>
          <w:rFonts w:hint="eastAsia" w:ascii="仿宋" w:hAnsi="仿宋" w:eastAsia="仿宋" w:cs="仿宋"/>
          <w:color w:val="auto"/>
          <w:sz w:val="72"/>
          <w:szCs w:val="72"/>
          <w:highlight w:val="none"/>
        </w:rPr>
      </w:pPr>
    </w:p>
    <w:p w14:paraId="6667037F">
      <w:pPr>
        <w:spacing w:line="500" w:lineRule="exact"/>
        <w:ind w:right="7"/>
        <w:jc w:val="center"/>
        <w:rPr>
          <w:rFonts w:hint="eastAsia" w:ascii="仿宋" w:hAnsi="仿宋" w:eastAsia="仿宋" w:cs="仿宋"/>
          <w:color w:val="auto"/>
          <w:sz w:val="36"/>
          <w:szCs w:val="36"/>
          <w:highlight w:val="none"/>
        </w:rPr>
      </w:pPr>
    </w:p>
    <w:p w14:paraId="276E7B4F">
      <w:pPr>
        <w:spacing w:line="500" w:lineRule="exact"/>
        <w:ind w:right="7"/>
        <w:jc w:val="center"/>
        <w:rPr>
          <w:rFonts w:hint="eastAsia" w:ascii="仿宋" w:hAnsi="仿宋" w:eastAsia="仿宋" w:cs="仿宋"/>
          <w:color w:val="auto"/>
          <w:sz w:val="36"/>
          <w:szCs w:val="36"/>
          <w:highlight w:val="none"/>
        </w:rPr>
      </w:pPr>
    </w:p>
    <w:p w14:paraId="6921AE58">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4407E78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901BEE3">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258F9FDE">
      <w:pPr>
        <w:snapToGrid w:val="0"/>
        <w:spacing w:beforeLines="50" w:after="50"/>
        <w:jc w:val="left"/>
        <w:rPr>
          <w:rFonts w:hint="eastAsia" w:ascii="仿宋" w:hAnsi="仿宋" w:eastAsia="仿宋" w:cs="仿宋"/>
          <w:b/>
          <w:bCs/>
          <w:color w:val="auto"/>
          <w:sz w:val="30"/>
          <w:szCs w:val="30"/>
          <w:highlight w:val="none"/>
        </w:rPr>
      </w:pPr>
    </w:p>
    <w:p w14:paraId="171BF7E3">
      <w:pPr>
        <w:snapToGrid w:val="0"/>
        <w:spacing w:beforeLines="50" w:after="50"/>
        <w:jc w:val="left"/>
        <w:rPr>
          <w:rFonts w:hint="eastAsia" w:ascii="仿宋" w:hAnsi="仿宋" w:eastAsia="仿宋" w:cs="仿宋"/>
          <w:b/>
          <w:bCs/>
          <w:color w:val="auto"/>
          <w:sz w:val="30"/>
          <w:szCs w:val="30"/>
          <w:highlight w:val="none"/>
        </w:rPr>
      </w:pPr>
    </w:p>
    <w:p w14:paraId="1DA825B8">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4D26AA9E">
      <w:pPr>
        <w:snapToGrid w:val="0"/>
        <w:spacing w:beforeLines="50" w:after="50"/>
        <w:jc w:val="center"/>
        <w:rPr>
          <w:rFonts w:hint="eastAsia" w:ascii="仿宋" w:hAnsi="仿宋" w:eastAsia="仿宋" w:cs="仿宋"/>
          <w:color w:val="auto"/>
          <w:sz w:val="30"/>
          <w:szCs w:val="30"/>
          <w:highlight w:val="none"/>
        </w:rPr>
      </w:pPr>
      <w:bookmarkStart w:id="38" w:name="_Toc64369786"/>
      <w:r>
        <w:rPr>
          <w:rFonts w:hint="eastAsia" w:ascii="仿宋" w:hAnsi="仿宋" w:eastAsia="仿宋" w:cs="仿宋"/>
          <w:color w:val="auto"/>
          <w:sz w:val="30"/>
          <w:szCs w:val="30"/>
          <w:highlight w:val="none"/>
        </w:rPr>
        <w:t>目 录</w:t>
      </w:r>
      <w:bookmarkEnd w:id="38"/>
    </w:p>
    <w:p w14:paraId="573B10E3">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455DBA00">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2.联合体协议书（如有）……………………………………………………（页码）</w:t>
      </w:r>
    </w:p>
    <w:p w14:paraId="42B6EE80">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3.分包意向协议（如有）………………………………………………………（页码）</w:t>
      </w:r>
    </w:p>
    <w:p w14:paraId="01325F2A">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4.法定代表人授权委托书……………………………………………………（页码）</w:t>
      </w:r>
    </w:p>
    <w:p w14:paraId="61166671">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5.法定代表人及其授权代表身份证…………………………………………（页码）</w:t>
      </w:r>
    </w:p>
    <w:p w14:paraId="105FD79C">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6.资格条件证明材料</w:t>
      </w:r>
    </w:p>
    <w:p w14:paraId="1707D3BC">
      <w:pPr>
        <w:pStyle w:val="44"/>
        <w:spacing w:line="360" w:lineRule="auto"/>
        <w:ind w:firstLine="240" w:firstLineChars="100"/>
        <w:jc w:val="left"/>
        <w:rPr>
          <w:rFonts w:hint="eastAsia" w:ascii="仿宋" w:hAnsi="仿宋" w:eastAsia="仿宋" w:cs="仿宋"/>
          <w:color w:val="auto"/>
          <w:highlight w:val="none"/>
        </w:rPr>
      </w:pPr>
      <w:bookmarkStart w:id="39" w:name="_Toc64369787"/>
      <w:r>
        <w:rPr>
          <w:rFonts w:hint="eastAsia" w:ascii="仿宋" w:hAnsi="仿宋" w:eastAsia="仿宋" w:cs="仿宋"/>
          <w:color w:val="auto"/>
          <w:highlight w:val="none"/>
        </w:rPr>
        <w:t>6.1营业执照(或事业法人登记证书)………………………………………（页码）</w:t>
      </w:r>
      <w:bookmarkEnd w:id="39"/>
    </w:p>
    <w:p w14:paraId="70CEB4D2">
      <w:pPr>
        <w:pStyle w:val="44"/>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rPr>
        <w:t>6.2</w:t>
      </w:r>
      <w:bookmarkStart w:id="40" w:name="_Toc64369788"/>
      <w:r>
        <w:rPr>
          <w:rFonts w:hint="eastAsia" w:ascii="仿宋" w:hAnsi="仿宋" w:eastAsia="仿宋" w:cs="仿宋"/>
          <w:color w:val="auto"/>
          <w:highlight w:val="none"/>
        </w:rPr>
        <w:t>特定资格条件的有关证明材料（如有）………………………………（页码）</w:t>
      </w:r>
      <w:bookmarkEnd w:id="40"/>
    </w:p>
    <w:p w14:paraId="05E92855">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注：以上文件按征集文件提供的格式制作，投标供应商根据内容做好加密电子响应文件的关联点设置。</w:t>
      </w:r>
    </w:p>
    <w:p w14:paraId="7BD0C238">
      <w:pPr>
        <w:pageBreakBefor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0DCC3D4">
      <w:pPr>
        <w:pStyle w:val="39"/>
        <w:spacing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（填写采购代理机构或征集人名称） </w:t>
      </w:r>
      <w:r>
        <w:rPr>
          <w:rFonts w:hint="eastAsia" w:ascii="仿宋" w:hAnsi="仿宋" w:eastAsia="仿宋" w:cs="仿宋"/>
          <w:color w:val="auto"/>
          <w:szCs w:val="24"/>
          <w:highlight w:val="none"/>
        </w:rPr>
        <w:t xml:space="preserve">： </w:t>
      </w:r>
    </w:p>
    <w:p w14:paraId="576B7C42">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（填写供应商全称；联合体投标的写全部联合体成员）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（填写征集项目名称）（采购编号：    ）</w:t>
      </w:r>
      <w:r>
        <w:rPr>
          <w:rFonts w:hint="eastAsia" w:ascii="仿宋" w:hAnsi="仿宋" w:eastAsia="仿宋" w:cs="仿宋"/>
          <w:color w:val="auto"/>
          <w:szCs w:val="24"/>
          <w:highlight w:val="none"/>
        </w:rPr>
        <w:t>的投标，为此，我方就本次投标有关事项郑重声明如下：</w:t>
      </w:r>
    </w:p>
    <w:p w14:paraId="2696B8E8">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1.我方已详细审查全部征集文件，同意征集文件的各项要求。</w:t>
      </w:r>
    </w:p>
    <w:p w14:paraId="734F5D45">
      <w:pPr>
        <w:pStyle w:val="6"/>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2.若我方中标，承诺按征集文件、响应文件和合同的规定履行责任和义务。</w:t>
      </w:r>
    </w:p>
    <w:p w14:paraId="0C1D1902">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highlight w:val="none"/>
          <w:lang w:val="zh-CN"/>
        </w:rPr>
        <w:t>我方</w:t>
      </w:r>
      <w:r>
        <w:rPr>
          <w:rFonts w:hint="eastAsia" w:ascii="仿宋" w:hAnsi="仿宋" w:eastAsia="仿宋" w:cs="仿宋"/>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61676B3E">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4.我方响应文件中填列的技术参数、配置、服务、数量等相关内容都是真实、准确的。保证在本次项目中所提供的资料全部真实和合法。同意向采购代理机构提供可能另外要求的与投标有关且合法的任何数据或资料。</w:t>
      </w:r>
    </w:p>
    <w:p w14:paraId="5D85855B">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5.我方保证所供货物质量符合国家强制性规范和标准，达到征集文件规定的要求；</w:t>
      </w:r>
    </w:p>
    <w:p w14:paraId="02F5F5E3">
      <w:pPr>
        <w:pStyle w:val="6"/>
        <w:tabs>
          <w:tab w:val="clear" w:pos="1697"/>
        </w:tabs>
        <w:spacing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17AD0EC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7.我方对所投产品、方案、技术、服务等拥有合法的占有和处置权，并对涉及项目的所有内容可能侵权行为指控负责，保证不伤害征集人的利益。我方为执行本项目合同而提供的技术资料等归征集人所有。</w:t>
      </w:r>
    </w:p>
    <w:p w14:paraId="67EF4C71">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1F2F885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w:t>
      </w:r>
      <w:r>
        <w:rPr>
          <w:rFonts w:hint="eastAsia" w:ascii="仿宋" w:hAnsi="仿宋" w:eastAsia="仿宋" w:cs="仿宋"/>
          <w:color w:val="auto"/>
          <w:szCs w:val="24"/>
          <w:highlight w:val="none"/>
          <w:lang w:val="en-US" w:eastAsia="zh-CN"/>
        </w:rPr>
        <w:t>盖</w:t>
      </w:r>
      <w:r>
        <w:rPr>
          <w:rFonts w:hint="eastAsia" w:ascii="仿宋" w:hAnsi="仿宋" w:eastAsia="仿宋" w:cs="仿宋"/>
          <w:color w:val="auto"/>
          <w:szCs w:val="24"/>
          <w:highlight w:val="none"/>
        </w:rPr>
        <w:t>章)：</w:t>
      </w:r>
    </w:p>
    <w:p w14:paraId="5BF06A17">
      <w:pPr>
        <w:pStyle w:val="39"/>
        <w:spacing w:afterLines="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供应商(盖章)：　　　　　　　　　　　　　　　　　　　　日期：     </w:t>
      </w:r>
    </w:p>
    <w:p w14:paraId="20A4DF02">
      <w:pPr>
        <w:pStyle w:val="39"/>
        <w:spacing w:afterLines="0" w:line="440" w:lineRule="exact"/>
        <w:ind w:firstLine="480"/>
        <w:rPr>
          <w:rFonts w:hint="eastAsia" w:ascii="仿宋" w:hAnsi="仿宋" w:eastAsia="仿宋" w:cs="仿宋"/>
          <w:color w:val="auto"/>
          <w:szCs w:val="24"/>
          <w:highlight w:val="none"/>
        </w:rPr>
      </w:pPr>
    </w:p>
    <w:p w14:paraId="5FAF94AD">
      <w:pPr>
        <w:pStyle w:val="39"/>
        <w:spacing w:afterLines="0" w:line="440" w:lineRule="exact"/>
        <w:ind w:firstLine="480"/>
        <w:rPr>
          <w:rFonts w:hint="eastAsia" w:ascii="仿宋" w:hAnsi="仿宋" w:eastAsia="仿宋" w:cs="仿宋"/>
          <w:color w:val="auto"/>
          <w:szCs w:val="24"/>
          <w:highlight w:val="none"/>
        </w:rPr>
      </w:pPr>
    </w:p>
    <w:p w14:paraId="2E156FBC">
      <w:pPr>
        <w:pStyle w:val="39"/>
        <w:spacing w:afterLines="0" w:line="440" w:lineRule="exact"/>
        <w:ind w:firstLine="480"/>
        <w:rPr>
          <w:rFonts w:hint="eastAsia" w:ascii="仿宋" w:hAnsi="仿宋" w:eastAsia="仿宋" w:cs="仿宋"/>
          <w:color w:val="auto"/>
          <w:szCs w:val="24"/>
          <w:highlight w:val="none"/>
        </w:rPr>
      </w:pPr>
    </w:p>
    <w:p w14:paraId="21F531D9">
      <w:pPr>
        <w:pStyle w:val="39"/>
        <w:spacing w:afterLines="0" w:line="440" w:lineRule="exact"/>
        <w:ind w:firstLine="480"/>
        <w:rPr>
          <w:rFonts w:hint="eastAsia" w:ascii="仿宋" w:hAnsi="仿宋" w:eastAsia="仿宋" w:cs="仿宋"/>
          <w:color w:val="auto"/>
          <w:szCs w:val="24"/>
          <w:highlight w:val="none"/>
        </w:rPr>
      </w:pPr>
    </w:p>
    <w:p w14:paraId="5FA338A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7D46FBC">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0B98CBF4">
      <w:pPr>
        <w:pStyle w:val="8"/>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68EA0A9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4ABE1FB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4D4BFF8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4632BAD0">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项目编号为的征集活动联合进行投标之事宜，达成如下协议：</w:t>
      </w:r>
    </w:p>
    <w:p w14:paraId="61477515">
      <w:pPr>
        <w:pStyle w:val="8"/>
        <w:numPr>
          <w:ilvl w:val="0"/>
          <w:numId w:val="10"/>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各方一致决定组成一个联合体，以一个供应商的身份共同参加本项目政府采购。</w:t>
      </w:r>
    </w:p>
    <w:p w14:paraId="04CB0CE7">
      <w:pPr>
        <w:pStyle w:val="8"/>
        <w:numPr>
          <w:ilvl w:val="0"/>
          <w:numId w:val="10"/>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3E52178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三、联合体各方对响应文件及开标过程中的各种书面承诺、澄清等均予以认可，对联合投标各方均产生约束力。</w:t>
      </w:r>
    </w:p>
    <w:p w14:paraId="2B36545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四、如果中标，联合投标各方共同与征集人签订采购合同，共同履行对征集人所负有的全部义务并就采购合同约定的事项对征集人承担连带责任。</w:t>
      </w:r>
    </w:p>
    <w:p w14:paraId="704C781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五、联合体各方不再单独参加或与其他供应商另外组成联合体参加同一标项（项目）的政府采购活动，否则均被视为无效投标。</w:t>
      </w:r>
    </w:p>
    <w:p w14:paraId="3DB52B6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六、如果中标，联合体各方在项目实施过程中承担的货物和服务为：</w:t>
      </w:r>
    </w:p>
    <w:p w14:paraId="7B75201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5373389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2F73CFF">
      <w:pPr>
        <w:pStyle w:val="8"/>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7BCE73B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75D7C69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1E57F0F">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八、本协议签约各方各持一份，并作为响应文件的一部分。</w:t>
      </w:r>
    </w:p>
    <w:p w14:paraId="1EFADBAA">
      <w:pPr>
        <w:pStyle w:val="8"/>
        <w:overflowPunct w:val="0"/>
        <w:spacing w:line="460" w:lineRule="exact"/>
        <w:ind w:firstLine="513" w:firstLineChars="214"/>
        <w:rPr>
          <w:rFonts w:hint="eastAsia" w:ascii="仿宋" w:hAnsi="仿宋" w:eastAsia="仿宋" w:cs="仿宋"/>
          <w:color w:val="auto"/>
          <w:sz w:val="24"/>
          <w:szCs w:val="24"/>
          <w:highlight w:val="none"/>
        </w:rPr>
      </w:pPr>
    </w:p>
    <w:p w14:paraId="25A5D830">
      <w:pPr>
        <w:pStyle w:val="8"/>
        <w:overflowPunct w:val="0"/>
        <w:spacing w:line="460" w:lineRule="exact"/>
        <w:ind w:firstLine="513" w:firstLineChars="214"/>
        <w:rPr>
          <w:rFonts w:hint="eastAsia" w:ascii="仿宋" w:hAnsi="仿宋" w:eastAsia="仿宋" w:cs="仿宋"/>
          <w:color w:val="auto"/>
          <w:sz w:val="24"/>
          <w:szCs w:val="24"/>
          <w:highlight w:val="none"/>
        </w:rPr>
      </w:pPr>
    </w:p>
    <w:tbl>
      <w:tblPr>
        <w:tblStyle w:val="31"/>
        <w:tblW w:w="0" w:type="auto"/>
        <w:jc w:val="center"/>
        <w:tblLayout w:type="fixed"/>
        <w:tblCellMar>
          <w:top w:w="0" w:type="dxa"/>
          <w:left w:w="108" w:type="dxa"/>
          <w:bottom w:w="0" w:type="dxa"/>
          <w:right w:w="108" w:type="dxa"/>
        </w:tblCellMar>
      </w:tblPr>
      <w:tblGrid>
        <w:gridCol w:w="4264"/>
        <w:gridCol w:w="4264"/>
      </w:tblGrid>
      <w:tr w14:paraId="142AB95E">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5E4CEA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61E7FFC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w:t>
            </w:r>
            <w:r>
              <w:rPr>
                <w:rFonts w:hint="eastAsia" w:ascii="仿宋" w:hAnsi="仿宋" w:eastAsia="仿宋" w:cs="仿宋"/>
                <w:color w:val="auto"/>
                <w:sz w:val="24"/>
                <w:szCs w:val="24"/>
                <w:highlight w:val="none"/>
                <w:lang w:val="en-US" w:eastAsia="zh-CN"/>
              </w:rPr>
              <w:t>签字或盖</w:t>
            </w:r>
            <w:r>
              <w:rPr>
                <w:rFonts w:hint="eastAsia" w:ascii="仿宋" w:hAnsi="仿宋" w:eastAsia="仿宋" w:cs="仿宋"/>
                <w:color w:val="auto"/>
                <w:sz w:val="24"/>
                <w:szCs w:val="24"/>
                <w:highlight w:val="none"/>
              </w:rPr>
              <w:t>章）</w:t>
            </w:r>
          </w:p>
          <w:p w14:paraId="267C0E3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29C1461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519FFD9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w:t>
            </w:r>
            <w:r>
              <w:rPr>
                <w:rFonts w:hint="eastAsia" w:ascii="仿宋" w:hAnsi="仿宋" w:eastAsia="仿宋" w:cs="仿宋"/>
                <w:color w:val="auto"/>
                <w:sz w:val="24"/>
                <w:szCs w:val="24"/>
                <w:highlight w:val="none"/>
                <w:lang w:val="en-US" w:eastAsia="zh-CN"/>
              </w:rPr>
              <w:t>签字或盖</w:t>
            </w:r>
            <w:r>
              <w:rPr>
                <w:rFonts w:hint="eastAsia" w:ascii="仿宋" w:hAnsi="仿宋" w:eastAsia="仿宋" w:cs="仿宋"/>
                <w:color w:val="auto"/>
                <w:sz w:val="24"/>
                <w:szCs w:val="24"/>
                <w:highlight w:val="none"/>
              </w:rPr>
              <w:t>章）</w:t>
            </w:r>
          </w:p>
          <w:p w14:paraId="2884B68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051E1406">
      <w:pPr>
        <w:pStyle w:val="39"/>
        <w:spacing w:afterLines="0" w:line="440" w:lineRule="exact"/>
        <w:ind w:firstLine="0" w:firstLineChars="0"/>
        <w:rPr>
          <w:rFonts w:hint="eastAsia" w:ascii="仿宋" w:hAnsi="仿宋" w:eastAsia="仿宋" w:cs="仿宋"/>
          <w:b/>
          <w:bCs/>
          <w:color w:val="auto"/>
          <w:sz w:val="28"/>
          <w:szCs w:val="28"/>
          <w:highlight w:val="none"/>
        </w:rPr>
      </w:pPr>
    </w:p>
    <w:p w14:paraId="39DB0FB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F5C48A2">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附件5：分包意向协议（如有）</w:t>
      </w:r>
    </w:p>
    <w:p w14:paraId="5D52E28F">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6881A155">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）(项目编号：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rPr>
        <w:t>负责签署响应文件，其所有承诺均认为代表了</w:t>
      </w:r>
      <w:r>
        <w:rPr>
          <w:rFonts w:hint="eastAsia" w:ascii="仿宋" w:hAnsi="仿宋" w:eastAsia="仿宋" w:cs="仿宋"/>
          <w:color w:val="auto"/>
          <w:sz w:val="24"/>
          <w:szCs w:val="24"/>
          <w:highlight w:val="none"/>
          <w:u w:val="single"/>
        </w:rPr>
        <w:t>（填写所有分包供应商名称       ）</w:t>
      </w:r>
      <w:r>
        <w:rPr>
          <w:rFonts w:hint="eastAsia" w:ascii="仿宋" w:hAnsi="仿宋" w:eastAsia="仿宋" w:cs="仿宋"/>
          <w:color w:val="auto"/>
          <w:sz w:val="24"/>
          <w:szCs w:val="24"/>
          <w:highlight w:val="none"/>
        </w:rPr>
        <w:t>意愿。</w:t>
      </w:r>
    </w:p>
    <w:p w14:paraId="029C26E6">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一、分包内容在征集文件分包要求的范围内，并符合相关法律规定等</w:t>
      </w:r>
    </w:p>
    <w:p w14:paraId="4F0E336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14575CD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工作内容1</w:t>
      </w:r>
      <w:r>
        <w:rPr>
          <w:rFonts w:hint="eastAsia" w:ascii="仿宋" w:hAnsi="仿宋" w:eastAsia="仿宋" w:cs="仿宋"/>
          <w:color w:val="auto"/>
          <w:sz w:val="24"/>
          <w:szCs w:val="24"/>
          <w:highlight w:val="none"/>
        </w:rPr>
        <w:t>分包给（填写分包供应商1名称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（填写分包供应商1名称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2FB74571">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（填写投标供应商名称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工作内容2</w:t>
      </w:r>
      <w:r>
        <w:rPr>
          <w:rFonts w:hint="eastAsia" w:ascii="仿宋" w:hAnsi="仿宋" w:eastAsia="仿宋" w:cs="仿宋"/>
          <w:color w:val="auto"/>
          <w:sz w:val="24"/>
          <w:szCs w:val="24"/>
          <w:highlight w:val="none"/>
        </w:rPr>
        <w:t>分包给（填写分包供应商2名称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（填写分包供应商2名称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lang w:val="zh-CN"/>
        </w:rPr>
        <w:t>该工作内容的相应资质条件且不再次分包，分包合同份额占到合同总金额%。</w:t>
      </w:r>
    </w:p>
    <w:p w14:paraId="14CCCC21">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6111FA75">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以上所有分包合同份额合计占到合同总金额的</w:t>
      </w:r>
      <w:r>
        <w:rPr>
          <w:rFonts w:hint="eastAsia" w:ascii="仿宋" w:hAnsi="仿宋" w:eastAsia="仿宋" w:cs="仿宋"/>
          <w:color w:val="auto"/>
          <w:sz w:val="24"/>
          <w:szCs w:val="24"/>
          <w:highlight w:val="none"/>
          <w:lang w:val="zh-CN"/>
        </w:rPr>
        <w:t>%</w:t>
      </w:r>
    </w:p>
    <w:p w14:paraId="414C9A84">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5089FA56">
      <w:pPr>
        <w:pStyle w:val="8"/>
        <w:overflowPunct w:val="0"/>
        <w:spacing w:line="4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本协议为意向协议，正式协议待中标（成交）后签署，正式协议不再对分包标的和合同占比进行调整。</w:t>
      </w:r>
    </w:p>
    <w:p w14:paraId="7300EF91">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2799BA6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0D901407">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03DBF38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2153D952">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29162E9E">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r>
        <w:rPr>
          <w:rFonts w:hint="eastAsia" w:ascii="仿宋" w:hAnsi="仿宋" w:eastAsia="仿宋" w:cs="仿宋"/>
          <w:color w:val="auto"/>
          <w:sz w:val="24"/>
          <w:szCs w:val="24"/>
          <w:highlight w:val="none"/>
          <w:lang w:val="zh-CN"/>
        </w:rPr>
        <w:tab/>
      </w:r>
    </w:p>
    <w:p w14:paraId="4965FDD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33C02303">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14:paraId="6FA2679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59A1FD88">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附件6：法定代表人授权委托书</w:t>
      </w:r>
    </w:p>
    <w:p w14:paraId="21F94C3A">
      <w:pPr>
        <w:snapToGrid w:val="0"/>
        <w:spacing w:before="50" w:after="50"/>
        <w:jc w:val="center"/>
        <w:rPr>
          <w:rFonts w:hint="eastAsia" w:ascii="仿宋" w:hAnsi="仿宋" w:eastAsia="仿宋" w:cs="仿宋"/>
          <w:b/>
          <w:color w:val="auto"/>
          <w:sz w:val="36"/>
          <w:szCs w:val="36"/>
          <w:highlight w:val="none"/>
        </w:rPr>
      </w:pPr>
    </w:p>
    <w:p w14:paraId="6B41791E">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15C6BDF3">
      <w:pPr>
        <w:snapToGrid w:val="0"/>
        <w:spacing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（采购代理机构或征集人名称）</w:t>
      </w:r>
      <w:r>
        <w:rPr>
          <w:rFonts w:hint="eastAsia" w:ascii="仿宋" w:hAnsi="仿宋" w:eastAsia="仿宋" w:cs="仿宋"/>
          <w:bCs/>
          <w:color w:val="auto"/>
          <w:sz w:val="24"/>
          <w:szCs w:val="24"/>
          <w:highlight w:val="none"/>
        </w:rPr>
        <w:t>：</w:t>
      </w:r>
    </w:p>
    <w:p w14:paraId="719EE2CC">
      <w:pPr>
        <w:snapToGrid w:val="0"/>
        <w:spacing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1B2696C">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09AD3456">
      <w:pPr>
        <w:snapToGrid w:val="0"/>
        <w:spacing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596BBE83">
      <w:pPr>
        <w:snapToGrid w:val="0"/>
        <w:spacing w:beforeLines="50" w:after="50" w:line="460" w:lineRule="exact"/>
        <w:ind w:firstLine="480"/>
        <w:rPr>
          <w:rFonts w:hint="eastAsia" w:ascii="仿宋" w:hAnsi="仿宋" w:eastAsia="仿宋" w:cs="仿宋"/>
          <w:color w:val="auto"/>
          <w:sz w:val="24"/>
          <w:szCs w:val="24"/>
          <w:highlight w:val="none"/>
        </w:rPr>
      </w:pPr>
    </w:p>
    <w:p w14:paraId="2C8EC10B">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3946ACFA">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p>
    <w:p w14:paraId="60C33AD7">
      <w:pPr>
        <w:snapToGrid w:val="0"/>
        <w:spacing w:beforeLines="50" w:after="50" w:line="460" w:lineRule="exact"/>
        <w:rPr>
          <w:rFonts w:hint="eastAsia" w:ascii="仿宋" w:hAnsi="仿宋" w:eastAsia="仿宋" w:cs="仿宋"/>
          <w:color w:val="auto"/>
          <w:sz w:val="24"/>
          <w:szCs w:val="24"/>
          <w:highlight w:val="none"/>
        </w:rPr>
      </w:pPr>
    </w:p>
    <w:p w14:paraId="0BEE2B00">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06F67809">
      <w:pPr>
        <w:snapToGrid w:val="0"/>
        <w:spacing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p>
    <w:p w14:paraId="2B30361B">
      <w:pPr>
        <w:snapToGrid w:val="0"/>
        <w:spacing w:beforeLines="50" w:after="50" w:line="460" w:lineRule="exact"/>
        <w:rPr>
          <w:rFonts w:hint="eastAsia" w:ascii="仿宋" w:hAnsi="仿宋" w:eastAsia="仿宋" w:cs="仿宋"/>
          <w:color w:val="auto"/>
          <w:sz w:val="24"/>
          <w:szCs w:val="24"/>
          <w:highlight w:val="none"/>
        </w:rPr>
      </w:pPr>
    </w:p>
    <w:p w14:paraId="10F784D1">
      <w:pPr>
        <w:snapToGrid w:val="0"/>
        <w:spacing w:beforeLines="50" w:after="50" w:line="460" w:lineRule="exact"/>
        <w:rPr>
          <w:rFonts w:hint="eastAsia" w:ascii="仿宋" w:hAnsi="仿宋" w:eastAsia="仿宋" w:cs="仿宋"/>
          <w:color w:val="auto"/>
          <w:sz w:val="24"/>
          <w:szCs w:val="24"/>
          <w:highlight w:val="none"/>
        </w:rPr>
      </w:pPr>
    </w:p>
    <w:p w14:paraId="2120EE16">
      <w:pPr>
        <w:snapToGrid w:val="0"/>
        <w:spacing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供应商全称（盖公章）：            日  期：</w:t>
      </w:r>
      <w:r>
        <w:rPr>
          <w:rFonts w:hint="eastAsia" w:ascii="仿宋" w:hAnsi="仿宋" w:eastAsia="仿宋" w:cs="仿宋"/>
          <w:color w:val="auto"/>
          <w:sz w:val="24"/>
          <w:szCs w:val="24"/>
          <w:highlight w:val="none"/>
          <w:u w:val="single"/>
        </w:rPr>
        <w:t xml:space="preserve">     年   月  日</w:t>
      </w:r>
    </w:p>
    <w:p w14:paraId="16C250A8">
      <w:pPr>
        <w:widowControl/>
        <w:jc w:val="left"/>
        <w:rPr>
          <w:rFonts w:hint="eastAsia" w:ascii="仿宋" w:hAnsi="仿宋" w:eastAsia="仿宋" w:cs="仿宋"/>
          <w:color w:val="auto"/>
          <w:sz w:val="24"/>
          <w:szCs w:val="24"/>
          <w:highlight w:val="none"/>
          <w:u w:val="single"/>
        </w:rPr>
      </w:pPr>
    </w:p>
    <w:p w14:paraId="4D734429">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120A6BFD">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4163A2E3">
      <w:pPr>
        <w:snapToGrid w:val="0"/>
        <w:spacing w:before="50" w:after="50"/>
        <w:jc w:val="left"/>
        <w:rPr>
          <w:rFonts w:hint="eastAsia" w:ascii="仿宋" w:hAnsi="仿宋" w:eastAsia="仿宋" w:cs="仿宋"/>
          <w:b/>
          <w:color w:val="auto"/>
          <w:sz w:val="36"/>
          <w:szCs w:val="36"/>
          <w:highlight w:val="none"/>
        </w:rPr>
      </w:pPr>
    </w:p>
    <w:p w14:paraId="6B5D1CCE">
      <w:pPr>
        <w:snapToGrid w:val="0"/>
        <w:spacing w:before="50" w:after="50"/>
        <w:jc w:val="left"/>
        <w:rPr>
          <w:rFonts w:hint="eastAsia" w:ascii="仿宋" w:hAnsi="仿宋" w:eastAsia="仿宋" w:cs="仿宋"/>
          <w:b/>
          <w:color w:val="auto"/>
          <w:sz w:val="36"/>
          <w:szCs w:val="36"/>
          <w:highlight w:val="none"/>
        </w:rPr>
      </w:pPr>
    </w:p>
    <w:p w14:paraId="569E8942">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BDD5E55">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附件7：法定代表人及其授权代表身份证</w:t>
      </w:r>
    </w:p>
    <w:p w14:paraId="6B819F85">
      <w:pPr>
        <w:pStyle w:val="39"/>
        <w:spacing w:afterLines="0" w:line="440" w:lineRule="exact"/>
        <w:ind w:firstLine="0" w:firstLineChars="0"/>
        <w:rPr>
          <w:rFonts w:hint="eastAsia" w:ascii="仿宋" w:hAnsi="仿宋" w:eastAsia="仿宋" w:cs="仿宋"/>
          <w:b/>
          <w:bCs/>
          <w:color w:val="auto"/>
          <w:sz w:val="28"/>
          <w:szCs w:val="28"/>
          <w:highlight w:val="none"/>
        </w:rPr>
      </w:pPr>
    </w:p>
    <w:p w14:paraId="1B5447E5">
      <w:pPr>
        <w:pStyle w:val="39"/>
        <w:spacing w:afterLines="0" w:line="440" w:lineRule="exact"/>
        <w:ind w:firstLine="0" w:firstLineChars="0"/>
        <w:rPr>
          <w:rFonts w:hint="eastAsia" w:ascii="仿宋" w:hAnsi="仿宋" w:eastAsia="仿宋" w:cs="仿宋"/>
          <w:b/>
          <w:bCs/>
          <w:color w:val="auto"/>
          <w:sz w:val="28"/>
          <w:szCs w:val="28"/>
          <w:highlight w:val="none"/>
        </w:rPr>
      </w:pPr>
    </w:p>
    <w:p w14:paraId="1C23D7A4">
      <w:pPr>
        <w:pStyle w:val="39"/>
        <w:spacing w:afterLines="0"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47AFE885">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766E2B8B">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41A891C">
      <w:pPr>
        <w:pStyle w:val="39"/>
        <w:numPr>
          <w:ilvl w:val="0"/>
          <w:numId w:val="11"/>
        </w:numPr>
        <w:spacing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633688D">
      <w:pPr>
        <w:pStyle w:val="39"/>
        <w:spacing w:afterLines="0" w:line="440" w:lineRule="exact"/>
        <w:ind w:firstLine="0" w:firstLineChars="0"/>
        <w:rPr>
          <w:rFonts w:hint="eastAsia" w:ascii="仿宋" w:hAnsi="仿宋" w:eastAsia="仿宋" w:cs="仿宋"/>
          <w:color w:val="auto"/>
          <w:sz w:val="28"/>
          <w:szCs w:val="28"/>
          <w:highlight w:val="none"/>
        </w:rPr>
      </w:pPr>
    </w:p>
    <w:p w14:paraId="18DBEA2F">
      <w:pPr>
        <w:pStyle w:val="39"/>
        <w:spacing w:afterLines="0" w:line="440" w:lineRule="exact"/>
        <w:ind w:firstLine="0" w:firstLineChars="0"/>
        <w:rPr>
          <w:rFonts w:hint="eastAsia" w:ascii="仿宋" w:hAnsi="仿宋" w:eastAsia="仿宋" w:cs="仿宋"/>
          <w:color w:val="auto"/>
          <w:sz w:val="28"/>
          <w:szCs w:val="28"/>
          <w:highlight w:val="none"/>
        </w:rPr>
      </w:pPr>
    </w:p>
    <w:p w14:paraId="4A1A2DD3">
      <w:pPr>
        <w:pStyle w:val="39"/>
        <w:spacing w:afterLines="0" w:line="440" w:lineRule="exact"/>
        <w:ind w:firstLine="0" w:firstLineChars="0"/>
        <w:rPr>
          <w:rFonts w:hint="eastAsia" w:ascii="仿宋" w:hAnsi="仿宋" w:eastAsia="仿宋" w:cs="仿宋"/>
          <w:color w:val="auto"/>
          <w:sz w:val="28"/>
          <w:szCs w:val="28"/>
          <w:highlight w:val="none"/>
        </w:rPr>
      </w:pPr>
    </w:p>
    <w:p w14:paraId="41BE8A64">
      <w:pPr>
        <w:pStyle w:val="39"/>
        <w:spacing w:afterLines="0" w:line="440" w:lineRule="exact"/>
        <w:ind w:firstLine="0" w:firstLineChars="0"/>
        <w:rPr>
          <w:rFonts w:hint="eastAsia" w:ascii="仿宋" w:hAnsi="仿宋" w:eastAsia="仿宋" w:cs="仿宋"/>
          <w:color w:val="auto"/>
          <w:sz w:val="28"/>
          <w:szCs w:val="28"/>
          <w:highlight w:val="none"/>
        </w:rPr>
      </w:pPr>
    </w:p>
    <w:p w14:paraId="4D2B42CE">
      <w:pPr>
        <w:pStyle w:val="39"/>
        <w:spacing w:afterLines="0" w:line="440" w:lineRule="exact"/>
        <w:ind w:firstLine="0" w:firstLineChars="0"/>
        <w:rPr>
          <w:rFonts w:hint="eastAsia" w:ascii="仿宋" w:hAnsi="仿宋" w:eastAsia="仿宋" w:cs="仿宋"/>
          <w:color w:val="auto"/>
          <w:sz w:val="28"/>
          <w:szCs w:val="28"/>
          <w:highlight w:val="none"/>
        </w:rPr>
      </w:pPr>
    </w:p>
    <w:p w14:paraId="5776AF23">
      <w:pPr>
        <w:pStyle w:val="39"/>
        <w:spacing w:afterLines="0" w:line="440" w:lineRule="exact"/>
        <w:ind w:firstLine="0" w:firstLineChars="0"/>
        <w:rPr>
          <w:rFonts w:hint="eastAsia" w:ascii="仿宋" w:hAnsi="仿宋" w:eastAsia="仿宋" w:cs="仿宋"/>
          <w:color w:val="auto"/>
          <w:sz w:val="28"/>
          <w:szCs w:val="28"/>
          <w:highlight w:val="none"/>
        </w:rPr>
      </w:pPr>
    </w:p>
    <w:p w14:paraId="514D40CC">
      <w:pPr>
        <w:pStyle w:val="39"/>
        <w:spacing w:afterLines="0" w:line="440" w:lineRule="exact"/>
        <w:ind w:firstLine="0" w:firstLineChars="0"/>
        <w:rPr>
          <w:rFonts w:hint="eastAsia" w:ascii="仿宋" w:hAnsi="仿宋" w:eastAsia="仿宋" w:cs="仿宋"/>
          <w:color w:val="auto"/>
          <w:sz w:val="28"/>
          <w:szCs w:val="28"/>
          <w:highlight w:val="none"/>
        </w:rPr>
      </w:pPr>
    </w:p>
    <w:p w14:paraId="5C97B7D4">
      <w:pPr>
        <w:pStyle w:val="39"/>
        <w:spacing w:afterLines="0" w:line="440" w:lineRule="exact"/>
        <w:ind w:firstLine="0" w:firstLineChars="0"/>
        <w:rPr>
          <w:rFonts w:hint="eastAsia" w:ascii="仿宋" w:hAnsi="仿宋" w:eastAsia="仿宋" w:cs="仿宋"/>
          <w:color w:val="auto"/>
          <w:sz w:val="28"/>
          <w:szCs w:val="28"/>
          <w:highlight w:val="none"/>
        </w:rPr>
      </w:pPr>
    </w:p>
    <w:p w14:paraId="337EA3DE">
      <w:pPr>
        <w:pStyle w:val="39"/>
        <w:spacing w:afterLines="0" w:line="440" w:lineRule="exact"/>
        <w:ind w:firstLine="0" w:firstLineChars="0"/>
        <w:rPr>
          <w:rFonts w:hint="eastAsia" w:ascii="仿宋" w:hAnsi="仿宋" w:eastAsia="仿宋" w:cs="仿宋"/>
          <w:color w:val="auto"/>
          <w:sz w:val="28"/>
          <w:szCs w:val="28"/>
          <w:highlight w:val="none"/>
        </w:rPr>
      </w:pPr>
    </w:p>
    <w:p w14:paraId="0A40AC24">
      <w:pPr>
        <w:pStyle w:val="39"/>
        <w:spacing w:afterLines="0" w:line="440" w:lineRule="exact"/>
        <w:ind w:firstLine="0" w:firstLineChars="0"/>
        <w:rPr>
          <w:rFonts w:hint="eastAsia" w:ascii="仿宋" w:hAnsi="仿宋" w:eastAsia="仿宋" w:cs="仿宋"/>
          <w:color w:val="auto"/>
          <w:sz w:val="28"/>
          <w:szCs w:val="28"/>
          <w:highlight w:val="none"/>
        </w:rPr>
      </w:pPr>
    </w:p>
    <w:p w14:paraId="3DB843F6">
      <w:pPr>
        <w:pStyle w:val="39"/>
        <w:spacing w:afterLines="0" w:line="440" w:lineRule="exact"/>
        <w:ind w:firstLine="0" w:firstLineChars="0"/>
        <w:rPr>
          <w:rFonts w:hint="eastAsia" w:ascii="仿宋" w:hAnsi="仿宋" w:eastAsia="仿宋" w:cs="仿宋"/>
          <w:color w:val="auto"/>
          <w:sz w:val="28"/>
          <w:szCs w:val="28"/>
          <w:highlight w:val="none"/>
        </w:rPr>
      </w:pPr>
    </w:p>
    <w:p w14:paraId="20FAF38E">
      <w:pPr>
        <w:pStyle w:val="39"/>
        <w:spacing w:afterLines="0" w:line="440" w:lineRule="exact"/>
        <w:ind w:firstLine="0" w:firstLineChars="0"/>
        <w:rPr>
          <w:rFonts w:hint="eastAsia" w:ascii="仿宋" w:hAnsi="仿宋" w:eastAsia="仿宋" w:cs="仿宋"/>
          <w:color w:val="auto"/>
          <w:sz w:val="28"/>
          <w:szCs w:val="28"/>
          <w:highlight w:val="none"/>
        </w:rPr>
      </w:pPr>
    </w:p>
    <w:p w14:paraId="6EF9009F">
      <w:pPr>
        <w:pStyle w:val="39"/>
        <w:spacing w:afterLines="0" w:line="440" w:lineRule="exact"/>
        <w:ind w:firstLine="0" w:firstLineChars="0"/>
        <w:rPr>
          <w:rFonts w:hint="eastAsia" w:ascii="仿宋" w:hAnsi="仿宋" w:eastAsia="仿宋" w:cs="仿宋"/>
          <w:color w:val="auto"/>
          <w:sz w:val="28"/>
          <w:szCs w:val="28"/>
          <w:highlight w:val="none"/>
        </w:rPr>
      </w:pPr>
    </w:p>
    <w:p w14:paraId="6A3D38B7">
      <w:pPr>
        <w:pStyle w:val="39"/>
        <w:spacing w:afterLines="0" w:line="440" w:lineRule="exact"/>
        <w:ind w:firstLine="0" w:firstLineChars="0"/>
        <w:rPr>
          <w:rFonts w:hint="eastAsia" w:ascii="仿宋" w:hAnsi="仿宋" w:eastAsia="仿宋" w:cs="仿宋"/>
          <w:color w:val="auto"/>
          <w:sz w:val="28"/>
          <w:szCs w:val="28"/>
          <w:highlight w:val="none"/>
        </w:rPr>
      </w:pPr>
    </w:p>
    <w:p w14:paraId="771BA8E8">
      <w:pPr>
        <w:pStyle w:val="39"/>
        <w:spacing w:afterLines="0" w:line="440" w:lineRule="exact"/>
        <w:ind w:firstLine="0" w:firstLineChars="0"/>
        <w:rPr>
          <w:rFonts w:hint="eastAsia" w:ascii="仿宋" w:hAnsi="仿宋" w:eastAsia="仿宋" w:cs="仿宋"/>
          <w:color w:val="auto"/>
          <w:sz w:val="28"/>
          <w:szCs w:val="28"/>
          <w:highlight w:val="none"/>
        </w:rPr>
      </w:pPr>
    </w:p>
    <w:p w14:paraId="05EB13E3">
      <w:pPr>
        <w:wordWrap w:val="0"/>
        <w:adjustRightInd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sz w:val="30"/>
          <w:szCs w:val="30"/>
          <w:highlight w:val="none"/>
        </w:rPr>
        <w:br w:type="page"/>
      </w:r>
    </w:p>
    <w:p w14:paraId="3D73B8F9">
      <w:pPr>
        <w:snapToGrid w:val="0"/>
        <w:spacing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附件9：</w:t>
      </w:r>
      <w:r>
        <w:rPr>
          <w:rFonts w:hint="eastAsia" w:ascii="仿宋" w:hAnsi="仿宋" w:eastAsia="仿宋" w:cs="仿宋"/>
          <w:b/>
          <w:color w:val="auto"/>
          <w:sz w:val="30"/>
          <w:szCs w:val="30"/>
          <w:highlight w:val="none"/>
        </w:rPr>
        <w:t>商务和技术文件封面</w:t>
      </w:r>
    </w:p>
    <w:p w14:paraId="049129C0">
      <w:pPr>
        <w:snapToGrid w:val="0"/>
        <w:spacing w:beforeLines="50" w:after="50"/>
        <w:jc w:val="center"/>
        <w:rPr>
          <w:rFonts w:hint="eastAsia" w:ascii="仿宋" w:hAnsi="仿宋" w:eastAsia="仿宋" w:cs="仿宋"/>
          <w:b/>
          <w:color w:val="auto"/>
          <w:sz w:val="30"/>
          <w:szCs w:val="30"/>
          <w:highlight w:val="none"/>
        </w:rPr>
      </w:pPr>
    </w:p>
    <w:p w14:paraId="4E600784">
      <w:pPr>
        <w:snapToGrid w:val="0"/>
        <w:spacing w:beforeLines="50" w:after="50"/>
        <w:jc w:val="right"/>
        <w:rPr>
          <w:rFonts w:hint="eastAsia" w:ascii="仿宋" w:hAnsi="仿宋" w:eastAsia="仿宋" w:cs="仿宋"/>
          <w:bCs/>
          <w:color w:val="auto"/>
          <w:sz w:val="30"/>
          <w:szCs w:val="30"/>
          <w:highlight w:val="none"/>
        </w:rPr>
      </w:pPr>
    </w:p>
    <w:p w14:paraId="7CD9DA4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247CA00A">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3BB95F0F">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6337C9A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04736B6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1525CC53">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7E9B941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57C30BE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6B8F6FE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5B48CB8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6A1BAAD2">
      <w:pPr>
        <w:spacing w:line="500" w:lineRule="exact"/>
        <w:ind w:right="7"/>
        <w:jc w:val="center"/>
        <w:rPr>
          <w:rFonts w:hint="eastAsia" w:ascii="仿宋" w:hAnsi="仿宋" w:eastAsia="仿宋" w:cs="仿宋"/>
          <w:color w:val="auto"/>
          <w:sz w:val="36"/>
          <w:szCs w:val="36"/>
          <w:highlight w:val="none"/>
        </w:rPr>
      </w:pPr>
    </w:p>
    <w:p w14:paraId="76962AB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5AB1D7D9">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0A7FC93">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73D67B4A">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附件10：商务和技术文件目录</w:t>
      </w:r>
    </w:p>
    <w:p w14:paraId="5E4D51AE">
      <w:pPr>
        <w:snapToGrid w:val="0"/>
        <w:spacing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6A7618FD">
      <w:pPr>
        <w:pStyle w:val="44"/>
        <w:spacing w:line="360" w:lineRule="auto"/>
        <w:ind w:firstLine="0" w:firstLineChars="0"/>
        <w:jc w:val="left"/>
        <w:rPr>
          <w:rFonts w:hint="eastAsia" w:ascii="仿宋" w:hAnsi="仿宋" w:eastAsia="仿宋" w:cs="仿宋"/>
          <w:color w:val="auto"/>
          <w:highlight w:val="none"/>
        </w:rPr>
      </w:pPr>
      <w:bookmarkStart w:id="41"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1"/>
    </w:p>
    <w:p w14:paraId="7AD22187">
      <w:pPr>
        <w:pStyle w:val="44"/>
        <w:spacing w:line="360" w:lineRule="auto"/>
        <w:ind w:firstLine="0" w:firstLineChars="0"/>
        <w:jc w:val="left"/>
        <w:rPr>
          <w:rFonts w:hint="eastAsia" w:ascii="仿宋" w:hAnsi="仿宋" w:eastAsia="仿宋" w:cs="仿宋"/>
          <w:color w:val="auto"/>
          <w:highlight w:val="none"/>
        </w:rPr>
      </w:pPr>
      <w:bookmarkStart w:id="42" w:name="_Toc64369790"/>
      <w:r>
        <w:rPr>
          <w:rFonts w:hint="eastAsia" w:ascii="仿宋" w:hAnsi="仿宋" w:eastAsia="仿宋" w:cs="仿宋"/>
          <w:color w:val="auto"/>
          <w:highlight w:val="none"/>
        </w:rPr>
        <w:t>2.技术响应表…………………………………………………………………（页码）</w:t>
      </w:r>
      <w:bookmarkEnd w:id="42"/>
    </w:p>
    <w:p w14:paraId="43FEF2A5">
      <w:pPr>
        <w:pStyle w:val="44"/>
        <w:spacing w:line="360" w:lineRule="auto"/>
        <w:ind w:firstLine="0" w:firstLineChars="0"/>
        <w:jc w:val="left"/>
        <w:rPr>
          <w:rFonts w:hint="eastAsia" w:ascii="仿宋" w:hAnsi="仿宋" w:eastAsia="仿宋" w:cs="仿宋"/>
          <w:color w:val="auto"/>
          <w:highlight w:val="none"/>
        </w:rPr>
      </w:pPr>
      <w:bookmarkStart w:id="43" w:name="_Toc64369791"/>
      <w:r>
        <w:rPr>
          <w:rFonts w:hint="eastAsia" w:ascii="仿宋" w:hAnsi="仿宋" w:eastAsia="仿宋" w:cs="仿宋"/>
          <w:color w:val="auto"/>
          <w:highlight w:val="none"/>
        </w:rPr>
        <w:t>3.商务响应表…………………………………………………………………（页码）</w:t>
      </w:r>
      <w:bookmarkEnd w:id="43"/>
    </w:p>
    <w:p w14:paraId="10092FAB">
      <w:pPr>
        <w:pStyle w:val="44"/>
        <w:spacing w:line="360" w:lineRule="auto"/>
        <w:ind w:firstLine="0" w:firstLineChars="0"/>
        <w:jc w:val="left"/>
        <w:rPr>
          <w:rFonts w:hint="eastAsia" w:ascii="仿宋" w:hAnsi="仿宋" w:eastAsia="仿宋" w:cs="仿宋"/>
          <w:color w:val="auto"/>
          <w:highlight w:val="none"/>
        </w:rPr>
      </w:pPr>
      <w:bookmarkStart w:id="44"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4"/>
    </w:p>
    <w:p w14:paraId="024B8E9E">
      <w:pPr>
        <w:pStyle w:val="44"/>
        <w:spacing w:line="360" w:lineRule="auto"/>
        <w:ind w:firstLine="0" w:firstLineChars="0"/>
        <w:jc w:val="left"/>
        <w:rPr>
          <w:rFonts w:hint="eastAsia" w:ascii="仿宋" w:hAnsi="仿宋" w:eastAsia="仿宋" w:cs="仿宋"/>
          <w:color w:val="auto"/>
          <w:highlight w:val="none"/>
        </w:rPr>
      </w:pPr>
      <w:bookmarkStart w:id="45"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5"/>
    </w:p>
    <w:p w14:paraId="51DB4B48">
      <w:pPr>
        <w:pStyle w:val="44"/>
        <w:spacing w:line="360" w:lineRule="auto"/>
        <w:ind w:firstLine="0" w:firstLineChars="0"/>
        <w:jc w:val="left"/>
        <w:rPr>
          <w:rFonts w:hint="eastAsia" w:ascii="仿宋" w:hAnsi="仿宋" w:eastAsia="仿宋" w:cs="仿宋"/>
          <w:color w:val="auto"/>
          <w:highlight w:val="none"/>
        </w:rPr>
      </w:pPr>
      <w:bookmarkStart w:id="46" w:name="_Toc64369796"/>
      <w:r>
        <w:rPr>
          <w:rFonts w:hint="eastAsia" w:ascii="仿宋" w:hAnsi="仿宋" w:eastAsia="仿宋" w:cs="仿宋"/>
          <w:color w:val="auto"/>
          <w:highlight w:val="none"/>
        </w:rPr>
        <w:t>6.类似业绩一览表（附业绩证明材料）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6"/>
    </w:p>
    <w:p w14:paraId="63D15B66">
      <w:pPr>
        <w:pStyle w:val="42"/>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7.享受政府采购政策性规定情况表（如有）………………………………（页码）</w:t>
      </w:r>
    </w:p>
    <w:p w14:paraId="4BCDF141">
      <w:pPr>
        <w:pStyle w:val="44"/>
        <w:spacing w:line="360" w:lineRule="auto"/>
        <w:ind w:firstLine="0" w:firstLineChars="0"/>
        <w:jc w:val="left"/>
        <w:rPr>
          <w:rFonts w:hint="eastAsia" w:ascii="仿宋" w:hAnsi="仿宋" w:eastAsia="仿宋" w:cs="仿宋"/>
          <w:color w:val="auto"/>
          <w:highlight w:val="none"/>
        </w:rPr>
      </w:pPr>
      <w:bookmarkStart w:id="47"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7"/>
    </w:p>
    <w:p w14:paraId="4346D773">
      <w:pPr>
        <w:pStyle w:val="44"/>
        <w:spacing w:line="360" w:lineRule="auto"/>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9.</w:t>
      </w:r>
      <w:r>
        <w:rPr>
          <w:rFonts w:hint="eastAsia" w:ascii="仿宋" w:hAnsi="仿宋" w:eastAsia="仿宋" w:cs="仿宋"/>
          <w:bCs/>
          <w:color w:val="auto"/>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4733168">
      <w:pPr>
        <w:pStyle w:val="44"/>
        <w:spacing w:line="360" w:lineRule="auto"/>
        <w:ind w:firstLine="0" w:firstLineChars="0"/>
        <w:jc w:val="left"/>
        <w:rPr>
          <w:rFonts w:hint="eastAsia" w:ascii="仿宋" w:hAnsi="仿宋" w:eastAsia="仿宋" w:cs="仿宋"/>
          <w:color w:val="auto"/>
          <w:highlight w:val="none"/>
        </w:rPr>
      </w:pPr>
      <w:bookmarkStart w:id="48"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8"/>
    </w:p>
    <w:p w14:paraId="2225CFD4">
      <w:pPr>
        <w:pStyle w:val="42"/>
        <w:numPr>
          <w:ilvl w:val="0"/>
          <w:numId w:val="0"/>
        </w:numPr>
        <w:rPr>
          <w:rFonts w:hint="eastAsia" w:ascii="仿宋" w:hAnsi="仿宋" w:eastAsia="仿宋" w:cs="仿宋"/>
          <w:color w:val="auto"/>
          <w:highlight w:val="none"/>
        </w:rPr>
      </w:pPr>
    </w:p>
    <w:p w14:paraId="3720797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注：以上文件投标供应商可以在本征集文件提供的格式范本基础上适当微调，使得内容更加完备。制作加密电子响应文件时做好关联点设置。</w:t>
      </w:r>
    </w:p>
    <w:p w14:paraId="07B3AAF7">
      <w:pPr>
        <w:rPr>
          <w:rFonts w:hint="eastAsia" w:ascii="仿宋" w:hAnsi="仿宋" w:eastAsia="仿宋" w:cs="仿宋"/>
          <w:color w:val="auto"/>
          <w:highlight w:val="none"/>
        </w:rPr>
      </w:pPr>
    </w:p>
    <w:p w14:paraId="438739BD">
      <w:pPr>
        <w:rPr>
          <w:rFonts w:hint="eastAsia" w:ascii="仿宋" w:hAnsi="仿宋" w:eastAsia="仿宋" w:cs="仿宋"/>
          <w:color w:val="auto"/>
          <w:highlight w:val="none"/>
        </w:rPr>
      </w:pPr>
    </w:p>
    <w:p w14:paraId="4AA77311">
      <w:pPr>
        <w:rPr>
          <w:rFonts w:hint="eastAsia" w:ascii="仿宋" w:hAnsi="仿宋" w:eastAsia="仿宋" w:cs="仿宋"/>
          <w:color w:val="auto"/>
          <w:highlight w:val="none"/>
        </w:rPr>
      </w:pPr>
    </w:p>
    <w:p w14:paraId="3660EADB">
      <w:pPr>
        <w:rPr>
          <w:rFonts w:hint="eastAsia" w:ascii="仿宋" w:hAnsi="仿宋" w:eastAsia="仿宋" w:cs="仿宋"/>
          <w:color w:val="auto"/>
          <w:highlight w:val="none"/>
        </w:rPr>
      </w:pPr>
    </w:p>
    <w:p w14:paraId="755CDECA">
      <w:pPr>
        <w:rPr>
          <w:rFonts w:hint="eastAsia" w:ascii="仿宋" w:hAnsi="仿宋" w:eastAsia="仿宋" w:cs="仿宋"/>
          <w:color w:val="auto"/>
          <w:highlight w:val="none"/>
        </w:rPr>
      </w:pPr>
    </w:p>
    <w:p w14:paraId="309C07F7">
      <w:pPr>
        <w:rPr>
          <w:rFonts w:hint="eastAsia" w:ascii="仿宋" w:hAnsi="仿宋" w:eastAsia="仿宋" w:cs="仿宋"/>
          <w:color w:val="auto"/>
          <w:highlight w:val="none"/>
        </w:rPr>
      </w:pPr>
    </w:p>
    <w:p w14:paraId="55C80E05">
      <w:pPr>
        <w:rPr>
          <w:rFonts w:hint="eastAsia" w:ascii="仿宋" w:hAnsi="仿宋" w:eastAsia="仿宋" w:cs="仿宋"/>
          <w:color w:val="auto"/>
          <w:highlight w:val="none"/>
        </w:rPr>
      </w:pPr>
    </w:p>
    <w:p w14:paraId="74931EFD">
      <w:pPr>
        <w:rPr>
          <w:rFonts w:hint="eastAsia" w:ascii="仿宋" w:hAnsi="仿宋" w:eastAsia="仿宋" w:cs="仿宋"/>
          <w:color w:val="auto"/>
          <w:highlight w:val="none"/>
        </w:rPr>
      </w:pPr>
    </w:p>
    <w:p w14:paraId="23065F1B">
      <w:pPr>
        <w:rPr>
          <w:rFonts w:hint="eastAsia" w:ascii="仿宋" w:hAnsi="仿宋" w:eastAsia="仿宋" w:cs="仿宋"/>
          <w:color w:val="auto"/>
          <w:highlight w:val="none"/>
        </w:rPr>
      </w:pPr>
    </w:p>
    <w:p w14:paraId="06B42FE9">
      <w:pPr>
        <w:rPr>
          <w:rFonts w:hint="eastAsia" w:ascii="仿宋" w:hAnsi="仿宋" w:eastAsia="仿宋" w:cs="仿宋"/>
          <w:color w:val="auto"/>
          <w:highlight w:val="none"/>
        </w:rPr>
      </w:pPr>
    </w:p>
    <w:p w14:paraId="5C1DF843">
      <w:pPr>
        <w:rPr>
          <w:rFonts w:hint="eastAsia" w:ascii="仿宋" w:hAnsi="仿宋" w:eastAsia="仿宋" w:cs="仿宋"/>
          <w:color w:val="auto"/>
          <w:highlight w:val="none"/>
        </w:rPr>
      </w:pPr>
    </w:p>
    <w:p w14:paraId="182DD5C3">
      <w:pPr>
        <w:rPr>
          <w:rFonts w:hint="eastAsia" w:ascii="仿宋" w:hAnsi="仿宋" w:eastAsia="仿宋" w:cs="仿宋"/>
          <w:color w:val="auto"/>
          <w:highlight w:val="none"/>
        </w:rPr>
      </w:pPr>
    </w:p>
    <w:p w14:paraId="00D2AEF5">
      <w:pPr>
        <w:rPr>
          <w:rFonts w:hint="eastAsia" w:ascii="仿宋" w:hAnsi="仿宋" w:eastAsia="仿宋" w:cs="仿宋"/>
          <w:color w:val="auto"/>
          <w:highlight w:val="none"/>
        </w:rPr>
      </w:pPr>
    </w:p>
    <w:p w14:paraId="18C8FB4B">
      <w:pPr>
        <w:rPr>
          <w:rFonts w:hint="eastAsia" w:ascii="仿宋" w:hAnsi="仿宋" w:eastAsia="仿宋" w:cs="仿宋"/>
          <w:color w:val="auto"/>
          <w:highlight w:val="none"/>
        </w:rPr>
      </w:pPr>
    </w:p>
    <w:p w14:paraId="68F984A2">
      <w:pPr>
        <w:rPr>
          <w:rFonts w:hint="eastAsia" w:ascii="仿宋" w:hAnsi="仿宋" w:eastAsia="仿宋" w:cs="仿宋"/>
          <w:color w:val="auto"/>
          <w:highlight w:val="none"/>
        </w:rPr>
      </w:pPr>
    </w:p>
    <w:p w14:paraId="347E8468">
      <w:pPr>
        <w:rPr>
          <w:rFonts w:hint="eastAsia" w:ascii="仿宋" w:hAnsi="仿宋" w:eastAsia="仿宋" w:cs="仿宋"/>
          <w:color w:val="auto"/>
          <w:highlight w:val="none"/>
        </w:rPr>
      </w:pPr>
    </w:p>
    <w:p w14:paraId="33F83C4F">
      <w:pPr>
        <w:rPr>
          <w:rFonts w:hint="eastAsia" w:ascii="仿宋" w:hAnsi="仿宋" w:eastAsia="仿宋" w:cs="仿宋"/>
          <w:color w:val="auto"/>
          <w:highlight w:val="none"/>
        </w:rPr>
      </w:pPr>
    </w:p>
    <w:p w14:paraId="500D6715">
      <w:pPr>
        <w:rPr>
          <w:rFonts w:hint="eastAsia" w:ascii="仿宋" w:hAnsi="仿宋" w:eastAsia="仿宋" w:cs="仿宋"/>
          <w:color w:val="auto"/>
          <w:highlight w:val="none"/>
        </w:rPr>
      </w:pPr>
    </w:p>
    <w:p w14:paraId="5D832998">
      <w:pPr>
        <w:rPr>
          <w:rFonts w:hint="eastAsia" w:ascii="仿宋" w:hAnsi="仿宋" w:eastAsia="仿宋" w:cs="仿宋"/>
          <w:color w:val="auto"/>
          <w:highlight w:val="none"/>
        </w:rPr>
      </w:pPr>
    </w:p>
    <w:p w14:paraId="1D6EFA76">
      <w:pPr>
        <w:rPr>
          <w:rFonts w:hint="eastAsia" w:ascii="仿宋" w:hAnsi="仿宋" w:eastAsia="仿宋" w:cs="仿宋"/>
          <w:color w:val="auto"/>
          <w:highlight w:val="none"/>
        </w:rPr>
      </w:pPr>
    </w:p>
    <w:p w14:paraId="6730AF15">
      <w:pPr>
        <w:rPr>
          <w:rFonts w:hint="eastAsia" w:ascii="仿宋" w:hAnsi="仿宋" w:eastAsia="仿宋" w:cs="仿宋"/>
          <w:color w:val="auto"/>
          <w:highlight w:val="none"/>
        </w:rPr>
      </w:pPr>
    </w:p>
    <w:p w14:paraId="5E0523C7">
      <w:pPr>
        <w:rPr>
          <w:rFonts w:hint="eastAsia" w:ascii="仿宋" w:hAnsi="仿宋" w:eastAsia="仿宋" w:cs="仿宋"/>
          <w:color w:val="auto"/>
          <w:highlight w:val="none"/>
        </w:rPr>
      </w:pPr>
    </w:p>
    <w:p w14:paraId="66ABCFDC">
      <w:pPr>
        <w:rPr>
          <w:rFonts w:hint="eastAsia" w:ascii="仿宋" w:hAnsi="仿宋" w:eastAsia="仿宋" w:cs="仿宋"/>
          <w:color w:val="auto"/>
          <w:highlight w:val="none"/>
        </w:rPr>
      </w:pPr>
    </w:p>
    <w:p w14:paraId="06446A92">
      <w:pPr>
        <w:rPr>
          <w:rFonts w:hint="eastAsia" w:ascii="仿宋" w:hAnsi="仿宋" w:eastAsia="仿宋" w:cs="仿宋"/>
          <w:color w:val="auto"/>
          <w:highlight w:val="none"/>
        </w:rPr>
      </w:pPr>
    </w:p>
    <w:p w14:paraId="1ED66DCF">
      <w:pPr>
        <w:pStyle w:val="39"/>
        <w:spacing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附件11：项目明细清单</w:t>
      </w:r>
    </w:p>
    <w:p w14:paraId="6A14CF3A">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6CABBD5B">
      <w:pPr>
        <w:snapToGrid w:val="0"/>
        <w:spacing w:before="50" w:afterLines="50"/>
        <w:jc w:val="center"/>
        <w:rPr>
          <w:rFonts w:hint="eastAsia" w:ascii="仿宋" w:hAnsi="仿宋" w:eastAsia="仿宋" w:cs="仿宋"/>
          <w:b/>
          <w:color w:val="auto"/>
          <w:spacing w:val="40"/>
          <w:kern w:val="0"/>
          <w:sz w:val="36"/>
          <w:szCs w:val="36"/>
          <w:highlight w:val="none"/>
        </w:rPr>
      </w:pPr>
    </w:p>
    <w:p w14:paraId="77DBBBD0">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供应商全称（公章）：           标项：</w:t>
      </w:r>
    </w:p>
    <w:p w14:paraId="173E53E0">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352E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F63162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8C868E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A9E6FC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72E8FFD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F9BB78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3B6E3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53B406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4E6C7E8E">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D2E680">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02E5DDD">
            <w:pPr>
              <w:snapToGrid w:val="0"/>
              <w:spacing w:before="50" w:after="50"/>
              <w:jc w:val="center"/>
              <w:rPr>
                <w:rFonts w:hint="eastAsia" w:ascii="仿宋" w:hAnsi="仿宋" w:eastAsia="仿宋" w:cs="仿宋"/>
                <w:color w:val="auto"/>
                <w:sz w:val="30"/>
                <w:szCs w:val="30"/>
                <w:highlight w:val="none"/>
              </w:rPr>
            </w:pPr>
          </w:p>
        </w:tc>
      </w:tr>
      <w:tr w14:paraId="6C85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11F8C0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111EF8D">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E30C964">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E3055C9">
            <w:pPr>
              <w:snapToGrid w:val="0"/>
              <w:spacing w:before="50" w:after="50"/>
              <w:jc w:val="center"/>
              <w:rPr>
                <w:rFonts w:hint="eastAsia" w:ascii="仿宋" w:hAnsi="仿宋" w:eastAsia="仿宋" w:cs="仿宋"/>
                <w:color w:val="auto"/>
                <w:sz w:val="30"/>
                <w:szCs w:val="30"/>
                <w:highlight w:val="none"/>
              </w:rPr>
            </w:pPr>
          </w:p>
        </w:tc>
      </w:tr>
      <w:tr w14:paraId="1621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AAB09D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B3B5B7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53A9D7">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1562D33">
            <w:pPr>
              <w:snapToGrid w:val="0"/>
              <w:spacing w:before="50" w:after="50"/>
              <w:jc w:val="center"/>
              <w:rPr>
                <w:rFonts w:hint="eastAsia" w:ascii="仿宋" w:hAnsi="仿宋" w:eastAsia="仿宋" w:cs="仿宋"/>
                <w:color w:val="auto"/>
                <w:sz w:val="30"/>
                <w:szCs w:val="30"/>
                <w:highlight w:val="none"/>
              </w:rPr>
            </w:pPr>
          </w:p>
        </w:tc>
      </w:tr>
    </w:tbl>
    <w:p w14:paraId="74BC0CFE">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71F9C5A8">
      <w:pPr>
        <w:snapToGrid w:val="0"/>
        <w:spacing w:beforeLines="50"/>
        <w:rPr>
          <w:rFonts w:hint="eastAsia" w:ascii="仿宋" w:hAnsi="仿宋" w:eastAsia="仿宋" w:cs="仿宋"/>
          <w:color w:val="auto"/>
          <w:sz w:val="30"/>
          <w:szCs w:val="30"/>
          <w:highlight w:val="none"/>
        </w:rPr>
      </w:pPr>
    </w:p>
    <w:p w14:paraId="25F4C5D9">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2B06A382">
      <w:pPr>
        <w:snapToGrid w:val="0"/>
        <w:spacing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1DD82D08">
      <w:pPr>
        <w:snapToGrid w:val="0"/>
        <w:spacing w:before="50" w:after="50"/>
        <w:rPr>
          <w:rFonts w:hint="eastAsia" w:ascii="仿宋" w:hAnsi="仿宋" w:eastAsia="仿宋" w:cs="仿宋"/>
          <w:color w:val="auto"/>
          <w:spacing w:val="20"/>
          <w:sz w:val="30"/>
          <w:szCs w:val="30"/>
          <w:highlight w:val="none"/>
        </w:rPr>
      </w:pPr>
    </w:p>
    <w:p w14:paraId="6AFF6C1A">
      <w:pPr>
        <w:pStyle w:val="3"/>
        <w:rPr>
          <w:rFonts w:hint="eastAsia" w:ascii="仿宋" w:hAnsi="仿宋" w:eastAsia="仿宋" w:cs="仿宋"/>
          <w:color w:val="auto"/>
          <w:spacing w:val="20"/>
          <w:sz w:val="30"/>
          <w:szCs w:val="30"/>
          <w:highlight w:val="none"/>
        </w:rPr>
      </w:pPr>
    </w:p>
    <w:p w14:paraId="5ECA1091">
      <w:pPr>
        <w:rPr>
          <w:rFonts w:hint="eastAsia" w:ascii="仿宋" w:hAnsi="仿宋" w:eastAsia="仿宋" w:cs="仿宋"/>
          <w:color w:val="auto"/>
          <w:spacing w:val="20"/>
          <w:sz w:val="30"/>
          <w:szCs w:val="30"/>
          <w:highlight w:val="none"/>
        </w:rPr>
      </w:pPr>
    </w:p>
    <w:p w14:paraId="777BB4AC">
      <w:pPr>
        <w:pStyle w:val="3"/>
        <w:rPr>
          <w:rFonts w:hint="eastAsia" w:ascii="仿宋" w:hAnsi="仿宋" w:eastAsia="仿宋" w:cs="仿宋"/>
          <w:color w:val="auto"/>
          <w:spacing w:val="20"/>
          <w:sz w:val="30"/>
          <w:szCs w:val="30"/>
          <w:highlight w:val="none"/>
        </w:rPr>
      </w:pPr>
    </w:p>
    <w:p w14:paraId="1F59ABBB">
      <w:pPr>
        <w:rPr>
          <w:rFonts w:hint="eastAsia" w:ascii="仿宋" w:hAnsi="仿宋" w:eastAsia="仿宋" w:cs="仿宋"/>
          <w:color w:val="auto"/>
          <w:spacing w:val="20"/>
          <w:sz w:val="30"/>
          <w:szCs w:val="30"/>
          <w:highlight w:val="none"/>
        </w:rPr>
      </w:pPr>
    </w:p>
    <w:p w14:paraId="41C85E41">
      <w:pPr>
        <w:pStyle w:val="3"/>
        <w:rPr>
          <w:rFonts w:hint="eastAsia"/>
          <w:color w:val="auto"/>
          <w:highlight w:val="none"/>
        </w:rPr>
      </w:pPr>
    </w:p>
    <w:p w14:paraId="09D17564">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附件12：技术响应表</w:t>
      </w:r>
    </w:p>
    <w:p w14:paraId="69AAD2CF">
      <w:pPr>
        <w:snapToGrid w:val="0"/>
        <w:spacing w:before="50" w:after="50"/>
        <w:rPr>
          <w:rFonts w:hint="eastAsia" w:ascii="仿宋" w:hAnsi="仿宋" w:eastAsia="仿宋" w:cs="仿宋"/>
          <w:b/>
          <w:bCs/>
          <w:color w:val="auto"/>
          <w:sz w:val="30"/>
          <w:szCs w:val="30"/>
          <w:highlight w:val="none"/>
        </w:rPr>
      </w:pPr>
    </w:p>
    <w:p w14:paraId="1223170F">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67E84602">
      <w:pPr>
        <w:snapToGrid w:val="0"/>
        <w:spacing w:before="50" w:afterLines="50"/>
        <w:jc w:val="center"/>
        <w:rPr>
          <w:rFonts w:hint="eastAsia" w:ascii="仿宋" w:hAnsi="仿宋" w:eastAsia="仿宋" w:cs="仿宋"/>
          <w:b/>
          <w:color w:val="auto"/>
          <w:spacing w:val="40"/>
          <w:kern w:val="0"/>
          <w:sz w:val="36"/>
          <w:szCs w:val="36"/>
          <w:highlight w:val="none"/>
        </w:rPr>
      </w:pPr>
    </w:p>
    <w:p w14:paraId="35D20294">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供应商全称（公章）：</w:t>
      </w:r>
    </w:p>
    <w:p w14:paraId="2851B068">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p>
    <w:tbl>
      <w:tblPr>
        <w:tblStyle w:val="31"/>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FC1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786A87E">
            <w:pPr>
              <w:snapToGrid w:val="0"/>
              <w:spacing w:before="50" w:after="50"/>
              <w:rPr>
                <w:rFonts w:hint="eastAsia" w:ascii="仿宋" w:hAnsi="仿宋" w:eastAsia="仿宋" w:cs="仿宋"/>
                <w:color w:val="auto"/>
                <w:spacing w:val="20"/>
                <w:sz w:val="24"/>
                <w:szCs w:val="24"/>
                <w:highlight w:val="none"/>
              </w:rPr>
            </w:pPr>
            <w:bookmarkStart w:id="49" w:name="_Toc64369807"/>
            <w:r>
              <w:rPr>
                <w:rFonts w:hint="eastAsia" w:ascii="仿宋" w:hAnsi="仿宋" w:eastAsia="仿宋" w:cs="仿宋"/>
                <w:color w:val="auto"/>
                <w:spacing w:val="20"/>
                <w:sz w:val="24"/>
                <w:szCs w:val="24"/>
                <w:highlight w:val="none"/>
              </w:rPr>
              <w:t>服务部分</w:t>
            </w:r>
            <w:bookmarkEnd w:id="49"/>
          </w:p>
        </w:tc>
      </w:tr>
      <w:tr w14:paraId="12C3A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465979C3">
            <w:pPr>
              <w:snapToGrid w:val="0"/>
              <w:spacing w:before="50" w:after="50"/>
              <w:jc w:val="center"/>
              <w:rPr>
                <w:rFonts w:hint="eastAsia" w:ascii="仿宋" w:hAnsi="仿宋" w:eastAsia="仿宋" w:cs="仿宋"/>
                <w:color w:val="auto"/>
                <w:spacing w:val="20"/>
                <w:sz w:val="24"/>
                <w:szCs w:val="24"/>
                <w:highlight w:val="none"/>
              </w:rPr>
            </w:pPr>
            <w:bookmarkStart w:id="50" w:name="_Toc64369800"/>
            <w:r>
              <w:rPr>
                <w:rFonts w:hint="eastAsia" w:ascii="仿宋" w:hAnsi="仿宋" w:eastAsia="仿宋" w:cs="仿宋"/>
                <w:color w:val="auto"/>
                <w:spacing w:val="20"/>
                <w:sz w:val="24"/>
                <w:szCs w:val="24"/>
                <w:highlight w:val="none"/>
              </w:rPr>
              <w:t>序号</w:t>
            </w:r>
            <w:bookmarkEnd w:id="50"/>
          </w:p>
        </w:tc>
        <w:tc>
          <w:tcPr>
            <w:tcW w:w="1861" w:type="dxa"/>
            <w:tcBorders>
              <w:top w:val="single" w:color="auto" w:sz="4" w:space="0"/>
              <w:left w:val="single" w:color="auto" w:sz="4" w:space="0"/>
              <w:bottom w:val="single" w:color="auto" w:sz="4" w:space="0"/>
              <w:right w:val="single" w:color="auto" w:sz="4" w:space="0"/>
            </w:tcBorders>
            <w:noWrap/>
            <w:vAlign w:val="center"/>
          </w:tcPr>
          <w:p w14:paraId="555F8F0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477A790">
            <w:pPr>
              <w:snapToGrid w:val="0"/>
              <w:spacing w:before="50" w:after="50"/>
              <w:jc w:val="center"/>
              <w:rPr>
                <w:rFonts w:hint="eastAsia" w:ascii="仿宋" w:hAnsi="仿宋" w:eastAsia="仿宋" w:cs="仿宋"/>
                <w:color w:val="auto"/>
                <w:spacing w:val="20"/>
                <w:sz w:val="24"/>
                <w:szCs w:val="24"/>
                <w:highlight w:val="none"/>
              </w:rPr>
            </w:pPr>
            <w:bookmarkStart w:id="51" w:name="_Toc64369801"/>
            <w:bookmarkStart w:id="52" w:name="_Toc64369802"/>
            <w:r>
              <w:rPr>
                <w:rFonts w:hint="eastAsia" w:ascii="仿宋" w:hAnsi="仿宋" w:eastAsia="仿宋" w:cs="仿宋"/>
                <w:color w:val="auto"/>
                <w:spacing w:val="20"/>
                <w:sz w:val="24"/>
                <w:szCs w:val="24"/>
                <w:highlight w:val="none"/>
              </w:rPr>
              <w:t>征集文件</w:t>
            </w:r>
          </w:p>
          <w:p w14:paraId="6219C38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51"/>
          </w:p>
        </w:tc>
        <w:tc>
          <w:tcPr>
            <w:tcW w:w="2105" w:type="dxa"/>
            <w:tcBorders>
              <w:top w:val="single" w:color="auto" w:sz="4" w:space="0"/>
              <w:left w:val="single" w:color="auto" w:sz="4" w:space="0"/>
              <w:bottom w:val="single" w:color="auto" w:sz="4" w:space="0"/>
              <w:right w:val="single" w:color="auto" w:sz="4" w:space="0"/>
            </w:tcBorders>
            <w:noWrap/>
            <w:vAlign w:val="center"/>
          </w:tcPr>
          <w:p w14:paraId="50571D1B">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响应文件</w:t>
            </w:r>
          </w:p>
          <w:p w14:paraId="21F3D0DB">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52"/>
          </w:p>
        </w:tc>
        <w:tc>
          <w:tcPr>
            <w:tcW w:w="1396" w:type="dxa"/>
            <w:tcBorders>
              <w:top w:val="single" w:color="auto" w:sz="4" w:space="0"/>
              <w:left w:val="single" w:color="auto" w:sz="4" w:space="0"/>
              <w:bottom w:val="single" w:color="auto" w:sz="4" w:space="0"/>
              <w:right w:val="single" w:color="auto" w:sz="4" w:space="0"/>
            </w:tcBorders>
            <w:noWrap/>
            <w:vAlign w:val="center"/>
          </w:tcPr>
          <w:p w14:paraId="7F76C3CF">
            <w:pPr>
              <w:snapToGrid w:val="0"/>
              <w:spacing w:before="50" w:after="50"/>
              <w:jc w:val="center"/>
              <w:rPr>
                <w:rFonts w:hint="eastAsia" w:ascii="仿宋" w:hAnsi="仿宋" w:eastAsia="仿宋" w:cs="仿宋"/>
                <w:color w:val="auto"/>
                <w:spacing w:val="20"/>
                <w:sz w:val="24"/>
                <w:szCs w:val="24"/>
                <w:highlight w:val="none"/>
              </w:rPr>
            </w:pPr>
            <w:bookmarkStart w:id="53" w:name="_Toc64369803"/>
            <w:r>
              <w:rPr>
                <w:rFonts w:hint="eastAsia" w:ascii="仿宋" w:hAnsi="仿宋" w:eastAsia="仿宋" w:cs="仿宋"/>
                <w:color w:val="auto"/>
                <w:spacing w:val="20"/>
                <w:sz w:val="24"/>
                <w:szCs w:val="24"/>
                <w:highlight w:val="none"/>
              </w:rPr>
              <w:t>偏离</w:t>
            </w:r>
          </w:p>
          <w:p w14:paraId="30D41E9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53"/>
          </w:p>
        </w:tc>
      </w:tr>
      <w:tr w14:paraId="76DA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65659807">
            <w:pPr>
              <w:snapToGrid w:val="0"/>
              <w:spacing w:before="50" w:after="50"/>
              <w:rPr>
                <w:rFonts w:hint="eastAsia" w:ascii="仿宋" w:hAnsi="仿宋" w:eastAsia="仿宋" w:cs="仿宋"/>
                <w:color w:val="auto"/>
                <w:spacing w:val="20"/>
                <w:sz w:val="24"/>
                <w:szCs w:val="24"/>
                <w:highlight w:val="none"/>
              </w:rPr>
            </w:pPr>
            <w:bookmarkStart w:id="54" w:name="_Toc64369804"/>
            <w:r>
              <w:rPr>
                <w:rFonts w:hint="eastAsia" w:ascii="仿宋" w:hAnsi="仿宋" w:eastAsia="仿宋" w:cs="仿宋"/>
                <w:color w:val="auto"/>
                <w:spacing w:val="20"/>
                <w:sz w:val="24"/>
                <w:szCs w:val="24"/>
                <w:highlight w:val="none"/>
              </w:rPr>
              <w:t>1</w:t>
            </w:r>
            <w:bookmarkEnd w:id="5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F60B72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B25DA1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40A3441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F69079B">
            <w:pPr>
              <w:snapToGrid w:val="0"/>
              <w:spacing w:before="50" w:after="50"/>
              <w:rPr>
                <w:rFonts w:hint="eastAsia" w:ascii="仿宋" w:hAnsi="仿宋" w:eastAsia="仿宋" w:cs="仿宋"/>
                <w:color w:val="auto"/>
                <w:spacing w:val="20"/>
                <w:sz w:val="24"/>
                <w:szCs w:val="24"/>
                <w:highlight w:val="none"/>
              </w:rPr>
            </w:pPr>
          </w:p>
        </w:tc>
      </w:tr>
      <w:tr w14:paraId="41A52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3363B4CE">
            <w:pPr>
              <w:snapToGrid w:val="0"/>
              <w:spacing w:before="50" w:after="50"/>
              <w:rPr>
                <w:rFonts w:hint="eastAsia" w:ascii="仿宋" w:hAnsi="仿宋" w:eastAsia="仿宋" w:cs="仿宋"/>
                <w:color w:val="auto"/>
                <w:spacing w:val="20"/>
                <w:sz w:val="24"/>
                <w:szCs w:val="24"/>
                <w:highlight w:val="none"/>
              </w:rPr>
            </w:pPr>
            <w:bookmarkStart w:id="55" w:name="_Toc64369805"/>
            <w:r>
              <w:rPr>
                <w:rFonts w:hint="eastAsia" w:ascii="仿宋" w:hAnsi="仿宋" w:eastAsia="仿宋" w:cs="仿宋"/>
                <w:color w:val="auto"/>
                <w:spacing w:val="20"/>
                <w:sz w:val="24"/>
                <w:szCs w:val="24"/>
                <w:highlight w:val="none"/>
              </w:rPr>
              <w:t>2</w:t>
            </w:r>
            <w:bookmarkEnd w:id="5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91BE97">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21BDF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07440E8">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6E8F9487">
            <w:pPr>
              <w:snapToGrid w:val="0"/>
              <w:spacing w:before="50" w:after="50"/>
              <w:rPr>
                <w:rFonts w:hint="eastAsia" w:ascii="仿宋" w:hAnsi="仿宋" w:eastAsia="仿宋" w:cs="仿宋"/>
                <w:color w:val="auto"/>
                <w:spacing w:val="20"/>
                <w:sz w:val="24"/>
                <w:szCs w:val="24"/>
                <w:highlight w:val="none"/>
              </w:rPr>
            </w:pPr>
          </w:p>
        </w:tc>
      </w:tr>
      <w:tr w14:paraId="75E49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43A6B609">
            <w:pPr>
              <w:snapToGrid w:val="0"/>
              <w:spacing w:before="50" w:after="50"/>
              <w:rPr>
                <w:rFonts w:hint="eastAsia" w:ascii="仿宋" w:hAnsi="仿宋" w:eastAsia="仿宋" w:cs="仿宋"/>
                <w:color w:val="auto"/>
                <w:spacing w:val="20"/>
                <w:sz w:val="24"/>
                <w:szCs w:val="24"/>
                <w:highlight w:val="none"/>
              </w:rPr>
            </w:pPr>
            <w:bookmarkStart w:id="56" w:name="_Toc64369806"/>
            <w:bookmarkEnd w:id="56"/>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DD92F3">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8D7638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03E9B35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F707F5C">
            <w:pPr>
              <w:snapToGrid w:val="0"/>
              <w:spacing w:before="50" w:after="50"/>
              <w:rPr>
                <w:rFonts w:hint="eastAsia" w:ascii="仿宋" w:hAnsi="仿宋" w:eastAsia="仿宋" w:cs="仿宋"/>
                <w:color w:val="auto"/>
                <w:spacing w:val="20"/>
                <w:sz w:val="24"/>
                <w:szCs w:val="24"/>
                <w:highlight w:val="none"/>
              </w:rPr>
            </w:pPr>
          </w:p>
        </w:tc>
      </w:tr>
      <w:tr w14:paraId="15A46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0EE9457C">
            <w:pPr>
              <w:snapToGrid w:val="0"/>
              <w:spacing w:before="50" w:after="50"/>
              <w:rPr>
                <w:rFonts w:hint="eastAsia" w:ascii="仿宋" w:hAnsi="仿宋" w:eastAsia="仿宋" w:cs="仿宋"/>
                <w:color w:val="auto"/>
                <w:spacing w:val="20"/>
                <w:sz w:val="24"/>
                <w:szCs w:val="24"/>
                <w:highlight w:val="none"/>
              </w:rPr>
            </w:pPr>
            <w:bookmarkStart w:id="57"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B50E1AC">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A52383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0A6DD4A8">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A0F2632">
            <w:pPr>
              <w:snapToGrid w:val="0"/>
              <w:spacing w:before="50" w:after="50"/>
              <w:rPr>
                <w:rFonts w:hint="eastAsia" w:ascii="仿宋" w:hAnsi="仿宋" w:eastAsia="仿宋" w:cs="仿宋"/>
                <w:color w:val="auto"/>
                <w:spacing w:val="20"/>
                <w:sz w:val="24"/>
                <w:szCs w:val="24"/>
                <w:highlight w:val="none"/>
              </w:rPr>
            </w:pPr>
          </w:p>
        </w:tc>
      </w:tr>
      <w:tr w14:paraId="313C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582F889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0C67C2">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7D0B75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61341DC">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E73E146">
            <w:pPr>
              <w:snapToGrid w:val="0"/>
              <w:spacing w:before="50" w:after="50"/>
              <w:rPr>
                <w:rFonts w:hint="eastAsia" w:ascii="仿宋" w:hAnsi="仿宋" w:eastAsia="仿宋" w:cs="仿宋"/>
                <w:color w:val="auto"/>
                <w:spacing w:val="20"/>
                <w:sz w:val="24"/>
                <w:szCs w:val="24"/>
                <w:highlight w:val="none"/>
              </w:rPr>
            </w:pPr>
          </w:p>
        </w:tc>
      </w:tr>
      <w:tr w14:paraId="0B168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20233FC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29B82D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C51CC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BE68C82">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5B5D526">
            <w:pPr>
              <w:snapToGrid w:val="0"/>
              <w:spacing w:before="50" w:after="50"/>
              <w:rPr>
                <w:rFonts w:hint="eastAsia" w:ascii="仿宋" w:hAnsi="仿宋" w:eastAsia="仿宋" w:cs="仿宋"/>
                <w:color w:val="auto"/>
                <w:spacing w:val="20"/>
                <w:sz w:val="24"/>
                <w:szCs w:val="24"/>
                <w:highlight w:val="none"/>
              </w:rPr>
            </w:pPr>
          </w:p>
        </w:tc>
      </w:tr>
      <w:tr w14:paraId="11120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34E51D0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64DDFD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5DDDB1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96C73A7">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31452E">
            <w:pPr>
              <w:snapToGrid w:val="0"/>
              <w:spacing w:before="50" w:after="50"/>
              <w:rPr>
                <w:rFonts w:hint="eastAsia" w:ascii="仿宋" w:hAnsi="仿宋" w:eastAsia="仿宋" w:cs="仿宋"/>
                <w:color w:val="auto"/>
                <w:spacing w:val="20"/>
                <w:sz w:val="24"/>
                <w:szCs w:val="24"/>
                <w:highlight w:val="none"/>
              </w:rPr>
            </w:pPr>
          </w:p>
        </w:tc>
      </w:tr>
      <w:bookmarkEnd w:id="57"/>
    </w:tbl>
    <w:p w14:paraId="2FF6FA2F">
      <w:pPr>
        <w:pStyle w:val="11"/>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注：1、供应商应对照征集文件要求和响应文件响应情况在“偏离情况”栏注明“正偏离”、“负偏离”或“无偏离”。若正偏离的，需详细说明或提供证明材料。</w:t>
      </w:r>
    </w:p>
    <w:p w14:paraId="504A791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2、“征集文件要求”一列按采购需求中的“服务清单及要求”填写。</w:t>
      </w:r>
    </w:p>
    <w:p w14:paraId="13F784EE">
      <w:pPr>
        <w:snapToGrid w:val="0"/>
        <w:spacing w:before="50" w:after="50"/>
        <w:rPr>
          <w:rFonts w:hint="eastAsia" w:ascii="仿宋" w:hAnsi="仿宋" w:eastAsia="仿宋" w:cs="仿宋"/>
          <w:color w:val="auto"/>
          <w:spacing w:val="20"/>
          <w:sz w:val="30"/>
          <w:szCs w:val="30"/>
          <w:highlight w:val="none"/>
        </w:rPr>
      </w:pPr>
    </w:p>
    <w:p w14:paraId="7A7A5E59">
      <w:pPr>
        <w:snapToGrid w:val="0"/>
        <w:spacing w:before="50" w:after="50"/>
        <w:rPr>
          <w:rFonts w:hint="eastAsia" w:ascii="仿宋" w:hAnsi="仿宋" w:eastAsia="仿宋" w:cs="仿宋"/>
          <w:color w:val="auto"/>
          <w:spacing w:val="20"/>
          <w:sz w:val="30"/>
          <w:szCs w:val="30"/>
          <w:highlight w:val="none"/>
        </w:rPr>
      </w:pPr>
    </w:p>
    <w:p w14:paraId="39334FF1">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37B18D92">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720FB7EF">
      <w:pPr>
        <w:snapToGrid w:val="0"/>
        <w:spacing w:beforeLines="50"/>
        <w:rPr>
          <w:rFonts w:hint="eastAsia" w:ascii="仿宋" w:hAnsi="仿宋" w:eastAsia="仿宋" w:cs="仿宋"/>
          <w:color w:val="auto"/>
          <w:sz w:val="24"/>
          <w:szCs w:val="24"/>
          <w:highlight w:val="none"/>
        </w:rPr>
      </w:pPr>
    </w:p>
    <w:p w14:paraId="2699576B">
      <w:pPr>
        <w:pStyle w:val="3"/>
        <w:rPr>
          <w:rFonts w:hint="eastAsia"/>
          <w:color w:val="auto"/>
          <w:highlight w:val="none"/>
        </w:rPr>
      </w:pPr>
    </w:p>
    <w:p w14:paraId="5352DB04">
      <w:pPr>
        <w:snapToGrid w:val="0"/>
        <w:spacing w:beforeLines="50"/>
        <w:rPr>
          <w:rFonts w:hint="eastAsia" w:ascii="仿宋" w:hAnsi="仿宋" w:eastAsia="仿宋" w:cs="仿宋"/>
          <w:color w:val="auto"/>
          <w:sz w:val="24"/>
          <w:szCs w:val="24"/>
          <w:highlight w:val="none"/>
        </w:rPr>
      </w:pPr>
    </w:p>
    <w:p w14:paraId="30A4D7E2">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附件13：商务响应表</w:t>
      </w:r>
    </w:p>
    <w:p w14:paraId="73DF5342">
      <w:pPr>
        <w:snapToGrid w:val="0"/>
        <w:spacing w:before="50" w:afterLines="50"/>
        <w:jc w:val="center"/>
        <w:rPr>
          <w:rFonts w:hint="eastAsia" w:ascii="仿宋" w:hAnsi="仿宋" w:eastAsia="仿宋" w:cs="仿宋"/>
          <w:b/>
          <w:color w:val="auto"/>
          <w:spacing w:val="40"/>
          <w:kern w:val="0"/>
          <w:sz w:val="36"/>
          <w:szCs w:val="36"/>
          <w:highlight w:val="none"/>
        </w:rPr>
      </w:pPr>
    </w:p>
    <w:p w14:paraId="7303BAC8">
      <w:pPr>
        <w:snapToGrid w:val="0"/>
        <w:spacing w:before="50"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750E20E3">
      <w:pPr>
        <w:snapToGrid w:val="0"/>
        <w:spacing w:before="50" w:afterLines="50"/>
        <w:jc w:val="center"/>
        <w:rPr>
          <w:rFonts w:hint="eastAsia" w:ascii="仿宋" w:hAnsi="仿宋" w:eastAsia="仿宋" w:cs="仿宋"/>
          <w:b/>
          <w:color w:val="auto"/>
          <w:sz w:val="32"/>
          <w:szCs w:val="32"/>
          <w:highlight w:val="none"/>
        </w:rPr>
      </w:pPr>
    </w:p>
    <w:p w14:paraId="118F0BFE">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供应商全称（公章）：</w:t>
      </w:r>
    </w:p>
    <w:p w14:paraId="7332A85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31"/>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01E5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8C785ED">
            <w:pPr>
              <w:snapToGrid w:val="0"/>
              <w:spacing w:before="50" w:after="50"/>
              <w:jc w:val="center"/>
              <w:rPr>
                <w:rFonts w:hint="eastAsia" w:ascii="仿宋" w:hAnsi="仿宋" w:eastAsia="仿宋" w:cs="仿宋"/>
                <w:color w:val="auto"/>
                <w:spacing w:val="20"/>
                <w:sz w:val="28"/>
                <w:szCs w:val="28"/>
                <w:highlight w:val="none"/>
              </w:rPr>
            </w:pPr>
            <w:bookmarkStart w:id="58" w:name="_Toc64369815"/>
            <w:r>
              <w:rPr>
                <w:rFonts w:hint="eastAsia" w:ascii="仿宋" w:hAnsi="仿宋" w:eastAsia="仿宋" w:cs="仿宋"/>
                <w:color w:val="auto"/>
                <w:spacing w:val="20"/>
                <w:sz w:val="28"/>
                <w:szCs w:val="28"/>
                <w:highlight w:val="none"/>
              </w:rPr>
              <w:t>类别</w:t>
            </w:r>
            <w:bookmarkEnd w:id="58"/>
          </w:p>
        </w:tc>
        <w:tc>
          <w:tcPr>
            <w:tcW w:w="2626" w:type="dxa"/>
            <w:tcBorders>
              <w:top w:val="single" w:color="auto" w:sz="4" w:space="0"/>
              <w:left w:val="single" w:color="auto" w:sz="4" w:space="0"/>
              <w:bottom w:val="single" w:color="auto" w:sz="4" w:space="0"/>
              <w:right w:val="single" w:color="auto" w:sz="4" w:space="0"/>
            </w:tcBorders>
            <w:noWrap/>
            <w:vAlign w:val="center"/>
          </w:tcPr>
          <w:p w14:paraId="56208E00">
            <w:pPr>
              <w:snapToGrid w:val="0"/>
              <w:spacing w:beforeLines="50" w:after="50"/>
              <w:jc w:val="center"/>
              <w:rPr>
                <w:rFonts w:hint="eastAsia" w:ascii="仿宋" w:hAnsi="仿宋" w:eastAsia="仿宋" w:cs="仿宋"/>
                <w:color w:val="auto"/>
                <w:sz w:val="30"/>
                <w:szCs w:val="30"/>
                <w:highlight w:val="none"/>
              </w:rPr>
            </w:pPr>
            <w:bookmarkStart w:id="59" w:name="_Toc64369816"/>
            <w:r>
              <w:rPr>
                <w:rFonts w:hint="eastAsia" w:ascii="仿宋" w:hAnsi="仿宋" w:eastAsia="仿宋" w:cs="仿宋"/>
                <w:color w:val="auto"/>
                <w:sz w:val="30"/>
                <w:szCs w:val="30"/>
                <w:highlight w:val="none"/>
              </w:rPr>
              <w:t>征集文件要求</w:t>
            </w:r>
            <w:bookmarkEnd w:id="59"/>
          </w:p>
        </w:tc>
        <w:tc>
          <w:tcPr>
            <w:tcW w:w="2737" w:type="dxa"/>
            <w:tcBorders>
              <w:top w:val="single" w:color="auto" w:sz="4" w:space="0"/>
              <w:left w:val="single" w:color="auto" w:sz="4" w:space="0"/>
              <w:bottom w:val="single" w:color="auto" w:sz="4" w:space="0"/>
              <w:right w:val="single" w:color="auto" w:sz="4" w:space="0"/>
            </w:tcBorders>
            <w:noWrap/>
            <w:vAlign w:val="center"/>
          </w:tcPr>
          <w:p w14:paraId="1F7AB2D3">
            <w:pPr>
              <w:snapToGrid w:val="0"/>
              <w:spacing w:beforeLines="50" w:after="50"/>
              <w:jc w:val="center"/>
              <w:rPr>
                <w:rFonts w:hint="eastAsia" w:ascii="仿宋" w:hAnsi="仿宋" w:eastAsia="仿宋" w:cs="仿宋"/>
                <w:color w:val="auto"/>
                <w:sz w:val="30"/>
                <w:szCs w:val="30"/>
                <w:highlight w:val="none"/>
              </w:rPr>
            </w:pPr>
            <w:bookmarkStart w:id="60" w:name="_Toc64369817"/>
            <w:r>
              <w:rPr>
                <w:rFonts w:hint="eastAsia" w:ascii="仿宋" w:hAnsi="仿宋" w:eastAsia="仿宋" w:cs="仿宋"/>
                <w:color w:val="auto"/>
                <w:sz w:val="30"/>
                <w:szCs w:val="30"/>
                <w:highlight w:val="none"/>
              </w:rPr>
              <w:t>响应文件响应</w:t>
            </w:r>
            <w:bookmarkEnd w:id="60"/>
          </w:p>
        </w:tc>
        <w:tc>
          <w:tcPr>
            <w:tcW w:w="1886" w:type="dxa"/>
            <w:tcBorders>
              <w:top w:val="single" w:color="auto" w:sz="4" w:space="0"/>
              <w:left w:val="single" w:color="auto" w:sz="4" w:space="0"/>
              <w:bottom w:val="single" w:color="auto" w:sz="4" w:space="0"/>
              <w:right w:val="single" w:color="auto" w:sz="4" w:space="0"/>
            </w:tcBorders>
            <w:noWrap/>
            <w:vAlign w:val="center"/>
          </w:tcPr>
          <w:p w14:paraId="5CCD6BCD">
            <w:pPr>
              <w:snapToGrid w:val="0"/>
              <w:spacing w:beforeLines="50" w:after="50"/>
              <w:jc w:val="center"/>
              <w:rPr>
                <w:rFonts w:hint="eastAsia" w:ascii="仿宋" w:hAnsi="仿宋" w:eastAsia="仿宋" w:cs="仿宋"/>
                <w:color w:val="auto"/>
                <w:sz w:val="30"/>
                <w:szCs w:val="30"/>
                <w:highlight w:val="none"/>
              </w:rPr>
            </w:pPr>
            <w:bookmarkStart w:id="61" w:name="_Toc64369818"/>
            <w:r>
              <w:rPr>
                <w:rFonts w:hint="eastAsia" w:ascii="仿宋" w:hAnsi="仿宋" w:eastAsia="仿宋" w:cs="仿宋"/>
                <w:color w:val="auto"/>
                <w:sz w:val="30"/>
                <w:szCs w:val="30"/>
                <w:highlight w:val="none"/>
              </w:rPr>
              <w:t>偏离情况</w:t>
            </w:r>
            <w:bookmarkEnd w:id="61"/>
          </w:p>
        </w:tc>
      </w:tr>
      <w:tr w14:paraId="31BCC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2C080D">
            <w:pPr>
              <w:snapToGrid w:val="0"/>
              <w:spacing w:before="50" w:after="50"/>
              <w:rPr>
                <w:rFonts w:hint="eastAsia" w:ascii="仿宋" w:hAnsi="仿宋" w:eastAsia="仿宋" w:cs="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53C6F64D">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A792DF4">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E14DB9B">
            <w:pPr>
              <w:pStyle w:val="16"/>
              <w:snapToGrid w:val="0"/>
              <w:spacing w:before="120" w:after="120"/>
              <w:outlineLvl w:val="0"/>
              <w:rPr>
                <w:rFonts w:hint="eastAsia" w:ascii="仿宋" w:hAnsi="仿宋" w:eastAsia="仿宋" w:cs="仿宋"/>
                <w:color w:val="auto"/>
                <w:sz w:val="28"/>
                <w:szCs w:val="28"/>
                <w:highlight w:val="none"/>
              </w:rPr>
            </w:pPr>
          </w:p>
        </w:tc>
      </w:tr>
      <w:tr w14:paraId="127C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13CBF0E">
            <w:pPr>
              <w:snapToGrid w:val="0"/>
              <w:spacing w:before="50" w:after="50"/>
              <w:rPr>
                <w:rFonts w:hint="eastAsia" w:ascii="仿宋" w:hAnsi="仿宋" w:eastAsia="仿宋" w:cs="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088E4944">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308F29E">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9B50207">
            <w:pPr>
              <w:pStyle w:val="16"/>
              <w:snapToGrid w:val="0"/>
              <w:spacing w:before="120" w:after="120"/>
              <w:outlineLvl w:val="0"/>
              <w:rPr>
                <w:rFonts w:hint="eastAsia" w:ascii="仿宋" w:hAnsi="仿宋" w:eastAsia="仿宋" w:cs="仿宋"/>
                <w:color w:val="auto"/>
                <w:sz w:val="28"/>
                <w:szCs w:val="28"/>
                <w:highlight w:val="none"/>
              </w:rPr>
            </w:pPr>
          </w:p>
        </w:tc>
      </w:tr>
      <w:tr w14:paraId="7E06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EB7D1CD">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9730489">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C35971">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0A33814">
            <w:pPr>
              <w:pStyle w:val="16"/>
              <w:snapToGrid w:val="0"/>
              <w:spacing w:before="120" w:after="120"/>
              <w:outlineLvl w:val="0"/>
              <w:rPr>
                <w:rFonts w:hint="eastAsia" w:ascii="仿宋" w:hAnsi="仿宋" w:eastAsia="仿宋" w:cs="仿宋"/>
                <w:color w:val="auto"/>
                <w:sz w:val="28"/>
                <w:szCs w:val="28"/>
                <w:highlight w:val="none"/>
              </w:rPr>
            </w:pPr>
          </w:p>
        </w:tc>
      </w:tr>
      <w:tr w14:paraId="1C5F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DF4EF43">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491A757">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42E2138">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4AF7FE6">
            <w:pPr>
              <w:pStyle w:val="16"/>
              <w:snapToGrid w:val="0"/>
              <w:spacing w:before="120" w:after="120"/>
              <w:outlineLvl w:val="0"/>
              <w:rPr>
                <w:rFonts w:hint="eastAsia" w:ascii="仿宋" w:hAnsi="仿宋" w:eastAsia="仿宋" w:cs="仿宋"/>
                <w:color w:val="auto"/>
                <w:sz w:val="28"/>
                <w:szCs w:val="28"/>
                <w:highlight w:val="none"/>
              </w:rPr>
            </w:pPr>
          </w:p>
        </w:tc>
      </w:tr>
    </w:tbl>
    <w:p w14:paraId="75D46003">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注：1、供应商应对照征集文件要求和响应文件响应情况在“偏离情况”栏注明“正偏离”、“负偏离”或“无偏离”。若正偏离的，需详细说明或提供证明材料。</w:t>
      </w:r>
    </w:p>
    <w:p w14:paraId="2AE0CC5A">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2、“类别”一栏按征集文件第三章中商务要求的分类填写。</w:t>
      </w:r>
    </w:p>
    <w:p w14:paraId="420FA7CE">
      <w:pPr>
        <w:snapToGrid w:val="0"/>
        <w:spacing w:before="50" w:after="50"/>
        <w:rPr>
          <w:rFonts w:hint="eastAsia" w:ascii="仿宋" w:hAnsi="仿宋" w:eastAsia="仿宋" w:cs="仿宋"/>
          <w:color w:val="auto"/>
          <w:spacing w:val="20"/>
          <w:sz w:val="28"/>
          <w:szCs w:val="28"/>
          <w:highlight w:val="none"/>
        </w:rPr>
      </w:pPr>
    </w:p>
    <w:p w14:paraId="783B7F03">
      <w:pPr>
        <w:snapToGrid w:val="0"/>
        <w:spacing w:before="50" w:after="50"/>
        <w:rPr>
          <w:rFonts w:hint="eastAsia" w:ascii="仿宋" w:hAnsi="仿宋" w:eastAsia="仿宋" w:cs="仿宋"/>
          <w:color w:val="auto"/>
          <w:spacing w:val="20"/>
          <w:sz w:val="28"/>
          <w:szCs w:val="28"/>
          <w:highlight w:val="none"/>
        </w:rPr>
      </w:pPr>
    </w:p>
    <w:p w14:paraId="70C02742">
      <w:pPr>
        <w:snapToGrid w:val="0"/>
        <w:spacing w:before="50" w:after="50"/>
        <w:rPr>
          <w:rFonts w:hint="eastAsia" w:ascii="仿宋" w:hAnsi="仿宋" w:eastAsia="仿宋" w:cs="仿宋"/>
          <w:color w:val="auto"/>
          <w:spacing w:val="20"/>
          <w:sz w:val="28"/>
          <w:szCs w:val="28"/>
          <w:highlight w:val="none"/>
        </w:rPr>
      </w:pPr>
    </w:p>
    <w:p w14:paraId="646B7B87">
      <w:pPr>
        <w:snapToGrid w:val="0"/>
        <w:spacing w:before="50" w:after="50"/>
        <w:rPr>
          <w:rFonts w:hint="eastAsia" w:ascii="仿宋" w:hAnsi="仿宋" w:eastAsia="仿宋" w:cs="仿宋"/>
          <w:color w:val="auto"/>
          <w:spacing w:val="20"/>
          <w:sz w:val="28"/>
          <w:szCs w:val="28"/>
          <w:highlight w:val="none"/>
        </w:rPr>
      </w:pPr>
    </w:p>
    <w:p w14:paraId="46394E11">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54DF801">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12783FD">
      <w:pPr>
        <w:snapToGrid w:val="0"/>
        <w:spacing w:beforeLines="50"/>
        <w:rPr>
          <w:rFonts w:hint="eastAsia" w:ascii="仿宋" w:hAnsi="仿宋" w:eastAsia="仿宋" w:cs="仿宋"/>
          <w:color w:val="auto"/>
          <w:sz w:val="28"/>
          <w:szCs w:val="28"/>
          <w:highlight w:val="none"/>
        </w:rPr>
      </w:pPr>
    </w:p>
    <w:p w14:paraId="461DBE95">
      <w:pPr>
        <w:snapToGrid w:val="0"/>
        <w:spacing w:beforeLines="50"/>
        <w:rPr>
          <w:rFonts w:hint="eastAsia" w:ascii="仿宋" w:hAnsi="仿宋" w:eastAsia="仿宋" w:cs="仿宋"/>
          <w:color w:val="auto"/>
          <w:sz w:val="28"/>
          <w:szCs w:val="28"/>
          <w:highlight w:val="none"/>
        </w:rPr>
      </w:pPr>
    </w:p>
    <w:p w14:paraId="573B64D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附件14：项目实施人员清单</w:t>
      </w:r>
    </w:p>
    <w:p w14:paraId="489E14DB">
      <w:pPr>
        <w:snapToGrid w:val="0"/>
        <w:spacing w:before="50" w:afterLines="50"/>
        <w:jc w:val="center"/>
        <w:rPr>
          <w:rFonts w:hint="eastAsia" w:ascii="仿宋" w:hAnsi="仿宋" w:eastAsia="仿宋" w:cs="仿宋"/>
          <w:b/>
          <w:color w:val="auto"/>
          <w:kern w:val="0"/>
          <w:sz w:val="36"/>
          <w:szCs w:val="36"/>
          <w:highlight w:val="none"/>
        </w:rPr>
      </w:pPr>
    </w:p>
    <w:p w14:paraId="569658E0">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59F7E0C5">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供应商全称（公章）：</w:t>
      </w:r>
    </w:p>
    <w:p w14:paraId="5544051B">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p>
    <w:tbl>
      <w:tblPr>
        <w:tblStyle w:val="31"/>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876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6ABBA78">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76515D6">
            <w:pPr>
              <w:snapToGrid w:val="0"/>
              <w:spacing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86CD41B">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14CCC8C2">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CB29BFB">
            <w:pPr>
              <w:snapToGrid w:val="0"/>
              <w:spacing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5C45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1BDC7A">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B9C93D">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8F7EE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850A4A">
            <w:pPr>
              <w:snapToGrid w:val="0"/>
              <w:spacing w:beforeLines="50" w:after="50" w:line="460" w:lineRule="exact"/>
              <w:rPr>
                <w:rFonts w:hint="eastAsia" w:ascii="仿宋" w:hAnsi="仿宋" w:eastAsia="仿宋" w:cs="仿宋"/>
                <w:color w:val="auto"/>
                <w:sz w:val="28"/>
                <w:szCs w:val="28"/>
                <w:highlight w:val="none"/>
              </w:rPr>
            </w:pPr>
          </w:p>
        </w:tc>
      </w:tr>
      <w:tr w14:paraId="2262B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AA09A52">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8803718">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F79859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CCEFB26">
            <w:pPr>
              <w:snapToGrid w:val="0"/>
              <w:spacing w:beforeLines="50" w:after="50" w:line="460" w:lineRule="exact"/>
              <w:rPr>
                <w:rFonts w:hint="eastAsia" w:ascii="仿宋" w:hAnsi="仿宋" w:eastAsia="仿宋" w:cs="仿宋"/>
                <w:color w:val="auto"/>
                <w:sz w:val="28"/>
                <w:szCs w:val="28"/>
                <w:highlight w:val="none"/>
              </w:rPr>
            </w:pPr>
          </w:p>
        </w:tc>
      </w:tr>
      <w:tr w14:paraId="082B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D272AC">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60D7C5">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782DBE3">
            <w:pPr>
              <w:pStyle w:val="17"/>
              <w:snapToGrid w:val="0"/>
              <w:spacing w:beforeLines="50" w:after="50" w:line="460" w:lineRule="exact"/>
              <w:ind w:left="5250"/>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540632">
            <w:pPr>
              <w:snapToGrid w:val="0"/>
              <w:spacing w:beforeLines="50" w:after="50" w:line="460" w:lineRule="exact"/>
              <w:rPr>
                <w:rFonts w:hint="eastAsia" w:ascii="仿宋" w:hAnsi="仿宋" w:eastAsia="仿宋" w:cs="仿宋"/>
                <w:color w:val="auto"/>
                <w:sz w:val="28"/>
                <w:szCs w:val="28"/>
                <w:highlight w:val="none"/>
              </w:rPr>
            </w:pPr>
          </w:p>
        </w:tc>
      </w:tr>
      <w:tr w14:paraId="5A13D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F0C3B3">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39C920A">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4995538">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41E4908">
            <w:pPr>
              <w:snapToGrid w:val="0"/>
              <w:spacing w:beforeLines="50" w:after="50" w:line="460" w:lineRule="exact"/>
              <w:rPr>
                <w:rFonts w:hint="eastAsia" w:ascii="仿宋" w:hAnsi="仿宋" w:eastAsia="仿宋" w:cs="仿宋"/>
                <w:color w:val="auto"/>
                <w:sz w:val="28"/>
                <w:szCs w:val="28"/>
                <w:highlight w:val="none"/>
              </w:rPr>
            </w:pPr>
          </w:p>
        </w:tc>
      </w:tr>
      <w:tr w14:paraId="0430D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7C3B2C">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04B358">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F897B67">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4EF958">
            <w:pPr>
              <w:snapToGrid w:val="0"/>
              <w:spacing w:beforeLines="50" w:after="50" w:line="460" w:lineRule="exact"/>
              <w:rPr>
                <w:rFonts w:hint="eastAsia" w:ascii="仿宋" w:hAnsi="仿宋" w:eastAsia="仿宋" w:cs="仿宋"/>
                <w:color w:val="auto"/>
                <w:sz w:val="28"/>
                <w:szCs w:val="28"/>
                <w:highlight w:val="none"/>
              </w:rPr>
            </w:pPr>
          </w:p>
        </w:tc>
      </w:tr>
      <w:tr w14:paraId="2CB4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53ED8D">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14EE7AA">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0A4D1F">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E41E412">
            <w:pPr>
              <w:snapToGrid w:val="0"/>
              <w:spacing w:beforeLines="50" w:after="50" w:line="460" w:lineRule="exact"/>
              <w:rPr>
                <w:rFonts w:hint="eastAsia" w:ascii="仿宋" w:hAnsi="仿宋" w:eastAsia="仿宋" w:cs="仿宋"/>
                <w:color w:val="auto"/>
                <w:sz w:val="28"/>
                <w:szCs w:val="28"/>
                <w:highlight w:val="none"/>
              </w:rPr>
            </w:pPr>
          </w:p>
        </w:tc>
      </w:tr>
      <w:tr w14:paraId="19B99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E08AB0">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62C0813">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637E6A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1256E4D">
            <w:pPr>
              <w:snapToGrid w:val="0"/>
              <w:spacing w:beforeLines="50" w:after="50" w:line="460" w:lineRule="exact"/>
              <w:rPr>
                <w:rFonts w:hint="eastAsia" w:ascii="仿宋" w:hAnsi="仿宋" w:eastAsia="仿宋" w:cs="仿宋"/>
                <w:color w:val="auto"/>
                <w:sz w:val="28"/>
                <w:szCs w:val="28"/>
                <w:highlight w:val="none"/>
              </w:rPr>
            </w:pPr>
          </w:p>
        </w:tc>
      </w:tr>
      <w:tr w14:paraId="0EB8E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79384A">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D548634">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D91D5A">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FF112B6">
            <w:pPr>
              <w:snapToGrid w:val="0"/>
              <w:spacing w:beforeLines="50" w:after="50" w:line="460" w:lineRule="exact"/>
              <w:rPr>
                <w:rFonts w:hint="eastAsia" w:ascii="仿宋" w:hAnsi="仿宋" w:eastAsia="仿宋" w:cs="仿宋"/>
                <w:color w:val="auto"/>
                <w:sz w:val="28"/>
                <w:szCs w:val="28"/>
                <w:highlight w:val="none"/>
              </w:rPr>
            </w:pPr>
          </w:p>
        </w:tc>
      </w:tr>
      <w:tr w14:paraId="526DC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B8CE65">
            <w:pPr>
              <w:snapToGrid w:val="0"/>
              <w:spacing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EFBC043">
            <w:pPr>
              <w:snapToGrid w:val="0"/>
              <w:spacing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8B9D77">
            <w:pPr>
              <w:snapToGrid w:val="0"/>
              <w:spacing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CC09F93">
            <w:pPr>
              <w:snapToGrid w:val="0"/>
              <w:spacing w:beforeLines="50" w:after="50" w:line="460" w:lineRule="exact"/>
              <w:rPr>
                <w:rFonts w:hint="eastAsia" w:ascii="仿宋" w:hAnsi="仿宋" w:eastAsia="仿宋" w:cs="仿宋"/>
                <w:color w:val="auto"/>
                <w:sz w:val="28"/>
                <w:szCs w:val="28"/>
                <w:highlight w:val="none"/>
              </w:rPr>
            </w:pPr>
          </w:p>
        </w:tc>
      </w:tr>
    </w:tbl>
    <w:p w14:paraId="51538612">
      <w:pPr>
        <w:snapToGrid w:val="0"/>
        <w:spacing w:before="50"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38E6EC1B">
      <w:pPr>
        <w:snapToGrid w:val="0"/>
        <w:spacing w:before="50" w:afterLines="50" w:line="460" w:lineRule="exact"/>
        <w:jc w:val="left"/>
        <w:rPr>
          <w:rFonts w:hint="eastAsia" w:ascii="仿宋" w:hAnsi="仿宋" w:eastAsia="仿宋" w:cs="仿宋"/>
          <w:color w:val="auto"/>
          <w:sz w:val="28"/>
          <w:szCs w:val="28"/>
          <w:highlight w:val="none"/>
        </w:rPr>
      </w:pPr>
    </w:p>
    <w:p w14:paraId="5197EF6C">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C248903">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92DDDB2">
      <w:pPr>
        <w:snapToGrid w:val="0"/>
        <w:spacing w:before="50" w:afterLines="50" w:line="460" w:lineRule="exact"/>
        <w:jc w:val="left"/>
        <w:rPr>
          <w:rFonts w:hint="eastAsia" w:ascii="仿宋" w:hAnsi="仿宋" w:eastAsia="仿宋" w:cs="仿宋"/>
          <w:color w:val="auto"/>
          <w:sz w:val="28"/>
          <w:szCs w:val="28"/>
          <w:highlight w:val="none"/>
        </w:rPr>
      </w:pPr>
    </w:p>
    <w:p w14:paraId="5E457734">
      <w:pPr>
        <w:rPr>
          <w:rFonts w:hint="eastAsia" w:ascii="仿宋" w:hAnsi="仿宋" w:eastAsia="仿宋" w:cs="仿宋"/>
          <w:color w:val="auto"/>
          <w:sz w:val="28"/>
          <w:szCs w:val="28"/>
          <w:highlight w:val="none"/>
        </w:rPr>
      </w:pPr>
    </w:p>
    <w:p w14:paraId="2D91957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附件15：类似业绩一览表（如有）</w:t>
      </w:r>
    </w:p>
    <w:p w14:paraId="00B4EBF4">
      <w:pPr>
        <w:snapToGrid w:val="0"/>
        <w:spacing w:before="50" w:after="50"/>
        <w:jc w:val="left"/>
        <w:rPr>
          <w:rFonts w:hint="eastAsia" w:ascii="仿宋" w:hAnsi="仿宋" w:eastAsia="仿宋" w:cs="仿宋"/>
          <w:color w:val="auto"/>
          <w:sz w:val="30"/>
          <w:szCs w:val="30"/>
          <w:highlight w:val="none"/>
        </w:rPr>
      </w:pPr>
    </w:p>
    <w:p w14:paraId="12CB300A">
      <w:pPr>
        <w:snapToGrid w:val="0"/>
        <w:spacing w:before="50"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47A007C0">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供应商全称（公章）：</w:t>
      </w:r>
    </w:p>
    <w:p w14:paraId="70551099">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p>
    <w:p w14:paraId="0B99F795">
      <w:pPr>
        <w:rPr>
          <w:rFonts w:hint="eastAsia" w:ascii="仿宋" w:hAnsi="仿宋" w:eastAsia="仿宋" w:cs="仿宋"/>
          <w:color w:val="auto"/>
          <w:highlight w:val="none"/>
        </w:rPr>
      </w:pPr>
    </w:p>
    <w:tbl>
      <w:tblPr>
        <w:tblStyle w:val="3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A2F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5F2CC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A38EE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征集人名称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95145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2D854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14:paraId="630D82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397E44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0012B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p w14:paraId="485B67D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（有/无）</w:t>
            </w:r>
          </w:p>
        </w:tc>
      </w:tr>
      <w:tr w14:paraId="1EE3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97E41A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4D62777">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AC389F">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0FF04CB">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73D5653">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7CE5074">
            <w:pPr>
              <w:jc w:val="center"/>
              <w:rPr>
                <w:rFonts w:hint="eastAsia" w:ascii="仿宋" w:hAnsi="仿宋" w:eastAsia="仿宋" w:cs="仿宋"/>
                <w:color w:val="auto"/>
                <w:sz w:val="24"/>
                <w:highlight w:val="none"/>
              </w:rPr>
            </w:pPr>
          </w:p>
        </w:tc>
      </w:tr>
      <w:tr w14:paraId="2E86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CA73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19A9447">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C953BB3">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2366483">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B0C3043">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DAE6BF">
            <w:pPr>
              <w:jc w:val="center"/>
              <w:rPr>
                <w:rFonts w:hint="eastAsia" w:ascii="仿宋" w:hAnsi="仿宋" w:eastAsia="仿宋" w:cs="仿宋"/>
                <w:color w:val="auto"/>
                <w:sz w:val="24"/>
                <w:highlight w:val="none"/>
              </w:rPr>
            </w:pPr>
          </w:p>
        </w:tc>
      </w:tr>
      <w:tr w14:paraId="692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DC04C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E2DA1AF">
            <w:pPr>
              <w:jc w:val="center"/>
              <w:rPr>
                <w:rFonts w:hint="eastAsia" w:ascii="仿宋" w:hAnsi="仿宋" w:eastAsia="仿宋" w:cs="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AB57B7">
            <w:pPr>
              <w:jc w:val="center"/>
              <w:rPr>
                <w:rFonts w:hint="eastAsia" w:ascii="仿宋" w:hAnsi="仿宋" w:eastAsia="仿宋" w:cs="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FAD18FD">
            <w:pPr>
              <w:jc w:val="center"/>
              <w:rPr>
                <w:rFonts w:hint="eastAsia" w:ascii="仿宋" w:hAnsi="仿宋" w:eastAsia="仿宋" w:cs="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80F3931">
            <w:pPr>
              <w:jc w:val="center"/>
              <w:rPr>
                <w:rFonts w:hint="eastAsia" w:ascii="仿宋" w:hAnsi="仿宋" w:eastAsia="仿宋" w:cs="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6647ACA">
            <w:pPr>
              <w:jc w:val="center"/>
              <w:rPr>
                <w:rFonts w:hint="eastAsia" w:ascii="仿宋" w:hAnsi="仿宋" w:eastAsia="仿宋" w:cs="仿宋"/>
                <w:color w:val="auto"/>
                <w:sz w:val="24"/>
                <w:highlight w:val="none"/>
              </w:rPr>
            </w:pPr>
          </w:p>
        </w:tc>
      </w:tr>
    </w:tbl>
    <w:p w14:paraId="3D48A4E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7795CBCE">
      <w:pPr>
        <w:numPr>
          <w:ilvl w:val="0"/>
          <w:numId w:val="1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请在此表后附上类似业绩的合同、验收报告原件扫描件或彩色图片（如有）。</w:t>
      </w:r>
    </w:p>
    <w:p w14:paraId="042052E0">
      <w:pPr>
        <w:numPr>
          <w:ilvl w:val="0"/>
          <w:numId w:val="1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43733CDC">
      <w:pPr>
        <w:rPr>
          <w:rFonts w:hint="eastAsia" w:ascii="仿宋" w:hAnsi="仿宋" w:eastAsia="仿宋" w:cs="仿宋"/>
          <w:color w:val="auto"/>
          <w:sz w:val="24"/>
          <w:highlight w:val="none"/>
        </w:rPr>
      </w:pPr>
    </w:p>
    <w:p w14:paraId="4EA237E3">
      <w:pPr>
        <w:rPr>
          <w:rFonts w:hint="eastAsia" w:ascii="仿宋" w:hAnsi="仿宋" w:eastAsia="仿宋" w:cs="仿宋"/>
          <w:color w:val="auto"/>
          <w:sz w:val="24"/>
          <w:highlight w:val="none"/>
        </w:rPr>
      </w:pPr>
    </w:p>
    <w:p w14:paraId="3DF5D310">
      <w:pPr>
        <w:rPr>
          <w:rFonts w:hint="eastAsia" w:ascii="仿宋" w:hAnsi="仿宋" w:eastAsia="仿宋" w:cs="仿宋"/>
          <w:color w:val="auto"/>
          <w:sz w:val="24"/>
          <w:highlight w:val="none"/>
        </w:rPr>
      </w:pPr>
    </w:p>
    <w:p w14:paraId="3646C43D">
      <w:pPr>
        <w:rPr>
          <w:rFonts w:hint="eastAsia" w:ascii="仿宋" w:hAnsi="仿宋" w:eastAsia="仿宋" w:cs="仿宋"/>
          <w:color w:val="auto"/>
          <w:sz w:val="24"/>
          <w:highlight w:val="none"/>
        </w:rPr>
      </w:pPr>
    </w:p>
    <w:p w14:paraId="42EADEC6">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8BE3D13">
      <w:pPr>
        <w:snapToGrid w:val="0"/>
        <w:spacing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7C7EC71F">
      <w:pPr>
        <w:rPr>
          <w:rFonts w:hint="eastAsia" w:ascii="仿宋" w:hAnsi="仿宋" w:eastAsia="仿宋" w:cs="仿宋"/>
          <w:color w:val="auto"/>
          <w:sz w:val="24"/>
          <w:highlight w:val="none"/>
        </w:rPr>
      </w:pPr>
    </w:p>
    <w:p w14:paraId="04606D9C">
      <w:pPr>
        <w:rPr>
          <w:rFonts w:hint="eastAsia" w:ascii="仿宋" w:hAnsi="仿宋" w:eastAsia="仿宋" w:cs="仿宋"/>
          <w:color w:val="auto"/>
          <w:sz w:val="24"/>
          <w:highlight w:val="none"/>
        </w:rPr>
      </w:pPr>
    </w:p>
    <w:p w14:paraId="23A9DA8C">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附件16（如有）：</w:t>
      </w:r>
    </w:p>
    <w:p w14:paraId="4879B01A">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6E94F274">
      <w:pPr>
        <w:pStyle w:val="1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w:t>
      </w:r>
    </w:p>
    <w:p w14:paraId="4CFE09F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1"/>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DB3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19B125C">
            <w:pPr>
              <w:pStyle w:val="45"/>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994FC3">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5864632C">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990E4F">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404F6C9">
            <w:pPr>
              <w:pStyle w:val="45"/>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6E9F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C4FE4F">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E63A65">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5AC30A">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EA821A">
            <w:pPr>
              <w:pStyle w:val="45"/>
              <w:tabs>
                <w:tab w:val="left" w:pos="1260"/>
              </w:tabs>
              <w:snapToGrid w:val="0"/>
              <w:spacing w:line="360" w:lineRule="auto"/>
              <w:jc w:val="center"/>
              <w:rPr>
                <w:rFonts w:hint="eastAsia" w:ascii="仿宋" w:hAnsi="仿宋" w:eastAsia="仿宋" w:cs="仿宋"/>
                <w:color w:val="auto"/>
                <w:sz w:val="24"/>
                <w:highlight w:val="none"/>
              </w:rPr>
            </w:pPr>
          </w:p>
        </w:tc>
      </w:tr>
      <w:tr w14:paraId="62F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BB7199">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067F4A">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9510D1">
            <w:pPr>
              <w:pStyle w:val="45"/>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BBE67E">
            <w:pPr>
              <w:pStyle w:val="45"/>
              <w:tabs>
                <w:tab w:val="left" w:pos="1260"/>
              </w:tabs>
              <w:snapToGrid w:val="0"/>
              <w:spacing w:line="360" w:lineRule="auto"/>
              <w:jc w:val="center"/>
              <w:rPr>
                <w:rFonts w:hint="eastAsia" w:ascii="仿宋" w:hAnsi="仿宋" w:eastAsia="仿宋" w:cs="仿宋"/>
                <w:color w:val="auto"/>
                <w:sz w:val="24"/>
                <w:highlight w:val="none"/>
              </w:rPr>
            </w:pPr>
          </w:p>
        </w:tc>
      </w:tr>
      <w:tr w14:paraId="10A0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E480EE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7DD98E">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BC1665">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418D863">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90AFDF1">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3F6D6E5F">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26F6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949421">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0D343B">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FD739">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19A3EA8">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B53F31E">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7F3C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9B4B2F">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CB296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91C578">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54AFF8B">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D57F062">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3A2C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56E367">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77D46DAB">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087818">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10128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6BA3E9">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F4B0F46">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18650BF0">
            <w:pPr>
              <w:pStyle w:val="45"/>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560E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C485DA">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1779D3">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3F07F9">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6F1B7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F5AAFC7">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r w14:paraId="7893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CDA8D0">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71C74">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DE482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14283FA">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F4E1DE">
            <w:pPr>
              <w:pStyle w:val="45"/>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560583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583729D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2、享受政府采购政策性规定的需要提供相关证明材料，具体详见第二章“供应商须知”第二部分“征集文件”，否则不予认可。</w:t>
      </w:r>
    </w:p>
    <w:p w14:paraId="5EA24B9E">
      <w:pPr>
        <w:pStyle w:val="1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特别提示：供应商务必仔细阅读征集文件“政府采购政策性规定”中关于无效投标的内容。</w:t>
      </w:r>
    </w:p>
    <w:p w14:paraId="7701AA44">
      <w:pPr>
        <w:rPr>
          <w:rFonts w:hint="eastAsia" w:ascii="仿宋" w:hAnsi="仿宋" w:eastAsia="仿宋" w:cs="仿宋"/>
          <w:color w:val="auto"/>
          <w:spacing w:val="20"/>
          <w:sz w:val="24"/>
          <w:szCs w:val="24"/>
          <w:highlight w:val="none"/>
        </w:rPr>
      </w:pPr>
    </w:p>
    <w:p w14:paraId="55959798">
      <w:pPr>
        <w:rPr>
          <w:rFonts w:hint="eastAsia" w:ascii="仿宋" w:hAnsi="仿宋" w:eastAsia="仿宋" w:cs="仿宋"/>
          <w:color w:val="auto"/>
          <w:spacing w:val="20"/>
          <w:sz w:val="24"/>
          <w:szCs w:val="24"/>
          <w:highlight w:val="none"/>
        </w:rPr>
      </w:pPr>
    </w:p>
    <w:p w14:paraId="0B819E93">
      <w:pPr>
        <w:rPr>
          <w:rFonts w:hint="eastAsia" w:ascii="仿宋" w:hAnsi="仿宋" w:eastAsia="仿宋" w:cs="仿宋"/>
          <w:color w:val="auto"/>
          <w:spacing w:val="20"/>
          <w:sz w:val="24"/>
          <w:szCs w:val="24"/>
          <w:highlight w:val="none"/>
        </w:rPr>
      </w:pPr>
    </w:p>
    <w:p w14:paraId="1C84E6C0">
      <w:pPr>
        <w:rPr>
          <w:rFonts w:hint="eastAsia" w:ascii="仿宋" w:hAnsi="仿宋" w:eastAsia="仿宋" w:cs="仿宋"/>
          <w:color w:val="auto"/>
          <w:spacing w:val="20"/>
          <w:sz w:val="24"/>
          <w:szCs w:val="24"/>
          <w:highlight w:val="none"/>
        </w:rPr>
      </w:pPr>
    </w:p>
    <w:p w14:paraId="44837322">
      <w:pPr>
        <w:rPr>
          <w:rFonts w:hint="eastAsia" w:ascii="仿宋" w:hAnsi="仿宋" w:eastAsia="仿宋" w:cs="仿宋"/>
          <w:color w:val="auto"/>
          <w:spacing w:val="20"/>
          <w:sz w:val="24"/>
          <w:szCs w:val="24"/>
          <w:highlight w:val="none"/>
        </w:rPr>
      </w:pPr>
    </w:p>
    <w:p w14:paraId="4EBA6EC8">
      <w:pPr>
        <w:rPr>
          <w:rFonts w:hint="eastAsia" w:ascii="仿宋" w:hAnsi="仿宋" w:eastAsia="仿宋" w:cs="仿宋"/>
          <w:color w:val="auto"/>
          <w:spacing w:val="20"/>
          <w:sz w:val="24"/>
          <w:szCs w:val="24"/>
          <w:highlight w:val="none"/>
        </w:rPr>
      </w:pPr>
    </w:p>
    <w:p w14:paraId="0D4523C1">
      <w:pPr>
        <w:rPr>
          <w:rFonts w:hint="eastAsia" w:ascii="仿宋" w:hAnsi="仿宋" w:eastAsia="仿宋" w:cs="仿宋"/>
          <w:color w:val="auto"/>
          <w:spacing w:val="20"/>
          <w:sz w:val="24"/>
          <w:szCs w:val="24"/>
          <w:highlight w:val="none"/>
        </w:rPr>
      </w:pPr>
    </w:p>
    <w:p w14:paraId="01380D0E">
      <w:pPr>
        <w:rPr>
          <w:rFonts w:hint="eastAsia" w:ascii="仿宋" w:hAnsi="仿宋" w:eastAsia="仿宋" w:cs="仿宋"/>
          <w:color w:val="auto"/>
          <w:spacing w:val="20"/>
          <w:sz w:val="24"/>
          <w:szCs w:val="24"/>
          <w:highlight w:val="none"/>
        </w:rPr>
      </w:pPr>
    </w:p>
    <w:p w14:paraId="5198A66A">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p>
    <w:p w14:paraId="1EE01E4F">
      <w:pPr>
        <w:rPr>
          <w:rFonts w:hint="eastAsia" w:ascii="仿宋" w:hAnsi="仿宋" w:eastAsia="仿宋" w:cs="仿宋"/>
          <w:color w:val="auto"/>
          <w:spacing w:val="20"/>
          <w:sz w:val="24"/>
          <w:szCs w:val="24"/>
          <w:highlight w:val="none"/>
        </w:rPr>
      </w:pPr>
    </w:p>
    <w:p w14:paraId="1CF58EAB">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p>
    <w:p w14:paraId="1CC4F1E5">
      <w:pPr>
        <w:rPr>
          <w:rFonts w:hint="eastAsia" w:ascii="仿宋" w:hAnsi="仿宋" w:eastAsia="仿宋" w:cs="仿宋"/>
          <w:color w:val="auto"/>
          <w:spacing w:val="20"/>
          <w:sz w:val="24"/>
          <w:szCs w:val="24"/>
          <w:highlight w:val="none"/>
          <w:u w:val="single"/>
        </w:rPr>
      </w:pPr>
    </w:p>
    <w:p w14:paraId="4133B036">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附件17：报价文件封面</w:t>
      </w:r>
    </w:p>
    <w:p w14:paraId="511E2AE8">
      <w:pPr>
        <w:snapToGrid w:val="0"/>
        <w:spacing w:beforeLines="50" w:after="50"/>
        <w:jc w:val="right"/>
        <w:rPr>
          <w:rFonts w:hint="eastAsia" w:ascii="仿宋" w:hAnsi="仿宋" w:eastAsia="仿宋" w:cs="仿宋"/>
          <w:b/>
          <w:color w:val="auto"/>
          <w:sz w:val="30"/>
          <w:szCs w:val="30"/>
          <w:highlight w:val="none"/>
        </w:rPr>
      </w:pPr>
    </w:p>
    <w:p w14:paraId="1FCD0809">
      <w:pPr>
        <w:snapToGrid w:val="0"/>
        <w:spacing w:beforeLines="50" w:after="50"/>
        <w:jc w:val="right"/>
        <w:rPr>
          <w:rFonts w:hint="eastAsia" w:ascii="仿宋" w:hAnsi="仿宋" w:eastAsia="仿宋" w:cs="仿宋"/>
          <w:bCs/>
          <w:color w:val="auto"/>
          <w:sz w:val="30"/>
          <w:szCs w:val="30"/>
          <w:highlight w:val="none"/>
        </w:rPr>
      </w:pPr>
    </w:p>
    <w:p w14:paraId="1507414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31AE0D1B">
      <w:pPr>
        <w:spacing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29CD8000">
      <w:pPr>
        <w:spacing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1B061B03">
      <w:pPr>
        <w:spacing w:line="1200" w:lineRule="exact"/>
        <w:ind w:right="6"/>
        <w:jc w:val="center"/>
        <w:rPr>
          <w:rFonts w:hint="eastAsia" w:ascii="仿宋" w:hAnsi="仿宋" w:eastAsia="仿宋" w:cs="仿宋"/>
          <w:color w:val="auto"/>
          <w:sz w:val="72"/>
          <w:szCs w:val="72"/>
          <w:highlight w:val="none"/>
        </w:rPr>
      </w:pPr>
    </w:p>
    <w:p w14:paraId="3C4CA7D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5E58C53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094BCB2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550FE17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47824D8">
      <w:pPr>
        <w:spacing w:line="1200" w:lineRule="exact"/>
        <w:ind w:right="6"/>
        <w:jc w:val="center"/>
        <w:rPr>
          <w:rFonts w:hint="eastAsia" w:ascii="仿宋" w:hAnsi="仿宋" w:eastAsia="仿宋" w:cs="仿宋"/>
          <w:color w:val="auto"/>
          <w:sz w:val="72"/>
          <w:szCs w:val="72"/>
          <w:highlight w:val="none"/>
        </w:rPr>
      </w:pPr>
    </w:p>
    <w:p w14:paraId="3DD68B89">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供应商名称（盖章）：</w:t>
      </w:r>
    </w:p>
    <w:p w14:paraId="7CF86405">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4EA44E63">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693CE155">
      <w:pPr>
        <w:rPr>
          <w:rFonts w:hint="eastAsia" w:ascii="仿宋" w:hAnsi="仿宋" w:eastAsia="仿宋" w:cs="仿宋"/>
          <w:color w:val="auto"/>
          <w:sz w:val="24"/>
          <w:highlight w:val="none"/>
        </w:rPr>
      </w:pPr>
    </w:p>
    <w:p w14:paraId="01E6D04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941176C">
      <w:pPr>
        <w:snapToGrid w:val="0"/>
        <w:spacing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附件18：报价文件目录</w:t>
      </w:r>
    </w:p>
    <w:p w14:paraId="505EECA8">
      <w:pPr>
        <w:snapToGrid w:val="0"/>
        <w:spacing w:beforeLines="50" w:after="50"/>
        <w:jc w:val="left"/>
        <w:rPr>
          <w:rFonts w:hint="eastAsia" w:ascii="仿宋" w:hAnsi="仿宋" w:eastAsia="仿宋" w:cs="仿宋"/>
          <w:color w:val="auto"/>
          <w:sz w:val="30"/>
          <w:szCs w:val="30"/>
          <w:highlight w:val="none"/>
        </w:rPr>
      </w:pPr>
    </w:p>
    <w:p w14:paraId="1C97DBF8">
      <w:pPr>
        <w:pStyle w:val="44"/>
        <w:spacing w:line="360" w:lineRule="auto"/>
        <w:ind w:firstLine="0" w:firstLineChars="0"/>
        <w:jc w:val="center"/>
        <w:rPr>
          <w:rFonts w:hint="eastAsia" w:ascii="仿宋" w:hAnsi="仿宋" w:eastAsia="仿宋" w:cs="仿宋"/>
          <w:color w:val="auto"/>
          <w:highlight w:val="none"/>
        </w:rPr>
      </w:pPr>
      <w:bookmarkStart w:id="62" w:name="_Toc64369825"/>
      <w:r>
        <w:rPr>
          <w:rFonts w:hint="eastAsia" w:ascii="仿宋" w:hAnsi="仿宋" w:eastAsia="仿宋" w:cs="仿宋"/>
          <w:color w:val="auto"/>
          <w:highlight w:val="none"/>
        </w:rPr>
        <w:t>目 录</w:t>
      </w:r>
      <w:bookmarkEnd w:id="62"/>
    </w:p>
    <w:p w14:paraId="54ADA832">
      <w:pPr>
        <w:pStyle w:val="44"/>
        <w:numPr>
          <w:ilvl w:val="0"/>
          <w:numId w:val="13"/>
        </w:num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第一阶段响应报价表 ……………………………………………………（页码）</w:t>
      </w:r>
    </w:p>
    <w:p w14:paraId="5955D7E7">
      <w:pPr>
        <w:pStyle w:val="44"/>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2.关于报价的其他说明（如有，自拟）……………………………………（页码）</w:t>
      </w:r>
    </w:p>
    <w:p w14:paraId="07910B2F">
      <w:pPr>
        <w:snapToGrid w:val="0"/>
        <w:spacing w:before="50" w:after="50"/>
        <w:jc w:val="left"/>
        <w:rPr>
          <w:rFonts w:hint="eastAsia" w:ascii="仿宋" w:hAnsi="仿宋" w:eastAsia="仿宋" w:cs="仿宋"/>
          <w:b/>
          <w:color w:val="auto"/>
          <w:sz w:val="36"/>
          <w:szCs w:val="36"/>
          <w:highlight w:val="none"/>
        </w:rPr>
      </w:pPr>
    </w:p>
    <w:p w14:paraId="70F57D68">
      <w:pPr>
        <w:snapToGrid w:val="0"/>
        <w:spacing w:before="50" w:after="50"/>
        <w:jc w:val="left"/>
        <w:rPr>
          <w:rFonts w:hint="eastAsia" w:ascii="仿宋" w:hAnsi="仿宋" w:eastAsia="仿宋" w:cs="仿宋"/>
          <w:b/>
          <w:color w:val="auto"/>
          <w:sz w:val="36"/>
          <w:szCs w:val="36"/>
          <w:highlight w:val="none"/>
        </w:rPr>
      </w:pPr>
    </w:p>
    <w:p w14:paraId="45FE20E1">
      <w:pPr>
        <w:snapToGrid w:val="0"/>
        <w:spacing w:before="50" w:after="50"/>
        <w:jc w:val="left"/>
        <w:rPr>
          <w:rFonts w:hint="eastAsia" w:ascii="仿宋" w:hAnsi="仿宋" w:eastAsia="仿宋" w:cs="仿宋"/>
          <w:b/>
          <w:color w:val="auto"/>
          <w:sz w:val="36"/>
          <w:szCs w:val="36"/>
          <w:highlight w:val="none"/>
        </w:rPr>
      </w:pPr>
    </w:p>
    <w:p w14:paraId="7B0BEB30">
      <w:pPr>
        <w:snapToGrid w:val="0"/>
        <w:spacing w:before="50" w:after="50"/>
        <w:jc w:val="left"/>
        <w:rPr>
          <w:rFonts w:hint="eastAsia" w:ascii="仿宋" w:hAnsi="仿宋" w:eastAsia="仿宋" w:cs="仿宋"/>
          <w:b/>
          <w:color w:val="auto"/>
          <w:sz w:val="36"/>
          <w:szCs w:val="36"/>
          <w:highlight w:val="none"/>
        </w:rPr>
      </w:pPr>
    </w:p>
    <w:p w14:paraId="14E18C79">
      <w:pPr>
        <w:snapToGrid w:val="0"/>
        <w:spacing w:before="50" w:after="50"/>
        <w:jc w:val="left"/>
        <w:rPr>
          <w:rFonts w:hint="eastAsia" w:ascii="仿宋" w:hAnsi="仿宋" w:eastAsia="仿宋" w:cs="仿宋"/>
          <w:b/>
          <w:color w:val="auto"/>
          <w:sz w:val="36"/>
          <w:szCs w:val="36"/>
          <w:highlight w:val="none"/>
        </w:rPr>
      </w:pPr>
    </w:p>
    <w:p w14:paraId="37426C80">
      <w:pPr>
        <w:snapToGrid w:val="0"/>
        <w:spacing w:before="50" w:after="50"/>
        <w:jc w:val="left"/>
        <w:rPr>
          <w:rFonts w:hint="eastAsia" w:ascii="仿宋" w:hAnsi="仿宋" w:eastAsia="仿宋" w:cs="仿宋"/>
          <w:b/>
          <w:color w:val="auto"/>
          <w:sz w:val="36"/>
          <w:szCs w:val="36"/>
          <w:highlight w:val="none"/>
        </w:rPr>
      </w:pPr>
    </w:p>
    <w:p w14:paraId="26BB4820">
      <w:pPr>
        <w:snapToGrid w:val="0"/>
        <w:spacing w:before="50" w:after="50"/>
        <w:jc w:val="left"/>
        <w:rPr>
          <w:rFonts w:hint="eastAsia" w:ascii="仿宋" w:hAnsi="仿宋" w:eastAsia="仿宋" w:cs="仿宋"/>
          <w:b/>
          <w:color w:val="auto"/>
          <w:sz w:val="36"/>
          <w:szCs w:val="36"/>
          <w:highlight w:val="none"/>
        </w:rPr>
      </w:pPr>
    </w:p>
    <w:p w14:paraId="0533D03A">
      <w:pPr>
        <w:snapToGrid w:val="0"/>
        <w:spacing w:before="50" w:after="50"/>
        <w:jc w:val="left"/>
        <w:rPr>
          <w:rFonts w:hint="eastAsia" w:ascii="仿宋" w:hAnsi="仿宋" w:eastAsia="仿宋" w:cs="仿宋"/>
          <w:b/>
          <w:color w:val="auto"/>
          <w:sz w:val="36"/>
          <w:szCs w:val="36"/>
          <w:highlight w:val="none"/>
        </w:rPr>
      </w:pPr>
    </w:p>
    <w:p w14:paraId="6D5D1E8D">
      <w:pPr>
        <w:snapToGrid w:val="0"/>
        <w:spacing w:before="50" w:after="50"/>
        <w:jc w:val="left"/>
        <w:rPr>
          <w:rFonts w:hint="eastAsia" w:ascii="仿宋" w:hAnsi="仿宋" w:eastAsia="仿宋" w:cs="仿宋"/>
          <w:b/>
          <w:color w:val="auto"/>
          <w:sz w:val="36"/>
          <w:szCs w:val="36"/>
          <w:highlight w:val="none"/>
        </w:rPr>
      </w:pPr>
    </w:p>
    <w:p w14:paraId="21795E1C">
      <w:pPr>
        <w:snapToGrid w:val="0"/>
        <w:spacing w:before="50" w:after="50"/>
        <w:jc w:val="left"/>
        <w:rPr>
          <w:rFonts w:hint="eastAsia" w:ascii="仿宋" w:hAnsi="仿宋" w:eastAsia="仿宋" w:cs="仿宋"/>
          <w:b/>
          <w:color w:val="auto"/>
          <w:sz w:val="36"/>
          <w:szCs w:val="36"/>
          <w:highlight w:val="none"/>
        </w:rPr>
      </w:pPr>
    </w:p>
    <w:p w14:paraId="460A1719">
      <w:pPr>
        <w:snapToGrid w:val="0"/>
        <w:spacing w:before="50" w:after="50"/>
        <w:jc w:val="left"/>
        <w:rPr>
          <w:rFonts w:hint="eastAsia" w:ascii="仿宋" w:hAnsi="仿宋" w:eastAsia="仿宋" w:cs="仿宋"/>
          <w:b/>
          <w:color w:val="auto"/>
          <w:sz w:val="36"/>
          <w:szCs w:val="36"/>
          <w:highlight w:val="none"/>
        </w:rPr>
      </w:pPr>
    </w:p>
    <w:p w14:paraId="2FDF4876">
      <w:pPr>
        <w:snapToGrid w:val="0"/>
        <w:spacing w:before="50" w:after="50"/>
        <w:jc w:val="left"/>
        <w:rPr>
          <w:rFonts w:hint="eastAsia" w:ascii="仿宋" w:hAnsi="仿宋" w:eastAsia="仿宋" w:cs="仿宋"/>
          <w:b/>
          <w:color w:val="auto"/>
          <w:sz w:val="36"/>
          <w:szCs w:val="36"/>
          <w:highlight w:val="none"/>
        </w:rPr>
      </w:pPr>
    </w:p>
    <w:p w14:paraId="5BC09546">
      <w:pPr>
        <w:snapToGrid w:val="0"/>
        <w:spacing w:before="50" w:after="50"/>
        <w:jc w:val="left"/>
        <w:rPr>
          <w:rFonts w:hint="eastAsia" w:ascii="仿宋" w:hAnsi="仿宋" w:eastAsia="仿宋" w:cs="仿宋"/>
          <w:b/>
          <w:color w:val="auto"/>
          <w:sz w:val="36"/>
          <w:szCs w:val="36"/>
          <w:highlight w:val="none"/>
        </w:rPr>
      </w:pPr>
    </w:p>
    <w:p w14:paraId="2B712CF1">
      <w:pPr>
        <w:snapToGrid w:val="0"/>
        <w:spacing w:before="50" w:after="50"/>
        <w:jc w:val="left"/>
        <w:rPr>
          <w:rFonts w:hint="eastAsia" w:ascii="仿宋" w:hAnsi="仿宋" w:eastAsia="仿宋" w:cs="仿宋"/>
          <w:b/>
          <w:color w:val="auto"/>
          <w:sz w:val="36"/>
          <w:szCs w:val="36"/>
          <w:highlight w:val="none"/>
        </w:rPr>
      </w:pPr>
    </w:p>
    <w:p w14:paraId="4588D115">
      <w:pPr>
        <w:snapToGrid w:val="0"/>
        <w:spacing w:before="50" w:after="50"/>
        <w:jc w:val="left"/>
        <w:rPr>
          <w:rFonts w:hint="eastAsia" w:ascii="仿宋" w:hAnsi="仿宋" w:eastAsia="仿宋" w:cs="仿宋"/>
          <w:b/>
          <w:color w:val="auto"/>
          <w:sz w:val="36"/>
          <w:szCs w:val="36"/>
          <w:highlight w:val="none"/>
        </w:rPr>
      </w:pPr>
    </w:p>
    <w:p w14:paraId="644E792B">
      <w:pPr>
        <w:snapToGrid w:val="0"/>
        <w:spacing w:before="50" w:after="50"/>
        <w:jc w:val="left"/>
        <w:rPr>
          <w:rFonts w:hint="eastAsia" w:ascii="仿宋" w:hAnsi="仿宋" w:eastAsia="仿宋" w:cs="仿宋"/>
          <w:b/>
          <w:color w:val="auto"/>
          <w:sz w:val="36"/>
          <w:szCs w:val="36"/>
          <w:highlight w:val="none"/>
        </w:rPr>
      </w:pPr>
    </w:p>
    <w:p w14:paraId="0C260E56">
      <w:pPr>
        <w:snapToGrid w:val="0"/>
        <w:spacing w:before="50" w:after="50"/>
        <w:jc w:val="left"/>
        <w:rPr>
          <w:rFonts w:hint="eastAsia" w:ascii="仿宋" w:hAnsi="仿宋" w:eastAsia="仿宋" w:cs="仿宋"/>
          <w:b/>
          <w:color w:val="auto"/>
          <w:sz w:val="36"/>
          <w:szCs w:val="36"/>
          <w:highlight w:val="none"/>
        </w:rPr>
      </w:pPr>
    </w:p>
    <w:p w14:paraId="6892DA85">
      <w:pPr>
        <w:snapToGrid w:val="0"/>
        <w:spacing w:before="50" w:after="50"/>
        <w:jc w:val="left"/>
        <w:rPr>
          <w:rFonts w:hint="eastAsia" w:ascii="仿宋" w:hAnsi="仿宋" w:eastAsia="仿宋" w:cs="仿宋"/>
          <w:b/>
          <w:color w:val="auto"/>
          <w:sz w:val="36"/>
          <w:szCs w:val="36"/>
          <w:highlight w:val="none"/>
        </w:rPr>
      </w:pPr>
    </w:p>
    <w:p w14:paraId="014999E3">
      <w:pPr>
        <w:snapToGrid w:val="0"/>
        <w:spacing w:before="50" w:after="50"/>
        <w:jc w:val="left"/>
        <w:rPr>
          <w:rFonts w:hint="eastAsia" w:ascii="仿宋" w:hAnsi="仿宋" w:eastAsia="仿宋" w:cs="仿宋"/>
          <w:b/>
          <w:color w:val="auto"/>
          <w:sz w:val="36"/>
          <w:szCs w:val="36"/>
          <w:highlight w:val="none"/>
        </w:rPr>
      </w:pPr>
    </w:p>
    <w:p w14:paraId="6F405B66">
      <w:pPr>
        <w:snapToGrid w:val="0"/>
        <w:spacing w:before="50" w:after="50"/>
        <w:jc w:val="left"/>
        <w:rPr>
          <w:rFonts w:hint="eastAsia" w:ascii="仿宋" w:hAnsi="仿宋" w:eastAsia="仿宋" w:cs="仿宋"/>
          <w:b/>
          <w:color w:val="auto"/>
          <w:sz w:val="36"/>
          <w:szCs w:val="36"/>
          <w:highlight w:val="none"/>
        </w:rPr>
      </w:pPr>
    </w:p>
    <w:p w14:paraId="0018D4E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FF3B504">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附件19：</w:t>
      </w:r>
    </w:p>
    <w:p w14:paraId="292710D2">
      <w:pPr>
        <w:spacing w:line="4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第一阶段响应报价表（标项一）</w:t>
      </w:r>
    </w:p>
    <w:p w14:paraId="257AD40F">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供应商地址：</w:t>
      </w:r>
    </w:p>
    <w:p w14:paraId="093CD444">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标项：</w:t>
      </w:r>
    </w:p>
    <w:p w14:paraId="54390A36">
      <w:pPr>
        <w:snapToGrid w:val="0"/>
        <w:spacing w:line="400" w:lineRule="exact"/>
        <w:rPr>
          <w:rFonts w:hint="eastAsia" w:ascii="仿宋" w:hAnsi="仿宋" w:eastAsia="仿宋" w:cs="仿宋"/>
          <w:color w:val="auto"/>
          <w:sz w:val="24"/>
          <w:highlight w:val="none"/>
          <w:u w:val="single"/>
        </w:rPr>
      </w:pPr>
    </w:p>
    <w:tbl>
      <w:tblPr>
        <w:tblStyle w:val="31"/>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197"/>
        <w:gridCol w:w="1483"/>
        <w:gridCol w:w="1502"/>
        <w:gridCol w:w="2115"/>
      </w:tblGrid>
      <w:tr w14:paraId="7CB8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76" w:type="dxa"/>
            <w:gridSpan w:val="5"/>
            <w:noWrap w:val="0"/>
            <w:vAlign w:val="bottom"/>
          </w:tcPr>
          <w:p w14:paraId="6B52C9AB">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服务类</w:t>
            </w:r>
          </w:p>
        </w:tc>
      </w:tr>
      <w:tr w14:paraId="631F81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3" w:hRule="atLeast"/>
        </w:trPr>
        <w:tc>
          <w:tcPr>
            <w:tcW w:w="679" w:type="dxa"/>
            <w:tcBorders>
              <w:top w:val="single" w:color="auto" w:sz="6" w:space="0"/>
              <w:left w:val="single" w:color="auto" w:sz="6" w:space="0"/>
              <w:bottom w:val="single" w:color="auto" w:sz="6" w:space="0"/>
              <w:right w:val="single" w:color="auto" w:sz="6" w:space="0"/>
            </w:tcBorders>
            <w:noWrap w:val="0"/>
            <w:vAlign w:val="center"/>
          </w:tcPr>
          <w:p w14:paraId="1ACA99B7">
            <w:pPr>
              <w:autoSpaceDE w:val="0"/>
              <w:autoSpaceDN w:val="0"/>
              <w:spacing w:line="360" w:lineRule="exact"/>
              <w:jc w:val="center"/>
              <w:rPr>
                <w:rFonts w:hint="eastAsia" w:ascii="仿宋" w:hAnsi="仿宋" w:eastAsia="仿宋" w:cs="仿宋"/>
                <w:b/>
                <w:bCs/>
                <w:strike/>
                <w:color w:val="auto"/>
                <w:sz w:val="24"/>
                <w:highlight w:val="none"/>
              </w:rPr>
            </w:pPr>
            <w:r>
              <w:rPr>
                <w:rFonts w:hint="eastAsia" w:ascii="仿宋" w:hAnsi="仿宋" w:eastAsia="仿宋" w:cs="仿宋"/>
                <w:b/>
                <w:bCs/>
                <w:color w:val="auto"/>
                <w:sz w:val="24"/>
                <w:highlight w:val="none"/>
                <w:lang w:val="zh-CN"/>
              </w:rPr>
              <w:t>序号</w:t>
            </w:r>
          </w:p>
        </w:tc>
        <w:tc>
          <w:tcPr>
            <w:tcW w:w="3197" w:type="dxa"/>
            <w:tcBorders>
              <w:top w:val="single" w:color="auto" w:sz="6" w:space="0"/>
              <w:left w:val="single" w:color="auto" w:sz="6" w:space="0"/>
              <w:bottom w:val="single" w:color="auto" w:sz="6" w:space="0"/>
              <w:right w:val="single" w:color="auto" w:sz="6" w:space="0"/>
            </w:tcBorders>
            <w:noWrap w:val="0"/>
            <w:vAlign w:val="center"/>
          </w:tcPr>
          <w:p w14:paraId="7E7BC86E">
            <w:pPr>
              <w:autoSpaceDE w:val="0"/>
              <w:autoSpaceDN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项目内容</w:t>
            </w:r>
          </w:p>
        </w:tc>
        <w:tc>
          <w:tcPr>
            <w:tcW w:w="1483" w:type="dxa"/>
            <w:tcBorders>
              <w:top w:val="single" w:color="auto" w:sz="6" w:space="0"/>
              <w:left w:val="single" w:color="auto" w:sz="6" w:space="0"/>
              <w:bottom w:val="single" w:color="auto" w:sz="6" w:space="0"/>
              <w:right w:val="single" w:color="auto" w:sz="6" w:space="0"/>
            </w:tcBorders>
            <w:noWrap w:val="0"/>
            <w:vAlign w:val="center"/>
          </w:tcPr>
          <w:p w14:paraId="1B5AA8F2">
            <w:pPr>
              <w:snapToGrid w:val="0"/>
              <w:ind w:left="-107" w:leftChars="-51"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建筑面积</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4F7BF90">
            <w:pPr>
              <w:snapToGrid w:val="0"/>
              <w:ind w:left="-107" w:leftChars="-51"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最高限制单价</w:t>
            </w:r>
            <w:r>
              <w:rPr>
                <w:rFonts w:hint="eastAsia" w:ascii="仿宋" w:hAnsi="仿宋" w:eastAsia="仿宋" w:cs="仿宋"/>
                <w:b/>
                <w:bCs/>
                <w:color w:val="auto"/>
                <w:sz w:val="24"/>
                <w:highlight w:val="none"/>
              </w:rPr>
              <w:t>（元/㎡）</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32AC47A6">
            <w:pPr>
              <w:autoSpaceDE w:val="0"/>
              <w:autoSpaceDN w:val="0"/>
              <w:spacing w:line="360" w:lineRule="exact"/>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响应报价（折扣率）</w:t>
            </w:r>
          </w:p>
        </w:tc>
      </w:tr>
      <w:tr w14:paraId="705244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4" w:hRule="atLeast"/>
        </w:trPr>
        <w:tc>
          <w:tcPr>
            <w:tcW w:w="679" w:type="dxa"/>
            <w:tcBorders>
              <w:top w:val="single" w:color="auto" w:sz="6" w:space="0"/>
              <w:left w:val="single" w:color="auto" w:sz="6" w:space="0"/>
              <w:bottom w:val="single" w:color="auto" w:sz="6" w:space="0"/>
              <w:right w:val="single" w:color="auto" w:sz="6" w:space="0"/>
            </w:tcBorders>
            <w:noWrap w:val="0"/>
            <w:vAlign w:val="center"/>
          </w:tcPr>
          <w:p w14:paraId="764289D8">
            <w:pPr>
              <w:autoSpaceDE w:val="0"/>
              <w:autoSpaceDN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7" w:type="dxa"/>
            <w:tcBorders>
              <w:top w:val="single" w:color="auto" w:sz="6" w:space="0"/>
              <w:left w:val="single" w:color="auto" w:sz="6" w:space="0"/>
              <w:bottom w:val="single" w:color="auto" w:sz="6" w:space="0"/>
              <w:right w:val="single" w:color="auto" w:sz="6" w:space="0"/>
            </w:tcBorders>
            <w:noWrap w:val="0"/>
            <w:vAlign w:val="center"/>
          </w:tcPr>
          <w:p w14:paraId="41EFD406">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2025年度消防技术服务框架协议（封闭式）采购项目</w:t>
            </w:r>
          </w:p>
        </w:tc>
        <w:tc>
          <w:tcPr>
            <w:tcW w:w="1483" w:type="dxa"/>
            <w:tcBorders>
              <w:top w:val="single" w:color="auto" w:sz="6" w:space="0"/>
              <w:left w:val="single" w:color="auto" w:sz="6" w:space="0"/>
              <w:bottom w:val="single" w:color="auto" w:sz="6" w:space="0"/>
              <w:right w:val="single" w:color="auto" w:sz="6" w:space="0"/>
            </w:tcBorders>
            <w:noWrap w:val="0"/>
            <w:vAlign w:val="center"/>
          </w:tcPr>
          <w:p w14:paraId="79846147">
            <w:pPr>
              <w:snapToGrid w:val="0"/>
              <w:ind w:left="-107" w:leftChars="-51" w:right="-107" w:rightChars="-51" w:firstLine="1"/>
              <w:jc w:val="center"/>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不执行分段累进</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227926F">
            <w:pPr>
              <w:snapToGrid w:val="0"/>
              <w:ind w:left="-107" w:leftChars="-51" w:right="-107" w:rightChars="-51" w:firstLine="1"/>
              <w:jc w:val="center"/>
              <w:rPr>
                <w:rFonts w:hint="eastAsia" w:ascii="仿宋" w:hAnsi="仿宋" w:eastAsia="仿宋" w:cs="仿宋"/>
                <w:color w:val="auto"/>
                <w:sz w:val="24"/>
                <w:highlight w:val="none"/>
                <w:lang w:eastAsia="zh-CN"/>
              </w:rPr>
            </w:pPr>
            <w:r>
              <w:rPr>
                <w:rFonts w:hint="eastAsia" w:ascii="仿宋" w:hAnsi="仿宋" w:eastAsia="仿宋" w:cs="仿宋"/>
                <w:color w:val="auto"/>
                <w:spacing w:val="20"/>
                <w:sz w:val="24"/>
                <w:highlight w:val="none"/>
                <w:lang w:eastAsia="zh-CN"/>
              </w:rPr>
              <w:t>1.2</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6EB77311">
            <w:pPr>
              <w:autoSpaceDE w:val="0"/>
              <w:autoSpaceDN w:val="0"/>
              <w:spacing w:line="340" w:lineRule="exact"/>
              <w:rPr>
                <w:rFonts w:hint="eastAsia" w:ascii="仿宋" w:hAnsi="仿宋" w:eastAsia="仿宋" w:cs="仿宋"/>
                <w:color w:val="auto"/>
                <w:sz w:val="24"/>
                <w:highlight w:val="none"/>
              </w:rPr>
            </w:pPr>
          </w:p>
        </w:tc>
      </w:tr>
      <w:tr w14:paraId="2AC80A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4" w:hRule="atLeast"/>
        </w:trPr>
        <w:tc>
          <w:tcPr>
            <w:tcW w:w="5359" w:type="dxa"/>
            <w:gridSpan w:val="3"/>
            <w:tcBorders>
              <w:top w:val="single" w:color="auto" w:sz="6" w:space="0"/>
              <w:left w:val="single" w:color="auto" w:sz="6" w:space="0"/>
              <w:bottom w:val="single" w:color="auto" w:sz="6" w:space="0"/>
              <w:right w:val="single" w:color="auto" w:sz="6" w:space="0"/>
            </w:tcBorders>
            <w:noWrap w:val="0"/>
            <w:vAlign w:val="center"/>
          </w:tcPr>
          <w:p w14:paraId="57DFDA11">
            <w:pPr>
              <w:snapToGrid w:val="0"/>
              <w:ind w:left="-107" w:leftChars="-51" w:right="-107" w:rightChars="-51" w:firstLine="1"/>
              <w:jc w:val="center"/>
              <w:rPr>
                <w:rFonts w:hint="eastAsia" w:ascii="仿宋" w:hAnsi="仿宋" w:eastAsia="仿宋" w:cs="仿宋"/>
                <w:color w:val="auto"/>
                <w:spacing w:val="20"/>
                <w:sz w:val="24"/>
                <w:highlight w:val="none"/>
              </w:rPr>
            </w:pPr>
            <w:r>
              <w:rPr>
                <w:rFonts w:hint="eastAsia" w:ascii="仿宋" w:hAnsi="仿宋" w:eastAsia="仿宋" w:cs="仿宋"/>
                <w:b/>
                <w:snapToGrid w:val="0"/>
                <w:color w:val="auto"/>
                <w:kern w:val="0"/>
                <w:sz w:val="22"/>
                <w:highlight w:val="none"/>
              </w:rPr>
              <w:t>响应报价（折扣率）</w:t>
            </w:r>
          </w:p>
        </w:tc>
        <w:tc>
          <w:tcPr>
            <w:tcW w:w="3617" w:type="dxa"/>
            <w:gridSpan w:val="2"/>
            <w:tcBorders>
              <w:top w:val="single" w:color="auto" w:sz="6" w:space="0"/>
              <w:left w:val="single" w:color="auto" w:sz="6" w:space="0"/>
              <w:bottom w:val="single" w:color="auto" w:sz="6" w:space="0"/>
              <w:right w:val="single" w:color="auto" w:sz="6" w:space="0"/>
            </w:tcBorders>
            <w:noWrap w:val="0"/>
            <w:vAlign w:val="center"/>
          </w:tcPr>
          <w:p w14:paraId="45F83B44">
            <w:pPr>
              <w:autoSpaceDE w:val="0"/>
              <w:autoSpaceDN w:val="0"/>
              <w:spacing w:line="340" w:lineRule="exact"/>
              <w:rPr>
                <w:rFonts w:hint="eastAsia" w:ascii="仿宋" w:hAnsi="仿宋" w:eastAsia="仿宋" w:cs="仿宋"/>
                <w:color w:val="auto"/>
                <w:sz w:val="24"/>
                <w:highlight w:val="none"/>
              </w:rPr>
            </w:pPr>
            <w:r>
              <w:rPr>
                <w:rFonts w:hint="eastAsia" w:ascii="仿宋" w:hAnsi="仿宋" w:eastAsia="仿宋" w:cs="仿宋"/>
                <w:bCs/>
                <w:snapToGrid w:val="0"/>
                <w:color w:val="auto"/>
                <w:kern w:val="0"/>
                <w:sz w:val="22"/>
                <w:highlight w:val="none"/>
              </w:rPr>
              <w:t xml:space="preserve">大写：    </w:t>
            </w:r>
          </w:p>
        </w:tc>
      </w:tr>
    </w:tbl>
    <w:p w14:paraId="27D1CC0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lang w:val="zh-CN"/>
        </w:rPr>
        <w:t>政采云投标客户端第一阶段响应报价表内容与响应文件第一阶段响应报价表相应内容不一致的，以响应文件第一阶段响应报价表(报价表)为准。</w:t>
      </w:r>
    </w:p>
    <w:p w14:paraId="23092378">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2.</w:t>
      </w:r>
      <w:r>
        <w:rPr>
          <w:rFonts w:hint="eastAsia" w:ascii="仿宋" w:hAnsi="仿宋" w:eastAsia="仿宋" w:cs="仿宋"/>
          <w:b w:val="0"/>
          <w:bCs/>
          <w:color w:val="auto"/>
          <w:kern w:val="0"/>
          <w:sz w:val="24"/>
          <w:szCs w:val="24"/>
          <w:highlight w:val="none"/>
          <w:lang w:val="zh-CN" w:eastAsia="zh-CN" w:bidi="ar-SA"/>
        </w:rPr>
        <w:t>★响应报价（折扣率）小数位</w:t>
      </w:r>
      <w:r>
        <w:rPr>
          <w:rFonts w:hint="eastAsia" w:ascii="仿宋" w:hAnsi="仿宋" w:cs="仿宋"/>
          <w:b w:val="0"/>
          <w:bCs/>
          <w:color w:val="auto"/>
          <w:kern w:val="0"/>
          <w:sz w:val="24"/>
          <w:szCs w:val="24"/>
          <w:highlight w:val="none"/>
          <w:lang w:val="en-US" w:eastAsia="zh-CN" w:bidi="ar-SA"/>
        </w:rPr>
        <w:t>最多</w:t>
      </w:r>
      <w:r>
        <w:rPr>
          <w:rFonts w:hint="eastAsia" w:ascii="仿宋" w:hAnsi="仿宋" w:eastAsia="仿宋" w:cs="仿宋"/>
          <w:b w:val="0"/>
          <w:bCs/>
          <w:color w:val="auto"/>
          <w:kern w:val="0"/>
          <w:sz w:val="24"/>
          <w:szCs w:val="24"/>
          <w:highlight w:val="none"/>
          <w:lang w:val="zh-CN" w:eastAsia="zh-CN" w:bidi="ar-SA"/>
        </w:rPr>
        <w:t>保留</w:t>
      </w:r>
      <w:r>
        <w:rPr>
          <w:rFonts w:hint="eastAsia" w:ascii="仿宋" w:hAnsi="仿宋" w:cs="仿宋"/>
          <w:b w:val="0"/>
          <w:bCs/>
          <w:color w:val="auto"/>
          <w:kern w:val="0"/>
          <w:sz w:val="24"/>
          <w:szCs w:val="24"/>
          <w:highlight w:val="none"/>
          <w:lang w:val="en-US" w:eastAsia="zh-CN" w:bidi="ar-SA"/>
        </w:rPr>
        <w:t>2</w:t>
      </w:r>
      <w:r>
        <w:rPr>
          <w:rFonts w:hint="eastAsia" w:ascii="仿宋" w:hAnsi="仿宋" w:eastAsia="仿宋" w:cs="仿宋"/>
          <w:b w:val="0"/>
          <w:bCs/>
          <w:color w:val="auto"/>
          <w:kern w:val="0"/>
          <w:sz w:val="24"/>
          <w:szCs w:val="24"/>
          <w:highlight w:val="none"/>
          <w:lang w:val="zh-CN" w:eastAsia="zh-CN" w:bidi="ar-SA"/>
        </w:rPr>
        <w:t>位小数，否则按无效标处理。</w:t>
      </w:r>
    </w:p>
    <w:p w14:paraId="72A2EADB">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3.</w:t>
      </w:r>
      <w:r>
        <w:rPr>
          <w:rFonts w:hint="eastAsia" w:ascii="仿宋" w:hAnsi="仿宋" w:eastAsia="仿宋" w:cs="仿宋"/>
          <w:b w:val="0"/>
          <w:bCs/>
          <w:color w:val="auto"/>
          <w:kern w:val="0"/>
          <w:sz w:val="24"/>
          <w:szCs w:val="24"/>
          <w:highlight w:val="none"/>
          <w:lang w:val="zh-CN" w:eastAsia="zh-CN" w:bidi="ar-SA"/>
        </w:rPr>
        <w:t>报价采用折扣率，最高限价以征集人制定的收费标准为基础，以该基准的100%为最高限制单价（或最高限制折扣率），高于该报价按无效标处理。报价不作为评分依据，但作为供应商得分相同时的排序依据。</w:t>
      </w:r>
    </w:p>
    <w:p w14:paraId="679A7BF7">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ascii="仿宋" w:hAnsi="仿宋" w:eastAsia="仿宋" w:cs="仿宋"/>
          <w:b w:val="0"/>
          <w:bCs/>
          <w:color w:val="auto"/>
          <w:kern w:val="0"/>
          <w:sz w:val="24"/>
          <w:szCs w:val="24"/>
          <w:highlight w:val="none"/>
          <w:lang w:val="zh-CN" w:eastAsia="zh-CN" w:bidi="ar-SA"/>
        </w:rPr>
      </w:pPr>
      <w:r>
        <w:rPr>
          <w:rFonts w:hint="eastAsia" w:ascii="仿宋" w:hAnsi="仿宋" w:cs="仿宋"/>
          <w:b w:val="0"/>
          <w:bCs/>
          <w:color w:val="auto"/>
          <w:kern w:val="0"/>
          <w:sz w:val="24"/>
          <w:szCs w:val="24"/>
          <w:highlight w:val="none"/>
          <w:lang w:val="en-US" w:eastAsia="zh-CN" w:bidi="ar-SA"/>
        </w:rPr>
        <w:t>4</w:t>
      </w:r>
      <w:r>
        <w:rPr>
          <w:rFonts w:hint="eastAsia" w:ascii="仿宋" w:hAnsi="仿宋" w:eastAsia="仿宋" w:cs="仿宋"/>
          <w:b w:val="0"/>
          <w:bCs/>
          <w:color w:val="auto"/>
          <w:kern w:val="0"/>
          <w:sz w:val="24"/>
          <w:szCs w:val="24"/>
          <w:highlight w:val="none"/>
          <w:lang w:val="zh-CN" w:eastAsia="zh-CN" w:bidi="ar-SA"/>
        </w:rPr>
        <w:t>.例：如填报响应报价（折扣率）为60.0%，则最结算价款=现场评定建筑面积×最高限制单价*</w:t>
      </w:r>
      <w:r>
        <w:rPr>
          <w:rFonts w:hint="eastAsia" w:ascii="仿宋" w:hAnsi="仿宋" w:cs="仿宋"/>
          <w:b w:val="0"/>
          <w:bCs/>
          <w:color w:val="auto"/>
          <w:kern w:val="0"/>
          <w:sz w:val="24"/>
          <w:szCs w:val="24"/>
          <w:highlight w:val="none"/>
          <w:lang w:val="en-US" w:eastAsia="zh-CN" w:bidi="ar-SA"/>
        </w:rPr>
        <w:t>60%</w:t>
      </w:r>
      <w:r>
        <w:rPr>
          <w:rFonts w:hint="eastAsia" w:ascii="仿宋" w:hAnsi="仿宋" w:cs="仿宋"/>
          <w:b w:val="0"/>
          <w:bCs/>
          <w:color w:val="auto"/>
          <w:kern w:val="0"/>
          <w:sz w:val="24"/>
          <w:szCs w:val="24"/>
          <w:highlight w:val="none"/>
          <w:lang w:val="zh-CN" w:eastAsia="zh-CN" w:bidi="ar-SA"/>
        </w:rPr>
        <w:t>。</w:t>
      </w:r>
    </w:p>
    <w:p w14:paraId="27CE960F">
      <w:pPr>
        <w:pStyle w:val="3"/>
        <w:keepNext w:val="0"/>
        <w:keepLines w:val="0"/>
        <w:pageBreakBefore w:val="0"/>
        <w:widowControl w:val="0"/>
        <w:kinsoku/>
        <w:wordWrap/>
        <w:overflowPunct/>
        <w:topLinePunct w:val="0"/>
        <w:autoSpaceDE/>
        <w:autoSpaceDN/>
        <w:bidi w:val="0"/>
        <w:adjustRightInd/>
        <w:spacing w:before="0" w:after="0" w:line="440" w:lineRule="exact"/>
        <w:ind w:firstLine="480" w:firstLineChars="200"/>
        <w:jc w:val="left"/>
        <w:textAlignment w:val="auto"/>
        <w:rPr>
          <w:rFonts w:hint="eastAsia"/>
          <w:color w:val="auto"/>
          <w:highlight w:val="none"/>
          <w:lang w:val="zh-CN"/>
        </w:rPr>
      </w:pPr>
      <w:r>
        <w:rPr>
          <w:rFonts w:hint="eastAsia" w:ascii="仿宋" w:hAnsi="仿宋" w:cs="仿宋"/>
          <w:b w:val="0"/>
          <w:bCs/>
          <w:color w:val="auto"/>
          <w:kern w:val="0"/>
          <w:sz w:val="24"/>
          <w:szCs w:val="24"/>
          <w:highlight w:val="none"/>
          <w:lang w:val="en-US" w:eastAsia="zh-CN" w:bidi="ar-SA"/>
        </w:rPr>
        <w:t>5</w:t>
      </w:r>
      <w:r>
        <w:rPr>
          <w:rFonts w:hint="eastAsia" w:ascii="仿宋" w:hAnsi="仿宋" w:eastAsia="仿宋" w:cs="仿宋"/>
          <w:b w:val="0"/>
          <w:bCs/>
          <w:color w:val="auto"/>
          <w:kern w:val="0"/>
          <w:sz w:val="24"/>
          <w:szCs w:val="24"/>
          <w:highlight w:val="none"/>
          <w:lang w:val="zh-CN" w:eastAsia="zh-CN" w:bidi="ar-SA"/>
        </w:rPr>
        <w:t>.通过政采云填写报价明细表时需注意：优惠率即为折扣率。</w:t>
      </w:r>
    </w:p>
    <w:p w14:paraId="52853B32">
      <w:pPr>
        <w:snapToGrid w:val="0"/>
        <w:ind w:firstLine="480" w:firstLineChars="200"/>
        <w:jc w:val="right"/>
        <w:rPr>
          <w:rFonts w:hint="eastAsia" w:ascii="仿宋" w:hAnsi="仿宋" w:eastAsia="仿宋" w:cs="仿宋"/>
          <w:color w:val="auto"/>
          <w:sz w:val="24"/>
          <w:highlight w:val="none"/>
        </w:rPr>
      </w:pPr>
      <w:bookmarkStart w:id="63" w:name="_Toc64369827"/>
    </w:p>
    <w:p w14:paraId="2A4F90C8">
      <w:pPr>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14:paraId="2462856E">
      <w:pPr>
        <w:snapToGrid w:val="0"/>
        <w:jc w:val="right"/>
        <w:rPr>
          <w:rFonts w:hint="eastAsia" w:ascii="仿宋" w:hAnsi="仿宋" w:eastAsia="仿宋" w:cs="仿宋"/>
          <w:color w:val="auto"/>
          <w:sz w:val="24"/>
          <w:highlight w:val="none"/>
        </w:rPr>
      </w:pPr>
    </w:p>
    <w:p w14:paraId="0AA037CD">
      <w:pPr>
        <w:snapToGrid w:val="0"/>
        <w:ind w:firstLine="720" w:firstLineChars="3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bookmarkEnd w:id="63"/>
    </w:p>
    <w:p w14:paraId="7CDC2B1F">
      <w:pPr>
        <w:snapToGrid w:val="0"/>
        <w:ind w:firstLine="480" w:firstLineChars="200"/>
        <w:jc w:val="left"/>
        <w:rPr>
          <w:rFonts w:hint="eastAsia" w:ascii="仿宋" w:hAnsi="仿宋" w:eastAsia="仿宋" w:cs="仿宋"/>
          <w:color w:val="auto"/>
          <w:sz w:val="24"/>
          <w:highlight w:val="none"/>
        </w:rPr>
      </w:pPr>
    </w:p>
    <w:p w14:paraId="21AB93CB">
      <w:pPr>
        <w:pStyle w:val="3"/>
        <w:rPr>
          <w:rFonts w:hint="eastAsia" w:ascii="仿宋" w:hAnsi="仿宋" w:eastAsia="仿宋" w:cs="仿宋"/>
          <w:color w:val="auto"/>
          <w:sz w:val="24"/>
          <w:highlight w:val="none"/>
        </w:rPr>
      </w:pPr>
    </w:p>
    <w:p w14:paraId="0608D3C8">
      <w:pPr>
        <w:rPr>
          <w:rFonts w:hint="eastAsia" w:ascii="仿宋" w:hAnsi="仿宋" w:eastAsia="仿宋" w:cs="仿宋"/>
          <w:color w:val="auto"/>
          <w:sz w:val="24"/>
          <w:highlight w:val="none"/>
        </w:rPr>
      </w:pPr>
    </w:p>
    <w:p w14:paraId="35ECB65E">
      <w:pPr>
        <w:pStyle w:val="3"/>
        <w:rPr>
          <w:rFonts w:hint="eastAsia" w:ascii="仿宋" w:hAnsi="仿宋" w:eastAsia="仿宋" w:cs="仿宋"/>
          <w:color w:val="auto"/>
          <w:sz w:val="24"/>
          <w:highlight w:val="none"/>
        </w:rPr>
      </w:pPr>
    </w:p>
    <w:p w14:paraId="58E51F29">
      <w:pPr>
        <w:rPr>
          <w:rFonts w:hint="eastAsia" w:ascii="仿宋" w:hAnsi="仿宋" w:eastAsia="仿宋" w:cs="仿宋"/>
          <w:color w:val="auto"/>
          <w:sz w:val="24"/>
          <w:highlight w:val="none"/>
        </w:rPr>
      </w:pPr>
    </w:p>
    <w:p w14:paraId="24E9161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B747AA5">
      <w:pPr>
        <w:pStyle w:val="2"/>
        <w:rPr>
          <w:rFonts w:hint="eastAsia" w:ascii="仿宋" w:hAnsi="仿宋" w:eastAsia="仿宋" w:cs="仿宋"/>
          <w:color w:val="auto"/>
          <w:highlight w:val="none"/>
        </w:rPr>
      </w:pPr>
      <w:bookmarkStart w:id="64" w:name="_Toc3261"/>
      <w:bookmarkStart w:id="65" w:name="_Toc12011"/>
      <w:r>
        <w:rPr>
          <w:rFonts w:hint="eastAsia" w:ascii="仿宋" w:hAnsi="仿宋" w:eastAsia="仿宋" w:cs="仿宋"/>
          <w:color w:val="auto"/>
          <w:highlight w:val="none"/>
        </w:rPr>
        <w:t>第七章  询问、质疑及投诉</w:t>
      </w:r>
      <w:bookmarkEnd w:id="64"/>
      <w:bookmarkEnd w:id="65"/>
    </w:p>
    <w:p w14:paraId="2D1C9B9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CDD0932">
      <w:pPr>
        <w:pStyle w:val="3"/>
        <w:rPr>
          <w:rFonts w:hint="eastAsia" w:ascii="仿宋" w:hAnsi="仿宋" w:eastAsia="仿宋" w:cs="仿宋"/>
          <w:color w:val="auto"/>
          <w:highlight w:val="none"/>
        </w:rPr>
      </w:pPr>
      <w:bookmarkStart w:id="66" w:name="_Toc29690"/>
      <w:bookmarkStart w:id="67" w:name="_Toc12655"/>
      <w:r>
        <w:rPr>
          <w:rFonts w:hint="eastAsia" w:ascii="仿宋" w:hAnsi="仿宋" w:eastAsia="仿宋" w:cs="仿宋"/>
          <w:color w:val="auto"/>
          <w:highlight w:val="none"/>
        </w:rPr>
        <w:t>一、供应商询问</w:t>
      </w:r>
      <w:bookmarkEnd w:id="66"/>
      <w:bookmarkEnd w:id="67"/>
    </w:p>
    <w:p w14:paraId="4378C208">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对征集文件、采购活动事项有疑问需要解释的，在政采云系统内可以向征集机构提出在线询问（加盖单位CA章），征集机构将在3个工作日内对供应商依法提出的询问作出答复，但答复的内容不得涉及商业秘密。</w:t>
      </w:r>
    </w:p>
    <w:p w14:paraId="0868380C">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1.2征集机构一般通过与询问相同的形式答复。</w:t>
      </w:r>
    </w:p>
    <w:p w14:paraId="3F6B5613">
      <w:pPr>
        <w:pStyle w:val="3"/>
        <w:rPr>
          <w:rFonts w:hint="eastAsia" w:ascii="仿宋" w:hAnsi="仿宋" w:eastAsia="仿宋" w:cs="仿宋"/>
          <w:color w:val="auto"/>
          <w:highlight w:val="none"/>
        </w:rPr>
      </w:pPr>
      <w:bookmarkStart w:id="68" w:name="_Toc28779"/>
      <w:bookmarkStart w:id="69" w:name="_Toc12050"/>
      <w:r>
        <w:rPr>
          <w:rFonts w:hint="eastAsia" w:ascii="仿宋" w:hAnsi="仿宋" w:eastAsia="仿宋" w:cs="仿宋"/>
          <w:color w:val="auto"/>
          <w:highlight w:val="none"/>
        </w:rPr>
        <w:t>二、供应商质疑</w:t>
      </w:r>
      <w:bookmarkEnd w:id="68"/>
      <w:bookmarkEnd w:id="69"/>
    </w:p>
    <w:p w14:paraId="44238968">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6445ACAD">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供应商可以在知道或者应知其权益受到损害之日起七个工作日内，以加盖供应商电子签章的数据电文形式，在政采云系统内向征集机构提出在线质疑：</w:t>
      </w:r>
    </w:p>
    <w:p w14:paraId="22760E8B">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（1）征集公告中的资格条件、获取征集文件时间设定等不符合有关规定，致使供应商不能参与本项目采购活动的，质疑期限自征集公告发布之日起计算。</w:t>
      </w:r>
    </w:p>
    <w:p w14:paraId="7B63A996">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征集文件提出质疑的，质疑期限为供应商获得征集文件之日或者征集公告期限届满之日起计算，但征集文件在征集公告期限届满之日后获得的，应当自征集公告截止之日起计算，且应当在采购响应截止时间之前提出。</w:t>
      </w:r>
    </w:p>
    <w:p w14:paraId="6FA1749D">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C49869F">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4B51C2E5">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78240724">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1C5DA650">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20C182DF">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441A0A25">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0EAF87D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征集机构将在收到供应商的质疑后七个工作日内作出答复，但答复的内容不得涉及商业秘密。征集机构视情以变更公告等形式通知其他与质疑处理结果有利害关系的政府采购当事人。</w:t>
      </w:r>
    </w:p>
    <w:p w14:paraId="517A501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询问或者质疑事项可能影响采购结果的，征集人应当暂停签订合同，已经签订合同的，应当中止履行合同。</w:t>
      </w:r>
    </w:p>
    <w:p w14:paraId="301F9661">
      <w:pPr>
        <w:pStyle w:val="1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79DE60F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供应商可以通过政采云系统撤回已经被受理的质疑书。</w:t>
      </w:r>
    </w:p>
    <w:p w14:paraId="373D705F">
      <w:pPr>
        <w:pStyle w:val="3"/>
        <w:rPr>
          <w:rFonts w:hint="eastAsia" w:ascii="仿宋" w:hAnsi="仿宋" w:eastAsia="仿宋" w:cs="仿宋"/>
          <w:color w:val="auto"/>
          <w:highlight w:val="none"/>
        </w:rPr>
      </w:pPr>
      <w:bookmarkStart w:id="70" w:name="_Toc27469"/>
      <w:bookmarkStart w:id="71" w:name="_Toc18701"/>
      <w:r>
        <w:rPr>
          <w:rFonts w:hint="eastAsia" w:ascii="仿宋" w:hAnsi="仿宋" w:eastAsia="仿宋" w:cs="仿宋"/>
          <w:color w:val="auto"/>
          <w:highlight w:val="none"/>
        </w:rPr>
        <w:t>三、供应商投诉</w:t>
      </w:r>
      <w:bookmarkEnd w:id="70"/>
      <w:bookmarkEnd w:id="71"/>
    </w:p>
    <w:p w14:paraId="7B969F9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64276C8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质疑供应商对征集人、采购代理机构的答复不满意，或者征集人、采购代理机构未在规定时间内作出答复的，可以在答复期满后 15 个工作日内向采购监督部门提起投诉。</w:t>
      </w:r>
    </w:p>
    <w:p w14:paraId="5C74DB67">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0576CA8F">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320C466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416024E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4EF3B2F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17B2376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471CA7E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552A74C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1F68DA9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09C2940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508AA14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3CE0711B">
      <w:pPr>
        <w:widowControl/>
        <w:snapToGrid w:val="0"/>
        <w:spacing w:line="480" w:lineRule="exact"/>
        <w:rPr>
          <w:rFonts w:hint="eastAsia" w:ascii="仿宋" w:hAnsi="仿宋" w:eastAsia="仿宋" w:cs="仿宋"/>
          <w:color w:val="auto"/>
          <w:kern w:val="0"/>
          <w:sz w:val="24"/>
          <w:highlight w:val="none"/>
        </w:rPr>
      </w:pPr>
    </w:p>
    <w:p w14:paraId="39C46F1C">
      <w:pPr>
        <w:widowControl/>
        <w:snapToGrid w:val="0"/>
        <w:spacing w:line="480" w:lineRule="exact"/>
        <w:rPr>
          <w:rFonts w:hint="eastAsia" w:ascii="仿宋" w:hAnsi="仿宋" w:eastAsia="仿宋" w:cs="仿宋"/>
          <w:color w:val="auto"/>
          <w:kern w:val="0"/>
          <w:sz w:val="24"/>
          <w:highlight w:val="none"/>
        </w:rPr>
      </w:pPr>
    </w:p>
    <w:p w14:paraId="3CA9FAC5">
      <w:pPr>
        <w:widowControl/>
        <w:snapToGrid w:val="0"/>
        <w:spacing w:line="480" w:lineRule="exact"/>
        <w:rPr>
          <w:rFonts w:hint="eastAsia" w:ascii="仿宋" w:hAnsi="仿宋" w:eastAsia="仿宋" w:cs="仿宋"/>
          <w:color w:val="auto"/>
          <w:kern w:val="0"/>
          <w:sz w:val="24"/>
          <w:highlight w:val="none"/>
        </w:rPr>
      </w:pPr>
    </w:p>
    <w:p w14:paraId="4170AEC6">
      <w:pPr>
        <w:widowControl/>
        <w:snapToGrid w:val="0"/>
        <w:spacing w:line="480" w:lineRule="exact"/>
        <w:rPr>
          <w:rFonts w:hint="eastAsia" w:ascii="仿宋" w:hAnsi="仿宋" w:eastAsia="仿宋" w:cs="仿宋"/>
          <w:color w:val="auto"/>
          <w:kern w:val="0"/>
          <w:sz w:val="24"/>
          <w:highlight w:val="none"/>
        </w:rPr>
      </w:pPr>
    </w:p>
    <w:p w14:paraId="51FD7EA3">
      <w:pPr>
        <w:widowControl/>
        <w:snapToGrid w:val="0"/>
        <w:spacing w:line="480" w:lineRule="exact"/>
        <w:rPr>
          <w:rFonts w:hint="eastAsia" w:ascii="仿宋" w:hAnsi="仿宋" w:eastAsia="仿宋" w:cs="仿宋"/>
          <w:color w:val="auto"/>
          <w:kern w:val="0"/>
          <w:sz w:val="24"/>
          <w:highlight w:val="none"/>
        </w:rPr>
      </w:pPr>
    </w:p>
    <w:p w14:paraId="70A510B3">
      <w:pPr>
        <w:widowControl/>
        <w:snapToGrid w:val="0"/>
        <w:spacing w:line="480" w:lineRule="exact"/>
        <w:rPr>
          <w:rFonts w:hint="eastAsia" w:ascii="仿宋" w:hAnsi="仿宋" w:eastAsia="仿宋" w:cs="仿宋"/>
          <w:color w:val="auto"/>
          <w:kern w:val="0"/>
          <w:sz w:val="24"/>
          <w:highlight w:val="none"/>
        </w:rPr>
      </w:pPr>
    </w:p>
    <w:p w14:paraId="74744464">
      <w:pPr>
        <w:widowControl/>
        <w:snapToGrid w:val="0"/>
        <w:spacing w:line="480" w:lineRule="exact"/>
        <w:rPr>
          <w:rFonts w:hint="eastAsia" w:ascii="仿宋" w:hAnsi="仿宋" w:eastAsia="仿宋" w:cs="仿宋"/>
          <w:color w:val="auto"/>
          <w:kern w:val="0"/>
          <w:sz w:val="24"/>
          <w:highlight w:val="none"/>
        </w:rPr>
      </w:pPr>
    </w:p>
    <w:p w14:paraId="3523F223">
      <w:pPr>
        <w:widowControl/>
        <w:snapToGrid w:val="0"/>
        <w:spacing w:line="480" w:lineRule="exact"/>
        <w:rPr>
          <w:rFonts w:hint="eastAsia" w:ascii="仿宋" w:hAnsi="仿宋" w:eastAsia="仿宋" w:cs="仿宋"/>
          <w:color w:val="auto"/>
          <w:kern w:val="0"/>
          <w:sz w:val="24"/>
          <w:highlight w:val="none"/>
        </w:rPr>
      </w:pPr>
    </w:p>
    <w:p w14:paraId="3EF8442B">
      <w:pPr>
        <w:widowControl/>
        <w:snapToGrid w:val="0"/>
        <w:spacing w:line="480" w:lineRule="exact"/>
        <w:rPr>
          <w:rFonts w:hint="eastAsia" w:ascii="仿宋" w:hAnsi="仿宋" w:eastAsia="仿宋" w:cs="仿宋"/>
          <w:color w:val="auto"/>
          <w:kern w:val="0"/>
          <w:sz w:val="24"/>
          <w:highlight w:val="none"/>
        </w:rPr>
      </w:pPr>
    </w:p>
    <w:p w14:paraId="606E3DB8">
      <w:pPr>
        <w:widowControl/>
        <w:snapToGrid w:val="0"/>
        <w:spacing w:line="480" w:lineRule="exact"/>
        <w:rPr>
          <w:rFonts w:hint="eastAsia" w:ascii="仿宋" w:hAnsi="仿宋" w:eastAsia="仿宋" w:cs="仿宋"/>
          <w:color w:val="auto"/>
          <w:kern w:val="0"/>
          <w:sz w:val="24"/>
          <w:highlight w:val="none"/>
        </w:rPr>
      </w:pPr>
    </w:p>
    <w:p w14:paraId="37505189">
      <w:pPr>
        <w:widowControl/>
        <w:snapToGrid w:val="0"/>
        <w:spacing w:line="480" w:lineRule="exact"/>
        <w:rPr>
          <w:rFonts w:hint="eastAsia" w:ascii="仿宋" w:hAnsi="仿宋" w:eastAsia="仿宋" w:cs="仿宋"/>
          <w:color w:val="auto"/>
          <w:kern w:val="0"/>
          <w:sz w:val="24"/>
          <w:highlight w:val="none"/>
        </w:rPr>
      </w:pPr>
    </w:p>
    <w:p w14:paraId="759B611E">
      <w:pPr>
        <w:widowControl/>
        <w:snapToGrid w:val="0"/>
        <w:spacing w:line="480" w:lineRule="exact"/>
        <w:rPr>
          <w:rFonts w:hint="eastAsia" w:ascii="仿宋" w:hAnsi="仿宋" w:eastAsia="仿宋" w:cs="仿宋"/>
          <w:color w:val="auto"/>
          <w:kern w:val="0"/>
          <w:sz w:val="24"/>
          <w:highlight w:val="none"/>
        </w:rPr>
      </w:pPr>
    </w:p>
    <w:p w14:paraId="140483A1">
      <w:pPr>
        <w:widowControl/>
        <w:snapToGrid w:val="0"/>
        <w:spacing w:line="480" w:lineRule="exact"/>
        <w:rPr>
          <w:rFonts w:hint="eastAsia" w:ascii="仿宋" w:hAnsi="仿宋" w:eastAsia="仿宋" w:cs="仿宋"/>
          <w:color w:val="auto"/>
          <w:kern w:val="0"/>
          <w:sz w:val="24"/>
          <w:highlight w:val="none"/>
        </w:rPr>
      </w:pPr>
    </w:p>
    <w:p w14:paraId="179EE5DC">
      <w:pPr>
        <w:widowControl/>
        <w:snapToGrid w:val="0"/>
        <w:spacing w:line="480" w:lineRule="exact"/>
        <w:rPr>
          <w:rFonts w:hint="eastAsia" w:ascii="仿宋" w:hAnsi="仿宋" w:eastAsia="仿宋" w:cs="仿宋"/>
          <w:color w:val="auto"/>
          <w:kern w:val="0"/>
          <w:sz w:val="24"/>
          <w:highlight w:val="none"/>
        </w:rPr>
      </w:pPr>
    </w:p>
    <w:p w14:paraId="75F4FBCA">
      <w:pPr>
        <w:widowControl/>
        <w:snapToGrid w:val="0"/>
        <w:spacing w:line="480" w:lineRule="exact"/>
        <w:rPr>
          <w:rFonts w:hint="eastAsia" w:ascii="仿宋" w:hAnsi="仿宋" w:eastAsia="仿宋" w:cs="仿宋"/>
          <w:color w:val="auto"/>
          <w:kern w:val="0"/>
          <w:sz w:val="24"/>
          <w:highlight w:val="none"/>
        </w:rPr>
      </w:pPr>
    </w:p>
    <w:p w14:paraId="1DE1C92D">
      <w:pPr>
        <w:widowControl/>
        <w:snapToGrid w:val="0"/>
        <w:spacing w:line="480" w:lineRule="exact"/>
        <w:rPr>
          <w:rFonts w:hint="eastAsia" w:ascii="仿宋" w:hAnsi="仿宋" w:eastAsia="仿宋" w:cs="仿宋"/>
          <w:color w:val="auto"/>
          <w:kern w:val="0"/>
          <w:sz w:val="24"/>
          <w:highlight w:val="none"/>
        </w:rPr>
      </w:pPr>
    </w:p>
    <w:p w14:paraId="6956324C">
      <w:pPr>
        <w:widowControl/>
        <w:snapToGrid w:val="0"/>
        <w:spacing w:line="480" w:lineRule="exact"/>
        <w:rPr>
          <w:rFonts w:hint="eastAsia" w:ascii="仿宋" w:hAnsi="仿宋" w:eastAsia="仿宋" w:cs="仿宋"/>
          <w:color w:val="auto"/>
          <w:kern w:val="0"/>
          <w:sz w:val="24"/>
          <w:highlight w:val="none"/>
        </w:rPr>
      </w:pPr>
    </w:p>
    <w:p w14:paraId="7D9F8202">
      <w:pPr>
        <w:widowControl/>
        <w:snapToGrid w:val="0"/>
        <w:spacing w:line="480" w:lineRule="exact"/>
        <w:rPr>
          <w:rFonts w:hint="eastAsia" w:ascii="仿宋" w:hAnsi="仿宋" w:eastAsia="仿宋" w:cs="仿宋"/>
          <w:color w:val="auto"/>
          <w:kern w:val="0"/>
          <w:sz w:val="24"/>
          <w:highlight w:val="none"/>
        </w:rPr>
      </w:pPr>
    </w:p>
    <w:p w14:paraId="5992DDA2">
      <w:pPr>
        <w:widowControl/>
        <w:snapToGrid w:val="0"/>
        <w:spacing w:line="480" w:lineRule="exact"/>
        <w:rPr>
          <w:rFonts w:hint="eastAsia" w:ascii="仿宋" w:hAnsi="仿宋" w:eastAsia="仿宋" w:cs="仿宋"/>
          <w:color w:val="auto"/>
          <w:kern w:val="0"/>
          <w:sz w:val="24"/>
          <w:highlight w:val="none"/>
        </w:rPr>
      </w:pPr>
    </w:p>
    <w:p w14:paraId="11BF4E85">
      <w:pPr>
        <w:widowControl/>
        <w:snapToGrid w:val="0"/>
        <w:spacing w:line="480" w:lineRule="exact"/>
        <w:rPr>
          <w:rFonts w:hint="eastAsia" w:ascii="仿宋" w:hAnsi="仿宋" w:eastAsia="仿宋" w:cs="仿宋"/>
          <w:color w:val="auto"/>
          <w:kern w:val="0"/>
          <w:sz w:val="24"/>
          <w:highlight w:val="none"/>
        </w:rPr>
      </w:pPr>
    </w:p>
    <w:p w14:paraId="1CF4074A">
      <w:pPr>
        <w:widowControl/>
        <w:snapToGrid w:val="0"/>
        <w:spacing w:line="480" w:lineRule="exact"/>
        <w:rPr>
          <w:rFonts w:hint="eastAsia" w:ascii="仿宋" w:hAnsi="仿宋" w:eastAsia="仿宋" w:cs="仿宋"/>
          <w:color w:val="auto"/>
          <w:kern w:val="0"/>
          <w:sz w:val="24"/>
          <w:highlight w:val="none"/>
        </w:rPr>
      </w:pPr>
    </w:p>
    <w:p w14:paraId="2D093131">
      <w:pPr>
        <w:widowControl/>
        <w:snapToGrid w:val="0"/>
        <w:spacing w:line="480" w:lineRule="exact"/>
        <w:rPr>
          <w:rFonts w:hint="eastAsia" w:ascii="仿宋" w:hAnsi="仿宋" w:eastAsia="仿宋" w:cs="仿宋"/>
          <w:color w:val="auto"/>
          <w:kern w:val="0"/>
          <w:sz w:val="24"/>
          <w:highlight w:val="none"/>
        </w:rPr>
      </w:pPr>
    </w:p>
    <w:p w14:paraId="08D58D7E">
      <w:pPr>
        <w:widowControl/>
        <w:snapToGrid w:val="0"/>
        <w:spacing w:line="480" w:lineRule="exact"/>
        <w:rPr>
          <w:rFonts w:hint="eastAsia" w:ascii="仿宋" w:hAnsi="仿宋" w:eastAsia="仿宋" w:cs="仿宋"/>
          <w:color w:val="auto"/>
          <w:kern w:val="0"/>
          <w:sz w:val="24"/>
          <w:highlight w:val="none"/>
        </w:rPr>
      </w:pPr>
    </w:p>
    <w:p w14:paraId="0A2D3BAA">
      <w:pPr>
        <w:widowControl/>
        <w:snapToGrid w:val="0"/>
        <w:spacing w:line="480" w:lineRule="exact"/>
        <w:rPr>
          <w:rFonts w:hint="eastAsia" w:ascii="仿宋" w:hAnsi="仿宋" w:eastAsia="仿宋" w:cs="仿宋"/>
          <w:color w:val="auto"/>
          <w:kern w:val="0"/>
          <w:sz w:val="24"/>
          <w:highlight w:val="none"/>
        </w:rPr>
      </w:pPr>
    </w:p>
    <w:p w14:paraId="0C604C46">
      <w:pPr>
        <w:widowControl/>
        <w:snapToGrid w:val="0"/>
        <w:spacing w:line="480" w:lineRule="exact"/>
        <w:rPr>
          <w:rFonts w:hint="eastAsia" w:ascii="仿宋" w:hAnsi="仿宋" w:eastAsia="仿宋" w:cs="仿宋"/>
          <w:color w:val="auto"/>
          <w:kern w:val="0"/>
          <w:sz w:val="24"/>
          <w:highlight w:val="none"/>
        </w:rPr>
      </w:pPr>
    </w:p>
    <w:p w14:paraId="446E31F7">
      <w:pPr>
        <w:widowControl/>
        <w:snapToGrid w:val="0"/>
        <w:spacing w:line="480" w:lineRule="exact"/>
        <w:rPr>
          <w:rFonts w:hint="eastAsia" w:ascii="仿宋" w:hAnsi="仿宋" w:eastAsia="仿宋" w:cs="仿宋"/>
          <w:color w:val="auto"/>
          <w:kern w:val="0"/>
          <w:sz w:val="24"/>
          <w:highlight w:val="none"/>
        </w:rPr>
      </w:pPr>
    </w:p>
    <w:p w14:paraId="1A4EA01C">
      <w:pPr>
        <w:widowControl/>
        <w:snapToGrid w:val="0"/>
        <w:spacing w:line="480" w:lineRule="exact"/>
        <w:rPr>
          <w:rFonts w:hint="eastAsia" w:ascii="仿宋" w:hAnsi="仿宋" w:eastAsia="仿宋" w:cs="仿宋"/>
          <w:color w:val="auto"/>
          <w:kern w:val="0"/>
          <w:sz w:val="24"/>
          <w:highlight w:val="none"/>
        </w:rPr>
      </w:pPr>
    </w:p>
    <w:p w14:paraId="5E68FFA7">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4E058B5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787D02C9">
      <w:pPr>
        <w:adjustRightInd w:val="0"/>
        <w:snapToGrid w:val="0"/>
        <w:spacing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0FDCF56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249EA66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7B7EF0F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授权代表：联系电话：</w:t>
      </w:r>
    </w:p>
    <w:p w14:paraId="530B826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p>
    <w:p w14:paraId="7EACF44C">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C79D47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028B638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质疑项目的编号：标项：</w:t>
      </w:r>
    </w:p>
    <w:p w14:paraId="105FD7D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征集人名称：</w:t>
      </w:r>
    </w:p>
    <w:p w14:paraId="336F4A6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征集文件获取日期：</w:t>
      </w:r>
    </w:p>
    <w:p w14:paraId="3E29B044">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23F54622">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233DA8C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14:paraId="0E70AD0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1E68501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1760BC8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462076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564C105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p>
    <w:p w14:paraId="5E5F10E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p>
    <w:p w14:paraId="1033A24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8B8780C">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1A8C40E4">
      <w:pPr>
        <w:adjustRightInd w:val="0"/>
        <w:snapToGrid w:val="0"/>
        <w:spacing w:line="360" w:lineRule="auto"/>
        <w:rPr>
          <w:rFonts w:hint="eastAsia" w:ascii="仿宋" w:hAnsi="仿宋" w:eastAsia="仿宋" w:cs="仿宋"/>
          <w:b/>
          <w:bCs/>
          <w:color w:val="auto"/>
          <w:sz w:val="24"/>
          <w:szCs w:val="24"/>
          <w:highlight w:val="none"/>
          <w:u w:val="double"/>
        </w:rPr>
      </w:pPr>
      <w:r>
        <w:rPr>
          <w:rFonts w:hint="eastAsia" w:ascii="仿宋" w:hAnsi="仿宋" w:eastAsia="仿宋" w:cs="仿宋"/>
          <w:b/>
          <w:bCs/>
          <w:color w:val="auto"/>
          <w:sz w:val="24"/>
          <w:szCs w:val="24"/>
          <w:highlight w:val="none"/>
          <w:u w:val="double"/>
        </w:rPr>
        <w:t>（需附供应商法定代表人的授权委托书，以委托授权代表提出质疑，格式自拟）</w:t>
      </w:r>
    </w:p>
    <w:p w14:paraId="0F9A1823">
      <w:pPr>
        <w:adjustRightInd w:val="0"/>
        <w:snapToGrid w:val="0"/>
        <w:spacing w:line="360" w:lineRule="auto"/>
        <w:rPr>
          <w:rFonts w:hint="eastAsia" w:ascii="仿宋" w:hAnsi="仿宋" w:eastAsia="仿宋" w:cs="仿宋"/>
          <w:color w:val="auto"/>
          <w:sz w:val="24"/>
          <w:szCs w:val="24"/>
          <w:highlight w:val="none"/>
          <w:u w:val="dotted"/>
        </w:rPr>
      </w:pPr>
    </w:p>
    <w:p w14:paraId="5DDB7D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供应商签章：                      </w:t>
      </w:r>
    </w:p>
    <w:p w14:paraId="4CE548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52F648B">
      <w:pPr>
        <w:adjustRightInd w:val="0"/>
        <w:snapToGrid w:val="0"/>
        <w:spacing w:line="360" w:lineRule="auto"/>
        <w:rPr>
          <w:rFonts w:hint="eastAsia" w:ascii="仿宋" w:hAnsi="仿宋" w:eastAsia="仿宋" w:cs="仿宋"/>
          <w:color w:val="auto"/>
          <w:sz w:val="24"/>
          <w:szCs w:val="24"/>
          <w:highlight w:val="none"/>
        </w:rPr>
      </w:pPr>
    </w:p>
    <w:p w14:paraId="3655557C">
      <w:pPr>
        <w:adjustRightInd w:val="0"/>
        <w:snapToGrid w:val="0"/>
        <w:spacing w:line="360" w:lineRule="auto"/>
        <w:rPr>
          <w:rFonts w:hint="eastAsia" w:ascii="仿宋" w:hAnsi="仿宋" w:eastAsia="仿宋" w:cs="仿宋"/>
          <w:color w:val="auto"/>
          <w:kern w:val="0"/>
          <w:sz w:val="24"/>
          <w:szCs w:val="24"/>
          <w:highlight w:val="none"/>
        </w:rPr>
      </w:pPr>
    </w:p>
    <w:p w14:paraId="62CFA14D">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BA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32F18A">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F32F18A">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1B58">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A23963">
                          <w:pPr>
                            <w:pStyle w:val="19"/>
                          </w:pPr>
                          <w:r>
                            <w:rPr>
                              <w:rStyle w:val="35"/>
                            </w:rPr>
                            <w:fldChar w:fldCharType="begin"/>
                          </w:r>
                          <w:r>
                            <w:rPr>
                              <w:rStyle w:val="35"/>
                            </w:rPr>
                            <w:instrText xml:space="preserve">Page</w:instrText>
                          </w:r>
                          <w:r>
                            <w:rPr>
                              <w:rStyle w:val="35"/>
                            </w:rPr>
                            <w:fldChar w:fldCharType="separate"/>
                          </w:r>
                          <w:r>
                            <w:rPr>
                              <w:rStyle w:val="35"/>
                            </w:rPr>
                            <w:t>26</w:t>
                          </w:r>
                          <w:r>
                            <w:rPr>
                              <w:rStyle w:val="3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A23963">
                    <w:pPr>
                      <w:pStyle w:val="19"/>
                    </w:pPr>
                    <w:r>
                      <w:rPr>
                        <w:rStyle w:val="35"/>
                      </w:rPr>
                      <w:fldChar w:fldCharType="begin"/>
                    </w:r>
                    <w:r>
                      <w:rPr>
                        <w:rStyle w:val="35"/>
                      </w:rPr>
                      <w:instrText xml:space="preserve">Page</w:instrText>
                    </w:r>
                    <w:r>
                      <w:rPr>
                        <w:rStyle w:val="35"/>
                      </w:rPr>
                      <w:fldChar w:fldCharType="separate"/>
                    </w:r>
                    <w:r>
                      <w:rPr>
                        <w:rStyle w:val="35"/>
                      </w:rPr>
                      <w:t>26</w:t>
                    </w:r>
                    <w:r>
                      <w:rPr>
                        <w:rStyle w:val="3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9A60">
    <w:pPr>
      <w:pStyle w:val="1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FBE8E">
                          <w:pPr>
                            <w:pStyle w:val="1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9FFBE8E">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462B">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D545F">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0CD545F">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FCF1">
    <w:pPr>
      <w:pStyle w:val="20"/>
      <w:pBdr>
        <w:bottom w:val="none" w:color="auto" w:sz="0" w:space="1"/>
      </w:pBdr>
      <w:tabs>
        <w:tab w:val="right" w:pos="8306"/>
        <w:tab w:val="clear" w:pos="8307"/>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37E9">
    <w:pPr>
      <w:pStyle w:val="20"/>
      <w:pBdr>
        <w:bottom w:val="none" w:color="auto" w:sz="0" w:space="1"/>
      </w:pBdr>
      <w:tabs>
        <w:tab w:val="right" w:pos="8306"/>
        <w:tab w:val="clear" w:pos="8307"/>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5AA1616"/>
    <w:multiLevelType w:val="singleLevel"/>
    <w:tmpl w:val="D5AA1616"/>
    <w:lvl w:ilvl="0" w:tentative="0">
      <w:start w:val="1"/>
      <w:numFmt w:val="decimal"/>
      <w:suff w:val="nothing"/>
      <w:lvlText w:val="%1、"/>
      <w:lvlJc w:val="left"/>
      <w:pPr>
        <w:ind w:left="-6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15B262C8"/>
    <w:multiLevelType w:val="singleLevel"/>
    <w:tmpl w:val="15B262C8"/>
    <w:lvl w:ilvl="0" w:tentative="0">
      <w:start w:val="5"/>
      <w:numFmt w:val="decimal"/>
      <w:suff w:val="nothing"/>
      <w:lvlText w:val="%1、"/>
      <w:lvlJc w:val="left"/>
    </w:lvl>
  </w:abstractNum>
  <w:abstractNum w:abstractNumId="7">
    <w:nsid w:val="1E070CDA"/>
    <w:multiLevelType w:val="singleLevel"/>
    <w:tmpl w:val="1E070CDA"/>
    <w:lvl w:ilvl="0" w:tentative="0">
      <w:start w:val="4"/>
      <w:numFmt w:val="chineseCounting"/>
      <w:suff w:val="space"/>
      <w:lvlText w:val="第%1章"/>
      <w:lvlJc w:val="left"/>
      <w:rPr>
        <w:rFonts w:hint="eastAsia"/>
      </w:rPr>
    </w:lvl>
  </w:abstractNum>
  <w:abstractNum w:abstractNumId="8">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9">
    <w:nsid w:val="3F89CCE3"/>
    <w:multiLevelType w:val="singleLevel"/>
    <w:tmpl w:val="3F89CCE3"/>
    <w:lvl w:ilvl="0" w:tentative="0">
      <w:start w:val="1"/>
      <w:numFmt w:val="decimal"/>
      <w:suff w:val="nothing"/>
      <w:lvlText w:val="%1、"/>
      <w:lvlJc w:val="left"/>
      <w:pPr>
        <w:ind w:left="-60"/>
      </w:p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6C8C28BD"/>
    <w:multiLevelType w:val="singleLevel"/>
    <w:tmpl w:val="6C8C28BD"/>
    <w:lvl w:ilvl="0" w:tentative="0">
      <w:start w:val="2"/>
      <w:numFmt w:val="chineseCounting"/>
      <w:suff w:val="nothing"/>
      <w:lvlText w:val="%1、"/>
      <w:lvlJc w:val="left"/>
      <w:rPr>
        <w:rFonts w:hint="eastAsia"/>
      </w:r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8"/>
  </w:num>
  <w:num w:numId="2">
    <w:abstractNumId w:val="3"/>
  </w:num>
  <w:num w:numId="3">
    <w:abstractNumId w:val="1"/>
  </w:num>
  <w:num w:numId="4">
    <w:abstractNumId w:val="12"/>
  </w:num>
  <w:num w:numId="5">
    <w:abstractNumId w:val="6"/>
  </w:num>
  <w:num w:numId="6">
    <w:abstractNumId w:val="4"/>
  </w:num>
  <w:num w:numId="7">
    <w:abstractNumId w:val="7"/>
  </w:num>
  <w:num w:numId="8">
    <w:abstractNumId w:val="11"/>
  </w:num>
  <w:num w:numId="9">
    <w:abstractNumId w:val="9"/>
  </w:num>
  <w:num w:numId="10">
    <w:abstractNumId w:val="5"/>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jk0NDM4ZGE3N2FiNmUwNGRmYjA2MzNkODY0OTAifQ=="/>
  </w:docVars>
  <w:rsids>
    <w:rsidRoot w:val="002D026F"/>
    <w:rsid w:val="00031430"/>
    <w:rsid w:val="00066553"/>
    <w:rsid w:val="000B439B"/>
    <w:rsid w:val="002D026F"/>
    <w:rsid w:val="002E691E"/>
    <w:rsid w:val="0046278D"/>
    <w:rsid w:val="00474A56"/>
    <w:rsid w:val="005328D9"/>
    <w:rsid w:val="006514B3"/>
    <w:rsid w:val="00664BAF"/>
    <w:rsid w:val="006710C0"/>
    <w:rsid w:val="006C703E"/>
    <w:rsid w:val="00711093"/>
    <w:rsid w:val="00780EDF"/>
    <w:rsid w:val="007B6278"/>
    <w:rsid w:val="008129F0"/>
    <w:rsid w:val="008218A0"/>
    <w:rsid w:val="00853407"/>
    <w:rsid w:val="008E37FC"/>
    <w:rsid w:val="00967EC2"/>
    <w:rsid w:val="00974D29"/>
    <w:rsid w:val="009B415E"/>
    <w:rsid w:val="009C6D3F"/>
    <w:rsid w:val="00AD2CF0"/>
    <w:rsid w:val="00C740C8"/>
    <w:rsid w:val="00DD516C"/>
    <w:rsid w:val="00E105CB"/>
    <w:rsid w:val="00E504FC"/>
    <w:rsid w:val="00F042B8"/>
    <w:rsid w:val="00F81728"/>
    <w:rsid w:val="01395308"/>
    <w:rsid w:val="02B500E6"/>
    <w:rsid w:val="030C0A35"/>
    <w:rsid w:val="033A0C2B"/>
    <w:rsid w:val="0375666D"/>
    <w:rsid w:val="037732C7"/>
    <w:rsid w:val="039974D7"/>
    <w:rsid w:val="049A4077"/>
    <w:rsid w:val="04BC5D9C"/>
    <w:rsid w:val="04D43B27"/>
    <w:rsid w:val="050375E0"/>
    <w:rsid w:val="050E1DC6"/>
    <w:rsid w:val="060D05C0"/>
    <w:rsid w:val="068C5C42"/>
    <w:rsid w:val="06FD1B7F"/>
    <w:rsid w:val="07334CB8"/>
    <w:rsid w:val="078E7DCD"/>
    <w:rsid w:val="086C1058"/>
    <w:rsid w:val="08CD7283"/>
    <w:rsid w:val="09B010F7"/>
    <w:rsid w:val="09F2525B"/>
    <w:rsid w:val="0A796391"/>
    <w:rsid w:val="0AC73BF8"/>
    <w:rsid w:val="0AFF46CE"/>
    <w:rsid w:val="0C1B5A9E"/>
    <w:rsid w:val="0C345751"/>
    <w:rsid w:val="0CC31380"/>
    <w:rsid w:val="0E6F1FF4"/>
    <w:rsid w:val="0EAE051E"/>
    <w:rsid w:val="0F0C257F"/>
    <w:rsid w:val="0F933B9D"/>
    <w:rsid w:val="0FD44424"/>
    <w:rsid w:val="10111814"/>
    <w:rsid w:val="116A4F9F"/>
    <w:rsid w:val="125F245C"/>
    <w:rsid w:val="12CD1384"/>
    <w:rsid w:val="12F246BB"/>
    <w:rsid w:val="12FD3720"/>
    <w:rsid w:val="13402CD9"/>
    <w:rsid w:val="13531FC1"/>
    <w:rsid w:val="13761404"/>
    <w:rsid w:val="138E2FF9"/>
    <w:rsid w:val="145D4544"/>
    <w:rsid w:val="15606C3C"/>
    <w:rsid w:val="15A547C9"/>
    <w:rsid w:val="163D25A3"/>
    <w:rsid w:val="16A60B8F"/>
    <w:rsid w:val="16EA7435"/>
    <w:rsid w:val="1705647D"/>
    <w:rsid w:val="173739A8"/>
    <w:rsid w:val="17593954"/>
    <w:rsid w:val="178963E1"/>
    <w:rsid w:val="179E2A7B"/>
    <w:rsid w:val="18453C60"/>
    <w:rsid w:val="187D53EA"/>
    <w:rsid w:val="18860E6A"/>
    <w:rsid w:val="192D5062"/>
    <w:rsid w:val="1AFC0BA0"/>
    <w:rsid w:val="1B981258"/>
    <w:rsid w:val="1C2F16F7"/>
    <w:rsid w:val="1C4457DD"/>
    <w:rsid w:val="1CA90EA4"/>
    <w:rsid w:val="1D3B4399"/>
    <w:rsid w:val="1D5C799E"/>
    <w:rsid w:val="1D810520"/>
    <w:rsid w:val="1E6C0409"/>
    <w:rsid w:val="1EA5569B"/>
    <w:rsid w:val="1EB458DE"/>
    <w:rsid w:val="1F6A2B6C"/>
    <w:rsid w:val="1F6E63A9"/>
    <w:rsid w:val="20DF30E6"/>
    <w:rsid w:val="20F37C9C"/>
    <w:rsid w:val="217001E2"/>
    <w:rsid w:val="21B2349D"/>
    <w:rsid w:val="21CC52FC"/>
    <w:rsid w:val="223C360D"/>
    <w:rsid w:val="22A04AD7"/>
    <w:rsid w:val="235B6688"/>
    <w:rsid w:val="2476774E"/>
    <w:rsid w:val="24DC6BA4"/>
    <w:rsid w:val="25A96E66"/>
    <w:rsid w:val="27117D71"/>
    <w:rsid w:val="271E0DFC"/>
    <w:rsid w:val="27982240"/>
    <w:rsid w:val="28463A4A"/>
    <w:rsid w:val="29027A4A"/>
    <w:rsid w:val="298E3F12"/>
    <w:rsid w:val="2A044406"/>
    <w:rsid w:val="2A413BAD"/>
    <w:rsid w:val="2B464577"/>
    <w:rsid w:val="2B522706"/>
    <w:rsid w:val="2BC576F6"/>
    <w:rsid w:val="2C2A2CA4"/>
    <w:rsid w:val="2C862667"/>
    <w:rsid w:val="2D7846A8"/>
    <w:rsid w:val="2DBE28B1"/>
    <w:rsid w:val="2E7A444E"/>
    <w:rsid w:val="2F0E4B96"/>
    <w:rsid w:val="2F2820FC"/>
    <w:rsid w:val="2F370591"/>
    <w:rsid w:val="2F6A6270"/>
    <w:rsid w:val="2F755F6A"/>
    <w:rsid w:val="2FD650B3"/>
    <w:rsid w:val="2FE671C2"/>
    <w:rsid w:val="311012E8"/>
    <w:rsid w:val="3213359C"/>
    <w:rsid w:val="32456D0C"/>
    <w:rsid w:val="327D5A3A"/>
    <w:rsid w:val="32EE71B8"/>
    <w:rsid w:val="331D70F8"/>
    <w:rsid w:val="340173AA"/>
    <w:rsid w:val="346A0AC1"/>
    <w:rsid w:val="34EE43E8"/>
    <w:rsid w:val="353D1F52"/>
    <w:rsid w:val="355C48AD"/>
    <w:rsid w:val="35B50293"/>
    <w:rsid w:val="360D2352"/>
    <w:rsid w:val="365A4FDB"/>
    <w:rsid w:val="36A007CA"/>
    <w:rsid w:val="36FD79CA"/>
    <w:rsid w:val="371C19C6"/>
    <w:rsid w:val="372907BF"/>
    <w:rsid w:val="3778771F"/>
    <w:rsid w:val="37C808F9"/>
    <w:rsid w:val="380C3D81"/>
    <w:rsid w:val="38675A43"/>
    <w:rsid w:val="391815C9"/>
    <w:rsid w:val="39355B41"/>
    <w:rsid w:val="39C40C73"/>
    <w:rsid w:val="39CD36E7"/>
    <w:rsid w:val="39DD11D9"/>
    <w:rsid w:val="39E64DFB"/>
    <w:rsid w:val="3A9D4117"/>
    <w:rsid w:val="3AF257DD"/>
    <w:rsid w:val="3BCC2061"/>
    <w:rsid w:val="3BCD5481"/>
    <w:rsid w:val="3C4A7A6A"/>
    <w:rsid w:val="3D26256C"/>
    <w:rsid w:val="3DDD61ED"/>
    <w:rsid w:val="3EB43B01"/>
    <w:rsid w:val="3F024919"/>
    <w:rsid w:val="3F171845"/>
    <w:rsid w:val="3F4C0963"/>
    <w:rsid w:val="3F531DDA"/>
    <w:rsid w:val="3F7204C9"/>
    <w:rsid w:val="3F9D1D4A"/>
    <w:rsid w:val="3FC714BD"/>
    <w:rsid w:val="40251D40"/>
    <w:rsid w:val="41D57EC1"/>
    <w:rsid w:val="42165DE4"/>
    <w:rsid w:val="422B5DAF"/>
    <w:rsid w:val="42820698"/>
    <w:rsid w:val="42AE4DF5"/>
    <w:rsid w:val="42C10446"/>
    <w:rsid w:val="42D876F6"/>
    <w:rsid w:val="43542C61"/>
    <w:rsid w:val="44CD4E80"/>
    <w:rsid w:val="44D44B97"/>
    <w:rsid w:val="454809AA"/>
    <w:rsid w:val="45A22C16"/>
    <w:rsid w:val="45EF3AA8"/>
    <w:rsid w:val="4667228E"/>
    <w:rsid w:val="46D729A5"/>
    <w:rsid w:val="48631C44"/>
    <w:rsid w:val="48934632"/>
    <w:rsid w:val="489D7E63"/>
    <w:rsid w:val="49EC4051"/>
    <w:rsid w:val="4A314CB7"/>
    <w:rsid w:val="4A6240E0"/>
    <w:rsid w:val="4AC659E2"/>
    <w:rsid w:val="4AC7411F"/>
    <w:rsid w:val="4B120C92"/>
    <w:rsid w:val="4B2832DF"/>
    <w:rsid w:val="4B7A3592"/>
    <w:rsid w:val="4BAB1E8D"/>
    <w:rsid w:val="4C067046"/>
    <w:rsid w:val="4C2F01CE"/>
    <w:rsid w:val="4D601A64"/>
    <w:rsid w:val="4ECA68D4"/>
    <w:rsid w:val="4F0911AA"/>
    <w:rsid w:val="4FAB2261"/>
    <w:rsid w:val="502D0652"/>
    <w:rsid w:val="50393DA6"/>
    <w:rsid w:val="50B67110"/>
    <w:rsid w:val="51915487"/>
    <w:rsid w:val="51BB15F7"/>
    <w:rsid w:val="51D535C6"/>
    <w:rsid w:val="527058F2"/>
    <w:rsid w:val="52BB6C5F"/>
    <w:rsid w:val="52C432FB"/>
    <w:rsid w:val="53312A7E"/>
    <w:rsid w:val="53591FD4"/>
    <w:rsid w:val="53D328B4"/>
    <w:rsid w:val="554D5900"/>
    <w:rsid w:val="557A0ED2"/>
    <w:rsid w:val="56552978"/>
    <w:rsid w:val="56B21243"/>
    <w:rsid w:val="58020E8D"/>
    <w:rsid w:val="58BC54DF"/>
    <w:rsid w:val="59F81C0A"/>
    <w:rsid w:val="5A1C0A47"/>
    <w:rsid w:val="5A843E47"/>
    <w:rsid w:val="5B834092"/>
    <w:rsid w:val="5BFB1FF7"/>
    <w:rsid w:val="5C240901"/>
    <w:rsid w:val="5C957F91"/>
    <w:rsid w:val="5D7A3273"/>
    <w:rsid w:val="5D861C18"/>
    <w:rsid w:val="5DD24E5D"/>
    <w:rsid w:val="5E924316"/>
    <w:rsid w:val="5FA32F55"/>
    <w:rsid w:val="5FE5356E"/>
    <w:rsid w:val="61433E39"/>
    <w:rsid w:val="61ED495B"/>
    <w:rsid w:val="621F273B"/>
    <w:rsid w:val="62E6604F"/>
    <w:rsid w:val="634B4836"/>
    <w:rsid w:val="63A41E75"/>
    <w:rsid w:val="64C61D10"/>
    <w:rsid w:val="651346D9"/>
    <w:rsid w:val="655A2308"/>
    <w:rsid w:val="656960A7"/>
    <w:rsid w:val="65A65FB1"/>
    <w:rsid w:val="65E10333"/>
    <w:rsid w:val="663A7CA6"/>
    <w:rsid w:val="6659677A"/>
    <w:rsid w:val="668A2F6D"/>
    <w:rsid w:val="66B47C92"/>
    <w:rsid w:val="66FB3677"/>
    <w:rsid w:val="67135C6C"/>
    <w:rsid w:val="680D76C2"/>
    <w:rsid w:val="68270D00"/>
    <w:rsid w:val="688E7863"/>
    <w:rsid w:val="6915497D"/>
    <w:rsid w:val="6972446D"/>
    <w:rsid w:val="69A25812"/>
    <w:rsid w:val="6A88233D"/>
    <w:rsid w:val="6ACD4147"/>
    <w:rsid w:val="6B8F24EF"/>
    <w:rsid w:val="6C316E88"/>
    <w:rsid w:val="6C9E6F7E"/>
    <w:rsid w:val="6CAB51F7"/>
    <w:rsid w:val="6CBF6EF4"/>
    <w:rsid w:val="6CD40032"/>
    <w:rsid w:val="6CFF414A"/>
    <w:rsid w:val="6D5E733D"/>
    <w:rsid w:val="6DF606F4"/>
    <w:rsid w:val="6E423939"/>
    <w:rsid w:val="6E727808"/>
    <w:rsid w:val="6EA939B8"/>
    <w:rsid w:val="6FA9085B"/>
    <w:rsid w:val="6FC1421C"/>
    <w:rsid w:val="707D035D"/>
    <w:rsid w:val="70AF26F8"/>
    <w:rsid w:val="70F152FC"/>
    <w:rsid w:val="712D3565"/>
    <w:rsid w:val="725D3437"/>
    <w:rsid w:val="725F674C"/>
    <w:rsid w:val="729D5922"/>
    <w:rsid w:val="734D122A"/>
    <w:rsid w:val="74DC60D9"/>
    <w:rsid w:val="75114065"/>
    <w:rsid w:val="753F46B3"/>
    <w:rsid w:val="755E585A"/>
    <w:rsid w:val="75BB6B8A"/>
    <w:rsid w:val="7626071A"/>
    <w:rsid w:val="778B45A3"/>
    <w:rsid w:val="78622770"/>
    <w:rsid w:val="78757AE0"/>
    <w:rsid w:val="793B5BAB"/>
    <w:rsid w:val="796C3F60"/>
    <w:rsid w:val="798C015E"/>
    <w:rsid w:val="79AA3AC4"/>
    <w:rsid w:val="79B47516"/>
    <w:rsid w:val="7A23296F"/>
    <w:rsid w:val="7A537BE0"/>
    <w:rsid w:val="7A9B2D4F"/>
    <w:rsid w:val="7AA620F8"/>
    <w:rsid w:val="7AC371F6"/>
    <w:rsid w:val="7AE96B7F"/>
    <w:rsid w:val="7B7632E5"/>
    <w:rsid w:val="7C2D79D7"/>
    <w:rsid w:val="7D160888"/>
    <w:rsid w:val="7D341239"/>
    <w:rsid w:val="7D630A43"/>
    <w:rsid w:val="7DAC0DCF"/>
    <w:rsid w:val="7E7773E1"/>
    <w:rsid w:val="7E847099"/>
    <w:rsid w:val="7E9170C5"/>
    <w:rsid w:val="7F5F5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3">
    <w:name w:val="Body Text Indent"/>
    <w:basedOn w:val="1"/>
    <w:qFormat/>
    <w:uiPriority w:val="0"/>
    <w:pPr>
      <w:spacing w:after="120"/>
      <w:ind w:left="200" w:leftChars="200"/>
    </w:pPr>
    <w:rPr>
      <w:szCs w:val="24"/>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next w:val="8"/>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9"/>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footnote text"/>
    <w:basedOn w:val="1"/>
    <w:qFormat/>
    <w:uiPriority w:val="99"/>
    <w:rPr>
      <w:sz w:val="18"/>
      <w:szCs w:val="18"/>
    </w:r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p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8">
    <w:name w:val="annotation subject"/>
    <w:basedOn w:val="10"/>
    <w:next w:val="10"/>
    <w:qFormat/>
    <w:uiPriority w:val="0"/>
    <w:rPr>
      <w:b/>
    </w:rPr>
  </w:style>
  <w:style w:type="paragraph" w:styleId="29">
    <w:name w:val="Body Text First Indent"/>
    <w:basedOn w:val="12"/>
    <w:qFormat/>
    <w:uiPriority w:val="0"/>
    <w:pPr>
      <w:ind w:firstLine="420"/>
    </w:pPr>
    <w:rPr>
      <w:rFonts w:hAnsi="Times New Roman" w:cs="Times New Roman"/>
      <w:snapToGrid/>
      <w:szCs w:val="20"/>
    </w:rPr>
  </w:style>
  <w:style w:type="paragraph" w:styleId="30">
    <w:name w:val="Body Text First Indent 2"/>
    <w:basedOn w:val="13"/>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qFormat/>
    <w:uiPriority w:val="0"/>
    <w:rPr>
      <w:color w:val="0000FF"/>
      <w:u w:val="single"/>
    </w:rPr>
  </w:style>
  <w:style w:type="character" w:styleId="38">
    <w:name w:val="annotation reference"/>
    <w:basedOn w:val="33"/>
    <w:qFormat/>
    <w:uiPriority w:val="0"/>
    <w:rPr>
      <w:sz w:val="21"/>
      <w:szCs w:val="21"/>
    </w:rPr>
  </w:style>
  <w:style w:type="paragraph" w:customStyle="1" w:styleId="3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列出段落1"/>
    <w:next w:val="4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样式6"/>
    <w:basedOn w:val="16"/>
    <w:qFormat/>
    <w:uiPriority w:val="0"/>
    <w:pPr>
      <w:adjustRightInd w:val="0"/>
      <w:snapToGrid w:val="0"/>
      <w:spacing w:line="460" w:lineRule="exact"/>
      <w:outlineLvl w:val="2"/>
    </w:pPr>
    <w:rPr>
      <w:rFonts w:ascii="仿宋_GB2312" w:hAnsi="宋体" w:eastAsia="仿宋_GB2312" w:cs="Arial"/>
      <w:b/>
      <w:bCs/>
      <w:sz w:val="24"/>
      <w:szCs w:val="24"/>
    </w:rPr>
  </w:style>
  <w:style w:type="paragraph" w:customStyle="1" w:styleId="48">
    <w:name w:val="正文2"/>
    <w:basedOn w:val="1"/>
    <w:qFormat/>
    <w:uiPriority w:val="0"/>
    <w:pPr>
      <w:spacing w:before="156" w:line="360" w:lineRule="auto"/>
      <w:ind w:firstLine="510" w:firstLineChars="200"/>
    </w:pPr>
    <w:rPr>
      <w:sz w:val="24"/>
    </w:rPr>
  </w:style>
  <w:style w:type="character" w:customStyle="1" w:styleId="49">
    <w:name w:val="批注框文本 Char"/>
    <w:basedOn w:val="33"/>
    <w:link w:val="18"/>
    <w:qFormat/>
    <w:uiPriority w:val="0"/>
    <w:rPr>
      <w:kern w:val="2"/>
      <w:sz w:val="18"/>
      <w:szCs w:val="18"/>
    </w:rPr>
  </w:style>
  <w:style w:type="paragraph" w:customStyle="1" w:styleId="50">
    <w:name w:val="Table Text"/>
    <w:basedOn w:val="1"/>
    <w:qFormat/>
    <w:uiPriority w:val="0"/>
    <w:pPr>
      <w:widowControl/>
      <w:spacing w:before="60" w:beforeLines="0" w:after="60" w:afterLines="0"/>
      <w:jc w:val="left"/>
    </w:pPr>
    <w:rPr>
      <w:kern w:val="0"/>
      <w:sz w:val="24"/>
    </w:rPr>
  </w:style>
  <w:style w:type="paragraph" w:customStyle="1" w:styleId="51">
    <w:name w:val="List Paragraph"/>
    <w:basedOn w:val="1"/>
    <w:qFormat/>
    <w:uiPriority w:val="0"/>
    <w:pPr>
      <w:ind w:firstLine="420" w:firstLineChars="200"/>
    </w:pPr>
    <w:rPr>
      <w:rFonts w:ascii="Times New Roman" w:hAnsi="Times New Roman" w:eastAsia="宋体" w:cs="Times New Roman"/>
    </w:rPr>
  </w:style>
  <w:style w:type="paragraph" w:customStyle="1" w:styleId="52">
    <w:name w:val="正文1"/>
    <w:basedOn w:val="15"/>
    <w:next w:val="1"/>
    <w:qFormat/>
    <w:uiPriority w:val="0"/>
    <w:pPr>
      <w:widowControl w:val="0"/>
      <w:tabs>
        <w:tab w:val="right" w:leader="dot" w:pos="8268"/>
      </w:tabs>
      <w:adjustRightInd w:val="0"/>
      <w:spacing w:line="312" w:lineRule="atLeast"/>
      <w:jc w:val="both"/>
    </w:pPr>
    <w:rPr>
      <w:rFonts w:ascii="宋体" w:hAnsi="Times New Roman" w:eastAsia="等线" w:cs="Times New Roman"/>
      <w:sz w:val="34"/>
      <w:lang w:val="en-US" w:eastAsia="zh-CN" w:bidi="ar-SA"/>
    </w:rPr>
  </w:style>
  <w:style w:type="paragraph" w:customStyle="1" w:styleId="53">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6418</Words>
  <Characters>7476</Characters>
  <Lines>288</Lines>
  <Paragraphs>81</Paragraphs>
  <TotalTime>9</TotalTime>
  <ScaleCrop>false</ScaleCrop>
  <LinksUpToDate>false</LinksUpToDate>
  <CharactersWithSpaces>7660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sunli</cp:lastModifiedBy>
  <cp:lastPrinted>2024-08-17T01:16:00Z</cp:lastPrinted>
  <dcterms:modified xsi:type="dcterms:W3CDTF">2025-05-26T09:35:19Z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29CAA6EEF6B54076962626797A16EA13_13</vt:lpwstr>
  </property>
  <property fmtid="{D5CDD505-2E9C-101B-9397-08002B2CF9AE}" pid="4" name="KSOTemplateDocerSaveRecord">
    <vt:lpwstr>eyJoZGlkIjoiYWJmMjk0NDM4ZGE3N2FiNmUwNGRmYjA2MzNkODY0OTAiLCJ1c2VySWQiOiIzMjM0NDU0MTkifQ==</vt:lpwstr>
  </property>
</Properties>
</file>