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DA4AB">
      <w:pPr>
        <w:jc w:val="center"/>
        <w:rPr>
          <w:rFonts w:hint="eastAsia" w:hAnsi="Times New Roman" w:eastAsia="宋体" w:cs="Times New Roman"/>
          <w:color w:val="auto"/>
          <w:sz w:val="36"/>
          <w:szCs w:val="44"/>
          <w:lang w:val="en-US" w:eastAsia="zh-CN"/>
        </w:rPr>
      </w:pPr>
      <w:r>
        <w:rPr>
          <w:rFonts w:hint="eastAsia"/>
          <w:color w:val="auto"/>
          <w:sz w:val="36"/>
          <w:szCs w:val="44"/>
        </w:rPr>
        <w:t>关于</w:t>
      </w:r>
      <w:r>
        <w:rPr>
          <w:rFonts w:hint="eastAsia"/>
          <w:color w:val="auto"/>
          <w:sz w:val="36"/>
          <w:szCs w:val="44"/>
          <w:u w:val="single"/>
          <w:lang w:val="en-US" w:eastAsia="zh-CN"/>
        </w:rPr>
        <w:t>血压及身高体重传输系统工作站</w:t>
      </w:r>
      <w:r>
        <w:rPr>
          <w:rFonts w:hint="eastAsia" w:hAnsi="Times New Roman" w:eastAsia="宋体" w:cs="Times New Roman"/>
          <w:color w:val="auto"/>
          <w:sz w:val="36"/>
          <w:szCs w:val="44"/>
          <w:lang w:val="en-US" w:eastAsia="zh-CN"/>
        </w:rPr>
        <w:t>采购项目</w:t>
      </w:r>
    </w:p>
    <w:p w14:paraId="7D04DD18">
      <w:pPr>
        <w:jc w:val="center"/>
        <w:rPr>
          <w:rFonts w:hint="eastAsia"/>
          <w:color w:val="auto"/>
          <w:sz w:val="36"/>
          <w:szCs w:val="44"/>
        </w:rPr>
      </w:pPr>
      <w:r>
        <w:rPr>
          <w:rFonts w:hint="eastAsia"/>
          <w:color w:val="auto"/>
          <w:sz w:val="36"/>
          <w:szCs w:val="44"/>
        </w:rPr>
        <w:t>询价公告</w:t>
      </w:r>
    </w:p>
    <w:p w14:paraId="314BB16D">
      <w:pPr>
        <w:ind w:firstLine="480" w:firstLineChars="200"/>
        <w:rPr>
          <w:rFonts w:hint="eastAsia"/>
          <w:color w:val="auto"/>
          <w:sz w:val="24"/>
          <w:szCs w:val="24"/>
        </w:rPr>
      </w:pPr>
    </w:p>
    <w:p w14:paraId="64581625">
      <w:pPr>
        <w:ind w:firstLine="480" w:firstLineChars="200"/>
        <w:rPr>
          <w:rFonts w:hint="default" w:ascii="宋体" w:hAnsi="宋体" w:eastAsia="宋体" w:cs="宋体"/>
          <w:b/>
          <w:bCs/>
          <w:color w:val="auto"/>
          <w:spacing w:val="0"/>
          <w:w w:val="100"/>
          <w:kern w:val="2"/>
          <w:position w:val="0"/>
          <w:sz w:val="28"/>
          <w:szCs w:val="28"/>
          <w:u w:val="none" w:color="000000"/>
          <w:vertAlign w:val="baseline"/>
          <w:lang w:val="en-US" w:eastAsia="zh-CN"/>
        </w:rPr>
      </w:pPr>
      <w:r>
        <w:rPr>
          <w:rFonts w:hint="eastAsia"/>
          <w:color w:val="auto"/>
          <w:sz w:val="24"/>
          <w:szCs w:val="24"/>
        </w:rPr>
        <w:t>按照绍兴市妇幼保健院采购需求，</w:t>
      </w:r>
      <w:r>
        <w:rPr>
          <w:rFonts w:hint="eastAsia"/>
          <w:color w:val="auto"/>
          <w:sz w:val="24"/>
          <w:szCs w:val="24"/>
          <w:lang w:eastAsia="zh-CN"/>
        </w:rPr>
        <w:t>设备</w:t>
      </w:r>
      <w:r>
        <w:rPr>
          <w:rFonts w:hint="eastAsia"/>
          <w:color w:val="auto"/>
          <w:sz w:val="24"/>
          <w:szCs w:val="24"/>
        </w:rPr>
        <w:t>科对</w:t>
      </w:r>
      <w:r>
        <w:rPr>
          <w:rFonts w:hint="eastAsia" w:hAnsi="Times New Roman" w:eastAsia="宋体" w:cs="Times New Roman"/>
          <w:color w:val="auto"/>
          <w:sz w:val="24"/>
          <w:szCs w:val="24"/>
          <w:lang w:val="en-US" w:eastAsia="zh-CN"/>
        </w:rPr>
        <w:t>相关设备采购项目</w:t>
      </w:r>
      <w:r>
        <w:rPr>
          <w:rFonts w:hint="eastAsia"/>
          <w:color w:val="auto"/>
          <w:sz w:val="24"/>
          <w:szCs w:val="24"/>
        </w:rPr>
        <w:t>进行询价，欢迎符合要求的供应商进行报价。</w:t>
      </w:r>
    </w:p>
    <w:p w14:paraId="4F9D82AA">
      <w:pPr>
        <w:numPr>
          <w:ilvl w:val="0"/>
          <w:numId w:val="0"/>
        </w:numPr>
        <w:ind w:leftChars="0"/>
        <w:rPr>
          <w:rFonts w:hint="eastAsia" w:ascii="宋体" w:hAnsi="宋体" w:eastAsia="宋体" w:cs="宋体"/>
          <w:b/>
          <w:bCs/>
          <w:color w:val="auto"/>
          <w:spacing w:val="0"/>
          <w:w w:val="100"/>
          <w:kern w:val="2"/>
          <w:position w:val="0"/>
          <w:sz w:val="28"/>
          <w:szCs w:val="28"/>
          <w:u w:val="none" w:color="000000"/>
          <w:vertAlign w:val="baseline"/>
          <w:lang w:val="zh-TW" w:eastAsia="zh-TW"/>
        </w:rPr>
      </w:pPr>
      <w:r>
        <w:rPr>
          <w:rFonts w:hint="eastAsia" w:ascii="宋体" w:hAnsi="宋体" w:eastAsia="宋体" w:cs="宋体"/>
          <w:b/>
          <w:bCs/>
          <w:color w:val="auto"/>
          <w:spacing w:val="0"/>
          <w:w w:val="100"/>
          <w:kern w:val="2"/>
          <w:position w:val="0"/>
          <w:sz w:val="28"/>
          <w:szCs w:val="28"/>
          <w:u w:val="none" w:color="000000"/>
          <w:vertAlign w:val="baseline"/>
          <w:lang w:val="en-US" w:eastAsia="zh-CN"/>
        </w:rPr>
        <w:t>一、</w:t>
      </w:r>
      <w:r>
        <w:rPr>
          <w:rFonts w:hint="eastAsia" w:ascii="宋体" w:hAnsi="宋体" w:eastAsia="宋体" w:cs="宋体"/>
          <w:b/>
          <w:bCs/>
          <w:color w:val="auto"/>
          <w:spacing w:val="0"/>
          <w:w w:val="100"/>
          <w:kern w:val="2"/>
          <w:position w:val="0"/>
          <w:sz w:val="28"/>
          <w:szCs w:val="28"/>
          <w:u w:val="none" w:color="000000"/>
          <w:vertAlign w:val="baseline"/>
          <w:lang w:val="zh-TW" w:eastAsia="zh-TW"/>
        </w:rPr>
        <w:t>投标商资格</w:t>
      </w:r>
    </w:p>
    <w:p w14:paraId="4B686938">
      <w:pPr>
        <w:autoSpaceDE w:val="0"/>
        <w:autoSpaceDN w:val="0"/>
        <w:rPr>
          <w:rFonts w:ascii="宋体" w:hAnsi="宋体" w:cs="宋体"/>
          <w:color w:val="auto"/>
          <w:szCs w:val="21"/>
        </w:rPr>
      </w:pPr>
      <w:r>
        <w:rPr>
          <w:rFonts w:hint="eastAsia" w:ascii="宋体" w:hAnsi="宋体" w:cs="宋体"/>
          <w:color w:val="auto"/>
          <w:szCs w:val="21"/>
        </w:rPr>
        <w:t>1．符合《中华人民共和国政府采购法》第二十二条的规定：</w:t>
      </w:r>
    </w:p>
    <w:p w14:paraId="374B9384">
      <w:pPr>
        <w:autoSpaceDE w:val="0"/>
        <w:autoSpaceDN w:val="0"/>
        <w:rPr>
          <w:rFonts w:ascii="宋体" w:hAnsi="宋体" w:cs="宋体"/>
          <w:color w:val="auto"/>
          <w:szCs w:val="21"/>
        </w:rPr>
      </w:pPr>
      <w:r>
        <w:rPr>
          <w:rFonts w:hint="eastAsia" w:ascii="宋体" w:hAnsi="宋体" w:cs="宋体"/>
          <w:color w:val="auto"/>
          <w:szCs w:val="21"/>
        </w:rPr>
        <w:t>1）具有独立承担民事责任能力的独立法人；</w:t>
      </w:r>
    </w:p>
    <w:p w14:paraId="0E826350">
      <w:pPr>
        <w:autoSpaceDE w:val="0"/>
        <w:autoSpaceDN w:val="0"/>
        <w:rPr>
          <w:rFonts w:ascii="宋体" w:hAnsi="宋体" w:cs="宋体"/>
          <w:color w:val="auto"/>
          <w:szCs w:val="21"/>
        </w:rPr>
      </w:pPr>
      <w:r>
        <w:rPr>
          <w:rFonts w:hint="eastAsia" w:ascii="宋体" w:hAnsi="宋体" w:cs="宋体"/>
          <w:color w:val="auto"/>
          <w:szCs w:val="21"/>
        </w:rPr>
        <w:t>2）具有良好的商业信誉和健全的财务会计制度；</w:t>
      </w:r>
    </w:p>
    <w:p w14:paraId="4712F6F0">
      <w:pPr>
        <w:autoSpaceDE w:val="0"/>
        <w:autoSpaceDN w:val="0"/>
        <w:rPr>
          <w:rFonts w:ascii="宋体" w:hAnsi="宋体" w:cs="宋体"/>
          <w:color w:val="auto"/>
          <w:szCs w:val="21"/>
        </w:rPr>
      </w:pPr>
      <w:r>
        <w:rPr>
          <w:rFonts w:hint="eastAsia" w:ascii="宋体" w:hAnsi="宋体" w:cs="宋体"/>
          <w:color w:val="auto"/>
          <w:szCs w:val="21"/>
        </w:rPr>
        <w:t>3）具有履行合同所必需的设备和专业技术能力；</w:t>
      </w:r>
    </w:p>
    <w:p w14:paraId="6F6F1C4E">
      <w:pPr>
        <w:autoSpaceDE w:val="0"/>
        <w:autoSpaceDN w:val="0"/>
        <w:rPr>
          <w:rFonts w:ascii="宋体" w:hAnsi="宋体" w:cs="宋体"/>
          <w:color w:val="auto"/>
          <w:szCs w:val="21"/>
        </w:rPr>
      </w:pPr>
      <w:r>
        <w:rPr>
          <w:rFonts w:hint="eastAsia" w:ascii="宋体" w:hAnsi="宋体" w:cs="宋体"/>
          <w:color w:val="auto"/>
          <w:szCs w:val="21"/>
        </w:rPr>
        <w:t>4）有依法缴纳税收和社会保障资金的良好记录；</w:t>
      </w:r>
    </w:p>
    <w:p w14:paraId="010A79FF">
      <w:pPr>
        <w:autoSpaceDE w:val="0"/>
        <w:autoSpaceDN w:val="0"/>
        <w:rPr>
          <w:rFonts w:ascii="宋体" w:hAnsi="宋体" w:cs="宋体"/>
          <w:color w:val="auto"/>
          <w:szCs w:val="21"/>
        </w:rPr>
      </w:pPr>
      <w:r>
        <w:rPr>
          <w:rFonts w:hint="eastAsia" w:ascii="宋体" w:hAnsi="宋体" w:cs="宋体"/>
          <w:color w:val="auto"/>
          <w:szCs w:val="21"/>
        </w:rPr>
        <w:t>5）参加在线询价前三年内，在经营活动中没有重大违法记录需要特别声明“没有因违反《浙江省政府采购供应商注册及诚信管理暂行办法》被列入‘黑名单’，在处罚有效期；</w:t>
      </w:r>
    </w:p>
    <w:p w14:paraId="011423E0">
      <w:pPr>
        <w:autoSpaceDE w:val="0"/>
        <w:autoSpaceDN w:val="0"/>
        <w:rPr>
          <w:rFonts w:ascii="宋体" w:hAnsi="宋体" w:cs="宋体"/>
          <w:color w:val="auto"/>
          <w:szCs w:val="21"/>
        </w:rPr>
      </w:pPr>
      <w:r>
        <w:rPr>
          <w:rFonts w:hint="eastAsia" w:ascii="宋体" w:hAnsi="宋体" w:cs="宋体"/>
          <w:color w:val="auto"/>
          <w:szCs w:val="21"/>
        </w:rPr>
        <w:t>6）法律、行政法规规定的其他条件。</w:t>
      </w:r>
    </w:p>
    <w:p w14:paraId="7F22107B">
      <w:pPr>
        <w:autoSpaceDE w:val="0"/>
        <w:autoSpaceDN w:val="0"/>
        <w:rPr>
          <w:rFonts w:hint="eastAsia" w:ascii="宋体" w:hAnsi="宋体" w:cs="宋体" w:eastAsiaTheme="minorEastAsia"/>
          <w:color w:val="auto"/>
          <w:szCs w:val="21"/>
          <w:lang w:eastAsia="zh-CN"/>
        </w:rPr>
      </w:pPr>
      <w:r>
        <w:rPr>
          <w:rFonts w:hint="eastAsia" w:ascii="宋体" w:hAnsi="宋体" w:cs="宋体"/>
          <w:color w:val="auto"/>
          <w:szCs w:val="21"/>
        </w:rPr>
        <w:t>2.特定条件：</w:t>
      </w:r>
      <w:r>
        <w:rPr>
          <w:rFonts w:hint="eastAsia" w:ascii="宋体" w:hAnsi="宋体" w:cs="宋体"/>
          <w:color w:val="auto"/>
          <w:szCs w:val="21"/>
          <w:u w:val="single"/>
        </w:rPr>
        <w:t>具备独立法人资格，所投产品具有医疗器械生产或经营许可证或经营备案凭证，及在有效期内的医疗器械注册证或制造认可表（非医疗器械的附说明）。</w:t>
      </w:r>
    </w:p>
    <w:p w14:paraId="662762B9">
      <w:pPr>
        <w:rPr>
          <w:rFonts w:ascii="宋体" w:hAnsi="宋体" w:cs="宋体"/>
          <w:b/>
          <w:bCs/>
          <w:color w:val="auto"/>
          <w:szCs w:val="21"/>
          <w:shd w:val="solid" w:color="FFFFFF" w:fill="auto"/>
        </w:rPr>
      </w:pPr>
      <w:r>
        <w:rPr>
          <w:rFonts w:hint="eastAsia" w:ascii="宋体" w:hAnsi="宋体" w:cs="宋体"/>
          <w:color w:val="auto"/>
          <w:kern w:val="0"/>
          <w:szCs w:val="21"/>
        </w:rPr>
        <w:t>3.不接受联合体招标。</w:t>
      </w:r>
    </w:p>
    <w:p w14:paraId="6875C2D5">
      <w:pPr>
        <w:numPr>
          <w:ilvl w:val="0"/>
          <w:numId w:val="0"/>
        </w:numPr>
        <w:ind w:leftChars="0"/>
        <w:rPr>
          <w:rFonts w:hint="eastAsia" w:ascii="宋体" w:hAnsi="宋体" w:eastAsia="宋体" w:cs="宋体"/>
          <w:b/>
          <w:bCs/>
          <w:color w:val="auto"/>
          <w:spacing w:val="0"/>
          <w:w w:val="100"/>
          <w:kern w:val="2"/>
          <w:position w:val="0"/>
          <w:sz w:val="28"/>
          <w:szCs w:val="28"/>
          <w:u w:val="none" w:color="000000"/>
          <w:vertAlign w:val="baseline"/>
          <w:lang w:val="zh-TW" w:eastAsia="zh-CN"/>
        </w:rPr>
      </w:pPr>
      <w:r>
        <w:rPr>
          <w:rFonts w:hint="eastAsia" w:ascii="宋体" w:hAnsi="宋体" w:eastAsia="宋体" w:cs="宋体"/>
          <w:b/>
          <w:bCs/>
          <w:color w:val="auto"/>
          <w:spacing w:val="0"/>
          <w:w w:val="100"/>
          <w:kern w:val="2"/>
          <w:position w:val="0"/>
          <w:sz w:val="28"/>
          <w:szCs w:val="28"/>
          <w:u w:val="none" w:color="000000"/>
          <w:vertAlign w:val="baseline"/>
          <w:lang w:val="zh-TW" w:eastAsia="zh-CN"/>
        </w:rPr>
        <w:t>二、技术参数</w:t>
      </w:r>
    </w:p>
    <w:tbl>
      <w:tblPr>
        <w:tblStyle w:val="3"/>
        <w:tblW w:w="8363"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5"/>
        <w:gridCol w:w="3110"/>
        <w:gridCol w:w="1500"/>
        <w:gridCol w:w="1319"/>
        <w:gridCol w:w="1299"/>
      </w:tblGrid>
      <w:tr w14:paraId="76B3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96F3879">
            <w:pPr>
              <w:snapToGrid w:val="0"/>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标项号</w:t>
            </w:r>
          </w:p>
        </w:tc>
        <w:tc>
          <w:tcPr>
            <w:tcW w:w="3110" w:type="dxa"/>
            <w:tcBorders>
              <w:top w:val="single" w:color="auto" w:sz="4" w:space="0"/>
              <w:left w:val="single" w:color="auto" w:sz="4" w:space="0"/>
              <w:bottom w:val="single" w:color="auto" w:sz="4" w:space="0"/>
              <w:right w:val="single" w:color="auto" w:sz="4" w:space="0"/>
            </w:tcBorders>
            <w:noWrap w:val="0"/>
            <w:vAlign w:val="top"/>
          </w:tcPr>
          <w:p w14:paraId="5F611362">
            <w:pPr>
              <w:snapToGrid w:val="0"/>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采购内容</w:t>
            </w:r>
          </w:p>
        </w:tc>
        <w:tc>
          <w:tcPr>
            <w:tcW w:w="1500" w:type="dxa"/>
            <w:tcBorders>
              <w:top w:val="single" w:color="auto" w:sz="4" w:space="0"/>
              <w:left w:val="single" w:color="auto" w:sz="4" w:space="0"/>
              <w:bottom w:val="single" w:color="auto" w:sz="4" w:space="0"/>
              <w:right w:val="single" w:color="auto" w:sz="4" w:space="0"/>
            </w:tcBorders>
            <w:noWrap w:val="0"/>
            <w:vAlign w:val="top"/>
          </w:tcPr>
          <w:p w14:paraId="67B8E7FE">
            <w:pPr>
              <w:snapToGrid w:val="0"/>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单位及数量</w:t>
            </w:r>
          </w:p>
        </w:tc>
        <w:tc>
          <w:tcPr>
            <w:tcW w:w="1319" w:type="dxa"/>
            <w:tcBorders>
              <w:top w:val="single" w:color="auto" w:sz="4" w:space="0"/>
              <w:left w:val="single" w:color="auto" w:sz="4" w:space="0"/>
              <w:bottom w:val="single" w:color="auto" w:sz="4" w:space="0"/>
              <w:right w:val="single" w:color="auto" w:sz="4" w:space="0"/>
            </w:tcBorders>
            <w:noWrap w:val="0"/>
            <w:vAlign w:val="top"/>
          </w:tcPr>
          <w:p w14:paraId="47C2264F">
            <w:pPr>
              <w:snapToGrid w:val="0"/>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预算金额</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5B7856AC">
            <w:pPr>
              <w:snapToGrid w:val="0"/>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类别</w:t>
            </w:r>
          </w:p>
        </w:tc>
      </w:tr>
      <w:tr w14:paraId="1BAF3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135" w:type="dxa"/>
            <w:tcBorders>
              <w:top w:val="single" w:color="auto" w:sz="4" w:space="0"/>
              <w:left w:val="single" w:color="auto" w:sz="4" w:space="0"/>
              <w:right w:val="single" w:color="auto" w:sz="4" w:space="0"/>
            </w:tcBorders>
            <w:noWrap w:val="0"/>
            <w:vAlign w:val="center"/>
          </w:tcPr>
          <w:p w14:paraId="17AF929E">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10" w:type="dxa"/>
            <w:tcBorders>
              <w:top w:val="single" w:color="auto" w:sz="4" w:space="0"/>
              <w:left w:val="single" w:color="auto" w:sz="4" w:space="0"/>
              <w:right w:val="single" w:color="auto" w:sz="4" w:space="0"/>
            </w:tcBorders>
            <w:shd w:val="clear" w:color="auto" w:fill="auto"/>
            <w:noWrap w:val="0"/>
            <w:vAlign w:val="center"/>
          </w:tcPr>
          <w:p w14:paraId="4EAF62DE">
            <w:pPr>
              <w:shd w:val="clear"/>
              <w:snapToGrid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Cs w:val="21"/>
              </w:rPr>
              <w:t>血压及身高体重传输系统工作站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AF3FC">
            <w:pPr>
              <w:shd w:val="clear"/>
              <w:snapToGrid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Cs w:val="21"/>
              </w:rPr>
              <w:t>1批</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CFE37">
            <w:pPr>
              <w:shd w:val="clear"/>
              <w:snapToGrid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Cs w:val="21"/>
              </w:rPr>
              <w:t>9.8万元</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600747">
            <w:pPr>
              <w:shd w:val="clear"/>
              <w:snapToGrid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Cs w:val="21"/>
                <w:lang w:val="en-US" w:eastAsia="zh-CN"/>
              </w:rPr>
              <w:t>不属于医疗器械</w:t>
            </w:r>
          </w:p>
        </w:tc>
      </w:tr>
    </w:tbl>
    <w:p w14:paraId="6315406F">
      <w:pPr>
        <w:rPr>
          <w:rFonts w:hint="eastAsia"/>
          <w:color w:val="auto"/>
          <w:lang w:val="en-US" w:eastAsia="zh-CN"/>
        </w:rPr>
      </w:pP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2"/>
        <w:gridCol w:w="6876"/>
        <w:gridCol w:w="854"/>
      </w:tblGrid>
      <w:tr w14:paraId="43673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322A1F9">
            <w:pPr>
              <w:shd w:val="clear"/>
              <w:rPr>
                <w:rFonts w:ascii="宋体" w:hAnsi="宋体" w:eastAsia="宋体" w:cs="宋体"/>
                <w:b/>
                <w:bCs/>
                <w:color w:val="auto"/>
              </w:rPr>
            </w:pPr>
            <w:r>
              <w:rPr>
                <w:rFonts w:hint="eastAsia" w:ascii="宋体" w:hAnsi="宋体" w:eastAsia="宋体" w:cs="宋体"/>
                <w:b/>
                <w:bCs/>
                <w:color w:val="auto"/>
              </w:rPr>
              <w:t>一</w:t>
            </w:r>
          </w:p>
        </w:tc>
        <w:tc>
          <w:tcPr>
            <w:tcW w:w="4033" w:type="pct"/>
            <w:shd w:val="clear" w:color="auto" w:fill="auto"/>
            <w:vAlign w:val="center"/>
          </w:tcPr>
          <w:p w14:paraId="06291B65">
            <w:pPr>
              <w:shd w:val="clear"/>
              <w:rPr>
                <w:rFonts w:ascii="宋体" w:hAnsi="宋体" w:eastAsia="宋体" w:cs="宋体"/>
                <w:b/>
                <w:bCs/>
                <w:color w:val="auto"/>
              </w:rPr>
            </w:pPr>
            <w:r>
              <w:rPr>
                <w:rFonts w:hint="eastAsia" w:ascii="宋体" w:hAnsi="宋体" w:eastAsia="宋体" w:cs="宋体"/>
                <w:b/>
                <w:bCs/>
                <w:color w:val="auto"/>
              </w:rPr>
              <w:t>整机要求：</w:t>
            </w:r>
          </w:p>
        </w:tc>
        <w:tc>
          <w:tcPr>
            <w:tcW w:w="501" w:type="pct"/>
            <w:shd w:val="clear" w:color="auto" w:fill="auto"/>
            <w:vAlign w:val="center"/>
          </w:tcPr>
          <w:p w14:paraId="4A499D1D">
            <w:pPr>
              <w:shd w:val="clear"/>
              <w:rPr>
                <w:rFonts w:ascii="宋体" w:hAnsi="宋体" w:eastAsia="宋体" w:cs="宋体"/>
                <w:color w:val="auto"/>
              </w:rPr>
            </w:pPr>
          </w:p>
        </w:tc>
      </w:tr>
      <w:tr w14:paraId="4244B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977E974">
            <w:pPr>
              <w:shd w:val="clear"/>
              <w:rPr>
                <w:rFonts w:ascii="宋体" w:hAnsi="宋体" w:eastAsia="宋体" w:cs="宋体"/>
                <w:color w:val="auto"/>
              </w:rPr>
            </w:pPr>
            <w:r>
              <w:rPr>
                <w:rFonts w:hint="eastAsia" w:ascii="宋体" w:hAnsi="宋体" w:eastAsia="宋体" w:cs="宋体"/>
                <w:color w:val="auto"/>
              </w:rPr>
              <w:t>1</w:t>
            </w:r>
          </w:p>
        </w:tc>
        <w:tc>
          <w:tcPr>
            <w:tcW w:w="4033" w:type="pct"/>
            <w:shd w:val="clear" w:color="auto" w:fill="auto"/>
            <w:vAlign w:val="center"/>
          </w:tcPr>
          <w:p w14:paraId="169B29F0">
            <w:pPr>
              <w:shd w:val="clear"/>
              <w:rPr>
                <w:rFonts w:ascii="宋体" w:hAnsi="宋体" w:eastAsia="宋体" w:cs="宋体"/>
                <w:color w:val="auto"/>
              </w:rPr>
            </w:pPr>
            <w:r>
              <w:rPr>
                <w:rFonts w:hint="eastAsia" w:ascii="宋体" w:hAnsi="宋体" w:eastAsia="宋体" w:cs="宋体"/>
                <w:color w:val="auto"/>
              </w:rPr>
              <w:t>血压及身高体重传输系统工作站能够通过内置传输系统与医院现有欧姆龙或鱼跃自助台式血压计及启达身高体重秤进行连接，并达到采集测量数据并上传医院HIS系统的目的。</w:t>
            </w:r>
          </w:p>
        </w:tc>
        <w:tc>
          <w:tcPr>
            <w:tcW w:w="501" w:type="pct"/>
            <w:shd w:val="clear" w:color="auto" w:fill="auto"/>
            <w:vAlign w:val="center"/>
          </w:tcPr>
          <w:p w14:paraId="1807AEA2">
            <w:pPr>
              <w:shd w:val="clear"/>
              <w:rPr>
                <w:rFonts w:ascii="宋体" w:hAnsi="宋体" w:eastAsia="宋体" w:cs="宋体"/>
                <w:color w:val="auto"/>
              </w:rPr>
            </w:pPr>
          </w:p>
        </w:tc>
      </w:tr>
      <w:tr w14:paraId="72DE1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494E4CC">
            <w:pPr>
              <w:shd w:val="clear"/>
              <w:rPr>
                <w:rFonts w:ascii="宋体" w:hAnsi="宋体" w:eastAsia="宋体" w:cs="宋体"/>
                <w:b/>
                <w:bCs/>
                <w:color w:val="auto"/>
              </w:rPr>
            </w:pPr>
            <w:r>
              <w:rPr>
                <w:rFonts w:hint="eastAsia" w:ascii="宋体" w:hAnsi="宋体" w:eastAsia="宋体" w:cs="宋体"/>
                <w:b/>
                <w:bCs/>
                <w:color w:val="auto"/>
              </w:rPr>
              <w:t>二</w:t>
            </w:r>
          </w:p>
        </w:tc>
        <w:tc>
          <w:tcPr>
            <w:tcW w:w="4033" w:type="pct"/>
            <w:shd w:val="clear" w:color="auto" w:fill="auto"/>
            <w:vAlign w:val="center"/>
          </w:tcPr>
          <w:p w14:paraId="2276021F">
            <w:pPr>
              <w:shd w:val="clear"/>
              <w:rPr>
                <w:rFonts w:ascii="宋体" w:hAnsi="宋体" w:eastAsia="宋体" w:cs="宋体"/>
                <w:b/>
                <w:bCs/>
                <w:color w:val="auto"/>
              </w:rPr>
            </w:pPr>
            <w:r>
              <w:rPr>
                <w:rFonts w:hint="eastAsia" w:ascii="宋体" w:hAnsi="宋体" w:eastAsia="宋体" w:cs="宋体"/>
                <w:b/>
                <w:bCs/>
                <w:color w:val="auto"/>
              </w:rPr>
              <w:t>工作站设备参数：</w:t>
            </w:r>
          </w:p>
        </w:tc>
        <w:tc>
          <w:tcPr>
            <w:tcW w:w="501" w:type="pct"/>
            <w:shd w:val="clear" w:color="auto" w:fill="auto"/>
            <w:vAlign w:val="center"/>
          </w:tcPr>
          <w:p w14:paraId="0F6678B8">
            <w:pPr>
              <w:shd w:val="clear"/>
              <w:rPr>
                <w:rFonts w:ascii="宋体" w:hAnsi="宋体" w:eastAsia="宋体" w:cs="宋体"/>
                <w:color w:val="auto"/>
              </w:rPr>
            </w:pPr>
          </w:p>
        </w:tc>
      </w:tr>
      <w:tr w14:paraId="1967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36F197A">
            <w:pPr>
              <w:shd w:val="clear"/>
              <w:rPr>
                <w:rFonts w:ascii="宋体" w:hAnsi="宋体" w:eastAsia="宋体" w:cs="宋体"/>
                <w:color w:val="auto"/>
              </w:rPr>
            </w:pPr>
            <w:r>
              <w:rPr>
                <w:rFonts w:hint="eastAsia" w:ascii="宋体" w:hAnsi="宋体" w:eastAsia="宋体" w:cs="宋体"/>
                <w:color w:val="auto"/>
              </w:rPr>
              <w:t>1</w:t>
            </w:r>
          </w:p>
        </w:tc>
        <w:tc>
          <w:tcPr>
            <w:tcW w:w="4033" w:type="pct"/>
            <w:shd w:val="clear" w:color="auto" w:fill="auto"/>
            <w:vAlign w:val="center"/>
          </w:tcPr>
          <w:p w14:paraId="21F4278D">
            <w:pPr>
              <w:shd w:val="clear"/>
              <w:rPr>
                <w:rFonts w:ascii="宋体" w:hAnsi="宋体" w:eastAsia="宋体" w:cs="宋体"/>
                <w:color w:val="auto"/>
              </w:rPr>
            </w:pPr>
            <w:r>
              <w:rPr>
                <w:rFonts w:hint="eastAsia" w:ascii="宋体" w:hAnsi="宋体" w:eastAsia="宋体" w:cs="宋体"/>
                <w:color w:val="auto"/>
              </w:rPr>
              <w:t>显示模块：</w:t>
            </w:r>
          </w:p>
        </w:tc>
        <w:tc>
          <w:tcPr>
            <w:tcW w:w="501" w:type="pct"/>
            <w:shd w:val="clear" w:color="auto" w:fill="auto"/>
            <w:vAlign w:val="center"/>
          </w:tcPr>
          <w:p w14:paraId="40E93F1C">
            <w:pPr>
              <w:shd w:val="clear"/>
              <w:rPr>
                <w:rFonts w:ascii="宋体" w:hAnsi="宋体" w:eastAsia="宋体" w:cs="宋体"/>
                <w:color w:val="auto"/>
              </w:rPr>
            </w:pPr>
          </w:p>
        </w:tc>
      </w:tr>
      <w:tr w14:paraId="16016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2DBEFD4">
            <w:pPr>
              <w:shd w:val="clear"/>
              <w:rPr>
                <w:rFonts w:ascii="宋体" w:hAnsi="宋体" w:eastAsia="宋体" w:cs="宋体"/>
                <w:color w:val="auto"/>
              </w:rPr>
            </w:pPr>
            <w:r>
              <w:rPr>
                <w:rFonts w:hint="eastAsia" w:ascii="宋体" w:hAnsi="宋体" w:eastAsia="宋体" w:cs="宋体"/>
                <w:color w:val="auto"/>
              </w:rPr>
              <w:t>1.1</w:t>
            </w:r>
          </w:p>
        </w:tc>
        <w:tc>
          <w:tcPr>
            <w:tcW w:w="4033" w:type="pct"/>
            <w:shd w:val="clear" w:color="auto" w:fill="auto"/>
            <w:vAlign w:val="center"/>
          </w:tcPr>
          <w:p w14:paraId="576A7513">
            <w:pPr>
              <w:shd w:val="clear"/>
              <w:rPr>
                <w:rFonts w:ascii="宋体" w:hAnsi="宋体" w:eastAsia="宋体" w:cs="宋体"/>
                <w:color w:val="auto"/>
              </w:rPr>
            </w:pPr>
            <w:r>
              <w:rPr>
                <w:rFonts w:hint="eastAsia" w:ascii="宋体" w:hAnsi="宋体" w:eastAsia="宋体" w:cs="宋体"/>
                <w:color w:val="auto"/>
              </w:rPr>
              <w:t>LED屏尺寸：≥15寸；</w:t>
            </w:r>
          </w:p>
        </w:tc>
        <w:tc>
          <w:tcPr>
            <w:tcW w:w="501" w:type="pct"/>
            <w:shd w:val="clear" w:color="auto" w:fill="auto"/>
            <w:vAlign w:val="center"/>
          </w:tcPr>
          <w:p w14:paraId="35076B66">
            <w:pPr>
              <w:shd w:val="clear"/>
              <w:rPr>
                <w:rFonts w:ascii="宋体" w:hAnsi="宋体" w:eastAsia="宋体" w:cs="宋体"/>
                <w:color w:val="auto"/>
              </w:rPr>
            </w:pPr>
          </w:p>
        </w:tc>
      </w:tr>
      <w:tr w14:paraId="3FE45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87A5175">
            <w:pPr>
              <w:shd w:val="clear"/>
              <w:rPr>
                <w:rFonts w:ascii="宋体" w:hAnsi="宋体" w:eastAsia="宋体" w:cs="宋体"/>
                <w:color w:val="auto"/>
              </w:rPr>
            </w:pPr>
            <w:r>
              <w:rPr>
                <w:rFonts w:hint="eastAsia" w:ascii="宋体" w:hAnsi="宋体" w:eastAsia="宋体" w:cs="宋体"/>
                <w:color w:val="auto"/>
              </w:rPr>
              <w:t>1.2</w:t>
            </w:r>
          </w:p>
        </w:tc>
        <w:tc>
          <w:tcPr>
            <w:tcW w:w="4033" w:type="pct"/>
            <w:shd w:val="clear" w:color="auto" w:fill="auto"/>
            <w:vAlign w:val="center"/>
          </w:tcPr>
          <w:p w14:paraId="05F2E9D7">
            <w:pPr>
              <w:shd w:val="clear"/>
              <w:rPr>
                <w:rFonts w:ascii="宋体" w:hAnsi="宋体" w:eastAsia="宋体" w:cs="宋体"/>
                <w:color w:val="auto"/>
              </w:rPr>
            </w:pPr>
            <w:r>
              <w:rPr>
                <w:rFonts w:hint="eastAsia" w:ascii="宋体" w:hAnsi="宋体" w:eastAsia="宋体" w:cs="宋体"/>
                <w:color w:val="auto"/>
              </w:rPr>
              <w:t>分辨率：≥1024*768；</w:t>
            </w:r>
          </w:p>
        </w:tc>
        <w:tc>
          <w:tcPr>
            <w:tcW w:w="501" w:type="pct"/>
            <w:shd w:val="clear" w:color="auto" w:fill="auto"/>
            <w:vAlign w:val="center"/>
          </w:tcPr>
          <w:p w14:paraId="45ED58E7">
            <w:pPr>
              <w:shd w:val="clear"/>
              <w:rPr>
                <w:rFonts w:ascii="宋体" w:hAnsi="宋体" w:eastAsia="宋体" w:cs="宋体"/>
                <w:color w:val="auto"/>
              </w:rPr>
            </w:pPr>
          </w:p>
        </w:tc>
      </w:tr>
      <w:tr w14:paraId="40C56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4BA02A9">
            <w:pPr>
              <w:shd w:val="clear"/>
              <w:rPr>
                <w:rFonts w:ascii="宋体" w:hAnsi="宋体" w:eastAsia="宋体" w:cs="宋体"/>
                <w:color w:val="auto"/>
              </w:rPr>
            </w:pPr>
            <w:r>
              <w:rPr>
                <w:rFonts w:hint="eastAsia" w:ascii="宋体" w:hAnsi="宋体" w:eastAsia="宋体" w:cs="宋体"/>
                <w:color w:val="auto"/>
              </w:rPr>
              <w:t>1.3</w:t>
            </w:r>
          </w:p>
        </w:tc>
        <w:tc>
          <w:tcPr>
            <w:tcW w:w="4033" w:type="pct"/>
            <w:shd w:val="clear" w:color="auto" w:fill="auto"/>
            <w:vAlign w:val="center"/>
          </w:tcPr>
          <w:p w14:paraId="51F583EC">
            <w:pPr>
              <w:shd w:val="clear"/>
              <w:rPr>
                <w:rFonts w:ascii="宋体" w:hAnsi="宋体" w:eastAsia="宋体" w:cs="宋体"/>
                <w:color w:val="auto"/>
              </w:rPr>
            </w:pPr>
            <w:r>
              <w:rPr>
                <w:rFonts w:hint="eastAsia" w:ascii="宋体" w:hAnsi="宋体" w:eastAsia="宋体" w:cs="宋体"/>
                <w:color w:val="auto"/>
              </w:rPr>
              <w:t>响应时间：≤4ms；</w:t>
            </w:r>
          </w:p>
        </w:tc>
        <w:tc>
          <w:tcPr>
            <w:tcW w:w="501" w:type="pct"/>
            <w:shd w:val="clear" w:color="auto" w:fill="auto"/>
            <w:vAlign w:val="center"/>
          </w:tcPr>
          <w:p w14:paraId="07680636">
            <w:pPr>
              <w:shd w:val="clear"/>
              <w:rPr>
                <w:rFonts w:ascii="宋体" w:hAnsi="宋体" w:eastAsia="宋体" w:cs="宋体"/>
                <w:color w:val="auto"/>
              </w:rPr>
            </w:pPr>
          </w:p>
        </w:tc>
      </w:tr>
      <w:tr w14:paraId="18A8C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D16E446">
            <w:pPr>
              <w:shd w:val="clear"/>
              <w:rPr>
                <w:rFonts w:ascii="宋体" w:hAnsi="宋体" w:eastAsia="宋体" w:cs="宋体"/>
                <w:color w:val="auto"/>
              </w:rPr>
            </w:pPr>
            <w:r>
              <w:rPr>
                <w:rFonts w:hint="eastAsia" w:ascii="宋体" w:hAnsi="宋体" w:eastAsia="宋体" w:cs="宋体"/>
                <w:color w:val="auto"/>
              </w:rPr>
              <w:t>1.4</w:t>
            </w:r>
          </w:p>
        </w:tc>
        <w:tc>
          <w:tcPr>
            <w:tcW w:w="4033" w:type="pct"/>
            <w:shd w:val="clear" w:color="auto" w:fill="auto"/>
            <w:vAlign w:val="center"/>
          </w:tcPr>
          <w:p w14:paraId="0076F8C9">
            <w:pPr>
              <w:shd w:val="clear"/>
              <w:rPr>
                <w:rFonts w:ascii="宋体" w:hAnsi="宋体" w:eastAsia="宋体" w:cs="宋体"/>
                <w:color w:val="auto"/>
              </w:rPr>
            </w:pPr>
            <w:r>
              <w:rPr>
                <w:rFonts w:hint="eastAsia" w:ascii="宋体" w:hAnsi="宋体" w:eastAsia="宋体" w:cs="宋体"/>
                <w:color w:val="auto"/>
              </w:rPr>
              <w:t>输入/接口方式：至少支持 VGA、HDMI。</w:t>
            </w:r>
          </w:p>
        </w:tc>
        <w:tc>
          <w:tcPr>
            <w:tcW w:w="501" w:type="pct"/>
            <w:shd w:val="clear" w:color="auto" w:fill="auto"/>
            <w:vAlign w:val="center"/>
          </w:tcPr>
          <w:p w14:paraId="475E061B">
            <w:pPr>
              <w:shd w:val="clear"/>
              <w:rPr>
                <w:rFonts w:ascii="宋体" w:hAnsi="宋体" w:eastAsia="宋体" w:cs="宋体"/>
                <w:color w:val="auto"/>
              </w:rPr>
            </w:pPr>
          </w:p>
        </w:tc>
      </w:tr>
      <w:tr w14:paraId="5D376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48616DCC">
            <w:pPr>
              <w:shd w:val="clear"/>
              <w:rPr>
                <w:rFonts w:ascii="宋体" w:hAnsi="宋体" w:eastAsia="宋体" w:cs="宋体"/>
                <w:color w:val="auto"/>
              </w:rPr>
            </w:pPr>
            <w:r>
              <w:rPr>
                <w:rFonts w:hint="eastAsia" w:ascii="宋体" w:hAnsi="宋体" w:eastAsia="宋体" w:cs="宋体"/>
                <w:color w:val="auto"/>
              </w:rPr>
              <w:t>2</w:t>
            </w:r>
          </w:p>
        </w:tc>
        <w:tc>
          <w:tcPr>
            <w:tcW w:w="4033" w:type="pct"/>
            <w:shd w:val="clear" w:color="auto" w:fill="auto"/>
            <w:vAlign w:val="center"/>
          </w:tcPr>
          <w:p w14:paraId="2E43C62A">
            <w:pPr>
              <w:shd w:val="clear"/>
              <w:rPr>
                <w:rFonts w:ascii="宋体" w:hAnsi="宋体" w:eastAsia="宋体" w:cs="宋体"/>
                <w:color w:val="auto"/>
              </w:rPr>
            </w:pPr>
            <w:r>
              <w:rPr>
                <w:rFonts w:hint="eastAsia" w:ascii="宋体" w:hAnsi="宋体" w:eastAsia="宋体" w:cs="宋体"/>
                <w:color w:val="auto"/>
              </w:rPr>
              <w:t>触摸模块：</w:t>
            </w:r>
          </w:p>
        </w:tc>
        <w:tc>
          <w:tcPr>
            <w:tcW w:w="501" w:type="pct"/>
            <w:shd w:val="clear" w:color="auto" w:fill="auto"/>
            <w:vAlign w:val="center"/>
          </w:tcPr>
          <w:p w14:paraId="1E9BCF1B">
            <w:pPr>
              <w:shd w:val="clear"/>
              <w:rPr>
                <w:rFonts w:ascii="宋体" w:hAnsi="宋体" w:eastAsia="宋体" w:cs="宋体"/>
                <w:color w:val="auto"/>
              </w:rPr>
            </w:pPr>
          </w:p>
        </w:tc>
      </w:tr>
      <w:tr w14:paraId="26BCC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7800178">
            <w:pPr>
              <w:shd w:val="clear"/>
              <w:rPr>
                <w:rFonts w:ascii="宋体" w:hAnsi="宋体" w:eastAsia="宋体" w:cs="宋体"/>
                <w:color w:val="auto"/>
              </w:rPr>
            </w:pPr>
            <w:r>
              <w:rPr>
                <w:rFonts w:hint="eastAsia" w:ascii="宋体" w:hAnsi="宋体" w:eastAsia="宋体" w:cs="宋体"/>
                <w:color w:val="auto"/>
              </w:rPr>
              <w:t>2.1</w:t>
            </w:r>
          </w:p>
        </w:tc>
        <w:tc>
          <w:tcPr>
            <w:tcW w:w="4033" w:type="pct"/>
            <w:shd w:val="clear" w:color="auto" w:fill="auto"/>
            <w:vAlign w:val="center"/>
          </w:tcPr>
          <w:p w14:paraId="6DEB9FDE">
            <w:pPr>
              <w:shd w:val="clear"/>
              <w:rPr>
                <w:rFonts w:ascii="宋体" w:hAnsi="宋体" w:eastAsia="宋体" w:cs="宋体"/>
                <w:color w:val="auto"/>
              </w:rPr>
            </w:pPr>
            <w:r>
              <w:rPr>
                <w:rFonts w:hint="eastAsia" w:ascii="宋体" w:hAnsi="宋体" w:eastAsia="宋体" w:cs="宋体"/>
                <w:color w:val="auto"/>
              </w:rPr>
              <w:t>屏幕种类：投射式电容屏（10点及以上）；</w:t>
            </w:r>
          </w:p>
        </w:tc>
        <w:tc>
          <w:tcPr>
            <w:tcW w:w="501" w:type="pct"/>
            <w:shd w:val="clear" w:color="auto" w:fill="auto"/>
            <w:vAlign w:val="center"/>
          </w:tcPr>
          <w:p w14:paraId="0E5C03B3">
            <w:pPr>
              <w:shd w:val="clear"/>
              <w:rPr>
                <w:rFonts w:ascii="宋体" w:hAnsi="宋体" w:eastAsia="宋体" w:cs="宋体"/>
                <w:color w:val="auto"/>
              </w:rPr>
            </w:pPr>
          </w:p>
        </w:tc>
      </w:tr>
      <w:tr w14:paraId="1EF76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142F216">
            <w:pPr>
              <w:shd w:val="clear"/>
              <w:rPr>
                <w:rFonts w:ascii="宋体" w:hAnsi="宋体" w:eastAsia="宋体" w:cs="宋体"/>
                <w:color w:val="auto"/>
              </w:rPr>
            </w:pPr>
            <w:r>
              <w:rPr>
                <w:rFonts w:hint="eastAsia" w:ascii="宋体" w:hAnsi="宋体" w:eastAsia="宋体" w:cs="宋体"/>
                <w:color w:val="auto"/>
              </w:rPr>
              <w:t>2.2</w:t>
            </w:r>
          </w:p>
        </w:tc>
        <w:tc>
          <w:tcPr>
            <w:tcW w:w="4033" w:type="pct"/>
            <w:shd w:val="clear" w:color="auto" w:fill="auto"/>
            <w:vAlign w:val="center"/>
          </w:tcPr>
          <w:p w14:paraId="4489329E">
            <w:pPr>
              <w:shd w:val="clear"/>
              <w:rPr>
                <w:rFonts w:ascii="宋体" w:hAnsi="宋体" w:eastAsia="宋体" w:cs="宋体"/>
                <w:color w:val="auto"/>
              </w:rPr>
            </w:pPr>
            <w:r>
              <w:rPr>
                <w:rFonts w:hint="eastAsia" w:ascii="宋体" w:hAnsi="宋体" w:eastAsia="宋体" w:cs="宋体"/>
                <w:color w:val="auto"/>
              </w:rPr>
              <w:t>分辨率：≥4096*4096；</w:t>
            </w:r>
          </w:p>
        </w:tc>
        <w:tc>
          <w:tcPr>
            <w:tcW w:w="501" w:type="pct"/>
            <w:shd w:val="clear" w:color="auto" w:fill="auto"/>
          </w:tcPr>
          <w:p w14:paraId="34EEE5D0">
            <w:pPr>
              <w:shd w:val="clear"/>
              <w:rPr>
                <w:rFonts w:ascii="宋体" w:hAnsi="宋体" w:eastAsia="宋体" w:cs="宋体"/>
                <w:color w:val="auto"/>
              </w:rPr>
            </w:pPr>
          </w:p>
        </w:tc>
      </w:tr>
      <w:tr w14:paraId="3194B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75C8C97">
            <w:pPr>
              <w:shd w:val="clear"/>
              <w:rPr>
                <w:rFonts w:ascii="宋体" w:hAnsi="宋体" w:eastAsia="宋体" w:cs="宋体"/>
                <w:color w:val="auto"/>
              </w:rPr>
            </w:pPr>
            <w:r>
              <w:rPr>
                <w:rFonts w:hint="eastAsia" w:ascii="宋体" w:hAnsi="宋体" w:eastAsia="宋体" w:cs="宋体"/>
                <w:color w:val="auto"/>
              </w:rPr>
              <w:t>2.3</w:t>
            </w:r>
          </w:p>
        </w:tc>
        <w:tc>
          <w:tcPr>
            <w:tcW w:w="4033" w:type="pct"/>
            <w:shd w:val="clear" w:color="auto" w:fill="auto"/>
            <w:vAlign w:val="center"/>
          </w:tcPr>
          <w:p w14:paraId="397B51E9">
            <w:pPr>
              <w:shd w:val="clear"/>
              <w:rPr>
                <w:rFonts w:ascii="宋体" w:hAnsi="宋体" w:eastAsia="宋体" w:cs="宋体"/>
                <w:color w:val="auto"/>
              </w:rPr>
            </w:pPr>
            <w:r>
              <w:rPr>
                <w:rFonts w:hint="eastAsia" w:ascii="宋体" w:hAnsi="宋体" w:eastAsia="宋体" w:cs="宋体"/>
                <w:color w:val="auto"/>
              </w:rPr>
              <w:t>数据刷新频率：≥60Hz；</w:t>
            </w:r>
          </w:p>
        </w:tc>
        <w:tc>
          <w:tcPr>
            <w:tcW w:w="501" w:type="pct"/>
            <w:shd w:val="clear" w:color="auto" w:fill="auto"/>
          </w:tcPr>
          <w:p w14:paraId="2D31831D">
            <w:pPr>
              <w:shd w:val="clear"/>
              <w:rPr>
                <w:rFonts w:ascii="宋体" w:hAnsi="宋体" w:eastAsia="宋体" w:cs="宋体"/>
                <w:color w:val="auto"/>
              </w:rPr>
            </w:pPr>
          </w:p>
        </w:tc>
      </w:tr>
      <w:tr w14:paraId="57553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F1F316F">
            <w:pPr>
              <w:shd w:val="clear"/>
              <w:rPr>
                <w:rFonts w:ascii="宋体" w:hAnsi="宋体" w:eastAsia="宋体" w:cs="宋体"/>
                <w:color w:val="auto"/>
              </w:rPr>
            </w:pPr>
            <w:r>
              <w:rPr>
                <w:rFonts w:hint="eastAsia" w:ascii="宋体" w:hAnsi="宋体" w:eastAsia="宋体" w:cs="宋体"/>
                <w:color w:val="auto"/>
              </w:rPr>
              <w:t>2.4</w:t>
            </w:r>
          </w:p>
        </w:tc>
        <w:tc>
          <w:tcPr>
            <w:tcW w:w="4033" w:type="pct"/>
            <w:shd w:val="clear" w:color="auto" w:fill="auto"/>
            <w:vAlign w:val="center"/>
          </w:tcPr>
          <w:p w14:paraId="6A83023F">
            <w:pPr>
              <w:shd w:val="clear"/>
              <w:rPr>
                <w:rFonts w:ascii="宋体" w:hAnsi="宋体" w:eastAsia="宋体" w:cs="宋体"/>
                <w:color w:val="auto"/>
              </w:rPr>
            </w:pPr>
            <w:r>
              <w:rPr>
                <w:rFonts w:hint="eastAsia" w:ascii="宋体" w:hAnsi="宋体" w:eastAsia="宋体" w:cs="宋体"/>
                <w:color w:val="auto"/>
              </w:rPr>
              <w:t>玻璃厚度：≥3mm及以上；</w:t>
            </w:r>
          </w:p>
        </w:tc>
        <w:tc>
          <w:tcPr>
            <w:tcW w:w="501" w:type="pct"/>
            <w:shd w:val="clear" w:color="auto" w:fill="auto"/>
          </w:tcPr>
          <w:p w14:paraId="15E15F45">
            <w:pPr>
              <w:shd w:val="clear"/>
              <w:rPr>
                <w:rFonts w:ascii="宋体" w:hAnsi="宋体" w:eastAsia="宋体" w:cs="宋体"/>
                <w:color w:val="auto"/>
              </w:rPr>
            </w:pPr>
          </w:p>
        </w:tc>
      </w:tr>
      <w:tr w14:paraId="7CAD6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A503D08">
            <w:pPr>
              <w:shd w:val="clear"/>
              <w:rPr>
                <w:rFonts w:ascii="宋体" w:hAnsi="宋体" w:eastAsia="宋体" w:cs="宋体"/>
                <w:color w:val="auto"/>
              </w:rPr>
            </w:pPr>
            <w:r>
              <w:rPr>
                <w:rFonts w:hint="eastAsia" w:ascii="宋体" w:hAnsi="宋体" w:eastAsia="宋体" w:cs="宋体"/>
                <w:color w:val="auto"/>
              </w:rPr>
              <w:t>2.5</w:t>
            </w:r>
          </w:p>
        </w:tc>
        <w:tc>
          <w:tcPr>
            <w:tcW w:w="4033" w:type="pct"/>
            <w:shd w:val="clear" w:color="auto" w:fill="auto"/>
            <w:vAlign w:val="center"/>
          </w:tcPr>
          <w:p w14:paraId="67FE0DB0">
            <w:pPr>
              <w:shd w:val="clear"/>
              <w:rPr>
                <w:rFonts w:ascii="宋体" w:hAnsi="宋体" w:eastAsia="宋体" w:cs="宋体"/>
                <w:color w:val="auto"/>
              </w:rPr>
            </w:pPr>
            <w:r>
              <w:rPr>
                <w:rFonts w:hint="eastAsia" w:ascii="宋体" w:hAnsi="宋体" w:eastAsia="宋体" w:cs="宋体"/>
                <w:color w:val="auto"/>
              </w:rPr>
              <w:t>玻璃种类：具有防爆功能。</w:t>
            </w:r>
          </w:p>
        </w:tc>
        <w:tc>
          <w:tcPr>
            <w:tcW w:w="501" w:type="pct"/>
            <w:shd w:val="clear" w:color="auto" w:fill="auto"/>
          </w:tcPr>
          <w:p w14:paraId="0E639CF6">
            <w:pPr>
              <w:shd w:val="clear"/>
              <w:rPr>
                <w:rFonts w:ascii="宋体" w:hAnsi="宋体" w:eastAsia="宋体" w:cs="宋体"/>
                <w:color w:val="auto"/>
              </w:rPr>
            </w:pPr>
          </w:p>
        </w:tc>
      </w:tr>
      <w:tr w14:paraId="2C1BE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33D0A69D">
            <w:pPr>
              <w:shd w:val="clear"/>
              <w:rPr>
                <w:rFonts w:ascii="宋体" w:hAnsi="宋体" w:eastAsia="宋体" w:cs="宋体"/>
                <w:color w:val="auto"/>
              </w:rPr>
            </w:pPr>
            <w:r>
              <w:rPr>
                <w:rFonts w:hint="eastAsia" w:ascii="宋体" w:hAnsi="宋体" w:eastAsia="宋体" w:cs="宋体"/>
                <w:color w:val="auto"/>
              </w:rPr>
              <w:t>3</w:t>
            </w:r>
          </w:p>
        </w:tc>
        <w:tc>
          <w:tcPr>
            <w:tcW w:w="4033" w:type="pct"/>
            <w:shd w:val="clear" w:color="auto" w:fill="auto"/>
            <w:vAlign w:val="center"/>
          </w:tcPr>
          <w:p w14:paraId="39184D69">
            <w:pPr>
              <w:shd w:val="clear"/>
              <w:rPr>
                <w:rFonts w:ascii="宋体" w:hAnsi="宋体" w:eastAsia="宋体" w:cs="宋体"/>
                <w:color w:val="auto"/>
              </w:rPr>
            </w:pPr>
            <w:r>
              <w:rPr>
                <w:rFonts w:hint="eastAsia" w:ascii="宋体" w:hAnsi="宋体" w:eastAsia="宋体" w:cs="宋体"/>
                <w:color w:val="auto"/>
              </w:rPr>
              <w:t>工作站模块：</w:t>
            </w:r>
          </w:p>
        </w:tc>
        <w:tc>
          <w:tcPr>
            <w:tcW w:w="501" w:type="pct"/>
            <w:shd w:val="clear" w:color="auto" w:fill="auto"/>
          </w:tcPr>
          <w:p w14:paraId="146D89F9">
            <w:pPr>
              <w:shd w:val="clear"/>
              <w:rPr>
                <w:rFonts w:ascii="宋体" w:hAnsi="宋体" w:eastAsia="宋体" w:cs="宋体"/>
                <w:color w:val="auto"/>
              </w:rPr>
            </w:pPr>
          </w:p>
        </w:tc>
      </w:tr>
      <w:tr w14:paraId="71811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2288F41">
            <w:pPr>
              <w:shd w:val="clear"/>
              <w:rPr>
                <w:rFonts w:ascii="宋体" w:hAnsi="宋体" w:eastAsia="宋体" w:cs="宋体"/>
                <w:color w:val="auto"/>
              </w:rPr>
            </w:pPr>
            <w:r>
              <w:rPr>
                <w:rFonts w:hint="eastAsia" w:ascii="宋体" w:hAnsi="宋体" w:eastAsia="宋体" w:cs="宋体"/>
                <w:color w:val="auto"/>
              </w:rPr>
              <w:t>3.1</w:t>
            </w:r>
          </w:p>
        </w:tc>
        <w:tc>
          <w:tcPr>
            <w:tcW w:w="4033" w:type="pct"/>
            <w:shd w:val="clear" w:color="auto" w:fill="auto"/>
            <w:vAlign w:val="center"/>
          </w:tcPr>
          <w:p w14:paraId="02302610">
            <w:pPr>
              <w:shd w:val="clear"/>
              <w:rPr>
                <w:rFonts w:ascii="宋体" w:hAnsi="宋体" w:eastAsia="宋体" w:cs="宋体"/>
                <w:color w:val="auto"/>
              </w:rPr>
            </w:pPr>
            <w:r>
              <w:rPr>
                <w:rFonts w:hint="eastAsia" w:ascii="宋体" w:hAnsi="宋体" w:eastAsia="宋体" w:cs="宋体"/>
                <w:color w:val="auto"/>
              </w:rPr>
              <w:t>最低要求双核1.8G；</w:t>
            </w:r>
          </w:p>
        </w:tc>
        <w:tc>
          <w:tcPr>
            <w:tcW w:w="501" w:type="pct"/>
            <w:shd w:val="clear" w:color="auto" w:fill="auto"/>
          </w:tcPr>
          <w:p w14:paraId="05C0AB9D">
            <w:pPr>
              <w:shd w:val="clear"/>
              <w:rPr>
                <w:rFonts w:ascii="宋体" w:hAnsi="宋体" w:eastAsia="宋体" w:cs="宋体"/>
                <w:color w:val="auto"/>
              </w:rPr>
            </w:pPr>
          </w:p>
        </w:tc>
      </w:tr>
      <w:tr w14:paraId="7175C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8A42199">
            <w:pPr>
              <w:shd w:val="clear"/>
              <w:rPr>
                <w:rFonts w:ascii="宋体" w:hAnsi="宋体" w:eastAsia="宋体" w:cs="宋体"/>
                <w:color w:val="auto"/>
              </w:rPr>
            </w:pPr>
            <w:r>
              <w:rPr>
                <w:rFonts w:hint="eastAsia" w:ascii="宋体" w:hAnsi="宋体" w:eastAsia="宋体" w:cs="宋体"/>
                <w:color w:val="auto"/>
              </w:rPr>
              <w:t>3.2</w:t>
            </w:r>
          </w:p>
        </w:tc>
        <w:tc>
          <w:tcPr>
            <w:tcW w:w="4033" w:type="pct"/>
            <w:shd w:val="clear" w:color="auto" w:fill="auto"/>
            <w:vAlign w:val="center"/>
          </w:tcPr>
          <w:p w14:paraId="439A2D2B">
            <w:pPr>
              <w:shd w:val="clear"/>
              <w:rPr>
                <w:rFonts w:ascii="宋体" w:hAnsi="宋体" w:eastAsia="宋体" w:cs="宋体"/>
                <w:color w:val="auto"/>
              </w:rPr>
            </w:pPr>
            <w:r>
              <w:rPr>
                <w:rFonts w:hint="eastAsia" w:ascii="宋体" w:hAnsi="宋体" w:eastAsia="宋体" w:cs="宋体"/>
                <w:color w:val="auto"/>
              </w:rPr>
              <w:t>支持工控主板；</w:t>
            </w:r>
          </w:p>
        </w:tc>
        <w:tc>
          <w:tcPr>
            <w:tcW w:w="501" w:type="pct"/>
            <w:shd w:val="clear" w:color="auto" w:fill="auto"/>
          </w:tcPr>
          <w:p w14:paraId="56D78F4D">
            <w:pPr>
              <w:shd w:val="clear"/>
              <w:rPr>
                <w:rFonts w:ascii="宋体" w:hAnsi="宋体" w:eastAsia="宋体" w:cs="宋体"/>
                <w:color w:val="auto"/>
              </w:rPr>
            </w:pPr>
          </w:p>
        </w:tc>
      </w:tr>
      <w:tr w14:paraId="3402E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44EA1C4B">
            <w:pPr>
              <w:shd w:val="clear"/>
              <w:rPr>
                <w:rFonts w:ascii="宋体" w:hAnsi="宋体" w:eastAsia="宋体" w:cs="宋体"/>
                <w:color w:val="auto"/>
              </w:rPr>
            </w:pPr>
            <w:r>
              <w:rPr>
                <w:rFonts w:hint="eastAsia" w:ascii="宋体" w:hAnsi="宋体" w:eastAsia="宋体" w:cs="宋体"/>
                <w:color w:val="auto"/>
              </w:rPr>
              <w:t>3.3</w:t>
            </w:r>
          </w:p>
        </w:tc>
        <w:tc>
          <w:tcPr>
            <w:tcW w:w="4033" w:type="pct"/>
            <w:shd w:val="clear" w:color="auto" w:fill="auto"/>
            <w:vAlign w:val="center"/>
          </w:tcPr>
          <w:p w14:paraId="4D120FD5">
            <w:pPr>
              <w:shd w:val="clear"/>
              <w:rPr>
                <w:rFonts w:ascii="宋体" w:hAnsi="宋体" w:eastAsia="宋体" w:cs="宋体"/>
                <w:color w:val="auto"/>
              </w:rPr>
            </w:pPr>
            <w:r>
              <w:rPr>
                <w:rFonts w:hint="eastAsia" w:ascii="宋体" w:hAnsi="宋体" w:eastAsia="宋体" w:cs="宋体"/>
                <w:color w:val="auto"/>
              </w:rPr>
              <w:t>至少4G内存，支持DDR3；</w:t>
            </w:r>
          </w:p>
        </w:tc>
        <w:tc>
          <w:tcPr>
            <w:tcW w:w="501" w:type="pct"/>
            <w:shd w:val="clear" w:color="auto" w:fill="auto"/>
          </w:tcPr>
          <w:p w14:paraId="40D7F3CA">
            <w:pPr>
              <w:shd w:val="clear"/>
              <w:rPr>
                <w:rFonts w:ascii="宋体" w:hAnsi="宋体" w:eastAsia="宋体" w:cs="宋体"/>
                <w:color w:val="auto"/>
              </w:rPr>
            </w:pPr>
          </w:p>
        </w:tc>
      </w:tr>
      <w:tr w14:paraId="12F18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9752DCA">
            <w:pPr>
              <w:shd w:val="clear"/>
              <w:rPr>
                <w:rFonts w:ascii="宋体" w:hAnsi="宋体" w:eastAsia="宋体" w:cs="宋体"/>
                <w:color w:val="auto"/>
              </w:rPr>
            </w:pPr>
            <w:r>
              <w:rPr>
                <w:rFonts w:hint="eastAsia" w:ascii="宋体" w:hAnsi="宋体" w:eastAsia="宋体" w:cs="宋体"/>
                <w:color w:val="auto"/>
              </w:rPr>
              <w:t>3.4</w:t>
            </w:r>
          </w:p>
        </w:tc>
        <w:tc>
          <w:tcPr>
            <w:tcW w:w="4033" w:type="pct"/>
            <w:shd w:val="clear" w:color="auto" w:fill="auto"/>
            <w:vAlign w:val="center"/>
          </w:tcPr>
          <w:p w14:paraId="4A9D6269">
            <w:pPr>
              <w:shd w:val="clear"/>
              <w:rPr>
                <w:rFonts w:ascii="宋体" w:hAnsi="宋体" w:eastAsia="宋体" w:cs="宋体"/>
                <w:color w:val="auto"/>
              </w:rPr>
            </w:pPr>
            <w:r>
              <w:rPr>
                <w:rFonts w:hint="eastAsia" w:ascii="宋体" w:hAnsi="宋体" w:eastAsia="宋体" w:cs="宋体"/>
                <w:color w:val="auto"/>
              </w:rPr>
              <w:t>支持固态硬盘SSD，硬盘存储至少60G。</w:t>
            </w:r>
          </w:p>
        </w:tc>
        <w:tc>
          <w:tcPr>
            <w:tcW w:w="501" w:type="pct"/>
            <w:shd w:val="clear" w:color="auto" w:fill="auto"/>
          </w:tcPr>
          <w:p w14:paraId="53932005">
            <w:pPr>
              <w:shd w:val="clear"/>
              <w:rPr>
                <w:rFonts w:ascii="宋体" w:hAnsi="宋体" w:eastAsia="宋体" w:cs="宋体"/>
                <w:color w:val="auto"/>
              </w:rPr>
            </w:pPr>
          </w:p>
        </w:tc>
      </w:tr>
      <w:tr w14:paraId="62FA7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B796077">
            <w:pPr>
              <w:shd w:val="clear"/>
              <w:rPr>
                <w:rFonts w:ascii="宋体" w:hAnsi="宋体" w:eastAsia="宋体" w:cs="宋体"/>
                <w:color w:val="auto"/>
              </w:rPr>
            </w:pPr>
            <w:r>
              <w:rPr>
                <w:rFonts w:hint="eastAsia" w:ascii="宋体" w:hAnsi="宋体" w:eastAsia="宋体" w:cs="宋体"/>
                <w:color w:val="auto"/>
              </w:rPr>
              <w:t>4</w:t>
            </w:r>
          </w:p>
        </w:tc>
        <w:tc>
          <w:tcPr>
            <w:tcW w:w="4033" w:type="pct"/>
            <w:shd w:val="clear" w:color="auto" w:fill="auto"/>
            <w:vAlign w:val="center"/>
          </w:tcPr>
          <w:p w14:paraId="2858DD7C">
            <w:pPr>
              <w:shd w:val="clear"/>
              <w:rPr>
                <w:rFonts w:ascii="宋体" w:hAnsi="宋体" w:eastAsia="宋体" w:cs="宋体"/>
                <w:color w:val="auto"/>
              </w:rPr>
            </w:pPr>
            <w:r>
              <w:rPr>
                <w:rFonts w:hint="eastAsia" w:ascii="宋体" w:hAnsi="宋体" w:eastAsia="宋体" w:cs="宋体"/>
                <w:color w:val="auto"/>
              </w:rPr>
              <w:t>整体机箱：</w:t>
            </w:r>
          </w:p>
        </w:tc>
        <w:tc>
          <w:tcPr>
            <w:tcW w:w="501" w:type="pct"/>
            <w:shd w:val="clear" w:color="auto" w:fill="auto"/>
          </w:tcPr>
          <w:p w14:paraId="573E8F93">
            <w:pPr>
              <w:shd w:val="clear"/>
              <w:rPr>
                <w:rFonts w:ascii="宋体" w:hAnsi="宋体" w:eastAsia="宋体" w:cs="宋体"/>
                <w:color w:val="auto"/>
              </w:rPr>
            </w:pPr>
          </w:p>
        </w:tc>
      </w:tr>
      <w:tr w14:paraId="4B53B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52D425F">
            <w:pPr>
              <w:shd w:val="clear"/>
              <w:rPr>
                <w:rFonts w:ascii="宋体" w:hAnsi="宋体" w:eastAsia="宋体" w:cs="宋体"/>
                <w:color w:val="auto"/>
              </w:rPr>
            </w:pPr>
            <w:r>
              <w:rPr>
                <w:rFonts w:hint="eastAsia" w:ascii="宋体" w:hAnsi="宋体" w:eastAsia="宋体" w:cs="宋体"/>
                <w:color w:val="auto"/>
              </w:rPr>
              <w:t>4.1</w:t>
            </w:r>
          </w:p>
        </w:tc>
        <w:tc>
          <w:tcPr>
            <w:tcW w:w="4033" w:type="pct"/>
            <w:shd w:val="clear" w:color="auto" w:fill="auto"/>
            <w:vAlign w:val="center"/>
          </w:tcPr>
          <w:p w14:paraId="2AED99B1">
            <w:pPr>
              <w:shd w:val="clear"/>
              <w:rPr>
                <w:rFonts w:ascii="宋体" w:hAnsi="宋体" w:eastAsia="宋体" w:cs="宋体"/>
                <w:color w:val="auto"/>
              </w:rPr>
            </w:pPr>
            <w:r>
              <w:rPr>
                <w:rFonts w:hint="eastAsia" w:ascii="宋体" w:hAnsi="宋体" w:eastAsia="宋体" w:cs="宋体"/>
                <w:color w:val="auto"/>
              </w:rPr>
              <w:t>机柜材料为一体化设计，内置音响，外接网络接口、USB接口等，配置万向轮；</w:t>
            </w:r>
          </w:p>
        </w:tc>
        <w:tc>
          <w:tcPr>
            <w:tcW w:w="501" w:type="pct"/>
            <w:shd w:val="clear" w:color="auto" w:fill="auto"/>
          </w:tcPr>
          <w:p w14:paraId="3F961195">
            <w:pPr>
              <w:shd w:val="clear"/>
              <w:rPr>
                <w:rFonts w:ascii="宋体" w:hAnsi="宋体" w:eastAsia="宋体" w:cs="宋体"/>
                <w:color w:val="auto"/>
              </w:rPr>
            </w:pPr>
          </w:p>
        </w:tc>
      </w:tr>
      <w:tr w14:paraId="29C4F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24BB37B7">
            <w:pPr>
              <w:shd w:val="clear"/>
              <w:rPr>
                <w:rFonts w:ascii="宋体" w:hAnsi="宋体" w:eastAsia="宋体" w:cs="宋体"/>
                <w:color w:val="auto"/>
              </w:rPr>
            </w:pPr>
            <w:r>
              <w:rPr>
                <w:rFonts w:hint="eastAsia" w:ascii="宋体" w:hAnsi="宋体" w:eastAsia="宋体" w:cs="宋体"/>
                <w:color w:val="auto"/>
              </w:rPr>
              <w:t>4.2</w:t>
            </w:r>
          </w:p>
        </w:tc>
        <w:tc>
          <w:tcPr>
            <w:tcW w:w="4033" w:type="pct"/>
            <w:shd w:val="clear" w:color="auto" w:fill="auto"/>
            <w:vAlign w:val="center"/>
          </w:tcPr>
          <w:p w14:paraId="5DFED297">
            <w:pPr>
              <w:shd w:val="clear"/>
              <w:rPr>
                <w:rFonts w:ascii="宋体" w:hAnsi="宋体" w:eastAsia="宋体" w:cs="宋体"/>
                <w:color w:val="auto"/>
              </w:rPr>
            </w:pPr>
            <w:r>
              <w:rPr>
                <w:rFonts w:hint="eastAsia" w:ascii="宋体" w:hAnsi="宋体" w:eastAsia="宋体" w:cs="宋体"/>
                <w:color w:val="auto"/>
              </w:rPr>
              <w:t>散热技术：显示器部件散热问题充分考虑显示器部件、主机散热问题，提供散热解决方案，无噪音；</w:t>
            </w:r>
          </w:p>
        </w:tc>
        <w:tc>
          <w:tcPr>
            <w:tcW w:w="501" w:type="pct"/>
            <w:shd w:val="clear" w:color="auto" w:fill="auto"/>
          </w:tcPr>
          <w:p w14:paraId="21CD9336">
            <w:pPr>
              <w:shd w:val="clear"/>
              <w:rPr>
                <w:rFonts w:ascii="宋体" w:hAnsi="宋体" w:eastAsia="宋体" w:cs="宋体"/>
                <w:color w:val="auto"/>
              </w:rPr>
            </w:pPr>
          </w:p>
        </w:tc>
      </w:tr>
      <w:tr w14:paraId="326FE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1BDEB35F">
            <w:pPr>
              <w:shd w:val="clear"/>
              <w:rPr>
                <w:rFonts w:ascii="宋体" w:hAnsi="宋体" w:eastAsia="宋体" w:cs="宋体"/>
                <w:color w:val="auto"/>
              </w:rPr>
            </w:pPr>
            <w:r>
              <w:rPr>
                <w:rFonts w:hint="eastAsia" w:ascii="宋体" w:hAnsi="宋体" w:eastAsia="宋体" w:cs="宋体"/>
                <w:color w:val="auto"/>
              </w:rPr>
              <w:t>4.3</w:t>
            </w:r>
          </w:p>
        </w:tc>
        <w:tc>
          <w:tcPr>
            <w:tcW w:w="4033" w:type="pct"/>
            <w:shd w:val="clear" w:color="auto" w:fill="auto"/>
            <w:vAlign w:val="center"/>
          </w:tcPr>
          <w:p w14:paraId="000F3F86">
            <w:pPr>
              <w:shd w:val="clear"/>
              <w:rPr>
                <w:rFonts w:ascii="宋体" w:hAnsi="宋体" w:eastAsia="宋体" w:cs="宋体"/>
                <w:color w:val="auto"/>
              </w:rPr>
            </w:pPr>
            <w:r>
              <w:rPr>
                <w:rFonts w:hint="eastAsia" w:ascii="宋体" w:hAnsi="宋体" w:eastAsia="宋体" w:cs="宋体"/>
                <w:color w:val="auto"/>
              </w:rPr>
              <w:t>内置读卡器设备。</w:t>
            </w:r>
          </w:p>
        </w:tc>
        <w:tc>
          <w:tcPr>
            <w:tcW w:w="501" w:type="pct"/>
            <w:shd w:val="clear" w:color="auto" w:fill="auto"/>
          </w:tcPr>
          <w:p w14:paraId="4538B15D">
            <w:pPr>
              <w:shd w:val="clear"/>
              <w:rPr>
                <w:rFonts w:ascii="宋体" w:hAnsi="宋体" w:eastAsia="宋体" w:cs="宋体"/>
                <w:color w:val="auto"/>
              </w:rPr>
            </w:pPr>
          </w:p>
        </w:tc>
      </w:tr>
      <w:tr w14:paraId="301FA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1453C42">
            <w:pPr>
              <w:shd w:val="clear"/>
              <w:rPr>
                <w:rFonts w:ascii="宋体" w:hAnsi="宋体" w:eastAsia="宋体" w:cs="宋体"/>
                <w:color w:val="auto"/>
              </w:rPr>
            </w:pPr>
            <w:r>
              <w:rPr>
                <w:rFonts w:hint="eastAsia" w:ascii="宋体" w:hAnsi="宋体" w:eastAsia="宋体" w:cs="宋体"/>
                <w:color w:val="auto"/>
              </w:rPr>
              <w:t>5</w:t>
            </w:r>
          </w:p>
        </w:tc>
        <w:tc>
          <w:tcPr>
            <w:tcW w:w="4033" w:type="pct"/>
            <w:shd w:val="clear" w:color="auto" w:fill="auto"/>
            <w:vAlign w:val="center"/>
          </w:tcPr>
          <w:p w14:paraId="0E918345">
            <w:pPr>
              <w:shd w:val="clear"/>
              <w:rPr>
                <w:rFonts w:ascii="宋体" w:hAnsi="宋体" w:eastAsia="宋体" w:cs="宋体"/>
                <w:color w:val="auto"/>
              </w:rPr>
            </w:pPr>
            <w:r>
              <w:rPr>
                <w:rFonts w:hint="eastAsia" w:ascii="宋体" w:hAnsi="宋体" w:eastAsia="宋体" w:cs="宋体"/>
                <w:color w:val="auto"/>
              </w:rPr>
              <w:t>扫描枪：支持连续扫描。</w:t>
            </w:r>
          </w:p>
        </w:tc>
        <w:tc>
          <w:tcPr>
            <w:tcW w:w="501" w:type="pct"/>
            <w:shd w:val="clear" w:color="auto" w:fill="auto"/>
          </w:tcPr>
          <w:p w14:paraId="3C7CABA3">
            <w:pPr>
              <w:shd w:val="clear"/>
              <w:rPr>
                <w:rFonts w:ascii="宋体" w:hAnsi="宋体" w:eastAsia="宋体" w:cs="宋体"/>
                <w:color w:val="auto"/>
              </w:rPr>
            </w:pPr>
          </w:p>
        </w:tc>
      </w:tr>
      <w:tr w14:paraId="1BD97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148182B5">
            <w:pPr>
              <w:shd w:val="clear"/>
              <w:rPr>
                <w:rFonts w:ascii="宋体" w:hAnsi="宋体" w:eastAsia="宋体" w:cs="宋体"/>
                <w:b/>
                <w:bCs/>
                <w:color w:val="auto"/>
              </w:rPr>
            </w:pPr>
            <w:r>
              <w:rPr>
                <w:rFonts w:hint="eastAsia" w:ascii="宋体" w:hAnsi="宋体" w:eastAsia="宋体" w:cs="宋体"/>
                <w:b/>
                <w:bCs/>
                <w:color w:val="auto"/>
              </w:rPr>
              <w:t>三</w:t>
            </w:r>
          </w:p>
        </w:tc>
        <w:tc>
          <w:tcPr>
            <w:tcW w:w="4033" w:type="pct"/>
            <w:shd w:val="clear" w:color="auto" w:fill="auto"/>
            <w:vAlign w:val="center"/>
          </w:tcPr>
          <w:p w14:paraId="0A66EFDD">
            <w:pPr>
              <w:shd w:val="clear"/>
              <w:rPr>
                <w:rFonts w:ascii="宋体" w:hAnsi="宋体" w:eastAsia="宋体" w:cs="宋体"/>
                <w:b/>
                <w:bCs/>
                <w:color w:val="auto"/>
              </w:rPr>
            </w:pPr>
            <w:r>
              <w:rPr>
                <w:rFonts w:hint="eastAsia" w:ascii="宋体" w:hAnsi="宋体" w:eastAsia="宋体" w:cs="宋体"/>
                <w:b/>
                <w:bCs/>
                <w:color w:val="auto"/>
              </w:rPr>
              <w:t>血压及身高体重传输系统功能：</w:t>
            </w:r>
          </w:p>
        </w:tc>
        <w:tc>
          <w:tcPr>
            <w:tcW w:w="501" w:type="pct"/>
            <w:shd w:val="clear" w:color="auto" w:fill="auto"/>
          </w:tcPr>
          <w:p w14:paraId="3F67B6A3">
            <w:pPr>
              <w:shd w:val="clear"/>
              <w:rPr>
                <w:rFonts w:ascii="宋体" w:hAnsi="宋体" w:eastAsia="宋体" w:cs="宋体"/>
                <w:color w:val="auto"/>
              </w:rPr>
            </w:pPr>
          </w:p>
        </w:tc>
      </w:tr>
      <w:tr w14:paraId="4C60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7C176FD">
            <w:pPr>
              <w:shd w:val="clear"/>
              <w:rPr>
                <w:rFonts w:ascii="宋体" w:hAnsi="宋体" w:eastAsia="宋体" w:cs="宋体"/>
                <w:color w:val="auto"/>
              </w:rPr>
            </w:pPr>
            <w:r>
              <w:rPr>
                <w:rFonts w:hint="eastAsia" w:ascii="宋体" w:hAnsi="宋体" w:eastAsia="宋体" w:cs="宋体"/>
                <w:color w:val="auto"/>
              </w:rPr>
              <w:t>1</w:t>
            </w:r>
          </w:p>
        </w:tc>
        <w:tc>
          <w:tcPr>
            <w:tcW w:w="4033" w:type="pct"/>
            <w:shd w:val="clear" w:color="auto" w:fill="auto"/>
            <w:vAlign w:val="center"/>
          </w:tcPr>
          <w:p w14:paraId="15D8DCBB">
            <w:pPr>
              <w:shd w:val="clear"/>
              <w:rPr>
                <w:rFonts w:ascii="宋体" w:hAnsi="宋体" w:eastAsia="宋体" w:cs="宋体"/>
                <w:color w:val="auto"/>
              </w:rPr>
            </w:pPr>
            <w:r>
              <w:rPr>
                <w:rFonts w:hint="eastAsia" w:ascii="宋体" w:hAnsi="宋体" w:eastAsia="宋体" w:cs="宋体"/>
                <w:color w:val="auto"/>
              </w:rPr>
              <w:t>包含刷卡登录模块及仪器测量模块。支持病案号、身份证、社保卡、电子医保卡、电子健康卡等多种读卡方式，支持测量数据信息自动上传至医院HIS系统。</w:t>
            </w:r>
          </w:p>
        </w:tc>
        <w:tc>
          <w:tcPr>
            <w:tcW w:w="501" w:type="pct"/>
            <w:shd w:val="clear" w:color="auto" w:fill="auto"/>
          </w:tcPr>
          <w:p w14:paraId="26C95012">
            <w:pPr>
              <w:shd w:val="clear"/>
              <w:rPr>
                <w:rFonts w:ascii="宋体" w:hAnsi="宋体" w:eastAsia="宋体" w:cs="宋体"/>
                <w:color w:val="auto"/>
              </w:rPr>
            </w:pPr>
          </w:p>
        </w:tc>
      </w:tr>
      <w:tr w14:paraId="373A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6F6E0FA">
            <w:pPr>
              <w:shd w:val="clear"/>
              <w:rPr>
                <w:rFonts w:ascii="宋体" w:hAnsi="宋体" w:eastAsia="宋体" w:cs="宋体"/>
                <w:color w:val="auto"/>
              </w:rPr>
            </w:pPr>
            <w:r>
              <w:rPr>
                <w:rFonts w:hint="eastAsia" w:ascii="宋体" w:hAnsi="宋体" w:eastAsia="宋体" w:cs="宋体"/>
                <w:color w:val="auto"/>
              </w:rPr>
              <w:t>2</w:t>
            </w:r>
          </w:p>
        </w:tc>
        <w:tc>
          <w:tcPr>
            <w:tcW w:w="4033" w:type="pct"/>
            <w:shd w:val="clear" w:color="auto" w:fill="auto"/>
            <w:vAlign w:val="center"/>
          </w:tcPr>
          <w:p w14:paraId="0320563E">
            <w:pPr>
              <w:shd w:val="clear"/>
              <w:rPr>
                <w:rFonts w:ascii="宋体" w:hAnsi="宋体" w:eastAsia="宋体" w:cs="宋体"/>
                <w:color w:val="auto"/>
              </w:rPr>
            </w:pPr>
            <w:r>
              <w:rPr>
                <w:rFonts w:hint="eastAsia" w:ascii="宋体" w:hAnsi="宋体" w:eastAsia="宋体" w:cs="宋体"/>
                <w:color w:val="auto"/>
              </w:rPr>
              <w:t>软件主界面直观，就诊患者可自主选择登录方式。</w:t>
            </w:r>
          </w:p>
        </w:tc>
        <w:tc>
          <w:tcPr>
            <w:tcW w:w="501" w:type="pct"/>
            <w:shd w:val="clear" w:color="auto" w:fill="auto"/>
          </w:tcPr>
          <w:p w14:paraId="525219BB">
            <w:pPr>
              <w:shd w:val="clear"/>
              <w:rPr>
                <w:rFonts w:ascii="宋体" w:hAnsi="宋体" w:eastAsia="宋体" w:cs="宋体"/>
                <w:color w:val="auto"/>
              </w:rPr>
            </w:pPr>
          </w:p>
        </w:tc>
      </w:tr>
      <w:tr w14:paraId="543EC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19CCC081">
            <w:pPr>
              <w:shd w:val="clear"/>
              <w:rPr>
                <w:rFonts w:ascii="宋体" w:hAnsi="宋体" w:eastAsia="宋体" w:cs="宋体"/>
                <w:color w:val="auto"/>
              </w:rPr>
            </w:pPr>
            <w:r>
              <w:rPr>
                <w:rFonts w:hint="eastAsia" w:ascii="宋体" w:hAnsi="宋体" w:eastAsia="宋体" w:cs="宋体"/>
                <w:color w:val="auto"/>
              </w:rPr>
              <w:t>3</w:t>
            </w:r>
          </w:p>
        </w:tc>
        <w:tc>
          <w:tcPr>
            <w:tcW w:w="4033" w:type="pct"/>
            <w:shd w:val="clear" w:color="auto" w:fill="auto"/>
            <w:vAlign w:val="center"/>
          </w:tcPr>
          <w:p w14:paraId="389091BE">
            <w:pPr>
              <w:shd w:val="clear"/>
              <w:rPr>
                <w:rFonts w:ascii="宋体" w:hAnsi="宋体" w:eastAsia="宋体" w:cs="宋体"/>
                <w:color w:val="auto"/>
              </w:rPr>
            </w:pPr>
            <w:r>
              <w:rPr>
                <w:rFonts w:hint="eastAsia" w:ascii="宋体" w:hAnsi="宋体" w:eastAsia="宋体" w:cs="宋体"/>
                <w:color w:val="auto"/>
              </w:rPr>
              <w:t>测量完成，自动读取就诊患者血压计测量的收缩压、舒张压、心率；身高体重秤测量的身高、体重、体重指数。</w:t>
            </w:r>
          </w:p>
        </w:tc>
        <w:tc>
          <w:tcPr>
            <w:tcW w:w="501" w:type="pct"/>
            <w:shd w:val="clear" w:color="auto" w:fill="auto"/>
          </w:tcPr>
          <w:p w14:paraId="426F4DC2">
            <w:pPr>
              <w:shd w:val="clear"/>
              <w:rPr>
                <w:rFonts w:ascii="宋体" w:hAnsi="宋体" w:eastAsia="宋体" w:cs="宋体"/>
                <w:color w:val="auto"/>
              </w:rPr>
            </w:pPr>
          </w:p>
        </w:tc>
      </w:tr>
      <w:tr w14:paraId="79C43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2A89F2A">
            <w:pPr>
              <w:shd w:val="clear"/>
              <w:rPr>
                <w:rFonts w:ascii="宋体" w:hAnsi="宋体" w:eastAsia="宋体" w:cs="宋体"/>
                <w:color w:val="auto"/>
              </w:rPr>
            </w:pPr>
            <w:r>
              <w:rPr>
                <w:rFonts w:hint="eastAsia" w:ascii="宋体" w:hAnsi="宋体" w:eastAsia="宋体" w:cs="宋体"/>
                <w:color w:val="auto"/>
              </w:rPr>
              <w:t>4</w:t>
            </w:r>
          </w:p>
        </w:tc>
        <w:tc>
          <w:tcPr>
            <w:tcW w:w="4033" w:type="pct"/>
            <w:shd w:val="clear" w:color="auto" w:fill="auto"/>
            <w:vAlign w:val="center"/>
          </w:tcPr>
          <w:p w14:paraId="73475B16">
            <w:pPr>
              <w:shd w:val="clear"/>
              <w:rPr>
                <w:rFonts w:ascii="宋体" w:hAnsi="宋体" w:eastAsia="宋体" w:cs="宋体"/>
                <w:color w:val="auto"/>
              </w:rPr>
            </w:pPr>
            <w:r>
              <w:rPr>
                <w:rFonts w:hint="eastAsia" w:ascii="宋体" w:hAnsi="宋体" w:eastAsia="宋体" w:cs="宋体"/>
                <w:color w:val="auto"/>
              </w:rPr>
              <w:t>可自动把就诊患者的血压数据、身高体重数据自动导入医院医生工作站HIS系统。</w:t>
            </w:r>
          </w:p>
        </w:tc>
        <w:tc>
          <w:tcPr>
            <w:tcW w:w="501" w:type="pct"/>
            <w:shd w:val="clear" w:color="auto" w:fill="auto"/>
          </w:tcPr>
          <w:p w14:paraId="68D4C9B0">
            <w:pPr>
              <w:shd w:val="clear"/>
              <w:rPr>
                <w:rFonts w:ascii="宋体" w:hAnsi="宋体" w:eastAsia="宋体" w:cs="宋体"/>
                <w:color w:val="auto"/>
              </w:rPr>
            </w:pPr>
          </w:p>
        </w:tc>
      </w:tr>
      <w:tr w14:paraId="0B847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1CEBA3AD">
            <w:pPr>
              <w:shd w:val="clear"/>
              <w:rPr>
                <w:rFonts w:ascii="宋体" w:hAnsi="宋体" w:eastAsia="宋体" w:cs="宋体"/>
                <w:color w:val="auto"/>
              </w:rPr>
            </w:pPr>
            <w:r>
              <w:rPr>
                <w:rFonts w:hint="eastAsia" w:ascii="宋体" w:hAnsi="宋体" w:eastAsia="宋体" w:cs="宋体"/>
                <w:color w:val="auto"/>
              </w:rPr>
              <w:t>5</w:t>
            </w:r>
          </w:p>
        </w:tc>
        <w:tc>
          <w:tcPr>
            <w:tcW w:w="4033" w:type="pct"/>
            <w:shd w:val="clear" w:color="auto" w:fill="auto"/>
            <w:vAlign w:val="center"/>
          </w:tcPr>
          <w:p w14:paraId="7196736A">
            <w:pPr>
              <w:shd w:val="clear"/>
              <w:rPr>
                <w:rFonts w:ascii="宋体" w:hAnsi="宋体" w:eastAsia="宋体" w:cs="宋体"/>
                <w:color w:val="auto"/>
              </w:rPr>
            </w:pPr>
            <w:r>
              <w:rPr>
                <w:rFonts w:hint="eastAsia" w:ascii="宋体" w:hAnsi="宋体" w:eastAsia="宋体" w:cs="宋体"/>
                <w:color w:val="auto"/>
              </w:rPr>
              <w:t>预留好与配套电子血压计、身高体重秤的接口程序，即插即用。</w:t>
            </w:r>
          </w:p>
        </w:tc>
        <w:tc>
          <w:tcPr>
            <w:tcW w:w="501" w:type="pct"/>
            <w:shd w:val="clear" w:color="auto" w:fill="auto"/>
          </w:tcPr>
          <w:p w14:paraId="05160EF8">
            <w:pPr>
              <w:shd w:val="clear"/>
              <w:rPr>
                <w:rFonts w:ascii="宋体" w:hAnsi="宋体" w:eastAsia="宋体" w:cs="宋体"/>
                <w:color w:val="auto"/>
              </w:rPr>
            </w:pPr>
          </w:p>
        </w:tc>
      </w:tr>
      <w:tr w14:paraId="75CB4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4AD21480">
            <w:pPr>
              <w:shd w:val="clear"/>
              <w:rPr>
                <w:rFonts w:ascii="宋体" w:hAnsi="宋体" w:eastAsia="宋体" w:cs="宋体"/>
                <w:color w:val="auto"/>
              </w:rPr>
            </w:pPr>
            <w:r>
              <w:rPr>
                <w:rFonts w:hint="eastAsia" w:ascii="宋体" w:hAnsi="宋体" w:eastAsia="宋体" w:cs="宋体"/>
                <w:color w:val="auto"/>
              </w:rPr>
              <w:t>6</w:t>
            </w:r>
          </w:p>
        </w:tc>
        <w:tc>
          <w:tcPr>
            <w:tcW w:w="4033" w:type="pct"/>
            <w:shd w:val="clear" w:color="auto" w:fill="auto"/>
            <w:vAlign w:val="center"/>
          </w:tcPr>
          <w:p w14:paraId="070FA45F">
            <w:pPr>
              <w:shd w:val="clear"/>
              <w:rPr>
                <w:rFonts w:ascii="宋体" w:hAnsi="宋体" w:eastAsia="宋体" w:cs="宋体"/>
                <w:color w:val="auto"/>
              </w:rPr>
            </w:pPr>
            <w:r>
              <w:rPr>
                <w:rFonts w:hint="eastAsia" w:ascii="宋体" w:hAnsi="宋体" w:eastAsia="宋体" w:cs="宋体"/>
                <w:color w:val="auto"/>
              </w:rPr>
              <w:t>配置要求：包含系统软件、读卡装置、工作站、扫码设备。</w:t>
            </w:r>
          </w:p>
        </w:tc>
        <w:tc>
          <w:tcPr>
            <w:tcW w:w="501" w:type="pct"/>
            <w:shd w:val="clear" w:color="auto" w:fill="auto"/>
          </w:tcPr>
          <w:p w14:paraId="78EE3216">
            <w:pPr>
              <w:shd w:val="clear"/>
              <w:rPr>
                <w:rFonts w:ascii="宋体" w:hAnsi="宋体" w:eastAsia="宋体" w:cs="宋体"/>
                <w:color w:val="auto"/>
              </w:rPr>
            </w:pPr>
          </w:p>
        </w:tc>
      </w:tr>
      <w:tr w14:paraId="0B4B0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1E6A4143">
            <w:pPr>
              <w:shd w:val="clear"/>
              <w:rPr>
                <w:rFonts w:ascii="宋体" w:hAnsi="宋体" w:eastAsia="宋体" w:cs="宋体"/>
                <w:color w:val="auto"/>
              </w:rPr>
            </w:pPr>
            <w:r>
              <w:rPr>
                <w:rFonts w:hint="eastAsia" w:ascii="宋体" w:hAnsi="宋体" w:eastAsia="宋体" w:cs="宋体"/>
                <w:color w:val="auto"/>
              </w:rPr>
              <w:t>7</w:t>
            </w:r>
          </w:p>
        </w:tc>
        <w:tc>
          <w:tcPr>
            <w:tcW w:w="4033" w:type="pct"/>
            <w:shd w:val="clear" w:color="auto" w:fill="auto"/>
            <w:vAlign w:val="center"/>
          </w:tcPr>
          <w:p w14:paraId="120660C5">
            <w:pPr>
              <w:shd w:val="clear"/>
              <w:rPr>
                <w:rFonts w:ascii="宋体" w:hAnsi="宋体" w:eastAsia="宋体" w:cs="宋体"/>
                <w:color w:val="auto"/>
              </w:rPr>
            </w:pPr>
            <w:r>
              <w:rPr>
                <w:rFonts w:hint="eastAsia" w:ascii="宋体" w:hAnsi="宋体" w:eastAsia="宋体" w:cs="宋体"/>
                <w:color w:val="auto"/>
              </w:rPr>
              <w:t>测量过程全程语音提示。</w:t>
            </w:r>
          </w:p>
        </w:tc>
        <w:tc>
          <w:tcPr>
            <w:tcW w:w="501" w:type="pct"/>
            <w:shd w:val="clear" w:color="auto" w:fill="auto"/>
          </w:tcPr>
          <w:p w14:paraId="269FF3CB">
            <w:pPr>
              <w:shd w:val="clear"/>
              <w:rPr>
                <w:rFonts w:ascii="宋体" w:hAnsi="宋体" w:eastAsia="宋体" w:cs="宋体"/>
                <w:color w:val="auto"/>
              </w:rPr>
            </w:pPr>
          </w:p>
        </w:tc>
      </w:tr>
      <w:tr w14:paraId="76298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30A90CA4">
            <w:pPr>
              <w:shd w:val="clear"/>
              <w:rPr>
                <w:rFonts w:ascii="宋体" w:hAnsi="宋体" w:eastAsia="宋体" w:cs="宋体"/>
                <w:color w:val="auto"/>
              </w:rPr>
            </w:pPr>
            <w:r>
              <w:rPr>
                <w:rFonts w:hint="eastAsia" w:ascii="宋体" w:hAnsi="宋体" w:eastAsia="宋体" w:cs="宋体"/>
                <w:color w:val="auto"/>
              </w:rPr>
              <w:t>8</w:t>
            </w:r>
          </w:p>
        </w:tc>
        <w:tc>
          <w:tcPr>
            <w:tcW w:w="4033" w:type="pct"/>
            <w:shd w:val="clear" w:color="auto" w:fill="auto"/>
          </w:tcPr>
          <w:p w14:paraId="275C49E8">
            <w:pPr>
              <w:shd w:val="clear"/>
              <w:rPr>
                <w:rFonts w:ascii="宋体" w:hAnsi="宋体" w:eastAsia="宋体" w:cs="宋体"/>
                <w:color w:val="auto"/>
              </w:rPr>
            </w:pPr>
            <w:r>
              <w:rPr>
                <w:rFonts w:hint="eastAsia" w:ascii="宋体" w:hAnsi="宋体" w:eastAsia="宋体" w:cs="宋体"/>
                <w:color w:val="auto"/>
              </w:rPr>
              <w:t>功能水平达到电子病历五级（2018版）、互联互通四级甲等及智慧服务三级要求，须每年提供相关操作文档包括开发文档及数据采集相关材料。</w:t>
            </w:r>
          </w:p>
        </w:tc>
        <w:tc>
          <w:tcPr>
            <w:tcW w:w="501" w:type="pct"/>
            <w:shd w:val="clear" w:color="auto" w:fill="auto"/>
          </w:tcPr>
          <w:p w14:paraId="4E70FB71">
            <w:pPr>
              <w:shd w:val="clear"/>
              <w:rPr>
                <w:rFonts w:ascii="宋体" w:hAnsi="宋体" w:eastAsia="宋体" w:cs="宋体"/>
                <w:color w:val="auto"/>
              </w:rPr>
            </w:pPr>
          </w:p>
        </w:tc>
      </w:tr>
      <w:tr w14:paraId="0E44B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0A2DBDCD">
            <w:pPr>
              <w:shd w:val="clear"/>
              <w:rPr>
                <w:rFonts w:ascii="宋体" w:hAnsi="宋体" w:eastAsia="宋体" w:cs="宋体"/>
                <w:color w:val="auto"/>
              </w:rPr>
            </w:pPr>
            <w:r>
              <w:rPr>
                <w:rFonts w:hint="eastAsia" w:ascii="宋体" w:hAnsi="宋体" w:eastAsia="宋体" w:cs="宋体"/>
                <w:color w:val="auto"/>
              </w:rPr>
              <w:t>9</w:t>
            </w:r>
          </w:p>
        </w:tc>
        <w:tc>
          <w:tcPr>
            <w:tcW w:w="4033" w:type="pct"/>
            <w:shd w:val="clear" w:color="auto" w:fill="auto"/>
          </w:tcPr>
          <w:p w14:paraId="7435C124">
            <w:pPr>
              <w:shd w:val="clear"/>
              <w:rPr>
                <w:rFonts w:ascii="宋体" w:hAnsi="宋体" w:eastAsia="宋体" w:cs="宋体"/>
                <w:color w:val="auto"/>
              </w:rPr>
            </w:pPr>
            <w:r>
              <w:rPr>
                <w:rFonts w:hint="eastAsia" w:ascii="宋体" w:hAnsi="宋体" w:eastAsia="宋体" w:cs="宋体"/>
                <w:color w:val="auto"/>
              </w:rPr>
              <w:t>维保期内未涉及产品框架改造，投标人应按采购人业务需求修改，不收取任何费用。</w:t>
            </w:r>
          </w:p>
        </w:tc>
        <w:tc>
          <w:tcPr>
            <w:tcW w:w="501" w:type="pct"/>
            <w:shd w:val="clear" w:color="auto" w:fill="auto"/>
          </w:tcPr>
          <w:p w14:paraId="79AE4F12">
            <w:pPr>
              <w:shd w:val="clear"/>
              <w:rPr>
                <w:rFonts w:ascii="宋体" w:hAnsi="宋体" w:eastAsia="宋体" w:cs="宋体"/>
                <w:color w:val="auto"/>
              </w:rPr>
            </w:pPr>
          </w:p>
        </w:tc>
      </w:tr>
      <w:tr w14:paraId="69A53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F8C896F">
            <w:pPr>
              <w:shd w:val="clear"/>
              <w:rPr>
                <w:rFonts w:ascii="宋体" w:hAnsi="宋体" w:eastAsia="宋体" w:cs="宋体"/>
                <w:color w:val="auto"/>
              </w:rPr>
            </w:pPr>
            <w:r>
              <w:rPr>
                <w:rFonts w:hint="eastAsia" w:ascii="宋体" w:hAnsi="宋体" w:eastAsia="宋体" w:cs="宋体"/>
                <w:color w:val="auto"/>
              </w:rPr>
              <w:t>10</w:t>
            </w:r>
          </w:p>
        </w:tc>
        <w:tc>
          <w:tcPr>
            <w:tcW w:w="4033" w:type="pct"/>
            <w:shd w:val="clear" w:color="auto" w:fill="auto"/>
          </w:tcPr>
          <w:p w14:paraId="24D8E4BB">
            <w:pPr>
              <w:shd w:val="clear"/>
              <w:rPr>
                <w:rFonts w:ascii="宋体" w:hAnsi="宋体" w:eastAsia="宋体" w:cs="宋体"/>
                <w:color w:val="auto"/>
              </w:rPr>
            </w:pPr>
            <w:r>
              <w:rPr>
                <w:rFonts w:hint="eastAsia" w:ascii="宋体" w:hAnsi="宋体" w:eastAsia="宋体" w:cs="宋体"/>
                <w:color w:val="auto"/>
              </w:rPr>
              <w:t>系统应符合应用系统等保要求，如有互联网端应用，该应用需提供漏扫报告。</w:t>
            </w:r>
          </w:p>
        </w:tc>
        <w:tc>
          <w:tcPr>
            <w:tcW w:w="501" w:type="pct"/>
            <w:shd w:val="clear" w:color="auto" w:fill="auto"/>
          </w:tcPr>
          <w:p w14:paraId="085B4ED9">
            <w:pPr>
              <w:shd w:val="clear"/>
              <w:rPr>
                <w:rFonts w:ascii="宋体" w:hAnsi="宋体" w:eastAsia="宋体" w:cs="宋体"/>
                <w:color w:val="auto"/>
              </w:rPr>
            </w:pPr>
          </w:p>
        </w:tc>
      </w:tr>
      <w:tr w14:paraId="4AAC5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2CA2318B">
            <w:pPr>
              <w:shd w:val="clear"/>
              <w:rPr>
                <w:rFonts w:ascii="宋体" w:hAnsi="宋体" w:eastAsia="宋体" w:cs="宋体"/>
                <w:color w:val="auto"/>
              </w:rPr>
            </w:pPr>
            <w:r>
              <w:rPr>
                <w:rFonts w:hint="eastAsia" w:ascii="宋体" w:hAnsi="宋体" w:eastAsia="宋体" w:cs="宋体"/>
                <w:color w:val="auto"/>
              </w:rPr>
              <w:t>11</w:t>
            </w:r>
          </w:p>
        </w:tc>
        <w:tc>
          <w:tcPr>
            <w:tcW w:w="4033" w:type="pct"/>
            <w:shd w:val="clear" w:color="auto" w:fill="auto"/>
          </w:tcPr>
          <w:p w14:paraId="4CF2935D">
            <w:pPr>
              <w:shd w:val="clear"/>
              <w:rPr>
                <w:rFonts w:ascii="宋体" w:hAnsi="宋体" w:eastAsia="宋体" w:cs="宋体"/>
                <w:color w:val="auto"/>
              </w:rPr>
            </w:pPr>
            <w:r>
              <w:rPr>
                <w:rFonts w:hint="eastAsia" w:ascii="宋体" w:hAnsi="宋体" w:eastAsia="宋体" w:cs="宋体"/>
                <w:color w:val="auto"/>
              </w:rPr>
              <w:t>投标人提供免费接口供其它系统使用及认证并承担与本软件相关的His、集成平台等相关医院信息系统接口费用。</w:t>
            </w:r>
          </w:p>
        </w:tc>
        <w:tc>
          <w:tcPr>
            <w:tcW w:w="501" w:type="pct"/>
            <w:shd w:val="clear" w:color="auto" w:fill="auto"/>
          </w:tcPr>
          <w:p w14:paraId="555BDD80">
            <w:pPr>
              <w:shd w:val="clear"/>
              <w:rPr>
                <w:rFonts w:ascii="宋体" w:hAnsi="宋体" w:eastAsia="宋体" w:cs="宋体"/>
                <w:color w:val="auto"/>
              </w:rPr>
            </w:pPr>
          </w:p>
        </w:tc>
      </w:tr>
      <w:tr w14:paraId="363FD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47A43740">
            <w:pPr>
              <w:shd w:val="clear"/>
              <w:rPr>
                <w:rFonts w:ascii="宋体" w:hAnsi="宋体" w:eastAsia="宋体" w:cs="宋体"/>
                <w:color w:val="auto"/>
              </w:rPr>
            </w:pPr>
            <w:r>
              <w:rPr>
                <w:rFonts w:hint="eastAsia" w:ascii="宋体" w:hAnsi="宋体" w:eastAsia="宋体" w:cs="宋体"/>
                <w:color w:val="auto"/>
              </w:rPr>
              <w:t>12</w:t>
            </w:r>
          </w:p>
        </w:tc>
        <w:tc>
          <w:tcPr>
            <w:tcW w:w="4033" w:type="pct"/>
            <w:shd w:val="clear" w:color="auto" w:fill="auto"/>
          </w:tcPr>
          <w:p w14:paraId="1F610B34">
            <w:pPr>
              <w:shd w:val="clear"/>
              <w:rPr>
                <w:rFonts w:ascii="宋体" w:hAnsi="宋体" w:eastAsia="宋体" w:cs="宋体"/>
                <w:color w:val="auto"/>
              </w:rPr>
            </w:pPr>
            <w:r>
              <w:rPr>
                <w:rFonts w:hint="eastAsia" w:ascii="宋体" w:hAnsi="宋体" w:eastAsia="宋体" w:cs="宋体"/>
                <w:color w:val="auto"/>
              </w:rPr>
              <w:t>本系统需与医院提供血压计及身高体重秤无缝对接，实现数据传输并承担相应接口费用。</w:t>
            </w:r>
          </w:p>
        </w:tc>
        <w:tc>
          <w:tcPr>
            <w:tcW w:w="501" w:type="pct"/>
            <w:shd w:val="clear" w:color="auto" w:fill="auto"/>
          </w:tcPr>
          <w:p w14:paraId="1AFB29C5">
            <w:pPr>
              <w:shd w:val="clear"/>
              <w:rPr>
                <w:rFonts w:ascii="宋体" w:hAnsi="宋体" w:eastAsia="宋体" w:cs="宋体"/>
                <w:color w:val="auto"/>
              </w:rPr>
            </w:pPr>
          </w:p>
        </w:tc>
      </w:tr>
      <w:tr w14:paraId="71C89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3F0E4F9A">
            <w:pPr>
              <w:shd w:val="clear"/>
              <w:rPr>
                <w:rFonts w:hint="eastAsia"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3</w:t>
            </w:r>
          </w:p>
        </w:tc>
        <w:tc>
          <w:tcPr>
            <w:tcW w:w="4033" w:type="pct"/>
            <w:shd w:val="clear" w:color="auto" w:fill="auto"/>
          </w:tcPr>
          <w:p w14:paraId="2310A535">
            <w:pPr>
              <w:shd w:val="clear"/>
              <w:rPr>
                <w:rFonts w:hint="eastAsia" w:ascii="宋体" w:hAnsi="宋体" w:eastAsia="宋体" w:cs="宋体"/>
                <w:color w:val="auto"/>
              </w:rPr>
            </w:pPr>
            <w:r>
              <w:rPr>
                <w:rFonts w:hint="eastAsia" w:ascii="宋体" w:hAnsi="宋体" w:eastAsia="宋体" w:cs="宋体"/>
                <w:color w:val="auto"/>
              </w:rPr>
              <w:t>有时间同步功能或时间校正功能，可以与时间同步服务器做交互，实时更新时间。</w:t>
            </w:r>
          </w:p>
        </w:tc>
        <w:tc>
          <w:tcPr>
            <w:tcW w:w="501" w:type="pct"/>
            <w:shd w:val="clear" w:color="auto" w:fill="auto"/>
          </w:tcPr>
          <w:p w14:paraId="509EA90F">
            <w:pPr>
              <w:shd w:val="clear"/>
              <w:rPr>
                <w:rFonts w:ascii="宋体" w:hAnsi="宋体" w:eastAsia="宋体" w:cs="宋体"/>
                <w:color w:val="auto"/>
              </w:rPr>
            </w:pPr>
          </w:p>
        </w:tc>
      </w:tr>
      <w:tr w14:paraId="119D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5C8ED91E">
            <w:pPr>
              <w:shd w:val="clear"/>
              <w:rPr>
                <w:rFonts w:hint="eastAsia"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4</w:t>
            </w:r>
          </w:p>
        </w:tc>
        <w:tc>
          <w:tcPr>
            <w:tcW w:w="4033" w:type="pct"/>
            <w:shd w:val="clear" w:color="auto" w:fill="auto"/>
          </w:tcPr>
          <w:p w14:paraId="6F2C469C">
            <w:pPr>
              <w:shd w:val="clear"/>
              <w:rPr>
                <w:rFonts w:hint="eastAsia" w:ascii="宋体" w:hAnsi="宋体" w:eastAsia="宋体" w:cs="宋体"/>
                <w:color w:val="auto"/>
              </w:rPr>
            </w:pPr>
            <w:r>
              <w:rPr>
                <w:rFonts w:hint="eastAsia" w:ascii="宋体" w:hAnsi="宋体" w:eastAsia="宋体" w:cs="宋体"/>
                <w:color w:val="auto"/>
              </w:rPr>
              <w:t>在血压计及身高体重秤设备本身不影响使用的故障情况下，可暂存本地磁盘，故障修复以后自动上传病人数据。</w:t>
            </w:r>
          </w:p>
        </w:tc>
        <w:tc>
          <w:tcPr>
            <w:tcW w:w="501" w:type="pct"/>
            <w:shd w:val="clear" w:color="auto" w:fill="auto"/>
          </w:tcPr>
          <w:p w14:paraId="109DD266">
            <w:pPr>
              <w:shd w:val="clear"/>
              <w:rPr>
                <w:rFonts w:ascii="宋体" w:hAnsi="宋体" w:eastAsia="宋体" w:cs="宋体"/>
                <w:color w:val="auto"/>
              </w:rPr>
            </w:pPr>
          </w:p>
        </w:tc>
      </w:tr>
      <w:tr w14:paraId="6ADF0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tcPr>
          <w:p w14:paraId="6A51E34D">
            <w:pPr>
              <w:shd w:val="clear"/>
              <w:rPr>
                <w:rFonts w:ascii="宋体" w:hAnsi="宋体" w:eastAsia="宋体" w:cs="宋体"/>
                <w:b/>
                <w:bCs/>
                <w:color w:val="auto"/>
              </w:rPr>
            </w:pPr>
            <w:r>
              <w:rPr>
                <w:rFonts w:hint="eastAsia" w:ascii="宋体" w:hAnsi="宋体" w:eastAsia="宋体" w:cs="宋体"/>
                <w:b/>
                <w:bCs/>
                <w:color w:val="auto"/>
              </w:rPr>
              <w:t>四</w:t>
            </w:r>
          </w:p>
        </w:tc>
        <w:tc>
          <w:tcPr>
            <w:tcW w:w="4033" w:type="pct"/>
            <w:shd w:val="clear" w:color="auto" w:fill="auto"/>
          </w:tcPr>
          <w:p w14:paraId="42D8630F">
            <w:pPr>
              <w:shd w:val="clear"/>
              <w:rPr>
                <w:rFonts w:ascii="宋体" w:hAnsi="宋体" w:eastAsia="宋体" w:cs="宋体"/>
                <w:b/>
                <w:bCs/>
                <w:color w:val="auto"/>
              </w:rPr>
            </w:pPr>
            <w:r>
              <w:rPr>
                <w:rFonts w:hint="eastAsia" w:ascii="宋体" w:hAnsi="宋体" w:eastAsia="宋体" w:cs="宋体"/>
                <w:b/>
                <w:bCs/>
                <w:color w:val="auto"/>
              </w:rPr>
              <w:t>配置要求：</w:t>
            </w:r>
          </w:p>
        </w:tc>
        <w:tc>
          <w:tcPr>
            <w:tcW w:w="501" w:type="pct"/>
            <w:shd w:val="clear" w:color="auto" w:fill="auto"/>
          </w:tcPr>
          <w:p w14:paraId="7C15FAA0">
            <w:pPr>
              <w:shd w:val="clear"/>
              <w:rPr>
                <w:rFonts w:ascii="宋体" w:hAnsi="宋体" w:eastAsia="宋体" w:cs="宋体"/>
                <w:color w:val="auto"/>
              </w:rPr>
            </w:pPr>
          </w:p>
        </w:tc>
      </w:tr>
      <w:tr w14:paraId="31B47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F0EDC43">
            <w:pPr>
              <w:shd w:val="clear"/>
              <w:rPr>
                <w:rFonts w:ascii="宋体" w:hAnsi="宋体" w:eastAsia="宋体" w:cs="宋体"/>
                <w:color w:val="auto"/>
              </w:rPr>
            </w:pPr>
            <w:r>
              <w:rPr>
                <w:rFonts w:hint="eastAsia" w:ascii="宋体" w:hAnsi="宋体" w:eastAsia="宋体" w:cs="宋体"/>
                <w:color w:val="auto"/>
              </w:rPr>
              <w:t>1</w:t>
            </w:r>
          </w:p>
        </w:tc>
        <w:tc>
          <w:tcPr>
            <w:tcW w:w="4033" w:type="pct"/>
            <w:shd w:val="clear" w:color="auto" w:fill="auto"/>
            <w:vAlign w:val="center"/>
          </w:tcPr>
          <w:p w14:paraId="18DA16D8">
            <w:pPr>
              <w:shd w:val="clear"/>
              <w:rPr>
                <w:rFonts w:ascii="宋体" w:hAnsi="宋体" w:eastAsia="宋体" w:cs="宋体"/>
                <w:color w:val="auto"/>
              </w:rPr>
            </w:pPr>
            <w:r>
              <w:rPr>
                <w:rFonts w:hint="eastAsia" w:ascii="宋体" w:hAnsi="宋体" w:eastAsia="宋体" w:cs="宋体"/>
                <w:color w:val="auto"/>
              </w:rPr>
              <w:t xml:space="preserve">传输系统工作站           7套  </w:t>
            </w:r>
          </w:p>
        </w:tc>
        <w:tc>
          <w:tcPr>
            <w:tcW w:w="501" w:type="pct"/>
            <w:shd w:val="clear" w:color="auto" w:fill="auto"/>
          </w:tcPr>
          <w:p w14:paraId="5FC4DFB0">
            <w:pPr>
              <w:shd w:val="clear"/>
              <w:rPr>
                <w:rFonts w:ascii="宋体" w:hAnsi="宋体" w:eastAsia="宋体" w:cs="宋体"/>
                <w:color w:val="auto"/>
              </w:rPr>
            </w:pPr>
          </w:p>
        </w:tc>
      </w:tr>
      <w:tr w14:paraId="3C281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7230B690">
            <w:pPr>
              <w:shd w:val="clear"/>
              <w:rPr>
                <w:rFonts w:ascii="宋体" w:hAnsi="宋体" w:eastAsia="宋体" w:cs="宋体"/>
                <w:color w:val="auto"/>
              </w:rPr>
            </w:pPr>
            <w:r>
              <w:rPr>
                <w:rFonts w:hint="eastAsia" w:ascii="宋体" w:hAnsi="宋体" w:eastAsia="宋体" w:cs="宋体"/>
                <w:color w:val="auto"/>
              </w:rPr>
              <w:t>2</w:t>
            </w:r>
          </w:p>
        </w:tc>
        <w:tc>
          <w:tcPr>
            <w:tcW w:w="4033" w:type="pct"/>
            <w:shd w:val="clear" w:color="auto" w:fill="auto"/>
            <w:vAlign w:val="center"/>
          </w:tcPr>
          <w:p w14:paraId="69790989">
            <w:pPr>
              <w:shd w:val="clear"/>
              <w:rPr>
                <w:rFonts w:ascii="宋体" w:hAnsi="宋体" w:eastAsia="宋体" w:cs="宋体"/>
                <w:color w:val="auto"/>
              </w:rPr>
            </w:pPr>
            <w:r>
              <w:rPr>
                <w:rFonts w:hint="eastAsia" w:ascii="宋体" w:hAnsi="宋体" w:eastAsia="宋体" w:cs="宋体"/>
                <w:color w:val="auto"/>
              </w:rPr>
              <w:t>血压及身高体重传输系统   1套</w:t>
            </w:r>
          </w:p>
        </w:tc>
        <w:tc>
          <w:tcPr>
            <w:tcW w:w="501" w:type="pct"/>
            <w:shd w:val="clear" w:color="auto" w:fill="auto"/>
          </w:tcPr>
          <w:p w14:paraId="5DF2EBC2">
            <w:pPr>
              <w:shd w:val="clear"/>
              <w:rPr>
                <w:rFonts w:ascii="宋体" w:hAnsi="宋体" w:eastAsia="宋体" w:cs="宋体"/>
                <w:color w:val="auto"/>
              </w:rPr>
            </w:pPr>
          </w:p>
        </w:tc>
      </w:tr>
      <w:tr w14:paraId="0F21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shd w:val="clear" w:color="auto" w:fill="auto"/>
            <w:vAlign w:val="center"/>
          </w:tcPr>
          <w:p w14:paraId="61C3D6A3">
            <w:pPr>
              <w:shd w:val="clear"/>
              <w:rPr>
                <w:rFonts w:ascii="宋体" w:hAnsi="宋体" w:eastAsia="宋体" w:cs="宋体"/>
                <w:color w:val="auto"/>
              </w:rPr>
            </w:pPr>
            <w:r>
              <w:rPr>
                <w:rFonts w:hint="eastAsia" w:ascii="宋体" w:hAnsi="宋体" w:eastAsia="宋体" w:cs="宋体"/>
                <w:color w:val="auto"/>
              </w:rPr>
              <w:t>3</w:t>
            </w:r>
          </w:p>
        </w:tc>
        <w:tc>
          <w:tcPr>
            <w:tcW w:w="4033" w:type="pct"/>
            <w:shd w:val="clear" w:color="auto" w:fill="auto"/>
            <w:vAlign w:val="center"/>
          </w:tcPr>
          <w:p w14:paraId="5833E11B">
            <w:pPr>
              <w:shd w:val="clear"/>
              <w:rPr>
                <w:rFonts w:ascii="宋体" w:hAnsi="宋体" w:eastAsia="宋体" w:cs="宋体"/>
                <w:color w:val="auto"/>
              </w:rPr>
            </w:pPr>
            <w:r>
              <w:rPr>
                <w:rFonts w:hint="eastAsia" w:ascii="宋体" w:hAnsi="宋体" w:eastAsia="宋体" w:cs="宋体"/>
                <w:color w:val="auto"/>
              </w:rPr>
              <w:t>配套椅子                 7张</w:t>
            </w:r>
          </w:p>
        </w:tc>
        <w:tc>
          <w:tcPr>
            <w:tcW w:w="501" w:type="pct"/>
            <w:shd w:val="clear" w:color="auto" w:fill="auto"/>
          </w:tcPr>
          <w:p w14:paraId="73C4A9AD">
            <w:pPr>
              <w:shd w:val="clear"/>
              <w:rPr>
                <w:rFonts w:ascii="宋体" w:hAnsi="宋体" w:eastAsia="宋体" w:cs="宋体"/>
                <w:color w:val="auto"/>
              </w:rPr>
            </w:pPr>
          </w:p>
        </w:tc>
      </w:tr>
      <w:tr w14:paraId="5A4694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tcPr>
          <w:p w14:paraId="2ADC2CA1">
            <w:pPr>
              <w:autoSpaceDE w:val="0"/>
              <w:autoSpaceDN w:val="0"/>
              <w:adjustRightInd w:val="0"/>
              <w:spacing w:line="280" w:lineRule="exact"/>
              <w:rPr>
                <w:rFonts w:ascii="宋体" w:hAnsi="宋体" w:eastAsia="宋体" w:cs="宋体"/>
                <w:b/>
                <w:bCs/>
                <w:color w:val="auto"/>
                <w:szCs w:val="21"/>
              </w:rPr>
            </w:pPr>
            <w:r>
              <w:rPr>
                <w:rFonts w:hint="eastAsia" w:ascii="宋体" w:hAnsi="宋体" w:eastAsia="宋体" w:cs="宋体"/>
                <w:b/>
                <w:bCs/>
                <w:color w:val="auto"/>
                <w:szCs w:val="21"/>
              </w:rPr>
              <w:t>五</w:t>
            </w:r>
          </w:p>
        </w:tc>
        <w:tc>
          <w:tcPr>
            <w:tcW w:w="4033" w:type="pct"/>
            <w:tcBorders>
              <w:top w:val="single" w:color="auto" w:sz="6" w:space="0"/>
              <w:left w:val="single" w:color="auto" w:sz="4" w:space="0"/>
              <w:bottom w:val="single" w:color="auto" w:sz="6" w:space="0"/>
              <w:right w:val="single" w:color="auto" w:sz="4" w:space="0"/>
            </w:tcBorders>
            <w:shd w:val="clear" w:color="auto" w:fill="auto"/>
          </w:tcPr>
          <w:p w14:paraId="0868C62E">
            <w:pPr>
              <w:autoSpaceDE w:val="0"/>
              <w:autoSpaceDN w:val="0"/>
              <w:adjustRightInd w:val="0"/>
              <w:jc w:val="left"/>
              <w:rPr>
                <w:rFonts w:ascii="宋体" w:hAnsi="宋体" w:eastAsia="宋体" w:cs="Times New Roman"/>
                <w:b/>
                <w:bCs/>
                <w:color w:val="auto"/>
                <w:szCs w:val="21"/>
              </w:rPr>
            </w:pPr>
            <w:r>
              <w:rPr>
                <w:rFonts w:hint="eastAsia" w:ascii="宋体" w:hAnsi="宋体"/>
                <w:b/>
                <w:bCs/>
                <w:color w:val="auto"/>
                <w:szCs w:val="21"/>
              </w:rPr>
              <w:t>售后服务</w:t>
            </w:r>
          </w:p>
        </w:tc>
        <w:tc>
          <w:tcPr>
            <w:tcW w:w="501" w:type="pct"/>
            <w:tcBorders>
              <w:top w:val="single" w:color="auto" w:sz="6" w:space="0"/>
              <w:left w:val="single" w:color="auto" w:sz="4" w:space="0"/>
              <w:bottom w:val="single" w:color="auto" w:sz="6" w:space="0"/>
              <w:right w:val="single" w:color="auto" w:sz="6" w:space="0"/>
            </w:tcBorders>
            <w:shd w:val="clear" w:color="auto" w:fill="auto"/>
          </w:tcPr>
          <w:p w14:paraId="36DED877">
            <w:pPr>
              <w:autoSpaceDE w:val="0"/>
              <w:autoSpaceDN w:val="0"/>
              <w:adjustRightInd w:val="0"/>
              <w:spacing w:line="280" w:lineRule="exact"/>
              <w:rPr>
                <w:rFonts w:ascii="宋体" w:hAnsi="宋体" w:cs="宋体"/>
                <w:color w:val="auto"/>
                <w:szCs w:val="21"/>
                <w:lang w:val="zh-CN"/>
              </w:rPr>
            </w:pPr>
          </w:p>
        </w:tc>
      </w:tr>
      <w:tr w14:paraId="26F4C7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tcPr>
          <w:p w14:paraId="2010B5C7">
            <w:pPr>
              <w:autoSpaceDE w:val="0"/>
              <w:autoSpaceDN w:val="0"/>
              <w:adjustRightInd w:val="0"/>
              <w:spacing w:line="280" w:lineRule="exact"/>
              <w:rPr>
                <w:rFonts w:ascii="宋体" w:hAnsi="宋体" w:cs="宋体"/>
                <w:color w:val="auto"/>
                <w:szCs w:val="21"/>
              </w:rPr>
            </w:pPr>
            <w:r>
              <w:rPr>
                <w:rFonts w:hint="eastAsia" w:ascii="宋体" w:hAnsi="宋体"/>
                <w:color w:val="auto"/>
                <w:szCs w:val="21"/>
              </w:rPr>
              <w:t>5.1</w:t>
            </w:r>
          </w:p>
        </w:tc>
        <w:tc>
          <w:tcPr>
            <w:tcW w:w="4033" w:type="pct"/>
            <w:tcBorders>
              <w:top w:val="single" w:color="auto" w:sz="6" w:space="0"/>
              <w:left w:val="single" w:color="auto" w:sz="4" w:space="0"/>
              <w:bottom w:val="single" w:color="auto" w:sz="6" w:space="0"/>
              <w:right w:val="single" w:color="auto" w:sz="4" w:space="0"/>
            </w:tcBorders>
            <w:shd w:val="clear" w:color="auto" w:fill="auto"/>
          </w:tcPr>
          <w:p w14:paraId="5399FCF1">
            <w:pPr>
              <w:autoSpaceDE w:val="0"/>
              <w:autoSpaceDN w:val="0"/>
              <w:adjustRightInd w:val="0"/>
              <w:rPr>
                <w:rFonts w:ascii="宋体" w:hAnsi="宋体"/>
                <w:color w:val="auto"/>
                <w:szCs w:val="21"/>
              </w:rPr>
            </w:pPr>
            <w:r>
              <w:rPr>
                <w:rFonts w:hint="eastAsia" w:ascii="宋体" w:hAnsi="宋体"/>
                <w:color w:val="auto"/>
                <w:szCs w:val="21"/>
              </w:rPr>
              <w:t>维修</w:t>
            </w:r>
          </w:p>
        </w:tc>
        <w:tc>
          <w:tcPr>
            <w:tcW w:w="501" w:type="pct"/>
            <w:tcBorders>
              <w:top w:val="single" w:color="auto" w:sz="6" w:space="0"/>
              <w:left w:val="single" w:color="auto" w:sz="4" w:space="0"/>
              <w:bottom w:val="single" w:color="auto" w:sz="6" w:space="0"/>
              <w:right w:val="single" w:color="auto" w:sz="6" w:space="0"/>
            </w:tcBorders>
            <w:shd w:val="clear" w:color="auto" w:fill="auto"/>
          </w:tcPr>
          <w:p w14:paraId="44E246BE">
            <w:pPr>
              <w:autoSpaceDE w:val="0"/>
              <w:autoSpaceDN w:val="0"/>
              <w:adjustRightInd w:val="0"/>
              <w:spacing w:line="280" w:lineRule="exact"/>
              <w:rPr>
                <w:rFonts w:ascii="宋体" w:hAnsi="宋体" w:cs="宋体"/>
                <w:color w:val="auto"/>
                <w:szCs w:val="21"/>
                <w:lang w:val="zh-CN"/>
              </w:rPr>
            </w:pPr>
          </w:p>
        </w:tc>
      </w:tr>
      <w:tr w14:paraId="1277C1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37C80472">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5</w:t>
            </w:r>
            <w:r>
              <w:rPr>
                <w:rFonts w:ascii="宋体" w:hAnsi="宋体"/>
                <w:color w:val="auto"/>
                <w:szCs w:val="21"/>
              </w:rPr>
              <w:t>.1.1</w:t>
            </w:r>
          </w:p>
        </w:tc>
        <w:tc>
          <w:tcPr>
            <w:tcW w:w="4033" w:type="pct"/>
            <w:tcBorders>
              <w:top w:val="single" w:color="auto" w:sz="6" w:space="0"/>
              <w:left w:val="single" w:color="auto" w:sz="4" w:space="0"/>
              <w:bottom w:val="single" w:color="auto" w:sz="6" w:space="0"/>
              <w:right w:val="single" w:color="auto" w:sz="4" w:space="0"/>
            </w:tcBorders>
          </w:tcPr>
          <w:p w14:paraId="7F480C5B">
            <w:pPr>
              <w:autoSpaceDE w:val="0"/>
              <w:autoSpaceDN w:val="0"/>
              <w:adjustRightInd w:val="0"/>
              <w:rPr>
                <w:rFonts w:ascii="宋体" w:hAnsi="宋体"/>
                <w:color w:val="auto"/>
                <w:szCs w:val="21"/>
              </w:rPr>
            </w:pPr>
            <w:r>
              <w:rPr>
                <w:rFonts w:hint="eastAsia" w:ascii="宋体" w:hAnsi="宋体"/>
                <w:color w:val="auto"/>
                <w:szCs w:val="21"/>
              </w:rPr>
              <w:t>设备验收合格，投</w:t>
            </w:r>
            <w:r>
              <w:rPr>
                <w:rFonts w:hint="eastAsia" w:ascii="宋体" w:hAnsi="宋体" w:eastAsia="宋体" w:cs="宋体"/>
                <w:color w:val="auto"/>
                <w:szCs w:val="21"/>
              </w:rPr>
              <w:t>入使用后免费整机保修</w:t>
            </w:r>
            <w:r>
              <w:rPr>
                <w:rFonts w:hint="eastAsia" w:ascii="宋体" w:hAnsi="宋体" w:eastAsia="宋体" w:cs="宋体"/>
                <w:color w:val="auto"/>
                <w:szCs w:val="21"/>
              </w:rPr>
              <w:t>一</w:t>
            </w:r>
            <w:r>
              <w:rPr>
                <w:rFonts w:hint="eastAsia" w:ascii="宋体" w:hAnsi="宋体" w:cs="宋体"/>
                <w:b/>
                <w:bCs/>
                <w:color w:val="auto"/>
                <w:szCs w:val="21"/>
              </w:rPr>
              <w:t>年</w:t>
            </w:r>
            <w:r>
              <w:rPr>
                <w:rFonts w:hint="eastAsia" w:ascii="宋体" w:hAnsi="宋体" w:eastAsia="宋体" w:cs="宋体"/>
                <w:color w:val="auto"/>
                <w:szCs w:val="21"/>
              </w:rPr>
              <w:t>，需提供原厂保修承诺。保修后免收维修费，保证零配件供应8年以上；保修起始时间以医院验收合格，投入使用之日为准，不得用任何方式将设备到货至安装完毕验收后的该段时间，部分的或全部的计入设备的保修期</w:t>
            </w:r>
          </w:p>
        </w:tc>
        <w:tc>
          <w:tcPr>
            <w:tcW w:w="501" w:type="pct"/>
            <w:tcBorders>
              <w:top w:val="single" w:color="auto" w:sz="6" w:space="0"/>
              <w:left w:val="single" w:color="auto" w:sz="4" w:space="0"/>
              <w:bottom w:val="single" w:color="auto" w:sz="6" w:space="0"/>
              <w:right w:val="single" w:color="auto" w:sz="6" w:space="0"/>
            </w:tcBorders>
          </w:tcPr>
          <w:p w14:paraId="04376DB1">
            <w:pPr>
              <w:autoSpaceDE w:val="0"/>
              <w:autoSpaceDN w:val="0"/>
              <w:adjustRightInd w:val="0"/>
              <w:spacing w:line="280" w:lineRule="exact"/>
              <w:rPr>
                <w:rFonts w:ascii="宋体" w:hAnsi="宋体" w:cs="宋体"/>
                <w:color w:val="auto"/>
                <w:szCs w:val="21"/>
                <w:lang w:val="zh-CN"/>
              </w:rPr>
            </w:pPr>
          </w:p>
        </w:tc>
      </w:tr>
      <w:tr w14:paraId="440958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1E8FE3E2">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5</w:t>
            </w:r>
            <w:r>
              <w:rPr>
                <w:rFonts w:ascii="宋体" w:hAnsi="宋体"/>
                <w:color w:val="auto"/>
                <w:szCs w:val="21"/>
              </w:rPr>
              <w:t>.1.2</w:t>
            </w:r>
          </w:p>
        </w:tc>
        <w:tc>
          <w:tcPr>
            <w:tcW w:w="4033" w:type="pct"/>
            <w:tcBorders>
              <w:top w:val="single" w:color="auto" w:sz="6" w:space="0"/>
              <w:left w:val="single" w:color="auto" w:sz="4" w:space="0"/>
              <w:bottom w:val="single" w:color="auto" w:sz="6" w:space="0"/>
              <w:right w:val="single" w:color="auto" w:sz="4" w:space="0"/>
            </w:tcBorders>
          </w:tcPr>
          <w:p w14:paraId="36F7A59B">
            <w:pPr>
              <w:autoSpaceDE w:val="0"/>
              <w:autoSpaceDN w:val="0"/>
              <w:adjustRightInd w:val="0"/>
              <w:rPr>
                <w:rFonts w:ascii="宋体" w:hAnsi="宋体"/>
                <w:color w:val="auto"/>
                <w:szCs w:val="21"/>
              </w:rPr>
            </w:pPr>
            <w:r>
              <w:rPr>
                <w:rFonts w:hint="eastAsia" w:ascii="宋体" w:hAnsi="宋体"/>
                <w:color w:val="auto"/>
                <w:szCs w:val="21"/>
              </w:rPr>
              <w:t>务必填报完整的配套消耗品、耗材的优惠投标价格，并提供相关注册证及注册表等证明材料（证件必须在有效期内或附系列可证明有效的文件）；如不随附消耗品、耗材报价，视为承诺免费供应</w:t>
            </w:r>
          </w:p>
        </w:tc>
        <w:tc>
          <w:tcPr>
            <w:tcW w:w="501" w:type="pct"/>
            <w:tcBorders>
              <w:top w:val="single" w:color="auto" w:sz="6" w:space="0"/>
              <w:left w:val="single" w:color="auto" w:sz="4" w:space="0"/>
              <w:bottom w:val="single" w:color="auto" w:sz="6" w:space="0"/>
              <w:right w:val="single" w:color="auto" w:sz="6" w:space="0"/>
            </w:tcBorders>
          </w:tcPr>
          <w:p w14:paraId="381FBE8C">
            <w:pPr>
              <w:autoSpaceDE w:val="0"/>
              <w:autoSpaceDN w:val="0"/>
              <w:adjustRightInd w:val="0"/>
              <w:spacing w:line="280" w:lineRule="exact"/>
              <w:rPr>
                <w:rFonts w:ascii="宋体" w:hAnsi="宋体" w:cs="宋体"/>
                <w:color w:val="auto"/>
                <w:szCs w:val="21"/>
                <w:lang w:val="zh-CN"/>
              </w:rPr>
            </w:pPr>
          </w:p>
        </w:tc>
      </w:tr>
      <w:tr w14:paraId="23D51E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F15B703">
            <w:pPr>
              <w:autoSpaceDE w:val="0"/>
              <w:autoSpaceDN w:val="0"/>
              <w:adjustRightInd w:val="0"/>
              <w:spacing w:line="280" w:lineRule="exact"/>
              <w:rPr>
                <w:rFonts w:ascii="宋体" w:hAnsi="宋体"/>
                <w:color w:val="auto"/>
                <w:szCs w:val="21"/>
              </w:rPr>
            </w:pPr>
            <w:r>
              <w:rPr>
                <w:rFonts w:hint="eastAsia" w:ascii="宋体" w:hAnsi="宋体"/>
                <w:color w:val="auto"/>
                <w:szCs w:val="21"/>
              </w:rPr>
              <w:t>5.1.3</w:t>
            </w:r>
          </w:p>
        </w:tc>
        <w:tc>
          <w:tcPr>
            <w:tcW w:w="4033" w:type="pct"/>
            <w:tcBorders>
              <w:top w:val="single" w:color="auto" w:sz="6" w:space="0"/>
              <w:left w:val="single" w:color="auto" w:sz="4" w:space="0"/>
              <w:bottom w:val="single" w:color="auto" w:sz="6" w:space="0"/>
              <w:right w:val="single" w:color="auto" w:sz="4" w:space="0"/>
            </w:tcBorders>
            <w:vAlign w:val="center"/>
          </w:tcPr>
          <w:p w14:paraId="5CA77B4D">
            <w:pPr>
              <w:rPr>
                <w:rFonts w:ascii="宋体" w:hAnsi="宋体"/>
                <w:color w:val="auto"/>
                <w:szCs w:val="21"/>
              </w:rPr>
            </w:pPr>
            <w:r>
              <w:rPr>
                <w:rFonts w:hint="eastAsia" w:ascii="宋体" w:hAnsi="宋体"/>
                <w:color w:val="auto"/>
                <w:szCs w:val="21"/>
              </w:rPr>
              <w:t>提供投标产品的彩页资料、详细技术指标及生产厂家的售后服务承诺证明</w:t>
            </w:r>
            <w:r>
              <w:rPr>
                <w:rFonts w:ascii="宋体" w:hAnsi="宋体"/>
                <w:color w:val="auto"/>
                <w:szCs w:val="21"/>
              </w:rPr>
              <w:t xml:space="preserve">  </w:t>
            </w:r>
          </w:p>
        </w:tc>
        <w:tc>
          <w:tcPr>
            <w:tcW w:w="501" w:type="pct"/>
            <w:tcBorders>
              <w:top w:val="single" w:color="auto" w:sz="6" w:space="0"/>
              <w:left w:val="single" w:color="auto" w:sz="4" w:space="0"/>
              <w:bottom w:val="single" w:color="auto" w:sz="6" w:space="0"/>
              <w:right w:val="single" w:color="auto" w:sz="6" w:space="0"/>
            </w:tcBorders>
          </w:tcPr>
          <w:p w14:paraId="4A496E1C">
            <w:pPr>
              <w:autoSpaceDE w:val="0"/>
              <w:autoSpaceDN w:val="0"/>
              <w:adjustRightInd w:val="0"/>
              <w:spacing w:line="280" w:lineRule="exact"/>
              <w:rPr>
                <w:rFonts w:ascii="宋体" w:hAnsi="宋体" w:cs="宋体"/>
                <w:color w:val="auto"/>
                <w:szCs w:val="21"/>
                <w:lang w:val="zh-CN"/>
              </w:rPr>
            </w:pPr>
          </w:p>
        </w:tc>
      </w:tr>
      <w:tr w14:paraId="326DEE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F35A851">
            <w:pPr>
              <w:autoSpaceDE w:val="0"/>
              <w:autoSpaceDN w:val="0"/>
              <w:adjustRightInd w:val="0"/>
              <w:spacing w:line="280" w:lineRule="exact"/>
              <w:rPr>
                <w:rFonts w:ascii="宋体" w:hAnsi="宋体"/>
                <w:color w:val="auto"/>
                <w:szCs w:val="21"/>
              </w:rPr>
            </w:pPr>
            <w:r>
              <w:rPr>
                <w:rFonts w:hint="eastAsia" w:ascii="宋体" w:hAnsi="宋体"/>
                <w:color w:val="auto"/>
                <w:szCs w:val="21"/>
              </w:rPr>
              <w:t>5.1.4</w:t>
            </w:r>
          </w:p>
        </w:tc>
        <w:tc>
          <w:tcPr>
            <w:tcW w:w="4033" w:type="pct"/>
            <w:tcBorders>
              <w:top w:val="single" w:color="auto" w:sz="6" w:space="0"/>
              <w:left w:val="single" w:color="auto" w:sz="4" w:space="0"/>
              <w:bottom w:val="single" w:color="auto" w:sz="6" w:space="0"/>
              <w:right w:val="single" w:color="auto" w:sz="4" w:space="0"/>
            </w:tcBorders>
            <w:vAlign w:val="center"/>
          </w:tcPr>
          <w:p w14:paraId="7F243F55">
            <w:pPr>
              <w:rPr>
                <w:rFonts w:ascii="宋体" w:hAnsi="宋体"/>
                <w:color w:val="auto"/>
                <w:szCs w:val="21"/>
              </w:rPr>
            </w:pPr>
            <w:r>
              <w:rPr>
                <w:rFonts w:hint="eastAsia" w:ascii="宋体" w:hAnsi="宋体"/>
                <w:color w:val="auto"/>
                <w:szCs w:val="21"/>
              </w:rPr>
              <w:t>卖方提供完整的使用手册和维护手册各一套。投标即响应（如中标后）设备安装时提供维修资料及线路图纸</w:t>
            </w:r>
          </w:p>
        </w:tc>
        <w:tc>
          <w:tcPr>
            <w:tcW w:w="501" w:type="pct"/>
            <w:tcBorders>
              <w:top w:val="single" w:color="auto" w:sz="6" w:space="0"/>
              <w:left w:val="single" w:color="auto" w:sz="4" w:space="0"/>
              <w:bottom w:val="single" w:color="auto" w:sz="6" w:space="0"/>
              <w:right w:val="single" w:color="auto" w:sz="6" w:space="0"/>
            </w:tcBorders>
          </w:tcPr>
          <w:p w14:paraId="0A40EEE0">
            <w:pPr>
              <w:autoSpaceDE w:val="0"/>
              <w:autoSpaceDN w:val="0"/>
              <w:adjustRightInd w:val="0"/>
              <w:spacing w:line="280" w:lineRule="exact"/>
              <w:rPr>
                <w:rFonts w:ascii="宋体" w:hAnsi="宋体" w:cs="宋体"/>
                <w:color w:val="auto"/>
                <w:szCs w:val="21"/>
                <w:lang w:val="zh-CN"/>
              </w:rPr>
            </w:pPr>
          </w:p>
        </w:tc>
      </w:tr>
      <w:tr w14:paraId="22881C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2A221BD0">
            <w:pPr>
              <w:autoSpaceDE w:val="0"/>
              <w:autoSpaceDN w:val="0"/>
              <w:adjustRightInd w:val="0"/>
              <w:spacing w:line="280" w:lineRule="exact"/>
              <w:rPr>
                <w:rFonts w:ascii="宋体" w:hAnsi="宋体"/>
                <w:color w:val="auto"/>
                <w:szCs w:val="21"/>
              </w:rPr>
            </w:pPr>
            <w:r>
              <w:rPr>
                <w:rFonts w:hint="eastAsia" w:ascii="宋体" w:hAnsi="宋体"/>
                <w:color w:val="auto"/>
                <w:szCs w:val="21"/>
              </w:rPr>
              <w:t>5.1.5</w:t>
            </w:r>
          </w:p>
        </w:tc>
        <w:tc>
          <w:tcPr>
            <w:tcW w:w="4033" w:type="pct"/>
            <w:tcBorders>
              <w:top w:val="single" w:color="auto" w:sz="6" w:space="0"/>
              <w:left w:val="single" w:color="auto" w:sz="4" w:space="0"/>
              <w:bottom w:val="single" w:color="auto" w:sz="6" w:space="0"/>
              <w:right w:val="single" w:color="auto" w:sz="4" w:space="0"/>
            </w:tcBorders>
            <w:vAlign w:val="center"/>
          </w:tcPr>
          <w:p w14:paraId="6AE51731">
            <w:pPr>
              <w:rPr>
                <w:rFonts w:ascii="宋体" w:hAnsi="宋体"/>
                <w:color w:val="auto"/>
                <w:szCs w:val="21"/>
              </w:rPr>
            </w:pPr>
            <w:r>
              <w:rPr>
                <w:rFonts w:hint="eastAsia" w:ascii="宋体" w:hAnsi="宋体"/>
                <w:color w:val="auto"/>
                <w:szCs w:val="21"/>
              </w:rPr>
              <w:t>安装设备时必须提供设备的跟机操作规程（应包括：适用范围与对象、操作人员要求、开机前注意事项及检查程序、对病人或标本的处理及注意事项、基本的标准操作程序</w:t>
            </w:r>
            <w:r>
              <w:rPr>
                <w:rFonts w:ascii="宋体" w:hAnsi="宋体"/>
                <w:color w:val="auto"/>
                <w:szCs w:val="21"/>
              </w:rPr>
              <w:t>SOP</w:t>
            </w:r>
            <w:r>
              <w:rPr>
                <w:rFonts w:hint="eastAsia" w:ascii="宋体" w:hAnsi="宋体"/>
                <w:color w:val="auto"/>
                <w:szCs w:val="21"/>
              </w:rPr>
              <w:t>、操作中注意事项</w:t>
            </w:r>
            <w:r>
              <w:rPr>
                <w:rFonts w:ascii="宋体" w:hAnsi="宋体"/>
                <w:color w:val="auto"/>
                <w:szCs w:val="21"/>
              </w:rPr>
              <w:t>/</w:t>
            </w:r>
            <w:r>
              <w:rPr>
                <w:rFonts w:hint="eastAsia" w:ascii="宋体" w:hAnsi="宋体"/>
                <w:color w:val="auto"/>
                <w:szCs w:val="21"/>
              </w:rPr>
              <w:t>安全风险及禁忌症、关机程序及常规保养要求、消耗品、易损部件及日常维护内容）</w:t>
            </w:r>
          </w:p>
        </w:tc>
        <w:tc>
          <w:tcPr>
            <w:tcW w:w="501" w:type="pct"/>
            <w:tcBorders>
              <w:top w:val="single" w:color="auto" w:sz="6" w:space="0"/>
              <w:left w:val="single" w:color="auto" w:sz="4" w:space="0"/>
              <w:bottom w:val="single" w:color="auto" w:sz="6" w:space="0"/>
              <w:right w:val="single" w:color="auto" w:sz="6" w:space="0"/>
            </w:tcBorders>
          </w:tcPr>
          <w:p w14:paraId="2007E003">
            <w:pPr>
              <w:autoSpaceDE w:val="0"/>
              <w:autoSpaceDN w:val="0"/>
              <w:adjustRightInd w:val="0"/>
              <w:spacing w:line="280" w:lineRule="exact"/>
              <w:rPr>
                <w:rFonts w:ascii="宋体" w:hAnsi="宋体" w:cs="宋体"/>
                <w:color w:val="auto"/>
                <w:szCs w:val="21"/>
                <w:lang w:val="zh-CN"/>
              </w:rPr>
            </w:pPr>
          </w:p>
        </w:tc>
      </w:tr>
      <w:tr w14:paraId="7CF5D7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679690F9">
            <w:pPr>
              <w:autoSpaceDE w:val="0"/>
              <w:autoSpaceDN w:val="0"/>
              <w:adjustRightInd w:val="0"/>
              <w:spacing w:line="280" w:lineRule="exact"/>
              <w:rPr>
                <w:rFonts w:ascii="宋体" w:hAnsi="宋体"/>
                <w:color w:val="auto"/>
                <w:szCs w:val="21"/>
              </w:rPr>
            </w:pPr>
            <w:r>
              <w:rPr>
                <w:rFonts w:hint="eastAsia" w:ascii="宋体" w:hAnsi="宋体"/>
                <w:color w:val="auto"/>
                <w:szCs w:val="21"/>
              </w:rPr>
              <w:t>5.1.6</w:t>
            </w:r>
          </w:p>
        </w:tc>
        <w:tc>
          <w:tcPr>
            <w:tcW w:w="4033" w:type="pct"/>
            <w:tcBorders>
              <w:top w:val="single" w:color="auto" w:sz="6" w:space="0"/>
              <w:left w:val="single" w:color="auto" w:sz="4" w:space="0"/>
              <w:bottom w:val="single" w:color="auto" w:sz="6" w:space="0"/>
              <w:right w:val="single" w:color="auto" w:sz="4" w:space="0"/>
            </w:tcBorders>
          </w:tcPr>
          <w:p w14:paraId="54B93DBD">
            <w:pPr>
              <w:autoSpaceDE w:val="0"/>
              <w:autoSpaceDN w:val="0"/>
              <w:adjustRightInd w:val="0"/>
              <w:rPr>
                <w:rFonts w:ascii="宋体" w:hAnsi="宋体"/>
                <w:color w:val="auto"/>
                <w:szCs w:val="21"/>
              </w:rPr>
            </w:pPr>
            <w:r>
              <w:rPr>
                <w:rFonts w:hint="eastAsia" w:ascii="宋体" w:hAnsi="宋体"/>
                <w:color w:val="auto"/>
                <w:szCs w:val="21"/>
              </w:rPr>
              <w:t>安装设备时必须提供操作使用培训与维修技术培训</w:t>
            </w:r>
          </w:p>
        </w:tc>
        <w:tc>
          <w:tcPr>
            <w:tcW w:w="501" w:type="pct"/>
            <w:tcBorders>
              <w:top w:val="single" w:color="auto" w:sz="6" w:space="0"/>
              <w:left w:val="single" w:color="auto" w:sz="4" w:space="0"/>
              <w:bottom w:val="single" w:color="auto" w:sz="6" w:space="0"/>
              <w:right w:val="single" w:color="auto" w:sz="6" w:space="0"/>
            </w:tcBorders>
          </w:tcPr>
          <w:p w14:paraId="193E8217">
            <w:pPr>
              <w:autoSpaceDE w:val="0"/>
              <w:autoSpaceDN w:val="0"/>
              <w:adjustRightInd w:val="0"/>
              <w:spacing w:line="280" w:lineRule="exact"/>
              <w:rPr>
                <w:rFonts w:ascii="宋体" w:hAnsi="宋体" w:cs="宋体"/>
                <w:color w:val="auto"/>
                <w:szCs w:val="21"/>
                <w:lang w:val="zh-CN"/>
              </w:rPr>
            </w:pPr>
          </w:p>
        </w:tc>
      </w:tr>
      <w:tr w14:paraId="104069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4C0A1F4F">
            <w:pPr>
              <w:autoSpaceDE w:val="0"/>
              <w:autoSpaceDN w:val="0"/>
              <w:adjustRightInd w:val="0"/>
              <w:spacing w:line="280" w:lineRule="exact"/>
              <w:rPr>
                <w:rFonts w:ascii="宋体" w:hAnsi="宋体"/>
                <w:color w:val="auto"/>
                <w:szCs w:val="21"/>
              </w:rPr>
            </w:pPr>
            <w:r>
              <w:rPr>
                <w:rFonts w:hint="eastAsia" w:ascii="宋体" w:hAnsi="宋体"/>
                <w:color w:val="auto"/>
                <w:szCs w:val="21"/>
              </w:rPr>
              <w:t>5.1.7</w:t>
            </w:r>
          </w:p>
        </w:tc>
        <w:tc>
          <w:tcPr>
            <w:tcW w:w="4033" w:type="pct"/>
            <w:tcBorders>
              <w:top w:val="single" w:color="auto" w:sz="6" w:space="0"/>
              <w:left w:val="single" w:color="auto" w:sz="4" w:space="0"/>
              <w:bottom w:val="single" w:color="auto" w:sz="6" w:space="0"/>
              <w:right w:val="single" w:color="auto" w:sz="4" w:space="0"/>
            </w:tcBorders>
          </w:tcPr>
          <w:p w14:paraId="66AA728C">
            <w:pPr>
              <w:autoSpaceDE w:val="0"/>
              <w:autoSpaceDN w:val="0"/>
              <w:adjustRightInd w:val="0"/>
              <w:rPr>
                <w:rFonts w:ascii="宋体" w:hAnsi="宋体"/>
                <w:color w:val="auto"/>
                <w:szCs w:val="21"/>
              </w:rPr>
            </w:pPr>
            <w:r>
              <w:rPr>
                <w:rFonts w:hint="eastAsia"/>
                <w:color w:val="auto"/>
              </w:rPr>
              <w:t>6小时上门维修，提供24小时维修电话</w:t>
            </w:r>
          </w:p>
        </w:tc>
        <w:tc>
          <w:tcPr>
            <w:tcW w:w="501" w:type="pct"/>
            <w:tcBorders>
              <w:top w:val="single" w:color="auto" w:sz="6" w:space="0"/>
              <w:left w:val="single" w:color="auto" w:sz="4" w:space="0"/>
              <w:bottom w:val="single" w:color="auto" w:sz="6" w:space="0"/>
              <w:right w:val="single" w:color="auto" w:sz="6" w:space="0"/>
            </w:tcBorders>
          </w:tcPr>
          <w:p w14:paraId="1B71CB9B">
            <w:pPr>
              <w:autoSpaceDE w:val="0"/>
              <w:autoSpaceDN w:val="0"/>
              <w:adjustRightInd w:val="0"/>
              <w:spacing w:line="280" w:lineRule="exact"/>
              <w:rPr>
                <w:rFonts w:ascii="宋体" w:hAnsi="宋体" w:cs="宋体"/>
                <w:color w:val="auto"/>
                <w:szCs w:val="21"/>
                <w:lang w:val="zh-CN"/>
              </w:rPr>
            </w:pPr>
          </w:p>
        </w:tc>
      </w:tr>
      <w:tr w14:paraId="1EB24C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55649ECE">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5.2</w:t>
            </w:r>
          </w:p>
        </w:tc>
        <w:tc>
          <w:tcPr>
            <w:tcW w:w="4033" w:type="pct"/>
            <w:tcBorders>
              <w:top w:val="single" w:color="auto" w:sz="6" w:space="0"/>
              <w:left w:val="single" w:color="auto" w:sz="4" w:space="0"/>
              <w:bottom w:val="single" w:color="auto" w:sz="6" w:space="0"/>
              <w:right w:val="single" w:color="auto" w:sz="4" w:space="0"/>
            </w:tcBorders>
          </w:tcPr>
          <w:p w14:paraId="1602992A">
            <w:pPr>
              <w:autoSpaceDE w:val="0"/>
              <w:autoSpaceDN w:val="0"/>
              <w:adjustRightInd w:val="0"/>
              <w:rPr>
                <w:rFonts w:ascii="宋体" w:hAnsi="宋体"/>
                <w:color w:val="auto"/>
                <w:szCs w:val="21"/>
              </w:rPr>
            </w:pPr>
            <w:r>
              <w:rPr>
                <w:rFonts w:hint="eastAsia" w:ascii="宋体" w:hAnsi="宋体"/>
                <w:color w:val="auto"/>
                <w:szCs w:val="21"/>
              </w:rPr>
              <w:t>附加必备条件：</w:t>
            </w:r>
          </w:p>
          <w:p w14:paraId="0C7AA117">
            <w:pPr>
              <w:rPr>
                <w:rFonts w:ascii="宋体" w:hAnsi="宋体"/>
                <w:color w:val="auto"/>
                <w:szCs w:val="21"/>
              </w:rPr>
            </w:pPr>
            <w:r>
              <w:rPr>
                <w:rFonts w:hint="eastAsia" w:ascii="宋体" w:hAnsi="宋体"/>
                <w:color w:val="auto"/>
                <w:szCs w:val="21"/>
              </w:rPr>
              <w:t>提供符合上述参数和配置要求的详细配置清单；</w:t>
            </w:r>
          </w:p>
          <w:p w14:paraId="12976FC7">
            <w:pPr>
              <w:rPr>
                <w:rFonts w:ascii="宋体" w:hAnsi="宋体"/>
                <w:color w:val="auto"/>
                <w:szCs w:val="21"/>
              </w:rPr>
            </w:pPr>
            <w:r>
              <w:rPr>
                <w:rFonts w:hint="eastAsia" w:ascii="宋体" w:hAnsi="宋体"/>
                <w:color w:val="auto"/>
                <w:szCs w:val="21"/>
              </w:rPr>
              <w:t>列出上述已明确选件及未作要求但可提供选件的清单；</w:t>
            </w:r>
          </w:p>
          <w:p w14:paraId="4F2DB7E2">
            <w:pPr>
              <w:rPr>
                <w:rFonts w:ascii="宋体" w:hAnsi="宋体"/>
                <w:color w:val="auto"/>
                <w:szCs w:val="21"/>
              </w:rPr>
            </w:pPr>
            <w:r>
              <w:rPr>
                <w:rFonts w:hint="eastAsia" w:ascii="宋体" w:hAnsi="宋体"/>
                <w:color w:val="auto"/>
                <w:szCs w:val="21"/>
              </w:rPr>
              <w:t>所有配置为同品牌原装产品</w:t>
            </w:r>
            <w:r>
              <w:rPr>
                <w:rFonts w:ascii="宋体" w:hAnsi="宋体"/>
                <w:color w:val="auto"/>
                <w:szCs w:val="21"/>
              </w:rPr>
              <w:t>(</w:t>
            </w:r>
            <w:r>
              <w:rPr>
                <w:rFonts w:hint="eastAsia" w:ascii="宋体" w:hAnsi="宋体"/>
                <w:color w:val="auto"/>
                <w:szCs w:val="21"/>
              </w:rPr>
              <w:t>除注明要求例外</w:t>
            </w:r>
            <w:r>
              <w:rPr>
                <w:rFonts w:ascii="宋体" w:hAnsi="宋体"/>
                <w:color w:val="auto"/>
                <w:szCs w:val="21"/>
              </w:rPr>
              <w:t>)</w:t>
            </w:r>
            <w:r>
              <w:rPr>
                <w:rFonts w:hint="eastAsia" w:ascii="宋体" w:hAnsi="宋体"/>
                <w:color w:val="auto"/>
                <w:szCs w:val="21"/>
              </w:rPr>
              <w:t>；</w:t>
            </w:r>
          </w:p>
          <w:p w14:paraId="0E49D838">
            <w:pPr>
              <w:rPr>
                <w:rFonts w:ascii="宋体" w:hAnsi="宋体"/>
                <w:color w:val="auto"/>
                <w:szCs w:val="21"/>
              </w:rPr>
            </w:pPr>
            <w:r>
              <w:rPr>
                <w:rFonts w:hint="eastAsia" w:ascii="宋体" w:hAnsi="宋体"/>
                <w:color w:val="auto"/>
                <w:szCs w:val="21"/>
              </w:rPr>
              <w:t>所有设备必须是全新的，未曾使用过的原装产品，禁止提供代工、贴牌产品；</w:t>
            </w:r>
          </w:p>
          <w:p w14:paraId="01D69573">
            <w:pPr>
              <w:rPr>
                <w:rFonts w:ascii="宋体" w:hAnsi="宋体"/>
                <w:color w:val="auto"/>
                <w:szCs w:val="21"/>
              </w:rPr>
            </w:pPr>
            <w:r>
              <w:rPr>
                <w:rFonts w:hint="eastAsia" w:ascii="宋体" w:hAnsi="宋体"/>
                <w:color w:val="auto"/>
                <w:szCs w:val="21"/>
              </w:rPr>
              <w:t>提供所投产品的详细彩页，如彩页中没有涉及到相关技术参数，提供原厂技术白皮书（DATASHEET）；</w:t>
            </w:r>
          </w:p>
          <w:p w14:paraId="528AA169">
            <w:pPr>
              <w:rPr>
                <w:rFonts w:ascii="宋体" w:hAnsi="宋体" w:cs="宋体"/>
                <w:color w:val="auto"/>
                <w:szCs w:val="21"/>
              </w:rPr>
            </w:pPr>
            <w:r>
              <w:rPr>
                <w:rFonts w:hint="eastAsia" w:ascii="宋体" w:hAnsi="宋体" w:cs="宋体"/>
                <w:color w:val="auto"/>
                <w:szCs w:val="21"/>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14:paraId="53FFDC5B">
            <w:pPr>
              <w:rPr>
                <w:color w:val="auto"/>
              </w:rPr>
            </w:pPr>
            <w:r>
              <w:rPr>
                <w:rFonts w:hint="eastAsia"/>
                <w:color w:val="auto"/>
              </w:rPr>
              <w:t>投标产品属于特种设备的，投标人应当提供压力容器制造许可证，属于消毒类产品的，投标人应当按照相关部门规定，提供相应资质证明材料。</w:t>
            </w:r>
          </w:p>
        </w:tc>
        <w:tc>
          <w:tcPr>
            <w:tcW w:w="501" w:type="pct"/>
            <w:tcBorders>
              <w:top w:val="single" w:color="auto" w:sz="6" w:space="0"/>
              <w:left w:val="single" w:color="auto" w:sz="4" w:space="0"/>
              <w:bottom w:val="single" w:color="auto" w:sz="6" w:space="0"/>
              <w:right w:val="single" w:color="auto" w:sz="6" w:space="0"/>
            </w:tcBorders>
          </w:tcPr>
          <w:p w14:paraId="5229AB02">
            <w:pPr>
              <w:autoSpaceDE w:val="0"/>
              <w:autoSpaceDN w:val="0"/>
              <w:adjustRightInd w:val="0"/>
              <w:spacing w:line="280" w:lineRule="exact"/>
              <w:rPr>
                <w:rFonts w:ascii="宋体" w:hAnsi="宋体" w:cs="宋体"/>
                <w:color w:val="auto"/>
                <w:szCs w:val="21"/>
                <w:lang w:val="zh-CN"/>
              </w:rPr>
            </w:pPr>
          </w:p>
        </w:tc>
      </w:tr>
      <w:tr w14:paraId="1FA1C2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A8C1824">
            <w:pPr>
              <w:autoSpaceDE w:val="0"/>
              <w:autoSpaceDN w:val="0"/>
              <w:adjustRightInd w:val="0"/>
              <w:spacing w:line="280" w:lineRule="exact"/>
              <w:jc w:val="center"/>
              <w:rPr>
                <w:rFonts w:ascii="宋体" w:hAnsi="宋体" w:cs="宋体"/>
                <w:b/>
                <w:bCs/>
                <w:color w:val="auto"/>
                <w:szCs w:val="21"/>
                <w:lang w:val="zh-CN"/>
              </w:rPr>
            </w:pPr>
            <w:r>
              <w:rPr>
                <w:rFonts w:hint="eastAsia" w:ascii="宋体" w:hAnsi="宋体"/>
                <w:b/>
                <w:bCs/>
                <w:color w:val="auto"/>
                <w:szCs w:val="21"/>
              </w:rPr>
              <w:t>六</w:t>
            </w:r>
          </w:p>
        </w:tc>
        <w:tc>
          <w:tcPr>
            <w:tcW w:w="4033" w:type="pct"/>
            <w:tcBorders>
              <w:top w:val="single" w:color="auto" w:sz="6" w:space="0"/>
              <w:left w:val="single" w:color="auto" w:sz="4" w:space="0"/>
              <w:bottom w:val="single" w:color="auto" w:sz="6" w:space="0"/>
              <w:right w:val="single" w:color="auto" w:sz="4" w:space="0"/>
            </w:tcBorders>
          </w:tcPr>
          <w:p w14:paraId="13AF2C3D">
            <w:pPr>
              <w:autoSpaceDE w:val="0"/>
              <w:autoSpaceDN w:val="0"/>
              <w:adjustRightInd w:val="0"/>
              <w:rPr>
                <w:rFonts w:ascii="宋体" w:hAnsi="宋体"/>
                <w:b/>
                <w:bCs/>
                <w:color w:val="auto"/>
                <w:szCs w:val="21"/>
              </w:rPr>
            </w:pPr>
            <w:r>
              <w:rPr>
                <w:rFonts w:hint="eastAsia" w:ascii="宋体" w:hAnsi="宋体"/>
                <w:b/>
                <w:bCs/>
                <w:color w:val="auto"/>
                <w:szCs w:val="21"/>
              </w:rPr>
              <w:t>安装及验收要求</w:t>
            </w:r>
          </w:p>
        </w:tc>
        <w:tc>
          <w:tcPr>
            <w:tcW w:w="501" w:type="pct"/>
            <w:tcBorders>
              <w:top w:val="single" w:color="auto" w:sz="6" w:space="0"/>
              <w:left w:val="single" w:color="auto" w:sz="4" w:space="0"/>
              <w:bottom w:val="single" w:color="auto" w:sz="6" w:space="0"/>
              <w:right w:val="single" w:color="auto" w:sz="6" w:space="0"/>
            </w:tcBorders>
          </w:tcPr>
          <w:p w14:paraId="5185017F">
            <w:pPr>
              <w:autoSpaceDE w:val="0"/>
              <w:autoSpaceDN w:val="0"/>
              <w:adjustRightInd w:val="0"/>
              <w:spacing w:line="280" w:lineRule="exact"/>
              <w:rPr>
                <w:rFonts w:ascii="宋体" w:hAnsi="宋体" w:cs="宋体"/>
                <w:color w:val="auto"/>
                <w:szCs w:val="21"/>
                <w:lang w:val="zh-CN"/>
              </w:rPr>
            </w:pPr>
          </w:p>
        </w:tc>
      </w:tr>
      <w:tr w14:paraId="224457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334F084">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6.1</w:t>
            </w:r>
          </w:p>
        </w:tc>
        <w:tc>
          <w:tcPr>
            <w:tcW w:w="4033" w:type="pct"/>
            <w:tcBorders>
              <w:top w:val="single" w:color="auto" w:sz="6" w:space="0"/>
              <w:left w:val="single" w:color="auto" w:sz="4" w:space="0"/>
              <w:bottom w:val="single" w:color="auto" w:sz="6" w:space="0"/>
              <w:right w:val="single" w:color="auto" w:sz="4" w:space="0"/>
            </w:tcBorders>
          </w:tcPr>
          <w:p w14:paraId="6B94A1DD">
            <w:pPr>
              <w:autoSpaceDE w:val="0"/>
              <w:autoSpaceDN w:val="0"/>
              <w:adjustRightInd w:val="0"/>
              <w:rPr>
                <w:rFonts w:ascii="宋体" w:hAnsi="宋体"/>
                <w:color w:val="auto"/>
                <w:szCs w:val="21"/>
              </w:rPr>
            </w:pPr>
            <w:r>
              <w:rPr>
                <w:rFonts w:hint="eastAsia" w:ascii="宋体" w:hAnsi="宋体"/>
                <w:color w:val="auto"/>
                <w:szCs w:val="21"/>
              </w:rPr>
              <w:t>安装地点：由销售方免费将货送至医院安装现场</w:t>
            </w:r>
          </w:p>
        </w:tc>
        <w:tc>
          <w:tcPr>
            <w:tcW w:w="501" w:type="pct"/>
            <w:tcBorders>
              <w:top w:val="single" w:color="auto" w:sz="6" w:space="0"/>
              <w:left w:val="single" w:color="auto" w:sz="4" w:space="0"/>
              <w:bottom w:val="single" w:color="auto" w:sz="6" w:space="0"/>
              <w:right w:val="single" w:color="auto" w:sz="6" w:space="0"/>
            </w:tcBorders>
          </w:tcPr>
          <w:p w14:paraId="279A9943">
            <w:pPr>
              <w:autoSpaceDE w:val="0"/>
              <w:autoSpaceDN w:val="0"/>
              <w:adjustRightInd w:val="0"/>
              <w:spacing w:line="280" w:lineRule="exact"/>
              <w:rPr>
                <w:rFonts w:ascii="宋体" w:hAnsi="宋体" w:cs="宋体"/>
                <w:color w:val="auto"/>
                <w:szCs w:val="21"/>
                <w:lang w:val="zh-CN"/>
              </w:rPr>
            </w:pPr>
          </w:p>
        </w:tc>
      </w:tr>
      <w:tr w14:paraId="1EA24F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8407B44">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6.2</w:t>
            </w:r>
          </w:p>
        </w:tc>
        <w:tc>
          <w:tcPr>
            <w:tcW w:w="4033" w:type="pct"/>
            <w:tcBorders>
              <w:top w:val="single" w:color="auto" w:sz="6" w:space="0"/>
              <w:left w:val="single" w:color="auto" w:sz="4" w:space="0"/>
              <w:bottom w:val="single" w:color="auto" w:sz="6" w:space="0"/>
              <w:right w:val="single" w:color="auto" w:sz="4" w:space="0"/>
            </w:tcBorders>
          </w:tcPr>
          <w:p w14:paraId="73EEB4E1">
            <w:pPr>
              <w:autoSpaceDE w:val="0"/>
              <w:autoSpaceDN w:val="0"/>
              <w:adjustRightInd w:val="0"/>
              <w:rPr>
                <w:rFonts w:ascii="宋体" w:hAnsi="宋体"/>
                <w:color w:val="auto"/>
                <w:szCs w:val="21"/>
              </w:rPr>
            </w:pPr>
            <w:r>
              <w:rPr>
                <w:rFonts w:hint="eastAsia" w:ascii="宋体" w:hAnsi="宋体" w:cs="宋体"/>
                <w:color w:val="auto"/>
                <w:szCs w:val="21"/>
              </w:rPr>
              <w:t>安装标准：符合国家有关安全技术规范和技术标准，负责医院安装工作。设备进场安装期间对医院原有装饰面或构造物有破坏的需按原做法要求进行修复。设备安装产生的垃圾由中标单位负责处理外运</w:t>
            </w:r>
          </w:p>
        </w:tc>
        <w:tc>
          <w:tcPr>
            <w:tcW w:w="501" w:type="pct"/>
            <w:tcBorders>
              <w:top w:val="single" w:color="auto" w:sz="6" w:space="0"/>
              <w:left w:val="single" w:color="auto" w:sz="4" w:space="0"/>
              <w:bottom w:val="single" w:color="auto" w:sz="6" w:space="0"/>
              <w:right w:val="single" w:color="auto" w:sz="6" w:space="0"/>
            </w:tcBorders>
          </w:tcPr>
          <w:p w14:paraId="565F644C">
            <w:pPr>
              <w:autoSpaceDE w:val="0"/>
              <w:autoSpaceDN w:val="0"/>
              <w:adjustRightInd w:val="0"/>
              <w:spacing w:line="280" w:lineRule="exact"/>
              <w:rPr>
                <w:rFonts w:ascii="宋体" w:hAnsi="宋体" w:cs="宋体"/>
                <w:color w:val="auto"/>
                <w:szCs w:val="21"/>
                <w:lang w:val="zh-CN"/>
              </w:rPr>
            </w:pPr>
          </w:p>
        </w:tc>
      </w:tr>
      <w:tr w14:paraId="7DE429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06303820">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6.3</w:t>
            </w:r>
          </w:p>
        </w:tc>
        <w:tc>
          <w:tcPr>
            <w:tcW w:w="4033" w:type="pct"/>
            <w:tcBorders>
              <w:top w:val="single" w:color="auto" w:sz="6" w:space="0"/>
              <w:left w:val="single" w:color="auto" w:sz="4" w:space="0"/>
              <w:bottom w:val="single" w:color="auto" w:sz="6" w:space="0"/>
              <w:right w:val="single" w:color="auto" w:sz="4" w:space="0"/>
            </w:tcBorders>
          </w:tcPr>
          <w:p w14:paraId="6CAC8DD8">
            <w:pPr>
              <w:autoSpaceDE w:val="0"/>
              <w:autoSpaceDN w:val="0"/>
              <w:adjustRightInd w:val="0"/>
              <w:rPr>
                <w:rFonts w:ascii="宋体" w:hAnsi="宋体"/>
                <w:color w:val="auto"/>
                <w:szCs w:val="21"/>
              </w:rPr>
            </w:pPr>
            <w:r>
              <w:rPr>
                <w:rFonts w:hint="eastAsia" w:ascii="宋体" w:hAnsi="宋体" w:cs="宋体"/>
                <w:color w:val="auto"/>
                <w:szCs w:val="21"/>
              </w:rPr>
              <w:t>验收标准：应与产品原始样本技术数据及标书技术文件一致，符合国家有关技术规范和技术标准</w:t>
            </w:r>
          </w:p>
        </w:tc>
        <w:tc>
          <w:tcPr>
            <w:tcW w:w="501" w:type="pct"/>
            <w:tcBorders>
              <w:top w:val="single" w:color="auto" w:sz="6" w:space="0"/>
              <w:left w:val="single" w:color="auto" w:sz="4" w:space="0"/>
              <w:bottom w:val="single" w:color="auto" w:sz="6" w:space="0"/>
              <w:right w:val="single" w:color="auto" w:sz="6" w:space="0"/>
            </w:tcBorders>
          </w:tcPr>
          <w:p w14:paraId="5717A846">
            <w:pPr>
              <w:autoSpaceDE w:val="0"/>
              <w:autoSpaceDN w:val="0"/>
              <w:adjustRightInd w:val="0"/>
              <w:spacing w:line="280" w:lineRule="exact"/>
              <w:rPr>
                <w:rFonts w:ascii="宋体" w:hAnsi="宋体" w:cs="宋体"/>
                <w:color w:val="auto"/>
                <w:szCs w:val="21"/>
                <w:lang w:val="zh-CN"/>
              </w:rPr>
            </w:pPr>
          </w:p>
        </w:tc>
      </w:tr>
      <w:tr w14:paraId="2976B6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1F065806">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rPr>
              <w:t>6.4</w:t>
            </w:r>
          </w:p>
        </w:tc>
        <w:tc>
          <w:tcPr>
            <w:tcW w:w="4033" w:type="pct"/>
            <w:tcBorders>
              <w:top w:val="single" w:color="auto" w:sz="6" w:space="0"/>
              <w:left w:val="single" w:color="auto" w:sz="4" w:space="0"/>
              <w:bottom w:val="single" w:color="auto" w:sz="6" w:space="0"/>
              <w:right w:val="single" w:color="auto" w:sz="4" w:space="0"/>
            </w:tcBorders>
          </w:tcPr>
          <w:p w14:paraId="61FFAB25">
            <w:pPr>
              <w:autoSpaceDE w:val="0"/>
              <w:autoSpaceDN w:val="0"/>
              <w:adjustRightInd w:val="0"/>
              <w:rPr>
                <w:rFonts w:ascii="宋体" w:hAnsi="宋体"/>
                <w:color w:val="auto"/>
                <w:szCs w:val="21"/>
              </w:rPr>
            </w:pPr>
            <w:r>
              <w:rPr>
                <w:rFonts w:hint="eastAsia" w:ascii="宋体" w:hAnsi="宋体" w:cs="宋体"/>
                <w:color w:val="auto"/>
                <w:szCs w:val="21"/>
              </w:rPr>
              <w:t>如是计量强制检定设备，验收时需提供计量合格证</w:t>
            </w:r>
          </w:p>
        </w:tc>
        <w:tc>
          <w:tcPr>
            <w:tcW w:w="501" w:type="pct"/>
            <w:tcBorders>
              <w:top w:val="single" w:color="auto" w:sz="6" w:space="0"/>
              <w:left w:val="single" w:color="auto" w:sz="4" w:space="0"/>
              <w:bottom w:val="single" w:color="auto" w:sz="6" w:space="0"/>
              <w:right w:val="single" w:color="auto" w:sz="6" w:space="0"/>
            </w:tcBorders>
          </w:tcPr>
          <w:p w14:paraId="24334EC8">
            <w:pPr>
              <w:autoSpaceDE w:val="0"/>
              <w:autoSpaceDN w:val="0"/>
              <w:adjustRightInd w:val="0"/>
              <w:spacing w:line="280" w:lineRule="exact"/>
              <w:rPr>
                <w:rFonts w:ascii="宋体" w:hAnsi="宋体" w:cs="宋体"/>
                <w:color w:val="auto"/>
                <w:szCs w:val="21"/>
                <w:lang w:val="zh-CN"/>
              </w:rPr>
            </w:pPr>
          </w:p>
        </w:tc>
      </w:tr>
      <w:tr w14:paraId="1578AD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tcPr>
          <w:p w14:paraId="320AF1B8">
            <w:pPr>
              <w:autoSpaceDE w:val="0"/>
              <w:autoSpaceDN w:val="0"/>
              <w:adjustRightInd w:val="0"/>
              <w:spacing w:line="280" w:lineRule="exact"/>
              <w:rPr>
                <w:rFonts w:ascii="宋体" w:hAnsi="宋体" w:eastAsia="宋体" w:cs="宋体"/>
                <w:color w:val="auto"/>
                <w:szCs w:val="21"/>
              </w:rPr>
            </w:pPr>
            <w:r>
              <w:rPr>
                <w:rFonts w:hint="eastAsia" w:ascii="宋体" w:hAnsi="宋体" w:eastAsia="宋体" w:cs="宋体"/>
                <w:color w:val="auto"/>
                <w:kern w:val="0"/>
                <w:szCs w:val="21"/>
                <w:lang w:bidi="ar"/>
              </w:rPr>
              <w:t>6.5</w:t>
            </w:r>
          </w:p>
        </w:tc>
        <w:tc>
          <w:tcPr>
            <w:tcW w:w="4033" w:type="pct"/>
            <w:tcBorders>
              <w:top w:val="single" w:color="auto" w:sz="6" w:space="0"/>
              <w:left w:val="single" w:color="auto" w:sz="4" w:space="0"/>
              <w:bottom w:val="single" w:color="auto" w:sz="6" w:space="0"/>
              <w:right w:val="single" w:color="auto" w:sz="4" w:space="0"/>
            </w:tcBorders>
          </w:tcPr>
          <w:p w14:paraId="0375C87F">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rPr>
              <w:t>供应商应当根据医院管理要求，将提供的设备接入全院相关信息系统，并承担接口费用，提供的设备应当允许医院其他系统接入。确因设备本身无此功能难以实现的，须经医院信息、设备管理部门同意。</w:t>
            </w:r>
          </w:p>
        </w:tc>
        <w:tc>
          <w:tcPr>
            <w:tcW w:w="501" w:type="pct"/>
            <w:tcBorders>
              <w:top w:val="single" w:color="auto" w:sz="6" w:space="0"/>
              <w:left w:val="single" w:color="auto" w:sz="4" w:space="0"/>
              <w:bottom w:val="single" w:color="auto" w:sz="6" w:space="0"/>
              <w:right w:val="single" w:color="auto" w:sz="6" w:space="0"/>
            </w:tcBorders>
          </w:tcPr>
          <w:p w14:paraId="70CEDE5C">
            <w:pPr>
              <w:autoSpaceDE w:val="0"/>
              <w:autoSpaceDN w:val="0"/>
              <w:adjustRightInd w:val="0"/>
              <w:spacing w:line="280" w:lineRule="exact"/>
              <w:rPr>
                <w:rFonts w:ascii="宋体" w:hAnsi="宋体" w:cs="宋体"/>
                <w:color w:val="auto"/>
                <w:szCs w:val="21"/>
                <w:lang w:val="zh-CN"/>
              </w:rPr>
            </w:pPr>
          </w:p>
        </w:tc>
      </w:tr>
    </w:tbl>
    <w:p w14:paraId="165BA564">
      <w:pPr>
        <w:rPr>
          <w:rFonts w:hint="eastAsia"/>
          <w:color w:val="auto"/>
          <w:lang w:val="en-US" w:eastAsia="zh-CN"/>
        </w:rPr>
      </w:pPr>
    </w:p>
    <w:p w14:paraId="19B08FB1">
      <w:pPr>
        <w:rPr>
          <w:rFonts w:hint="eastAsia"/>
          <w:color w:val="auto"/>
          <w:lang w:val="en-US" w:eastAsia="zh-CN"/>
        </w:rPr>
      </w:pPr>
    </w:p>
    <w:p w14:paraId="05D40680">
      <w:pPr>
        <w:rPr>
          <w:rFonts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商务需求</w:t>
      </w:r>
    </w:p>
    <w:p w14:paraId="64C26F33">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供应商：</w:t>
      </w:r>
    </w:p>
    <w:p w14:paraId="2A40F600">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1、具有独立承担民事责任的能力。</w:t>
      </w:r>
    </w:p>
    <w:p w14:paraId="430C4F2F">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2、参加政府采购活动前3年内，在经营活动中没有重大违法记录。</w:t>
      </w:r>
    </w:p>
    <w:p w14:paraId="384A6149">
      <w:pPr>
        <w:rPr>
          <w:rFonts w:hint="eastAsia" w:ascii="Calibri" w:hAnsi="Times New Roman" w:eastAsia="宋体" w:cs="Times New Roman"/>
          <w:color w:val="auto"/>
          <w:sz w:val="24"/>
          <w:szCs w:val="24"/>
          <w:lang w:val="en-US" w:eastAsia="zh-CN" w:bidi="ar-SA"/>
        </w:rPr>
      </w:pPr>
      <w:r>
        <w:rPr>
          <w:rFonts w:hint="eastAsia" w:hAnsi="Times New Roman" w:eastAsia="宋体" w:cs="Times New Roman"/>
          <w:color w:val="auto"/>
          <w:sz w:val="24"/>
          <w:szCs w:val="24"/>
          <w:lang w:val="en-US" w:eastAsia="zh-CN" w:bidi="ar-SA"/>
        </w:rPr>
        <w:t>3</w:t>
      </w:r>
      <w:r>
        <w:rPr>
          <w:rFonts w:hint="eastAsia" w:ascii="Calibri" w:hAnsi="Times New Roman" w:eastAsia="宋体" w:cs="Times New Roman"/>
          <w:color w:val="auto"/>
          <w:sz w:val="24"/>
          <w:szCs w:val="24"/>
          <w:lang w:val="en-US" w:eastAsia="zh-CN" w:bidi="ar-SA"/>
        </w:rPr>
        <w:t>、供应商须具备具有经营许可证，授权书，产品注册证等相关证件。</w:t>
      </w:r>
    </w:p>
    <w:p w14:paraId="7B30B61F">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四、报价文件：</w:t>
      </w:r>
    </w:p>
    <w:p w14:paraId="4B071D78">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 1、报价须带文件资料:①营业执照、②法人身份证等相关复印件、③业务员参加的须提供授权委托书和业务员身份证复印件、④报价单。以上资料必须齐全并加盖单位公章，否则该报价文件作无效处理。</w:t>
      </w:r>
    </w:p>
    <w:p w14:paraId="6C1A939B">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2、报价文件递交截止时间：</w:t>
      </w:r>
      <w:r>
        <w:rPr>
          <w:rFonts w:hint="eastAsia" w:ascii="Calibri" w:hAnsi="Times New Roman" w:eastAsia="宋体" w:cs="Times New Roman"/>
          <w:color w:val="auto"/>
          <w:sz w:val="24"/>
          <w:szCs w:val="24"/>
          <w:lang w:val="en-US" w:eastAsia="zh-CN" w:bidi="ar-SA"/>
        </w:rPr>
        <w:t>202</w:t>
      </w:r>
      <w:r>
        <w:rPr>
          <w:rFonts w:hint="eastAsia" w:hAnsi="Times New Roman" w:eastAsia="宋体" w:cs="Times New Roman"/>
          <w:color w:val="auto"/>
          <w:sz w:val="24"/>
          <w:szCs w:val="24"/>
          <w:lang w:val="en-US" w:eastAsia="zh-CN" w:bidi="ar-SA"/>
        </w:rPr>
        <w:t>5</w:t>
      </w:r>
      <w:r>
        <w:rPr>
          <w:rFonts w:hint="eastAsia" w:ascii="Calibri" w:hAnsi="Times New Roman" w:eastAsia="宋体" w:cs="Times New Roman"/>
          <w:color w:val="auto"/>
          <w:sz w:val="24"/>
          <w:szCs w:val="24"/>
          <w:lang w:val="en-US" w:eastAsia="zh-CN" w:bidi="ar-SA"/>
        </w:rPr>
        <w:t>年4月29日北京时间16时</w:t>
      </w:r>
      <w:r>
        <w:rPr>
          <w:rFonts w:hint="eastAsia" w:ascii="Calibri" w:hAnsi="Times New Roman" w:eastAsia="宋体" w:cs="Times New Roman"/>
          <w:color w:val="auto"/>
          <w:sz w:val="24"/>
          <w:szCs w:val="24"/>
          <w:lang w:val="en-US" w:eastAsia="zh-CN" w:bidi="ar-SA"/>
        </w:rPr>
        <w:t>，在截止时间后送达的响应文件为无效文件，拒绝接收。</w:t>
      </w:r>
    </w:p>
    <w:p w14:paraId="70F68BD2">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3、报价文件报送方式：密封后送达绍兴市妇幼保健院设备科，密封袋表面必须标注此项目名称。</w:t>
      </w:r>
    </w:p>
    <w:p w14:paraId="4B68BB9B">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4、不能符合技术要求的品牌供应商请不要报价。投标人需在投标报价清单中标明所投产品的品牌及型号。</w:t>
      </w:r>
    </w:p>
    <w:p w14:paraId="7E6A6352">
      <w:pPr>
        <w:rPr>
          <w:rFonts w:hint="default"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5、本项目为“交钥匙”项目，供应商应充分考虑运输，安装，税费等所有费用。采购人不再支付其他任何费用。</w:t>
      </w:r>
    </w:p>
    <w:p w14:paraId="56D9141F">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五、评定成交标准：</w:t>
      </w:r>
    </w:p>
    <w:p w14:paraId="407D4BD0">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1、根据质量和服务均能满足询价文件实质性响应要求(本内容均为实质性条款，不允许出现负偏离，否则作无效投标处理）且报价最低的原则确定成交供应商（若出现最低价相同的，则以抽签决定成交供应商）。</w:t>
      </w:r>
    </w:p>
    <w:p w14:paraId="018A94D7">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2、询价结果产生后，采购单位通知预中标单位,预中标单位须在</w:t>
      </w:r>
      <w:r>
        <w:rPr>
          <w:rFonts w:hint="eastAsia" w:ascii="Calibri" w:hAnsi="Times New Roman" w:eastAsia="宋体" w:cs="Times New Roman"/>
          <w:color w:val="auto"/>
          <w:sz w:val="24"/>
          <w:szCs w:val="24"/>
          <w:lang w:val="en-US" w:eastAsia="zh-CN" w:bidi="ar-SA"/>
        </w:rPr>
        <w:t>3天</w:t>
      </w:r>
      <w:r>
        <w:rPr>
          <w:rFonts w:hint="eastAsia" w:ascii="Calibri" w:hAnsi="Times New Roman" w:eastAsia="宋体" w:cs="Times New Roman"/>
          <w:color w:val="auto"/>
          <w:sz w:val="24"/>
          <w:szCs w:val="24"/>
          <w:lang w:val="en-US" w:eastAsia="zh-CN" w:bidi="ar-SA"/>
        </w:rPr>
        <w:t>内拿样机到采购单位,由采购单位技术人员对参数及软件进行核对。完全符合后, 中标单位需在</w:t>
      </w:r>
      <w:r>
        <w:rPr>
          <w:rFonts w:hint="eastAsia" w:ascii="Calibri" w:hAnsi="Times New Roman" w:eastAsia="宋体" w:cs="Times New Roman"/>
          <w:color w:val="auto"/>
          <w:sz w:val="24"/>
          <w:szCs w:val="24"/>
          <w:lang w:val="en-US" w:eastAsia="zh-CN" w:bidi="ar-SA"/>
        </w:rPr>
        <w:t>10天</w:t>
      </w:r>
      <w:r>
        <w:rPr>
          <w:rFonts w:hint="eastAsia" w:ascii="Calibri" w:hAnsi="Times New Roman" w:eastAsia="宋体" w:cs="Times New Roman"/>
          <w:color w:val="auto"/>
          <w:sz w:val="24"/>
          <w:szCs w:val="24"/>
          <w:lang w:val="en-US" w:eastAsia="zh-CN" w:bidi="ar-SA"/>
        </w:rPr>
        <w:t>内将中标设备送到客户指定地点。如存在不满足的或无法提供的,作无效标处理。</w:t>
      </w:r>
    </w:p>
    <w:p w14:paraId="4D22EFD0">
      <w:pPr>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3、具体安装时间根据客户通知后，安装到指定位置。</w:t>
      </w:r>
    </w:p>
    <w:p w14:paraId="77FC6F4F">
      <w:pPr>
        <w:rPr>
          <w:rFonts w:hint="default"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4、付款方式：具体支付条款双方协商。</w:t>
      </w:r>
    </w:p>
    <w:p w14:paraId="61A439C2">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六、联系方式：</w:t>
      </w:r>
    </w:p>
    <w:p w14:paraId="4BE70D12">
      <w:pPr>
        <w:rPr>
          <w:rFonts w:hint="default"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联系人：</w:t>
      </w:r>
      <w:r>
        <w:rPr>
          <w:rFonts w:hint="eastAsia" w:ascii="Calibri" w:hAnsi="Times New Roman" w:eastAsia="宋体" w:cs="Times New Roman"/>
          <w:color w:val="auto"/>
          <w:sz w:val="24"/>
          <w:szCs w:val="24"/>
          <w:lang w:val="en-US" w:eastAsia="zh-CN" w:bidi="ar-SA"/>
        </w:rPr>
        <w:t>王老师</w:t>
      </w:r>
      <w:r>
        <w:rPr>
          <w:rFonts w:hint="eastAsia" w:ascii="Calibri" w:hAnsi="Times New Roman" w:eastAsia="宋体" w:cs="Times New Roman"/>
          <w:color w:val="auto"/>
          <w:sz w:val="24"/>
          <w:szCs w:val="24"/>
          <w:lang w:val="en-US" w:eastAsia="zh-CN" w:bidi="ar-SA"/>
        </w:rPr>
        <w:t xml:space="preserve">                         联系电话：</w:t>
      </w:r>
      <w:r>
        <w:rPr>
          <w:rFonts w:hint="eastAsia" w:ascii="Calibri" w:hAnsi="Times New Roman" w:eastAsia="宋体" w:cs="Times New Roman"/>
          <w:color w:val="auto"/>
          <w:sz w:val="24"/>
          <w:szCs w:val="24"/>
          <w:lang w:val="en-US" w:eastAsia="zh-CN" w:bidi="ar-SA"/>
        </w:rPr>
        <w:t>13567571305</w:t>
      </w:r>
    </w:p>
    <w:p w14:paraId="56432BBE">
      <w:pPr>
        <w:rPr>
          <w:rFonts w:hint="default"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联系地址：浙江省绍兴市越城区凤林东路222号绍兴市妇幼保健院康复楼三楼设备科办公室</w:t>
      </w:r>
    </w:p>
    <w:p w14:paraId="49732CF0">
      <w:pPr>
        <w:rPr>
          <w:rFonts w:hint="default" w:ascii="Calibri" w:hAnsi="Times New Roman" w:eastAsia="宋体" w:cs="Times New Roman"/>
          <w:color w:val="auto"/>
          <w:sz w:val="24"/>
          <w:szCs w:val="24"/>
          <w:lang w:val="en-US" w:eastAsia="zh-CN" w:bidi="ar-SA"/>
        </w:rPr>
      </w:pPr>
    </w:p>
    <w:p w14:paraId="04CB758E">
      <w:pPr>
        <w:jc w:val="right"/>
        <w:rPr>
          <w:rFonts w:hint="eastAsia" w:ascii="Calibri" w:hAnsi="Times New Roman" w:eastAsia="宋体" w:cs="Times New Roman"/>
          <w:color w:val="auto"/>
          <w:sz w:val="24"/>
          <w:szCs w:val="24"/>
          <w:lang w:val="en-US" w:eastAsia="zh-CN" w:bidi="ar-SA"/>
        </w:rPr>
      </w:pPr>
      <w:r>
        <w:rPr>
          <w:rFonts w:hint="eastAsia" w:ascii="Calibri" w:hAnsi="Times New Roman" w:eastAsia="宋体" w:cs="Times New Roman"/>
          <w:color w:val="auto"/>
          <w:sz w:val="24"/>
          <w:szCs w:val="24"/>
          <w:lang w:val="en-US" w:eastAsia="zh-CN" w:bidi="ar-SA"/>
        </w:rPr>
        <w:t>                                                                   绍兴市妇幼保健院</w:t>
      </w:r>
    </w:p>
    <w:p w14:paraId="04155AF9">
      <w:pPr>
        <w:jc w:val="right"/>
        <w:rPr>
          <w:rFonts w:hint="eastAsia"/>
          <w:color w:val="auto"/>
          <w:sz w:val="21"/>
          <w:szCs w:val="21"/>
        </w:rPr>
      </w:pPr>
      <w:r>
        <w:rPr>
          <w:rFonts w:hint="eastAsia" w:ascii="Calibri" w:hAnsi="Times New Roman" w:eastAsia="宋体" w:cs="Times New Roman"/>
          <w:color w:val="auto"/>
          <w:sz w:val="24"/>
          <w:szCs w:val="24"/>
          <w:lang w:val="en-US" w:eastAsia="zh-CN" w:bidi="ar-SA"/>
        </w:rPr>
        <w:t>202</w:t>
      </w:r>
      <w:r>
        <w:rPr>
          <w:rFonts w:hint="eastAsia" w:hAnsi="Times New Roman" w:eastAsia="宋体" w:cs="Times New Roman"/>
          <w:color w:val="auto"/>
          <w:sz w:val="24"/>
          <w:szCs w:val="24"/>
          <w:lang w:val="en-US" w:eastAsia="zh-CN" w:bidi="ar-SA"/>
        </w:rPr>
        <w:t>5</w:t>
      </w:r>
      <w:r>
        <w:rPr>
          <w:rFonts w:hint="eastAsia" w:ascii="Calibri" w:hAnsi="Times New Roman" w:eastAsia="宋体" w:cs="Times New Roman"/>
          <w:color w:val="auto"/>
          <w:sz w:val="24"/>
          <w:szCs w:val="24"/>
          <w:lang w:val="en-US" w:eastAsia="zh-CN" w:bidi="ar-SA"/>
        </w:rPr>
        <w:t>年4月23日</w:t>
      </w:r>
    </w:p>
    <w:p w14:paraId="2D59481C">
      <w:pPr>
        <w:numPr>
          <w:ilvl w:val="0"/>
          <w:numId w:val="0"/>
        </w:numPr>
        <w:ind w:leftChars="0"/>
        <w:rPr>
          <w:rFonts w:hint="eastAsia" w:ascii="宋体" w:hAnsi="宋体" w:eastAsia="宋体" w:cs="宋体"/>
          <w:b/>
          <w:color w:val="auto"/>
          <w:kern w:val="0"/>
          <w:sz w:val="30"/>
          <w:szCs w:val="30"/>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mU5NjM5MTJlMzE5ODMyNTVlMTFiZDA4OGY2MTkifQ=="/>
  </w:docVars>
  <w:rsids>
    <w:rsidRoot w:val="34405F5D"/>
    <w:rsid w:val="04B96FAE"/>
    <w:rsid w:val="05D435B9"/>
    <w:rsid w:val="0A7B108A"/>
    <w:rsid w:val="0B574013"/>
    <w:rsid w:val="0D4C39DD"/>
    <w:rsid w:val="0E5952EE"/>
    <w:rsid w:val="1A8F29BA"/>
    <w:rsid w:val="1C57280B"/>
    <w:rsid w:val="250A26FB"/>
    <w:rsid w:val="25FA23D4"/>
    <w:rsid w:val="2A066005"/>
    <w:rsid w:val="2EE3584F"/>
    <w:rsid w:val="34405F5D"/>
    <w:rsid w:val="397760B8"/>
    <w:rsid w:val="3C326C66"/>
    <w:rsid w:val="3D683A3E"/>
    <w:rsid w:val="3F573F5E"/>
    <w:rsid w:val="47693BDE"/>
    <w:rsid w:val="49AF4D84"/>
    <w:rsid w:val="49F33800"/>
    <w:rsid w:val="500E5507"/>
    <w:rsid w:val="57911D3D"/>
    <w:rsid w:val="5ABF2EF3"/>
    <w:rsid w:val="609F0E6B"/>
    <w:rsid w:val="67B87642"/>
    <w:rsid w:val="68A86FDD"/>
    <w:rsid w:val="74822CE1"/>
    <w:rsid w:val="76853E17"/>
    <w:rsid w:val="7D77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3267</Words>
  <Characters>3438</Characters>
  <Lines>0</Lines>
  <Paragraphs>0</Paragraphs>
  <TotalTime>1</TotalTime>
  <ScaleCrop>false</ScaleCrop>
  <LinksUpToDate>false</LinksUpToDate>
  <CharactersWithSpaces>3568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2022-08-18T01:22:00Z</dcterms:created>
  <dc:creator>胖头鱼</dc:creator>
  <cp:lastModifiedBy>徐超</cp:lastModifiedBy>
  <dcterms:modified xsi:type="dcterms:W3CDTF">2025-04-23T08:10:15Z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6A24F81AD1484A03A175387982AE7B72_13</vt:lpwstr>
  </property>
  <property fmtid="{D5CDD505-2E9C-101B-9397-08002B2CF9AE}" pid="4" name="KSOTemplateDocerSaveRecord">
    <vt:lpwstr>eyJoZGlkIjoiMTk1YmU5NjM5MTJlMzE5ODMyNTVlMTFiZDA4OGY2MTkiLCJ1c2VySWQiOiI0MDg5MDgwNzcifQ==</vt:lpwstr>
  </property>
</Properties>
</file>