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FCFA6">
      <w:pPr>
        <w:shd w:val="clear" w:color="auto" w:fill="FFFFFF"/>
        <w:snapToGrid w:val="0"/>
        <w:spacing w:before="31" w:beforeLines="10" w:after="31" w:afterLines="10" w:line="460" w:lineRule="exact"/>
        <w:ind w:firstLine="723" w:firstLineChars="200"/>
        <w:rPr>
          <w:rFonts w:hint="default" w:ascii="宋体" w:hAnsi="宋体" w:eastAsia="宋体" w:cs="宋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highlight w:val="none"/>
          <w:lang w:eastAsia="zh-CN"/>
        </w:rPr>
        <w:t>都市豪园小区消防维修工程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highlight w:val="none"/>
          <w:lang w:val="en-US" w:eastAsia="zh-CN"/>
        </w:rPr>
        <w:t>更正公告</w:t>
      </w:r>
    </w:p>
    <w:p w14:paraId="30CAE092"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" w:beforeLines="10" w:after="31" w:afterLines="10" w:line="480" w:lineRule="auto"/>
        <w:ind w:firstLine="482" w:firstLineChars="200"/>
        <w:textAlignment w:val="baseline"/>
        <w:rPr>
          <w:rFonts w:hint="eastAsia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项目编号：</w:t>
      </w:r>
      <w:r>
        <w:rPr>
          <w:rFonts w:hint="eastAsia" w:hAnsi="宋体" w:eastAsia="宋体" w:cs="宋体"/>
          <w:b w:val="0"/>
          <w:bCs w:val="0"/>
          <w:color w:val="auto"/>
          <w:sz w:val="24"/>
          <w:szCs w:val="24"/>
          <w:lang w:eastAsia="zh-CN"/>
        </w:rPr>
        <w:t>GNGC-FZC2025-L001</w:t>
      </w:r>
    </w:p>
    <w:p w14:paraId="79F8BD7A"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" w:beforeLines="10" w:after="31" w:afterLines="10" w:line="480" w:lineRule="auto"/>
        <w:ind w:firstLine="482" w:firstLineChars="200"/>
        <w:textAlignment w:val="baseline"/>
        <w:rPr>
          <w:rFonts w:hint="eastAsia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hAnsi="宋体" w:cs="宋体"/>
          <w:b/>
          <w:bCs/>
          <w:color w:val="auto"/>
          <w:sz w:val="24"/>
          <w:szCs w:val="24"/>
          <w:lang w:val="en-US" w:eastAsia="zh-CN"/>
        </w:rPr>
        <w:t>项目名称：</w:t>
      </w:r>
      <w:r>
        <w:rPr>
          <w:rFonts w:hint="eastAsia" w:hAnsi="宋体" w:cs="宋体"/>
          <w:b w:val="0"/>
          <w:bCs w:val="0"/>
          <w:color w:val="auto"/>
          <w:sz w:val="24"/>
          <w:szCs w:val="24"/>
          <w:lang w:val="en-US" w:eastAsia="zh-CN"/>
        </w:rPr>
        <w:t>都市豪园小区消防维修工程</w:t>
      </w:r>
    </w:p>
    <w:p w14:paraId="29EE6C1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" w:beforeLines="10" w:after="31" w:afterLines="10" w:line="480" w:lineRule="auto"/>
        <w:ind w:left="42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、采购组织类型：</w:t>
      </w:r>
      <w:r>
        <w:rPr>
          <w:rFonts w:hint="eastAsia" w:ascii="宋体" w:hAnsi="宋体" w:eastAsia="宋体" w:cs="宋体"/>
          <w:sz w:val="24"/>
          <w:szCs w:val="24"/>
        </w:rPr>
        <w:t>自行采购委托代理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非政府采购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 w14:paraId="6314091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" w:beforeLines="10" w:after="31" w:afterLines="10" w:line="480" w:lineRule="auto"/>
        <w:ind w:firstLine="482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、采购方式：</w:t>
      </w:r>
      <w:r>
        <w:rPr>
          <w:rFonts w:hint="eastAsia" w:ascii="宋体" w:hAnsi="宋体" w:eastAsia="宋体" w:cs="宋体"/>
          <w:sz w:val="24"/>
          <w:szCs w:val="24"/>
        </w:rPr>
        <w:t>竞争性磋商</w:t>
      </w:r>
    </w:p>
    <w:p w14:paraId="12103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82" w:firstLineChars="200"/>
        <w:textAlignment w:val="baseline"/>
        <w:rPr>
          <w:rFonts w:hint="eastAsia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五、更正说明：因本项目属于非政府采购项目，参与本项目的供应商，请在非政府采购网站查询公告内容。</w:t>
      </w:r>
    </w:p>
    <w:p w14:paraId="4B08D3C0">
      <w:pPr>
        <w:shd w:val="clear" w:color="auto" w:fill="FFFFFF"/>
        <w:snapToGrid w:val="0"/>
        <w:spacing w:before="31" w:beforeLines="10" w:after="31" w:afterLines="10" w:line="460" w:lineRule="exact"/>
        <w:ind w:firstLine="42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、业务咨询：</w:t>
      </w:r>
    </w:p>
    <w:p w14:paraId="69F9AD8A">
      <w:pPr>
        <w:widowControl/>
        <w:shd w:val="clear" w:color="auto" w:fill="FFFFFF"/>
        <w:spacing w:before="31" w:beforeLines="10" w:after="31" w:afterLines="10" w:line="46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bookmarkStart w:id="0" w:name="_Toc5851"/>
      <w:bookmarkStart w:id="1" w:name="_Toc18995"/>
      <w:r>
        <w:rPr>
          <w:rFonts w:hint="eastAsia" w:ascii="宋体" w:hAnsi="宋体" w:eastAsia="宋体" w:cs="宋体"/>
          <w:color w:val="auto"/>
          <w:sz w:val="24"/>
          <w:szCs w:val="24"/>
        </w:rPr>
        <w:t>采购单位：</w:t>
      </w:r>
      <w:bookmarkEnd w:id="0"/>
      <w:bookmarkEnd w:id="1"/>
      <w:r>
        <w:rPr>
          <w:rFonts w:hint="eastAsia" w:hAnsi="宋体" w:eastAsia="宋体" w:cs="宋体"/>
          <w:color w:val="auto"/>
          <w:sz w:val="24"/>
          <w:szCs w:val="24"/>
          <w:lang w:eastAsia="zh-CN"/>
        </w:rPr>
        <w:t xml:space="preserve">金华市金东区傅村镇欣居社区都市豪园小区物业管理委员会         </w:t>
      </w:r>
    </w:p>
    <w:p w14:paraId="5AB0F2E2">
      <w:pPr>
        <w:widowControl/>
        <w:shd w:val="clear" w:color="auto" w:fill="FFFFFF"/>
        <w:spacing w:before="31" w:beforeLines="10" w:after="31" w:afterLines="10" w:line="46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2" w:name="_Toc4364"/>
      <w:bookmarkStart w:id="3" w:name="_Toc19075"/>
      <w:r>
        <w:rPr>
          <w:rFonts w:hint="eastAsia" w:ascii="宋体" w:hAnsi="宋体" w:eastAsia="宋体" w:cs="宋体"/>
          <w:color w:val="auto"/>
          <w:sz w:val="24"/>
          <w:szCs w:val="24"/>
        </w:rPr>
        <w:t>地    址：</w:t>
      </w:r>
      <w:bookmarkEnd w:id="2"/>
      <w:bookmarkEnd w:id="3"/>
      <w:r>
        <w:rPr>
          <w:rFonts w:hint="eastAsia" w:hAnsi="宋体" w:eastAsia="宋体" w:cs="宋体"/>
          <w:color w:val="auto"/>
          <w:sz w:val="24"/>
          <w:szCs w:val="24"/>
          <w:lang w:val="en-US" w:eastAsia="zh-CN"/>
        </w:rPr>
        <w:t xml:space="preserve">金华市金东区傅村镇欣居社区都市豪园小区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</w:p>
    <w:p w14:paraId="72DD20DD">
      <w:pPr>
        <w:widowControl/>
        <w:shd w:val="clear" w:color="auto" w:fill="FFFFFF"/>
        <w:spacing w:before="31" w:beforeLines="10" w:after="31" w:afterLines="10" w:line="460" w:lineRule="exact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bookmarkStart w:id="4" w:name="_Toc15197"/>
      <w:bookmarkStart w:id="5" w:name="_Toc13916"/>
      <w:r>
        <w:rPr>
          <w:rFonts w:hint="eastAsia" w:ascii="宋体" w:hAnsi="宋体" w:eastAsia="宋体" w:cs="宋体"/>
          <w:color w:val="auto"/>
          <w:sz w:val="24"/>
          <w:szCs w:val="24"/>
        </w:rPr>
        <w:t>联 系 人：</w:t>
      </w:r>
      <w:bookmarkEnd w:id="4"/>
      <w:bookmarkEnd w:id="5"/>
      <w:r>
        <w:rPr>
          <w:rFonts w:hint="eastAsia" w:hAnsi="宋体" w:eastAsia="宋体" w:cs="宋体"/>
          <w:color w:val="auto"/>
          <w:sz w:val="24"/>
          <w:szCs w:val="24"/>
          <w:lang w:val="en-US" w:eastAsia="zh-CN"/>
        </w:rPr>
        <w:t>傅先生</w:t>
      </w:r>
    </w:p>
    <w:p w14:paraId="430B88E8">
      <w:pPr>
        <w:widowControl/>
        <w:shd w:val="clear" w:color="auto" w:fill="FFFFFF"/>
        <w:spacing w:before="31" w:beforeLines="10" w:after="31" w:afterLines="10" w:line="460" w:lineRule="exact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lang w:val="en-US"/>
        </w:rPr>
      </w:pPr>
      <w:bookmarkStart w:id="6" w:name="_Toc3555"/>
      <w:bookmarkStart w:id="7" w:name="_Toc23211"/>
      <w:r>
        <w:rPr>
          <w:rFonts w:hint="eastAsia" w:ascii="宋体" w:hAnsi="宋体" w:eastAsia="宋体" w:cs="宋体"/>
          <w:color w:val="auto"/>
          <w:sz w:val="24"/>
          <w:szCs w:val="24"/>
        </w:rPr>
        <w:t>联系电话：</w:t>
      </w:r>
      <w:bookmarkEnd w:id="6"/>
      <w:bookmarkEnd w:id="7"/>
      <w:r>
        <w:rPr>
          <w:rFonts w:hint="eastAsia" w:hAnsi="宋体" w:eastAsia="宋体" w:cs="宋体"/>
          <w:color w:val="auto"/>
          <w:sz w:val="24"/>
          <w:szCs w:val="24"/>
          <w:lang w:val="en-US" w:eastAsia="zh-CN"/>
        </w:rPr>
        <w:t>13588668991</w:t>
      </w:r>
    </w:p>
    <w:p w14:paraId="7D6EBD3F">
      <w:pPr>
        <w:widowControl/>
        <w:shd w:val="clear" w:color="auto" w:fill="FFFFFF"/>
        <w:spacing w:before="31" w:beforeLines="10" w:after="31" w:afterLines="10" w:line="46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bookmarkStart w:id="8" w:name="_Toc10035"/>
      <w:bookmarkStart w:id="9" w:name="_Toc20933"/>
      <w:r>
        <w:rPr>
          <w:rFonts w:hint="eastAsia" w:ascii="宋体" w:hAnsi="宋体" w:eastAsia="宋体" w:cs="宋体"/>
          <w:color w:val="auto"/>
          <w:sz w:val="24"/>
          <w:szCs w:val="24"/>
        </w:rPr>
        <w:t>代理机构：</w:t>
      </w:r>
      <w:bookmarkEnd w:id="8"/>
      <w:bookmarkEnd w:id="9"/>
      <w:r>
        <w:rPr>
          <w:rFonts w:hint="eastAsia" w:hAnsi="宋体" w:eastAsia="宋体" w:cs="宋体"/>
          <w:sz w:val="24"/>
          <w:szCs w:val="24"/>
          <w:lang w:eastAsia="zh-CN"/>
        </w:rPr>
        <w:t>金华市光南工程咨询有限公司</w:t>
      </w:r>
    </w:p>
    <w:p w14:paraId="7DD7D096">
      <w:pPr>
        <w:widowControl/>
        <w:shd w:val="clear" w:color="auto" w:fill="FFFFFF"/>
        <w:spacing w:before="31" w:beforeLines="10" w:after="31" w:afterLines="10" w:line="460" w:lineRule="exact"/>
        <w:ind w:firstLine="480" w:firstLineChars="200"/>
        <w:rPr>
          <w:rFonts w:hint="eastAsia" w:hAnsi="宋体" w:eastAsia="宋体" w:cs="宋体"/>
          <w:color w:val="auto"/>
          <w:sz w:val="24"/>
          <w:szCs w:val="24"/>
          <w:lang w:val="en-US" w:eastAsia="zh-CN"/>
        </w:rPr>
      </w:pPr>
      <w:bookmarkStart w:id="10" w:name="_Toc29367"/>
      <w:bookmarkStart w:id="11" w:name="_Toc5036"/>
      <w:r>
        <w:rPr>
          <w:rFonts w:hint="eastAsia" w:ascii="宋体" w:hAnsi="宋体" w:eastAsia="宋体" w:cs="宋体"/>
          <w:color w:val="auto"/>
          <w:sz w:val="24"/>
          <w:szCs w:val="24"/>
        </w:rPr>
        <w:t>地    址：</w:t>
      </w:r>
      <w:bookmarkEnd w:id="10"/>
      <w:bookmarkEnd w:id="11"/>
      <w:bookmarkStart w:id="12" w:name="_Toc11142"/>
      <w:bookmarkStart w:id="13" w:name="_Toc7810"/>
      <w:r>
        <w:rPr>
          <w:rFonts w:hint="eastAsia" w:ascii="宋体" w:hAnsi="宋体" w:eastAsia="宋体" w:cs="宋体"/>
          <w:color w:val="auto"/>
          <w:sz w:val="24"/>
          <w:szCs w:val="24"/>
        </w:rPr>
        <w:t>金华市金东区多湖街道滨河路72号</w:t>
      </w:r>
    </w:p>
    <w:p w14:paraId="0B27E2E4">
      <w:pPr>
        <w:widowControl/>
        <w:shd w:val="clear" w:color="auto" w:fill="FFFFFF"/>
        <w:spacing w:before="31" w:beforeLines="10" w:after="31" w:afterLines="10" w:line="460" w:lineRule="exact"/>
        <w:ind w:firstLine="480" w:firstLineChars="200"/>
        <w:rPr>
          <w:rFonts w:hint="eastAsia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 系 人：</w:t>
      </w:r>
      <w:bookmarkEnd w:id="12"/>
      <w:bookmarkEnd w:id="13"/>
      <w:bookmarkStart w:id="14" w:name="_Toc24783"/>
      <w:bookmarkStart w:id="15" w:name="_Toc25332"/>
      <w:r>
        <w:rPr>
          <w:rFonts w:hint="eastAsia" w:hAnsi="宋体" w:eastAsia="宋体" w:cs="宋体"/>
          <w:color w:val="auto"/>
          <w:sz w:val="24"/>
          <w:szCs w:val="24"/>
          <w:lang w:val="en-US" w:eastAsia="zh-CN"/>
        </w:rPr>
        <w:t>李女士</w:t>
      </w:r>
    </w:p>
    <w:p w14:paraId="6186AE66">
      <w:pPr>
        <w:widowControl/>
        <w:shd w:val="clear" w:color="auto" w:fill="FFFFFF"/>
        <w:spacing w:before="31" w:beforeLines="10" w:after="31" w:afterLines="10" w:line="460" w:lineRule="exact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联系电话：</w:t>
      </w:r>
      <w:bookmarkEnd w:id="14"/>
      <w:bookmarkEnd w:id="15"/>
      <w:r>
        <w:rPr>
          <w:rFonts w:hint="eastAsia" w:hAnsi="宋体" w:eastAsia="宋体" w:cs="宋体"/>
          <w:color w:val="auto"/>
          <w:sz w:val="24"/>
          <w:szCs w:val="24"/>
          <w:lang w:val="en-US" w:eastAsia="zh-CN"/>
        </w:rPr>
        <w:t>15325951681</w:t>
      </w:r>
      <w:bookmarkStart w:id="16" w:name="_GoBack"/>
      <w:bookmarkEnd w:id="16"/>
    </w:p>
    <w:p w14:paraId="50698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82" w:firstLineChars="200"/>
        <w:textAlignment w:val="baseline"/>
        <w:rPr>
          <w:rFonts w:hint="default" w:hAnsi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F4B779"/>
    <w:multiLevelType w:val="singleLevel"/>
    <w:tmpl w:val="F1F4B7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753A772"/>
    <w:multiLevelType w:val="multilevel"/>
    <w:tmpl w:val="4753A772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/>
        <w:b/>
        <w:sz w:val="32"/>
      </w:rPr>
    </w:lvl>
    <w:lvl w:ilvl="1" w:tentative="0">
      <w:start w:val="1"/>
      <w:numFmt w:val="chineseCounting"/>
      <w:pStyle w:val="12"/>
      <w:suff w:val="nothing"/>
      <w:lvlText w:val="（%2）"/>
      <w:lvlJc w:val="left"/>
      <w:pPr>
        <w:tabs>
          <w:tab w:val="left" w:pos="0"/>
        </w:tabs>
        <w:ind w:left="840" w:firstLine="0"/>
      </w:pPr>
      <w:rPr>
        <w:rFonts w:hint="eastAsia" w:ascii="宋体" w:hAnsi="宋体" w:eastAsia="宋体"/>
        <w:b/>
        <w:sz w:val="30"/>
      </w:rPr>
    </w:lvl>
    <w:lvl w:ilvl="2" w:tentative="0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 w:ascii="宋体" w:hAnsi="宋体" w:eastAsia="宋体"/>
        <w:sz w:val="28"/>
      </w:rPr>
    </w:lvl>
    <w:lvl w:ilvl="3" w:tentative="0">
      <w:start w:val="1"/>
      <w:numFmt w:val="decimal"/>
      <w:pStyle w:val="4"/>
      <w:suff w:val="nothing"/>
      <w:lvlText w:val="%3.%4  "/>
      <w:lvlJc w:val="left"/>
      <w:pPr>
        <w:tabs>
          <w:tab w:val="left" w:pos="0"/>
        </w:tabs>
        <w:ind w:left="0" w:firstLine="402"/>
      </w:pPr>
      <w:rPr>
        <w:rFonts w:hint="eastAsia" w:ascii="宋体" w:hAnsi="宋体" w:eastAsia="宋体"/>
        <w:sz w:val="24"/>
      </w:rPr>
    </w:lvl>
    <w:lvl w:ilvl="4" w:tentative="0">
      <w:start w:val="1"/>
      <w:numFmt w:val="decimal"/>
      <w:pStyle w:val="5"/>
      <w:suff w:val="nothing"/>
      <w:lvlText w:val="%3.%4.%5 "/>
      <w:lvlJc w:val="left"/>
      <w:pPr>
        <w:ind w:left="0" w:firstLine="402"/>
      </w:pPr>
      <w:rPr>
        <w:rFonts w:hint="eastAsia" w:ascii="宋体" w:hAnsi="宋体"/>
        <w:sz w:val="24"/>
      </w:rPr>
    </w:lvl>
    <w:lvl w:ilvl="5" w:tentative="0">
      <w:start w:val="1"/>
      <w:numFmt w:val="decimal"/>
      <w:pStyle w:val="6"/>
      <w:suff w:val="nothing"/>
      <w:lvlText w:val="%3.%4.%5.%6 "/>
      <w:lvlJc w:val="left"/>
      <w:pPr>
        <w:ind w:left="0" w:firstLine="402"/>
      </w:pPr>
      <w:rPr>
        <w:rFonts w:hint="eastAsia" w:ascii="宋体" w:hAnsi="宋体"/>
        <w:sz w:val="24"/>
      </w:rPr>
    </w:lvl>
    <w:lvl w:ilvl="6" w:tentative="0">
      <w:start w:val="1"/>
      <w:numFmt w:val="decimal"/>
      <w:pStyle w:val="7"/>
      <w:suff w:val="nothing"/>
      <w:lvlText w:val="%3.%4.%5.%6.%7. "/>
      <w:lvlJc w:val="left"/>
      <w:pPr>
        <w:ind w:left="0" w:firstLine="402"/>
      </w:pPr>
      <w:rPr>
        <w:rFonts w:hint="eastAsia" w:ascii="宋体" w:hAnsi="宋体"/>
        <w:sz w:val="24"/>
      </w:rPr>
    </w:lvl>
    <w:lvl w:ilvl="7" w:tentative="0">
      <w:start w:val="1"/>
      <w:numFmt w:val="decimal"/>
      <w:pStyle w:val="8"/>
      <w:suff w:val="nothing"/>
      <w:lvlText w:val="%3.%4.%5.%6.%7.%8 "/>
      <w:lvlJc w:val="left"/>
      <w:pPr>
        <w:ind w:left="0" w:firstLine="402"/>
      </w:pPr>
      <w:rPr>
        <w:rFonts w:hint="eastAsia" w:ascii="宋体" w:hAnsi="宋体"/>
        <w:sz w:val="24"/>
      </w:rPr>
    </w:lvl>
    <w:lvl w:ilvl="8" w:tentative="0">
      <w:start w:val="1"/>
      <w:numFmt w:val="decimal"/>
      <w:pStyle w:val="9"/>
      <w:suff w:val="nothing"/>
      <w:lvlText w:val="%3.%4.%5.%6.%7.%8.%9 "/>
      <w:lvlJc w:val="left"/>
      <w:pPr>
        <w:ind w:left="0" w:firstLine="402"/>
      </w:pPr>
      <w:rPr>
        <w:rFonts w:hint="eastAsia" w:ascii="宋体" w:hAnsi="宋体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D461B"/>
    <w:rsid w:val="464C2FC2"/>
    <w:rsid w:val="55EA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6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7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8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9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样式A"/>
    <w:basedOn w:val="1"/>
    <w:next w:val="1"/>
    <w:qFormat/>
    <w:uiPriority w:val="0"/>
    <w:pPr>
      <w:keepNext/>
      <w:keepLines/>
      <w:numPr>
        <w:ilvl w:val="1"/>
        <w:numId w:val="1"/>
      </w:numPr>
      <w:spacing w:before="260" w:beforeLines="0" w:after="260" w:afterLines="0" w:line="413" w:lineRule="auto"/>
      <w:ind w:left="840"/>
      <w:outlineLvl w:val="1"/>
    </w:pPr>
    <w:rPr>
      <w:rFonts w:hint="eastAsia" w:ascii="Arial" w:hAnsi="Arial" w:eastAsia="宋体" w:cs="Times New Roman"/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138</Characters>
  <Lines>0</Lines>
  <Paragraphs>0</Paragraphs>
  <TotalTime>0</TotalTime>
  <ScaleCrop>false</ScaleCrop>
  <LinksUpToDate>false</LinksUpToDate>
  <CharactersWithSpaces>138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2024-04-10T00:50:00Z</dcterms:created>
  <dc:creator>Administrator</dc:creator>
  <cp:lastModifiedBy>Lazy</cp:lastModifiedBy>
  <dcterms:modified xsi:type="dcterms:W3CDTF">2025-01-16T06:54:04Z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FF28C5E941F34DFB987C55199B1BA6C7_12</vt:lpwstr>
  </property>
  <property fmtid="{D5CDD505-2E9C-101B-9397-08002B2CF9AE}" pid="4" name="KSOTemplateDocerSaveRecord">
    <vt:lpwstr>eyJoZGlkIjoiMmI1NmQ3OWE4ZjE5ZWE5N2FmNmNiNjcyY2E4OTk5YjIiLCJ1c2VySWQiOiIxMDM1Njk1NTMxIn0=</vt:lpwstr>
  </property>
</Properties>
</file>