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left"/>
        <w:outlineLvl w:val="0"/>
        <w:rPr>
          <w:rFonts w:hint="eastAsia" w:ascii="黑体" w:hAnsi="黑体" w:eastAsia="黑体"/>
          <w:sz w:val="32"/>
          <w:szCs w:val="32"/>
          <w:lang w:eastAsia="zh-CN"/>
        </w:rPr>
      </w:pPr>
      <w:r>
        <w:rPr>
          <w:rFonts w:hint="eastAsia" w:ascii="黑体" w:hAnsi="黑体" w:eastAsia="黑体"/>
          <w:sz w:val="32"/>
          <w:szCs w:val="32"/>
          <w:lang w:eastAsia="zh-CN"/>
        </w:rPr>
        <w:t>项目</w:t>
      </w:r>
      <w:r>
        <w:rPr>
          <w:rFonts w:hint="eastAsia" w:ascii="黑体" w:hAnsi="黑体" w:eastAsia="黑体"/>
          <w:sz w:val="32"/>
          <w:szCs w:val="32"/>
        </w:rPr>
        <w:t>需求</w:t>
      </w:r>
      <w:r>
        <w:rPr>
          <w:rFonts w:hint="eastAsia" w:ascii="黑体" w:hAnsi="黑体" w:eastAsia="黑体"/>
          <w:sz w:val="32"/>
          <w:szCs w:val="32"/>
          <w:lang w:eastAsia="zh-CN"/>
        </w:rPr>
        <w:t>情况</w:t>
      </w:r>
    </w:p>
    <w:p>
      <w:pPr>
        <w:spacing w:line="560" w:lineRule="exact"/>
        <w:ind w:firstLine="640" w:firstLineChars="200"/>
        <w:jc w:val="left"/>
        <w:outlineLvl w:val="1"/>
        <w:rPr>
          <w:rFonts w:ascii="楷体" w:hAnsi="楷体" w:eastAsia="楷体"/>
          <w:sz w:val="32"/>
          <w:szCs w:val="32"/>
        </w:rPr>
      </w:pPr>
      <w:r>
        <w:rPr>
          <w:rFonts w:hint="eastAsia" w:ascii="楷体" w:hAnsi="楷体" w:eastAsia="楷体"/>
          <w:sz w:val="32"/>
          <w:szCs w:val="32"/>
        </w:rPr>
        <w:t>（一）项目概况</w:t>
      </w:r>
    </w:p>
    <w:p>
      <w:pPr>
        <w:spacing w:line="560" w:lineRule="exact"/>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义乌市202</w:t>
      </w:r>
      <w:r>
        <w:rPr>
          <w:rFonts w:hint="default" w:ascii="仿宋" w:hAnsi="仿宋" w:eastAsia="仿宋" w:cs="Times New Roman"/>
          <w:sz w:val="32"/>
          <w:szCs w:val="32"/>
          <w:lang w:val="en-US"/>
        </w:rPr>
        <w:t>5</w:t>
      </w:r>
      <w:r>
        <w:rPr>
          <w:rFonts w:hint="eastAsia" w:ascii="仿宋" w:hAnsi="仿宋" w:eastAsia="仿宋" w:cs="Times New Roman"/>
          <w:sz w:val="32"/>
          <w:szCs w:val="32"/>
        </w:rPr>
        <w:t>-202</w:t>
      </w:r>
      <w:r>
        <w:rPr>
          <w:rFonts w:hint="default" w:ascii="仿宋" w:hAnsi="仿宋" w:eastAsia="仿宋" w:cs="Times New Roman"/>
          <w:sz w:val="32"/>
          <w:szCs w:val="32"/>
          <w:lang w:val="en-US"/>
        </w:rPr>
        <w:t>6</w:t>
      </w:r>
      <w:r>
        <w:rPr>
          <w:rFonts w:hint="eastAsia" w:ascii="仿宋" w:hAnsi="仿宋" w:eastAsia="仿宋" w:cs="Times New Roman"/>
          <w:sz w:val="32"/>
          <w:szCs w:val="32"/>
        </w:rPr>
        <w:t>年度</w:t>
      </w:r>
      <w:r>
        <w:rPr>
          <w:rFonts w:hint="eastAsia" w:ascii="仿宋" w:hAnsi="仿宋" w:eastAsia="仿宋" w:cs="Times New Roman"/>
          <w:sz w:val="32"/>
          <w:szCs w:val="32"/>
          <w:lang w:eastAsia="zh-CN"/>
        </w:rPr>
        <w:t>培训</w:t>
      </w:r>
      <w:r>
        <w:rPr>
          <w:rFonts w:hint="eastAsia" w:ascii="仿宋" w:hAnsi="仿宋" w:eastAsia="仿宋" w:cs="Times New Roman"/>
          <w:sz w:val="32"/>
          <w:szCs w:val="32"/>
        </w:rPr>
        <w:t>服务</w:t>
      </w:r>
      <w:r>
        <w:rPr>
          <w:rFonts w:hint="eastAsia" w:ascii="仿宋" w:hAnsi="仿宋" w:eastAsia="仿宋" w:cs="Times New Roman"/>
          <w:sz w:val="32"/>
          <w:szCs w:val="32"/>
          <w:lang w:eastAsia="zh-CN"/>
        </w:rPr>
        <w:t>开放式</w:t>
      </w:r>
      <w:r>
        <w:rPr>
          <w:rFonts w:hint="eastAsia" w:ascii="仿宋" w:hAnsi="仿宋" w:eastAsia="仿宋" w:cs="Times New Roman"/>
          <w:sz w:val="32"/>
          <w:szCs w:val="32"/>
        </w:rPr>
        <w:t>框架协议</w:t>
      </w:r>
    </w:p>
    <w:p>
      <w:pPr>
        <w:spacing w:line="560" w:lineRule="exact"/>
        <w:ind w:firstLine="643" w:firstLineChars="200"/>
        <w:jc w:val="left"/>
        <w:rPr>
          <w:rFonts w:hint="eastAsia" w:ascii="仿宋" w:hAnsi="仿宋" w:eastAsia="仿宋" w:cs="Times New Roman"/>
          <w:sz w:val="32"/>
          <w:szCs w:val="32"/>
          <w:highlight w:val="none"/>
        </w:rPr>
      </w:pPr>
      <w:r>
        <w:rPr>
          <w:rFonts w:hint="eastAsia" w:ascii="仿宋" w:hAnsi="仿宋" w:eastAsia="仿宋" w:cs="Times New Roman"/>
          <w:b/>
          <w:bCs/>
          <w:sz w:val="32"/>
          <w:szCs w:val="32"/>
          <w:lang w:eastAsia="zh-CN"/>
        </w:rPr>
        <w:t>项目</w:t>
      </w:r>
      <w:r>
        <w:rPr>
          <w:rFonts w:hint="eastAsia" w:ascii="仿宋" w:hAnsi="仿宋" w:eastAsia="仿宋" w:cs="Times New Roman"/>
          <w:b/>
          <w:bCs/>
          <w:sz w:val="32"/>
          <w:szCs w:val="32"/>
        </w:rPr>
        <w:t>内容：</w:t>
      </w:r>
      <w:r>
        <w:rPr>
          <w:rFonts w:hint="eastAsia" w:ascii="仿宋" w:hAnsi="仿宋" w:eastAsia="仿宋" w:cs="Times New Roman"/>
          <w:sz w:val="32"/>
          <w:szCs w:val="32"/>
        </w:rPr>
        <w:t>确定202</w:t>
      </w:r>
      <w:r>
        <w:rPr>
          <w:rFonts w:hint="default" w:ascii="仿宋" w:hAnsi="仿宋" w:eastAsia="仿宋" w:cs="Times New Roman"/>
          <w:sz w:val="32"/>
          <w:szCs w:val="32"/>
          <w:lang w:val="en-US"/>
        </w:rPr>
        <w:t>5</w:t>
      </w:r>
      <w:r>
        <w:rPr>
          <w:rFonts w:hint="eastAsia" w:ascii="仿宋" w:hAnsi="仿宋" w:eastAsia="仿宋" w:cs="Times New Roman"/>
          <w:sz w:val="32"/>
          <w:szCs w:val="32"/>
        </w:rPr>
        <w:t>-2</w:t>
      </w:r>
      <w:r>
        <w:rPr>
          <w:rFonts w:hint="eastAsia" w:ascii="仿宋" w:hAnsi="仿宋" w:eastAsia="仿宋" w:cs="Times New Roman"/>
          <w:sz w:val="32"/>
          <w:szCs w:val="32"/>
          <w:lang w:eastAsia="zh-CN"/>
        </w:rPr>
        <w:t>02</w:t>
      </w:r>
      <w:r>
        <w:rPr>
          <w:rFonts w:hint="default" w:ascii="仿宋" w:hAnsi="仿宋" w:eastAsia="仿宋" w:cs="Times New Roman"/>
          <w:sz w:val="32"/>
          <w:szCs w:val="32"/>
          <w:lang w:val="en-US" w:eastAsia="zh-CN"/>
        </w:rPr>
        <w:t>6</w:t>
      </w:r>
      <w:r>
        <w:rPr>
          <w:rFonts w:hint="eastAsia" w:ascii="仿宋" w:hAnsi="仿宋" w:eastAsia="仿宋" w:cs="Times New Roman"/>
          <w:sz w:val="32"/>
          <w:szCs w:val="32"/>
          <w:lang w:eastAsia="zh-CN"/>
        </w:rPr>
        <w:t>年度义乌市国家机关、事业单位和团体组织培训</w:t>
      </w:r>
      <w:r>
        <w:rPr>
          <w:rFonts w:hint="eastAsia" w:ascii="仿宋" w:hAnsi="仿宋" w:eastAsia="仿宋" w:cs="Times New Roman"/>
          <w:sz w:val="32"/>
          <w:szCs w:val="32"/>
        </w:rPr>
        <w:t>服务项目供应商。本次公开征集共分为二个采购包，采购包一：综合性</w:t>
      </w:r>
      <w:r>
        <w:rPr>
          <w:rFonts w:hint="eastAsia" w:ascii="仿宋" w:hAnsi="仿宋" w:eastAsia="仿宋" w:cs="Times New Roman"/>
          <w:sz w:val="32"/>
          <w:szCs w:val="32"/>
          <w:lang w:eastAsia="zh-CN"/>
        </w:rPr>
        <w:t>培训</w:t>
      </w:r>
      <w:r>
        <w:rPr>
          <w:rFonts w:hint="eastAsia" w:ascii="仿宋" w:hAnsi="仿宋" w:eastAsia="仿宋" w:cs="Times New Roman"/>
          <w:sz w:val="32"/>
          <w:szCs w:val="32"/>
        </w:rPr>
        <w:t>场所，应当具备</w:t>
      </w:r>
      <w:r>
        <w:rPr>
          <w:rFonts w:hint="eastAsia" w:ascii="仿宋" w:hAnsi="仿宋" w:eastAsia="仿宋" w:cs="Times New Roman"/>
          <w:sz w:val="32"/>
          <w:szCs w:val="32"/>
          <w:lang w:eastAsia="zh-CN"/>
        </w:rPr>
        <w:t>培训</w:t>
      </w:r>
      <w:r>
        <w:rPr>
          <w:rFonts w:hint="eastAsia" w:ascii="仿宋" w:hAnsi="仿宋" w:eastAsia="仿宋" w:cs="Times New Roman"/>
          <w:sz w:val="32"/>
          <w:szCs w:val="32"/>
        </w:rPr>
        <w:t>所需要的住宿房间、会议室、餐厅以及相关设施；采购包二：专业</w:t>
      </w:r>
      <w:r>
        <w:rPr>
          <w:rFonts w:hint="eastAsia" w:ascii="仿宋" w:hAnsi="仿宋" w:eastAsia="仿宋" w:cs="Times New Roman"/>
          <w:sz w:val="32"/>
          <w:szCs w:val="32"/>
          <w:lang w:eastAsia="zh-CN"/>
        </w:rPr>
        <w:t>培训</w:t>
      </w:r>
      <w:r>
        <w:rPr>
          <w:rFonts w:hint="eastAsia" w:ascii="仿宋" w:hAnsi="仿宋" w:eastAsia="仿宋" w:cs="Times New Roman"/>
          <w:sz w:val="32"/>
          <w:szCs w:val="32"/>
        </w:rPr>
        <w:t>场所，应当具备</w:t>
      </w:r>
      <w:r>
        <w:rPr>
          <w:rFonts w:hint="eastAsia" w:ascii="仿宋" w:hAnsi="仿宋" w:eastAsia="仿宋" w:cs="Times New Roman"/>
          <w:sz w:val="32"/>
          <w:szCs w:val="32"/>
          <w:lang w:eastAsia="zh-CN"/>
        </w:rPr>
        <w:t>培训</w:t>
      </w:r>
      <w:r>
        <w:rPr>
          <w:rFonts w:hint="eastAsia" w:ascii="仿宋" w:hAnsi="仿宋" w:eastAsia="仿宋" w:cs="Times New Roman"/>
          <w:sz w:val="32"/>
          <w:szCs w:val="32"/>
        </w:rPr>
        <w:t>所需要的会议室等相关设施。供应商只能申请加入一个采购包的框架协议。</w:t>
      </w:r>
    </w:p>
    <w:p>
      <w:pPr>
        <w:spacing w:line="560" w:lineRule="exact"/>
        <w:ind w:firstLine="643" w:firstLineChars="200"/>
        <w:jc w:val="left"/>
        <w:rPr>
          <w:rFonts w:hint="eastAsia" w:ascii="仿宋" w:hAnsi="仿宋" w:eastAsia="仿宋" w:cs="Times New Roman"/>
          <w:sz w:val="32"/>
          <w:szCs w:val="32"/>
          <w:lang w:eastAsia="zh-CN"/>
        </w:rPr>
      </w:pPr>
      <w:r>
        <w:rPr>
          <w:rFonts w:hint="eastAsia" w:ascii="仿宋" w:hAnsi="仿宋" w:eastAsia="仿宋" w:cs="Times New Roman"/>
          <w:b/>
          <w:bCs/>
          <w:sz w:val="32"/>
          <w:szCs w:val="32"/>
        </w:rPr>
        <w:t>框架协议的期限：</w:t>
      </w:r>
      <w:r>
        <w:rPr>
          <w:rFonts w:hint="default" w:ascii="仿宋" w:hAnsi="仿宋" w:eastAsia="仿宋" w:cs="Times New Roman"/>
          <w:sz w:val="32"/>
          <w:szCs w:val="32"/>
        </w:rPr>
        <w:t>自供应商在线申请通过审核之日起至202</w:t>
      </w:r>
      <w:r>
        <w:rPr>
          <w:rFonts w:hint="default" w:ascii="仿宋" w:hAnsi="仿宋" w:eastAsia="仿宋" w:cs="Times New Roman"/>
          <w:sz w:val="32"/>
          <w:szCs w:val="32"/>
          <w:lang w:val="en-US"/>
        </w:rPr>
        <w:t>6</w:t>
      </w:r>
      <w:r>
        <w:rPr>
          <w:rFonts w:hint="default" w:ascii="仿宋" w:hAnsi="仿宋" w:eastAsia="仿宋" w:cs="Times New Roman"/>
          <w:sz w:val="32"/>
          <w:szCs w:val="32"/>
        </w:rPr>
        <w:t>年1</w:t>
      </w:r>
      <w:r>
        <w:rPr>
          <w:rFonts w:hint="default" w:ascii="仿宋" w:hAnsi="仿宋" w:eastAsia="仿宋" w:cs="Times New Roman"/>
          <w:sz w:val="32"/>
          <w:szCs w:val="32"/>
          <w:lang w:val="en-US"/>
        </w:rPr>
        <w:t>2</w:t>
      </w:r>
      <w:r>
        <w:rPr>
          <w:rFonts w:hint="default" w:ascii="仿宋" w:hAnsi="仿宋" w:eastAsia="仿宋" w:cs="Times New Roman"/>
          <w:sz w:val="32"/>
          <w:szCs w:val="32"/>
        </w:rPr>
        <w:t>月31日止</w:t>
      </w:r>
      <w:r>
        <w:rPr>
          <w:rFonts w:hint="eastAsia" w:ascii="仿宋" w:hAnsi="仿宋" w:eastAsia="仿宋" w:cs="Times New Roman"/>
          <w:sz w:val="32"/>
          <w:szCs w:val="32"/>
          <w:lang w:eastAsia="zh-CN"/>
        </w:rPr>
        <w:t>。</w:t>
      </w:r>
    </w:p>
    <w:p>
      <w:pPr>
        <w:spacing w:line="560" w:lineRule="exact"/>
        <w:ind w:firstLine="643" w:firstLineChars="200"/>
        <w:jc w:val="left"/>
        <w:rPr>
          <w:rFonts w:hint="eastAsia" w:ascii="仿宋" w:hAnsi="仿宋" w:eastAsia="仿宋" w:cs="Times New Roman"/>
          <w:sz w:val="32"/>
          <w:szCs w:val="32"/>
          <w:lang w:eastAsia="zh-CN"/>
        </w:rPr>
      </w:pPr>
      <w:r>
        <w:rPr>
          <w:rFonts w:hint="default" w:ascii="仿宋" w:hAnsi="仿宋" w:eastAsia="仿宋" w:cs="Times New Roman"/>
          <w:b/>
          <w:bCs/>
          <w:sz w:val="32"/>
          <w:szCs w:val="32"/>
        </w:rPr>
        <w:t>最高限价：</w:t>
      </w:r>
      <w:r>
        <w:rPr>
          <w:rFonts w:hint="eastAsia" w:ascii="仿宋" w:hAnsi="仿宋" w:eastAsia="仿宋" w:cs="Times New Roman"/>
          <w:sz w:val="32"/>
          <w:szCs w:val="32"/>
        </w:rPr>
        <w:t>根据</w:t>
      </w:r>
      <w:r>
        <w:rPr>
          <w:rFonts w:hint="default" w:ascii="仿宋" w:hAnsi="仿宋" w:eastAsia="仿宋" w:cs="Times New Roman"/>
          <w:sz w:val="32"/>
          <w:szCs w:val="32"/>
        </w:rPr>
        <w:t>[浙江省财政厅 中共浙江省委组织部关于印发浙江省省级机关培训费管理规定的通知（浙财行〔</w:t>
      </w:r>
      <w:r>
        <w:rPr>
          <w:rFonts w:hint="default" w:ascii="仿宋" w:hAnsi="仿宋" w:eastAsia="仿宋" w:cs="Times New Roman"/>
          <w:sz w:val="32"/>
          <w:szCs w:val="32"/>
          <w:lang w:val="en-US" w:eastAsia="zh-CN"/>
        </w:rPr>
        <w:t>2022</w:t>
      </w:r>
      <w:r>
        <w:rPr>
          <w:rFonts w:hint="default" w:ascii="仿宋" w:hAnsi="仿宋" w:eastAsia="仿宋" w:cs="Times New Roman"/>
          <w:sz w:val="32"/>
          <w:szCs w:val="32"/>
        </w:rPr>
        <w:t>〕</w:t>
      </w:r>
      <w:r>
        <w:rPr>
          <w:rFonts w:hint="default" w:ascii="仿宋" w:hAnsi="仿宋" w:eastAsia="仿宋" w:cs="Times New Roman"/>
          <w:sz w:val="32"/>
          <w:szCs w:val="32"/>
          <w:lang w:val="en-US" w:eastAsia="zh-CN"/>
        </w:rPr>
        <w:t>13</w:t>
      </w:r>
      <w:r>
        <w:rPr>
          <w:rFonts w:hint="default" w:ascii="仿宋" w:hAnsi="仿宋" w:eastAsia="仿宋" w:cs="Times New Roman"/>
          <w:sz w:val="32"/>
          <w:szCs w:val="32"/>
        </w:rPr>
        <w:t>号）</w:t>
      </w:r>
      <w:r>
        <w:rPr>
          <w:rFonts w:hint="default" w:ascii="仿宋" w:hAnsi="仿宋" w:eastAsia="仿宋" w:cs="Times New Roman"/>
          <w:sz w:val="32"/>
          <w:szCs w:val="32"/>
          <w:lang w:eastAsia="zh-CN"/>
        </w:rPr>
        <w:t>、义乌市财政局</w:t>
      </w:r>
      <w:r>
        <w:rPr>
          <w:rFonts w:hint="default" w:ascii="仿宋" w:hAnsi="仿宋" w:eastAsia="仿宋" w:cs="Times New Roman"/>
          <w:sz w:val="32"/>
          <w:szCs w:val="32"/>
          <w:lang w:val="en-US" w:eastAsia="zh-CN"/>
        </w:rPr>
        <w:t xml:space="preserve"> 中共义乌市委组织部关于印发义乌市行政事业单位培训费管理规定的通知（义财行</w:t>
      </w:r>
      <w:r>
        <w:rPr>
          <w:rFonts w:hint="default" w:ascii="仿宋" w:hAnsi="仿宋" w:eastAsia="仿宋" w:cs="Times New Roman"/>
          <w:sz w:val="32"/>
          <w:szCs w:val="32"/>
          <w:lang w:eastAsia="zh-CN"/>
        </w:rPr>
        <w:t>〔</w:t>
      </w:r>
      <w:r>
        <w:rPr>
          <w:rFonts w:hint="default" w:ascii="仿宋" w:hAnsi="仿宋" w:eastAsia="仿宋" w:cs="Times New Roman"/>
          <w:sz w:val="32"/>
          <w:szCs w:val="32"/>
          <w:lang w:val="en-US" w:eastAsia="zh-CN"/>
        </w:rPr>
        <w:t>2022</w:t>
      </w:r>
      <w:r>
        <w:rPr>
          <w:rFonts w:hint="default" w:ascii="仿宋" w:hAnsi="仿宋" w:eastAsia="仿宋" w:cs="Times New Roman"/>
          <w:sz w:val="32"/>
          <w:szCs w:val="32"/>
          <w:lang w:eastAsia="zh-CN"/>
        </w:rPr>
        <w:t>〕</w:t>
      </w:r>
      <w:r>
        <w:rPr>
          <w:rFonts w:hint="default" w:ascii="仿宋" w:hAnsi="仿宋" w:eastAsia="仿宋" w:cs="Times New Roman"/>
          <w:sz w:val="32"/>
          <w:szCs w:val="32"/>
          <w:lang w:val="en-US" w:eastAsia="zh-CN"/>
        </w:rPr>
        <w:t>1</w:t>
      </w:r>
      <w:r>
        <w:rPr>
          <w:rFonts w:hint="default" w:ascii="仿宋" w:hAnsi="仿宋" w:eastAsia="仿宋" w:cs="Times New Roman"/>
          <w:sz w:val="32"/>
          <w:szCs w:val="32"/>
          <w:lang w:eastAsia="zh-CN"/>
        </w:rPr>
        <w:t>号</w:t>
      </w:r>
      <w:r>
        <w:rPr>
          <w:rFonts w:hint="default" w:ascii="仿宋" w:hAnsi="仿宋" w:eastAsia="仿宋" w:cs="Times New Roman"/>
          <w:sz w:val="32"/>
          <w:szCs w:val="32"/>
          <w:lang w:val="en-US" w:eastAsia="zh-CN"/>
        </w:rPr>
        <w:t>）</w:t>
      </w:r>
      <w:r>
        <w:rPr>
          <w:rFonts w:hint="default" w:ascii="仿宋" w:hAnsi="仿宋" w:eastAsia="仿宋" w:cs="Times New Roman"/>
          <w:sz w:val="32"/>
          <w:szCs w:val="32"/>
          <w:lang w:eastAsia="zh-CN"/>
        </w:rPr>
        <w:t>]</w:t>
      </w:r>
      <w:r>
        <w:rPr>
          <w:rFonts w:hint="eastAsia" w:ascii="仿宋" w:hAnsi="仿宋" w:eastAsia="仿宋" w:cs="Times New Roman"/>
          <w:sz w:val="32"/>
          <w:szCs w:val="32"/>
        </w:rPr>
        <w:t>等文件规定</w:t>
      </w:r>
      <w:r>
        <w:rPr>
          <w:rFonts w:hint="eastAsia" w:ascii="仿宋" w:hAnsi="仿宋" w:eastAsia="仿宋" w:cs="Times New Roman"/>
          <w:sz w:val="32"/>
          <w:szCs w:val="32"/>
          <w:lang w:eastAsia="zh-CN"/>
        </w:rPr>
        <w:t>，入围供应商在具体承接培训时人均培训费不得超过以下标准</w:t>
      </w:r>
      <w:r>
        <w:rPr>
          <w:rFonts w:hint="eastAsia" w:ascii="仿宋" w:hAnsi="仿宋" w:eastAsia="仿宋" w:cs="Times New Roman"/>
          <w:sz w:val="32"/>
          <w:szCs w:val="32"/>
          <w:lang w:val="en-US" w:eastAsia="zh-CN"/>
        </w:rPr>
        <w:t>,其余各地区参照当地标准执行</w:t>
      </w:r>
      <w:r>
        <w:rPr>
          <w:rFonts w:hint="eastAsia" w:ascii="仿宋" w:hAnsi="仿宋" w:eastAsia="仿宋" w:cs="Times New Roman"/>
          <w:sz w:val="32"/>
          <w:szCs w:val="32"/>
          <w:lang w:eastAsia="zh-CN"/>
        </w:rPr>
        <w:t>。</w:t>
      </w:r>
    </w:p>
    <w:p>
      <w:pPr>
        <w:spacing w:line="560" w:lineRule="exact"/>
        <w:ind w:firstLine="640" w:firstLineChars="200"/>
        <w:jc w:val="righ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 单位：元</w:t>
      </w:r>
      <w:r>
        <w:rPr>
          <w:rFonts w:hint="eastAsia" w:ascii="仿宋" w:hAnsi="仿宋" w:eastAsia="仿宋" w:cs="Times New Roman"/>
          <w:sz w:val="32"/>
          <w:szCs w:val="32"/>
        </w:rPr>
        <w:t>/</w:t>
      </w:r>
      <w:r>
        <w:rPr>
          <w:rFonts w:hint="eastAsia" w:ascii="仿宋" w:hAnsi="仿宋" w:eastAsia="仿宋" w:cs="Times New Roman"/>
          <w:sz w:val="32"/>
          <w:szCs w:val="32"/>
          <w:lang w:eastAsia="zh-CN"/>
        </w:rPr>
        <w:t>人</w:t>
      </w:r>
      <w:r>
        <w:rPr>
          <w:rFonts w:hint="eastAsia" w:ascii="仿宋" w:hAnsi="仿宋" w:eastAsia="仿宋" w:cs="Times New Roman"/>
          <w:sz w:val="32"/>
          <w:szCs w:val="32"/>
        </w:rPr>
        <w:t>·天</w:t>
      </w:r>
    </w:p>
    <w:tbl>
      <w:tblPr>
        <w:tblStyle w:val="7"/>
        <w:tblW w:w="7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245"/>
        <w:gridCol w:w="1107"/>
        <w:gridCol w:w="1725"/>
        <w:gridCol w:w="91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51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培训类别</w:t>
            </w:r>
          </w:p>
        </w:tc>
        <w:tc>
          <w:tcPr>
            <w:tcW w:w="124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住宿费</w:t>
            </w:r>
          </w:p>
        </w:tc>
        <w:tc>
          <w:tcPr>
            <w:tcW w:w="1107"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伙食费</w:t>
            </w:r>
          </w:p>
        </w:tc>
        <w:tc>
          <w:tcPr>
            <w:tcW w:w="172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场地、资料、交通费</w:t>
            </w:r>
          </w:p>
        </w:tc>
        <w:tc>
          <w:tcPr>
            <w:tcW w:w="91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其它费用</w:t>
            </w:r>
          </w:p>
        </w:tc>
        <w:tc>
          <w:tcPr>
            <w:tcW w:w="115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一类培训</w:t>
            </w:r>
          </w:p>
        </w:tc>
        <w:tc>
          <w:tcPr>
            <w:tcW w:w="124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400</w:t>
            </w:r>
          </w:p>
        </w:tc>
        <w:tc>
          <w:tcPr>
            <w:tcW w:w="1107"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150</w:t>
            </w:r>
          </w:p>
        </w:tc>
        <w:tc>
          <w:tcPr>
            <w:tcW w:w="172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70</w:t>
            </w:r>
          </w:p>
        </w:tc>
        <w:tc>
          <w:tcPr>
            <w:tcW w:w="91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30</w:t>
            </w:r>
          </w:p>
        </w:tc>
        <w:tc>
          <w:tcPr>
            <w:tcW w:w="115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二类培训</w:t>
            </w:r>
          </w:p>
        </w:tc>
        <w:tc>
          <w:tcPr>
            <w:tcW w:w="124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340</w:t>
            </w:r>
          </w:p>
        </w:tc>
        <w:tc>
          <w:tcPr>
            <w:tcW w:w="1107"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130</w:t>
            </w:r>
          </w:p>
        </w:tc>
        <w:tc>
          <w:tcPr>
            <w:tcW w:w="172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50</w:t>
            </w:r>
          </w:p>
        </w:tc>
        <w:tc>
          <w:tcPr>
            <w:tcW w:w="91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30</w:t>
            </w:r>
          </w:p>
        </w:tc>
        <w:tc>
          <w:tcPr>
            <w:tcW w:w="1155" w:type="dxa"/>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仿宋" w:hAnsi="仿宋" w:eastAsia="仿宋" w:cs="仿宋"/>
                <w:i w:val="0"/>
                <w:caps w:val="0"/>
                <w:color w:val="333333"/>
                <w:spacing w:val="0"/>
                <w:sz w:val="28"/>
                <w:szCs w:val="28"/>
                <w:highlight w:val="none"/>
                <w:lang w:val="en-US" w:eastAsia="zh-CN"/>
              </w:rPr>
            </w:pPr>
            <w:r>
              <w:rPr>
                <w:rFonts w:hint="eastAsia" w:ascii="仿宋" w:hAnsi="仿宋" w:eastAsia="仿宋" w:cs="仿宋"/>
                <w:i w:val="0"/>
                <w:caps w:val="0"/>
                <w:color w:val="333333"/>
                <w:spacing w:val="0"/>
                <w:sz w:val="28"/>
                <w:szCs w:val="28"/>
                <w:highlight w:val="none"/>
                <w:lang w:val="en-US" w:eastAsia="zh-CN"/>
              </w:rPr>
              <w:t>550</w:t>
            </w:r>
          </w:p>
        </w:tc>
      </w:tr>
    </w:tbl>
    <w:p>
      <w:pPr>
        <w:spacing w:line="560" w:lineRule="exact"/>
        <w:ind w:firstLine="643" w:firstLineChars="200"/>
        <w:jc w:val="left"/>
        <w:rPr>
          <w:rFonts w:hint="default" w:ascii="仿宋" w:hAnsi="仿宋" w:eastAsia="仿宋" w:cs="Times New Roman"/>
          <w:sz w:val="32"/>
          <w:szCs w:val="32"/>
          <w:lang w:eastAsia="zh-CN"/>
        </w:rPr>
      </w:pPr>
      <w:r>
        <w:rPr>
          <w:rFonts w:hint="default" w:ascii="仿宋" w:hAnsi="仿宋" w:eastAsia="仿宋" w:cs="Times New Roman"/>
          <w:b/>
          <w:bCs/>
          <w:sz w:val="32"/>
          <w:szCs w:val="32"/>
        </w:rPr>
        <w:t>报价要求：</w:t>
      </w:r>
      <w:r>
        <w:rPr>
          <w:rFonts w:hint="default" w:ascii="仿宋" w:hAnsi="仿宋" w:eastAsia="仿宋" w:cs="Times New Roman"/>
          <w:sz w:val="32"/>
          <w:szCs w:val="32"/>
        </w:rPr>
        <w:t>采购包一：标准双人间（含双早）报价不超过</w:t>
      </w:r>
      <w:r>
        <w:rPr>
          <w:rFonts w:hint="eastAsia" w:ascii="仿宋" w:hAnsi="仿宋" w:eastAsia="仿宋" w:cs="Times New Roman"/>
          <w:sz w:val="32"/>
          <w:szCs w:val="32"/>
          <w:highlight w:val="none"/>
          <w:lang w:val="en-US" w:eastAsia="zh-CN"/>
        </w:rPr>
        <w:t>340</w:t>
      </w:r>
      <w:r>
        <w:rPr>
          <w:rFonts w:hint="default" w:ascii="仿宋" w:hAnsi="仿宋" w:eastAsia="仿宋" w:cs="Times New Roman"/>
          <w:sz w:val="32"/>
          <w:szCs w:val="32"/>
          <w:highlight w:val="none"/>
        </w:rPr>
        <w:t>元/间·天；伙食费不超过1</w:t>
      </w:r>
      <w:r>
        <w:rPr>
          <w:rFonts w:hint="eastAsia" w:ascii="仿宋" w:hAnsi="仿宋" w:eastAsia="仿宋" w:cs="Times New Roman"/>
          <w:sz w:val="32"/>
          <w:szCs w:val="32"/>
          <w:highlight w:val="none"/>
          <w:lang w:val="en-US" w:eastAsia="zh-CN"/>
        </w:rPr>
        <w:t>2</w:t>
      </w:r>
      <w:r>
        <w:rPr>
          <w:rFonts w:hint="default" w:ascii="仿宋" w:hAnsi="仿宋" w:eastAsia="仿宋" w:cs="Times New Roman"/>
          <w:sz w:val="32"/>
          <w:szCs w:val="32"/>
          <w:highlight w:val="none"/>
        </w:rPr>
        <w:t>0元/人·天；</w:t>
      </w:r>
      <w:r>
        <w:rPr>
          <w:rFonts w:hint="default" w:ascii="仿宋" w:hAnsi="仿宋" w:eastAsia="仿宋" w:cs="Times New Roman"/>
          <w:sz w:val="32"/>
          <w:szCs w:val="32"/>
        </w:rPr>
        <w:t>会议室按场次进行报价</w:t>
      </w:r>
      <w:r>
        <w:rPr>
          <w:rFonts w:hint="eastAsia" w:ascii="仿宋" w:hAnsi="仿宋" w:eastAsia="仿宋" w:cs="Times New Roman"/>
          <w:sz w:val="32"/>
          <w:szCs w:val="32"/>
          <w:lang w:eastAsia="zh-CN"/>
        </w:rPr>
        <w:t>，</w:t>
      </w:r>
      <w:r>
        <w:rPr>
          <w:rFonts w:hint="default" w:ascii="仿宋" w:hAnsi="仿宋" w:eastAsia="仿宋" w:cs="Times New Roman"/>
          <w:sz w:val="32"/>
          <w:szCs w:val="32"/>
        </w:rPr>
        <w:t>所有会议室的</w:t>
      </w:r>
      <w:r>
        <w:rPr>
          <w:rFonts w:hint="eastAsia" w:ascii="仿宋" w:hAnsi="仿宋" w:eastAsia="仿宋" w:cs="Times New Roman"/>
          <w:sz w:val="32"/>
          <w:szCs w:val="32"/>
          <w:lang w:eastAsia="zh-CN"/>
        </w:rPr>
        <w:t>报价</w:t>
      </w:r>
      <w:r>
        <w:rPr>
          <w:rFonts w:hint="default" w:ascii="仿宋" w:hAnsi="仿宋" w:eastAsia="仿宋" w:cs="Times New Roman"/>
          <w:sz w:val="32"/>
          <w:szCs w:val="32"/>
        </w:rPr>
        <w:t>不得高于</w:t>
      </w:r>
      <w:r>
        <w:rPr>
          <w:rFonts w:hint="eastAsia" w:ascii="仿宋" w:hAnsi="仿宋" w:eastAsia="仿宋" w:cs="Times New Roman"/>
          <w:sz w:val="32"/>
          <w:szCs w:val="32"/>
          <w:lang w:eastAsia="zh-CN"/>
        </w:rPr>
        <w:t>门市价打五折后的价格，且不得高于供应商给出的其他协议价格。</w:t>
      </w:r>
      <w:r>
        <w:rPr>
          <w:rFonts w:hint="default" w:ascii="仿宋" w:hAnsi="仿宋" w:eastAsia="仿宋" w:cs="Times New Roman"/>
          <w:sz w:val="32"/>
          <w:szCs w:val="32"/>
          <w:lang w:eastAsia="zh-CN"/>
        </w:rPr>
        <w:t>采购包二：会议室按场次进行报价</w:t>
      </w:r>
      <w:r>
        <w:rPr>
          <w:rFonts w:hint="eastAsia" w:ascii="仿宋" w:hAnsi="仿宋" w:eastAsia="仿宋" w:cs="Times New Roman"/>
          <w:sz w:val="32"/>
          <w:szCs w:val="32"/>
          <w:lang w:eastAsia="zh-CN"/>
        </w:rPr>
        <w:t>，</w:t>
      </w:r>
      <w:r>
        <w:rPr>
          <w:rFonts w:hint="default" w:ascii="仿宋" w:hAnsi="仿宋" w:eastAsia="仿宋" w:cs="Times New Roman"/>
          <w:sz w:val="32"/>
          <w:szCs w:val="32"/>
          <w:lang w:eastAsia="zh-CN"/>
        </w:rPr>
        <w:t>所有会议室的</w:t>
      </w:r>
      <w:r>
        <w:rPr>
          <w:rFonts w:hint="eastAsia" w:ascii="仿宋" w:hAnsi="仿宋" w:eastAsia="仿宋" w:cs="Times New Roman"/>
          <w:sz w:val="32"/>
          <w:szCs w:val="32"/>
          <w:lang w:eastAsia="zh-CN"/>
        </w:rPr>
        <w:t>报价</w:t>
      </w:r>
      <w:r>
        <w:rPr>
          <w:rFonts w:hint="default" w:ascii="仿宋" w:hAnsi="仿宋" w:eastAsia="仿宋" w:cs="Times New Roman"/>
          <w:sz w:val="32"/>
          <w:szCs w:val="32"/>
          <w:lang w:eastAsia="zh-CN"/>
        </w:rPr>
        <w:t>不得高于</w:t>
      </w:r>
      <w:r>
        <w:rPr>
          <w:rFonts w:hint="eastAsia" w:ascii="仿宋" w:hAnsi="仿宋" w:eastAsia="仿宋" w:cs="Times New Roman"/>
          <w:sz w:val="32"/>
          <w:szCs w:val="32"/>
          <w:lang w:eastAsia="zh-CN"/>
        </w:rPr>
        <w:t>门市价打五折后的价格，且不得高于供应商给出的其他协议价格</w:t>
      </w:r>
      <w:r>
        <w:rPr>
          <w:rFonts w:hint="default" w:ascii="仿宋" w:hAnsi="仿宋" w:eastAsia="仿宋" w:cs="Times New Roman"/>
          <w:sz w:val="32"/>
          <w:szCs w:val="32"/>
          <w:lang w:eastAsia="zh-CN"/>
        </w:rPr>
        <w:t>。</w:t>
      </w:r>
    </w:p>
    <w:p>
      <w:pPr>
        <w:spacing w:line="360" w:lineRule="auto"/>
        <w:ind w:firstLine="480"/>
        <w:outlineLvl w:val="1"/>
        <w:rPr>
          <w:rFonts w:hint="default" w:ascii="仿宋" w:hAnsi="仿宋" w:eastAsia="仿宋" w:cs="Times New Roman"/>
          <w:sz w:val="32"/>
          <w:szCs w:val="32"/>
        </w:rPr>
      </w:pPr>
      <w:r>
        <w:rPr>
          <w:rFonts w:hint="default" w:ascii="仿宋" w:hAnsi="仿宋" w:eastAsia="仿宋" w:cs="Times New Roman"/>
          <w:b/>
          <w:bCs/>
          <w:sz w:val="32"/>
          <w:szCs w:val="32"/>
        </w:rPr>
        <w:t>服务对象范围：</w:t>
      </w:r>
      <w:r>
        <w:rPr>
          <w:rFonts w:hint="eastAsia" w:ascii="仿宋" w:hAnsi="仿宋" w:eastAsia="仿宋" w:cs="Times New Roman"/>
          <w:sz w:val="32"/>
          <w:szCs w:val="32"/>
          <w:highlight w:val="none"/>
          <w:lang w:eastAsia="zh-CN"/>
        </w:rPr>
        <w:t>义乌市</w:t>
      </w:r>
      <w:r>
        <w:rPr>
          <w:rFonts w:hint="default" w:ascii="仿宋" w:hAnsi="仿宋" w:eastAsia="仿宋" w:cs="Times New Roman"/>
          <w:sz w:val="32"/>
          <w:szCs w:val="32"/>
          <w:highlight w:val="none"/>
        </w:rPr>
        <w:t>国家机关、事业单位和团体组织</w:t>
      </w:r>
      <w:r>
        <w:rPr>
          <w:rFonts w:hint="eastAsia" w:ascii="仿宋" w:hAnsi="仿宋" w:eastAsia="仿宋" w:cs="Times New Roman"/>
          <w:sz w:val="32"/>
          <w:szCs w:val="32"/>
          <w:highlight w:val="none"/>
          <w:lang w:eastAsia="zh-CN"/>
        </w:rPr>
        <w:t>（预算单位）</w:t>
      </w:r>
      <w:r>
        <w:rPr>
          <w:rFonts w:hint="default" w:ascii="仿宋" w:hAnsi="仿宋" w:eastAsia="仿宋" w:cs="Times New Roman"/>
          <w:sz w:val="32"/>
          <w:szCs w:val="32"/>
          <w:highlight w:val="none"/>
        </w:rPr>
        <w:t>以及参照本次</w:t>
      </w:r>
      <w:r>
        <w:rPr>
          <w:rFonts w:hint="eastAsia" w:ascii="仿宋" w:hAnsi="仿宋" w:eastAsia="仿宋" w:cs="Times New Roman"/>
          <w:sz w:val="32"/>
          <w:szCs w:val="32"/>
          <w:highlight w:val="none"/>
          <w:lang w:eastAsia="zh-CN"/>
        </w:rPr>
        <w:t>框架协议</w:t>
      </w:r>
      <w:r>
        <w:rPr>
          <w:rFonts w:hint="default" w:ascii="仿宋" w:hAnsi="仿宋" w:eastAsia="仿宋" w:cs="Times New Roman"/>
          <w:sz w:val="32"/>
          <w:szCs w:val="32"/>
          <w:highlight w:val="none"/>
        </w:rPr>
        <w:t>执行的</w:t>
      </w:r>
      <w:r>
        <w:rPr>
          <w:rFonts w:hint="eastAsia" w:ascii="仿宋" w:hAnsi="仿宋" w:eastAsia="仿宋" w:cs="Times New Roman"/>
          <w:sz w:val="32"/>
          <w:szCs w:val="32"/>
          <w:highlight w:val="none"/>
          <w:lang w:eastAsia="zh-CN"/>
        </w:rPr>
        <w:t>上级预算单位</w:t>
      </w:r>
      <w:r>
        <w:rPr>
          <w:rFonts w:hint="default" w:ascii="仿宋" w:hAnsi="仿宋" w:eastAsia="仿宋" w:cs="Times New Roman"/>
          <w:sz w:val="32"/>
          <w:szCs w:val="32"/>
          <w:highlight w:val="none"/>
        </w:rPr>
        <w:t>。</w:t>
      </w:r>
    </w:p>
    <w:p>
      <w:pPr>
        <w:spacing w:line="560" w:lineRule="exact"/>
        <w:ind w:firstLine="643" w:firstLineChars="200"/>
        <w:jc w:val="left"/>
        <w:rPr>
          <w:rFonts w:hint="eastAsia" w:ascii="仿宋" w:hAnsi="仿宋" w:eastAsia="仿宋" w:cs="Times New Roman"/>
          <w:b/>
          <w:bCs/>
          <w:sz w:val="32"/>
          <w:szCs w:val="32"/>
          <w:lang w:eastAsia="zh-CN"/>
        </w:rPr>
      </w:pPr>
      <w:r>
        <w:rPr>
          <w:rFonts w:hint="default" w:ascii="仿宋" w:hAnsi="仿宋" w:eastAsia="仿宋" w:cs="Times New Roman"/>
          <w:b/>
          <w:bCs/>
          <w:sz w:val="32"/>
          <w:szCs w:val="32"/>
        </w:rPr>
        <w:t>供应商应具备的资格要求</w:t>
      </w:r>
      <w:r>
        <w:rPr>
          <w:rFonts w:hint="eastAsia" w:ascii="仿宋" w:hAnsi="仿宋" w:eastAsia="仿宋" w:cs="Times New Roman"/>
          <w:b/>
          <w:bCs/>
          <w:sz w:val="32"/>
          <w:szCs w:val="32"/>
          <w:lang w:eastAsia="zh-CN"/>
        </w:rPr>
        <w:t>：</w:t>
      </w:r>
    </w:p>
    <w:p>
      <w:pPr>
        <w:spacing w:line="560" w:lineRule="exact"/>
        <w:ind w:firstLine="640" w:firstLineChars="200"/>
        <w:jc w:val="left"/>
        <w:rPr>
          <w:rFonts w:hint="default"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eastAsia="zh-CN"/>
        </w:rPr>
        <w:t>.</w:t>
      </w:r>
      <w:r>
        <w:rPr>
          <w:rFonts w:hint="default" w:ascii="仿宋" w:hAnsi="仿宋" w:eastAsia="仿宋" w:cs="Times New Roman"/>
          <w:sz w:val="32"/>
          <w:szCs w:val="32"/>
        </w:rPr>
        <w:t>营业地点在</w:t>
      </w:r>
      <w:r>
        <w:rPr>
          <w:rFonts w:hint="eastAsia" w:ascii="仿宋" w:hAnsi="仿宋" w:eastAsia="仿宋" w:cs="Times New Roman"/>
          <w:sz w:val="32"/>
          <w:szCs w:val="32"/>
          <w:lang w:eastAsia="zh-CN"/>
        </w:rPr>
        <w:t>义乌市</w:t>
      </w:r>
      <w:r>
        <w:rPr>
          <w:rFonts w:hint="default" w:ascii="仿宋" w:hAnsi="仿宋" w:eastAsia="仿宋" w:cs="Times New Roman"/>
          <w:sz w:val="32"/>
          <w:szCs w:val="32"/>
        </w:rPr>
        <w:t>并且具有本项目征集公告所要求的</w:t>
      </w:r>
      <w:r>
        <w:rPr>
          <w:rFonts w:hint="eastAsia" w:ascii="仿宋" w:hAnsi="仿宋" w:eastAsia="仿宋" w:cs="Times New Roman"/>
          <w:sz w:val="32"/>
          <w:szCs w:val="32"/>
          <w:lang w:eastAsia="zh-CN"/>
        </w:rPr>
        <w:t>培训</w:t>
      </w:r>
      <w:r>
        <w:rPr>
          <w:rFonts w:hint="default" w:ascii="仿宋" w:hAnsi="仿宋" w:eastAsia="仿宋" w:cs="Times New Roman"/>
          <w:sz w:val="32"/>
          <w:szCs w:val="32"/>
        </w:rPr>
        <w:t>接待能力的各类供应商，包括宾馆、饭店、招待所、党校、社会主义学院、团校、高校，以及其他服务机构；</w:t>
      </w:r>
    </w:p>
    <w:p>
      <w:pPr>
        <w:spacing w:line="560" w:lineRule="exact"/>
        <w:ind w:firstLine="640" w:firstLineChars="200"/>
        <w:jc w:val="left"/>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2.符合《中华人民共和国政府采购法》第二十二条供应商应当具备的条件或符合浙财采监【2013】24号《关于规范政府采购供应商资格设定及资格审查的通知》第六条规定的供应商。</w:t>
      </w:r>
    </w:p>
    <w:p>
      <w:pPr>
        <w:spacing w:line="560" w:lineRule="exact"/>
        <w:ind w:firstLine="640" w:firstLineChars="200"/>
        <w:jc w:val="left"/>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3.供应商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spacing w:line="560" w:lineRule="exact"/>
        <w:ind w:firstLine="640" w:firstLineChars="200"/>
        <w:jc w:val="left"/>
        <w:rPr>
          <w:rFonts w:hint="default" w:ascii="仿宋" w:hAnsi="仿宋" w:eastAsia="仿宋" w:cs="Times New Roman"/>
          <w:sz w:val="32"/>
          <w:szCs w:val="32"/>
          <w:highlight w:val="none"/>
          <w:lang w:val="en-US" w:eastAsia="zh-CN"/>
        </w:rPr>
      </w:pPr>
      <w:r>
        <w:rPr>
          <w:rFonts w:hint="default" w:ascii="仿宋" w:hAnsi="仿宋" w:eastAsia="仿宋" w:cs="Times New Roman"/>
          <w:sz w:val="32"/>
          <w:szCs w:val="32"/>
          <w:highlight w:val="none"/>
          <w:lang w:val="en-US" w:eastAsia="zh-CN"/>
        </w:rPr>
        <w:t>4.供应商自20</w:t>
      </w:r>
      <w:r>
        <w:rPr>
          <w:rFonts w:hint="eastAsia" w:ascii="仿宋" w:hAnsi="仿宋" w:eastAsia="仿宋" w:cs="Times New Roman"/>
          <w:sz w:val="32"/>
          <w:szCs w:val="32"/>
          <w:highlight w:val="none"/>
          <w:lang w:val="en-US" w:eastAsia="zh-CN"/>
        </w:rPr>
        <w:t>2</w:t>
      </w:r>
      <w:r>
        <w:rPr>
          <w:rFonts w:hint="default" w:ascii="仿宋" w:hAnsi="仿宋" w:eastAsia="仿宋" w:cs="Times New Roman"/>
          <w:sz w:val="32"/>
          <w:szCs w:val="32"/>
          <w:highlight w:val="none"/>
          <w:lang w:val="en-US" w:eastAsia="zh-CN"/>
        </w:rPr>
        <w:t>2</w:t>
      </w:r>
      <w:bookmarkStart w:id="0" w:name="_GoBack"/>
      <w:bookmarkEnd w:id="0"/>
      <w:r>
        <w:rPr>
          <w:rFonts w:hint="default" w:ascii="仿宋" w:hAnsi="仿宋" w:eastAsia="仿宋" w:cs="Times New Roman"/>
          <w:sz w:val="32"/>
          <w:szCs w:val="32"/>
          <w:highlight w:val="none"/>
          <w:lang w:val="en-US" w:eastAsia="zh-CN"/>
        </w:rPr>
        <w:t>年1月1日起到中标公告期结束前无行贿犯罪记录。</w:t>
      </w:r>
    </w:p>
    <w:p>
      <w:pPr>
        <w:spacing w:line="560" w:lineRule="exact"/>
        <w:ind w:firstLine="640" w:firstLineChars="200"/>
        <w:jc w:val="left"/>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5.</w:t>
      </w:r>
      <w:r>
        <w:rPr>
          <w:rFonts w:ascii="Times New Roman" w:hAnsi="Times New Roman" w:eastAsia="仿宋" w:cs="Times New Roman"/>
          <w:sz w:val="32"/>
          <w:szCs w:val="32"/>
        </w:rPr>
        <w:t>根据《浙江省公共信用信息管理条例》第二十六条的规定，未列入严重失信名单的（查询结果以开标当日网站页面显示为准）</w:t>
      </w:r>
      <w:r>
        <w:rPr>
          <w:rFonts w:hint="default" w:ascii="仿宋" w:hAnsi="仿宋" w:eastAsia="仿宋" w:cs="Times New Roman"/>
          <w:sz w:val="32"/>
          <w:szCs w:val="32"/>
        </w:rPr>
        <w:t>。</w:t>
      </w:r>
    </w:p>
    <w:p>
      <w:pPr>
        <w:spacing w:line="560" w:lineRule="exact"/>
        <w:ind w:firstLine="640" w:firstLineChars="200"/>
        <w:jc w:val="left"/>
        <w:rPr>
          <w:rFonts w:hint="default" w:ascii="仿宋" w:hAnsi="仿宋" w:eastAsia="仿宋" w:cs="Times New Roman"/>
          <w:sz w:val="32"/>
          <w:szCs w:val="32"/>
          <w:lang w:val="en-US" w:eastAsia="zh-CN"/>
        </w:rPr>
      </w:pPr>
      <w:r>
        <w:rPr>
          <w:rFonts w:hint="default" w:ascii="仿宋" w:hAnsi="仿宋" w:eastAsia="仿宋" w:cs="Times New Roman"/>
          <w:sz w:val="32"/>
          <w:szCs w:val="32"/>
          <w:lang w:val="en-US" w:eastAsia="zh-CN"/>
        </w:rPr>
        <w:t>6.单位负责人为同一人或者存在直接控股、管理关系的不同供应商，不得参加同一合同项下（同一标项）的政府采购活动。</w:t>
      </w:r>
    </w:p>
    <w:p>
      <w:pPr>
        <w:spacing w:line="560" w:lineRule="exact"/>
        <w:ind w:firstLine="640" w:firstLineChars="200"/>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7.</w:t>
      </w:r>
      <w:r>
        <w:rPr>
          <w:rFonts w:hint="default" w:ascii="仿宋" w:hAnsi="仿宋" w:eastAsia="仿宋" w:cs="Times New Roman"/>
          <w:sz w:val="32"/>
          <w:szCs w:val="32"/>
          <w:lang w:val="en-US" w:eastAsia="zh-CN"/>
        </w:rPr>
        <w:t>如具体</w:t>
      </w:r>
      <w:r>
        <w:rPr>
          <w:rFonts w:hint="eastAsia" w:ascii="仿宋" w:hAnsi="仿宋" w:eastAsia="仿宋" w:cs="Times New Roman"/>
          <w:sz w:val="32"/>
          <w:szCs w:val="32"/>
          <w:lang w:val="en-US" w:eastAsia="zh-CN"/>
        </w:rPr>
        <w:t>培训</w:t>
      </w:r>
      <w:r>
        <w:rPr>
          <w:rFonts w:hint="default" w:ascii="仿宋" w:hAnsi="仿宋" w:eastAsia="仿宋" w:cs="Times New Roman"/>
          <w:sz w:val="32"/>
          <w:szCs w:val="32"/>
          <w:lang w:val="en-US" w:eastAsia="zh-CN"/>
        </w:rPr>
        <w:t>服务单位为分公司（分支机构）的，须提供总公司（总机构）的授权和总公司（总机构）营业执照。</w:t>
      </w:r>
    </w:p>
    <w:p>
      <w:pPr>
        <w:spacing w:line="560" w:lineRule="exact"/>
        <w:ind w:firstLine="640" w:firstLineChars="200"/>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8</w:t>
      </w:r>
      <w:r>
        <w:rPr>
          <w:rFonts w:hint="default" w:ascii="仿宋" w:hAnsi="仿宋" w:eastAsia="仿宋" w:cs="Times New Roman"/>
          <w:sz w:val="32"/>
          <w:szCs w:val="32"/>
          <w:lang w:val="en-US" w:eastAsia="zh-CN"/>
        </w:rPr>
        <w:t>.为采购项目提供整体设计、规范编制或者项目管理、监理、检测等服务的供应商，不得再参加该采购项目的其他采购活动。</w:t>
      </w:r>
    </w:p>
    <w:p>
      <w:pPr>
        <w:spacing w:line="560" w:lineRule="exact"/>
        <w:ind w:firstLine="640" w:firstLineChars="200"/>
        <w:jc w:val="left"/>
        <w:rPr>
          <w:rFonts w:hint="default" w:ascii="仿宋" w:hAnsi="仿宋" w:eastAsia="仿宋" w:cs="Times New Roman"/>
          <w:sz w:val="32"/>
          <w:szCs w:val="32"/>
        </w:rPr>
      </w:pPr>
      <w:r>
        <w:rPr>
          <w:rFonts w:hint="eastAsia" w:ascii="仿宋" w:hAnsi="仿宋" w:eastAsia="仿宋" w:cs="Times New Roman"/>
          <w:sz w:val="32"/>
          <w:szCs w:val="32"/>
          <w:lang w:val="en-US" w:eastAsia="zh-CN"/>
        </w:rPr>
        <w:t>9</w:t>
      </w:r>
      <w:r>
        <w:rPr>
          <w:rFonts w:hint="default" w:ascii="仿宋" w:hAnsi="仿宋" w:eastAsia="仿宋" w:cs="Times New Roman"/>
          <w:sz w:val="32"/>
          <w:szCs w:val="32"/>
        </w:rPr>
        <w:t>.公益一类事业单位不属于政府购买服务的承接主体，不得参与承接购买服务采购项目。</w:t>
      </w:r>
    </w:p>
    <w:p>
      <w:pPr>
        <w:spacing w:line="560" w:lineRule="exact"/>
        <w:ind w:firstLine="640" w:firstLineChars="200"/>
        <w:jc w:val="left"/>
        <w:rPr>
          <w:rFonts w:hint="default" w:ascii="仿宋" w:hAnsi="仿宋" w:eastAsia="仿宋" w:cs="Times New Roman"/>
          <w:sz w:val="32"/>
          <w:szCs w:val="32"/>
        </w:rPr>
      </w:pPr>
      <w:r>
        <w:rPr>
          <w:rFonts w:hint="eastAsia" w:ascii="仿宋" w:hAnsi="仿宋" w:eastAsia="仿宋" w:cs="Times New Roman"/>
          <w:sz w:val="32"/>
          <w:szCs w:val="32"/>
          <w:lang w:val="en-US" w:eastAsia="zh-CN"/>
        </w:rPr>
        <w:t>10</w:t>
      </w:r>
      <w:r>
        <w:rPr>
          <w:rFonts w:hint="default" w:ascii="仿宋" w:hAnsi="仿宋" w:eastAsia="仿宋" w:cs="Times New Roman"/>
          <w:sz w:val="32"/>
          <w:szCs w:val="32"/>
        </w:rPr>
        <w:t>.本项目不接受联合体参与投标</w:t>
      </w:r>
      <w:r>
        <w:rPr>
          <w:rFonts w:hint="default" w:ascii="仿宋" w:hAnsi="仿宋" w:eastAsia="仿宋" w:cs="Times New Roman"/>
          <w:sz w:val="32"/>
          <w:szCs w:val="32"/>
          <w:lang w:eastAsia="zh-CN"/>
        </w:rPr>
        <w:t>。</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（二）采购项目预（概）算</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lang w:eastAsia="zh-CN"/>
        </w:rPr>
        <w:t>无</w:t>
      </w:r>
    </w:p>
    <w:p>
      <w:pPr>
        <w:spacing w:line="560" w:lineRule="exact"/>
        <w:ind w:firstLine="640" w:firstLineChars="200"/>
        <w:jc w:val="left"/>
        <w:outlineLvl w:val="1"/>
        <w:rPr>
          <w:rFonts w:ascii="楷体" w:hAnsi="楷体" w:eastAsia="楷体"/>
          <w:sz w:val="32"/>
          <w:szCs w:val="32"/>
        </w:rPr>
      </w:pPr>
      <w:r>
        <w:rPr>
          <w:rFonts w:hint="eastAsia" w:ascii="楷体" w:hAnsi="楷体" w:eastAsia="楷体"/>
          <w:sz w:val="32"/>
          <w:szCs w:val="32"/>
        </w:rPr>
        <w:t>（三）采购标的汇总表</w:t>
      </w:r>
    </w:p>
    <w:tbl>
      <w:tblPr>
        <w:tblStyle w:val="7"/>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855"/>
        <w:gridCol w:w="2700"/>
        <w:gridCol w:w="1455"/>
        <w:gridCol w:w="85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包号</w:t>
            </w:r>
          </w:p>
        </w:tc>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序号</w:t>
            </w:r>
          </w:p>
        </w:tc>
        <w:tc>
          <w:tcPr>
            <w:tcW w:w="2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标的名称</w:t>
            </w:r>
          </w:p>
        </w:tc>
        <w:tc>
          <w:tcPr>
            <w:tcW w:w="14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计量单位</w:t>
            </w:r>
          </w:p>
        </w:tc>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数量</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i/>
                <w:sz w:val="28"/>
                <w:szCs w:val="28"/>
                <w:u w:val="single"/>
              </w:rPr>
            </w:pPr>
            <w:r>
              <w:rPr>
                <w:rFonts w:hint="eastAsia" w:ascii="仿宋" w:hAnsi="仿宋" w:eastAsia="仿宋" w:cs="仿宋"/>
                <w:i w:val="0"/>
                <w:caps w:val="0"/>
                <w:color w:val="000000"/>
                <w:spacing w:val="0"/>
                <w:sz w:val="28"/>
                <w:szCs w:val="28"/>
              </w:rPr>
              <w:t>综合性</w:t>
            </w:r>
            <w:r>
              <w:rPr>
                <w:rFonts w:hint="eastAsia" w:ascii="仿宋" w:hAnsi="仿宋" w:eastAsia="仿宋" w:cs="仿宋"/>
                <w:i w:val="0"/>
                <w:caps w:val="0"/>
                <w:color w:val="000000"/>
                <w:spacing w:val="0"/>
                <w:sz w:val="28"/>
                <w:szCs w:val="28"/>
                <w:lang w:eastAsia="zh-CN"/>
              </w:rPr>
              <w:t>培训</w:t>
            </w:r>
            <w:r>
              <w:rPr>
                <w:rFonts w:hint="eastAsia" w:ascii="仿宋" w:hAnsi="仿宋" w:eastAsia="仿宋" w:cs="仿宋"/>
                <w:i w:val="0"/>
                <w:caps w:val="0"/>
                <w:color w:val="000000"/>
                <w:spacing w:val="0"/>
                <w:sz w:val="28"/>
                <w:szCs w:val="28"/>
              </w:rPr>
              <w:t>场所</w:t>
            </w:r>
          </w:p>
        </w:tc>
        <w:tc>
          <w:tcPr>
            <w:tcW w:w="14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批</w:t>
            </w:r>
          </w:p>
        </w:tc>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2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i/>
                <w:sz w:val="28"/>
                <w:szCs w:val="28"/>
                <w:u w:val="single"/>
              </w:rPr>
            </w:pPr>
            <w:r>
              <w:rPr>
                <w:rFonts w:hint="eastAsia" w:ascii="仿宋" w:hAnsi="仿宋" w:eastAsia="仿宋" w:cs="仿宋"/>
                <w:i w:val="0"/>
                <w:caps w:val="0"/>
                <w:color w:val="000000"/>
                <w:spacing w:val="0"/>
                <w:sz w:val="28"/>
                <w:szCs w:val="28"/>
              </w:rPr>
              <w:t>专业</w:t>
            </w:r>
            <w:r>
              <w:rPr>
                <w:rFonts w:hint="eastAsia" w:ascii="仿宋" w:hAnsi="仿宋" w:eastAsia="仿宋" w:cs="仿宋"/>
                <w:i w:val="0"/>
                <w:caps w:val="0"/>
                <w:color w:val="000000"/>
                <w:spacing w:val="0"/>
                <w:sz w:val="28"/>
                <w:szCs w:val="28"/>
                <w:lang w:eastAsia="zh-CN"/>
              </w:rPr>
              <w:t>培训</w:t>
            </w:r>
            <w:r>
              <w:rPr>
                <w:rFonts w:hint="eastAsia" w:ascii="仿宋" w:hAnsi="仿宋" w:eastAsia="仿宋" w:cs="仿宋"/>
                <w:i w:val="0"/>
                <w:caps w:val="0"/>
                <w:color w:val="000000"/>
                <w:spacing w:val="0"/>
                <w:sz w:val="28"/>
                <w:szCs w:val="28"/>
              </w:rPr>
              <w:t>场所</w:t>
            </w:r>
          </w:p>
        </w:tc>
        <w:tc>
          <w:tcPr>
            <w:tcW w:w="14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批</w:t>
            </w:r>
          </w:p>
        </w:tc>
        <w:tc>
          <w:tcPr>
            <w:tcW w:w="8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否</w:t>
            </w:r>
          </w:p>
        </w:tc>
      </w:tr>
    </w:tbl>
    <w:p>
      <w:pPr>
        <w:spacing w:line="560" w:lineRule="exact"/>
        <w:ind w:firstLine="640" w:firstLineChars="200"/>
        <w:jc w:val="left"/>
        <w:outlineLvl w:val="1"/>
        <w:rPr>
          <w:rFonts w:ascii="楷体" w:hAnsi="楷体" w:eastAsia="楷体"/>
          <w:sz w:val="32"/>
          <w:szCs w:val="32"/>
        </w:rPr>
      </w:pPr>
      <w:r>
        <w:rPr>
          <w:rFonts w:hint="eastAsia" w:ascii="楷体" w:hAnsi="楷体" w:eastAsia="楷体"/>
          <w:sz w:val="32"/>
          <w:szCs w:val="32"/>
        </w:rPr>
        <w:t>（四）技术商务要求</w:t>
      </w:r>
    </w:p>
    <w:p>
      <w:pPr>
        <w:spacing w:line="560" w:lineRule="exact"/>
        <w:ind w:firstLine="640" w:firstLineChars="200"/>
        <w:jc w:val="left"/>
        <w:outlineLvl w:val="2"/>
        <w:rPr>
          <w:rFonts w:ascii="仿宋" w:hAnsi="仿宋" w:eastAsia="仿宋"/>
          <w:sz w:val="32"/>
          <w:szCs w:val="32"/>
        </w:rPr>
      </w:pPr>
      <w:r>
        <w:rPr>
          <w:rFonts w:hint="eastAsia" w:ascii="仿宋" w:hAnsi="仿宋" w:eastAsia="仿宋"/>
          <w:sz w:val="32"/>
          <w:szCs w:val="32"/>
        </w:rPr>
        <w:t>1.包1</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（1）技术要求</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rPr>
        <w:t>会议接待手续</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举办单位应根据</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规模、淡旺季等情况在</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召开10日前告知供应商，并就</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时间、客房标准、房间数量，会场要求、伙食标准、就餐人数等内容向供应商发送联系单。</w:t>
      </w:r>
    </w:p>
    <w:p>
      <w:pPr>
        <w:spacing w:line="360" w:lineRule="auto"/>
        <w:ind w:firstLine="359"/>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2.供应商对承接的</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，应根据</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举办单位的要求，及时调整房间，整理会场，做好接待</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的准备，充分满足</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的要求，并按承诺的内容进行服务，做到优先安排、优质服务，不得因价格折扣而降低服务标准。</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rPr>
        <w:t>基本服务要求</w:t>
      </w:r>
    </w:p>
    <w:p>
      <w:pPr>
        <w:spacing w:line="360" w:lineRule="auto"/>
        <w:ind w:firstLine="495"/>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1.应保证采购单位获得优先服务的权利，积极主动与采购单位配合，并在不超过承诺的期限内完成</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接待工作。</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2.应设有固定联系电话及联系人，及时响应采购单位的各项要求，并按采购单位要求提供服务。</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.拒绝采购单位在协议或承诺范围外提出的不合理要求，防止违规现象的出现。</w:t>
      </w:r>
    </w:p>
    <w:p>
      <w:pPr>
        <w:numPr>
          <w:ilvl w:val="0"/>
          <w:numId w:val="1"/>
        </w:numPr>
        <w:spacing w:line="560" w:lineRule="exact"/>
        <w:jc w:val="left"/>
        <w:rPr>
          <w:rFonts w:hint="eastAsia" w:ascii="仿宋" w:hAnsi="仿宋" w:eastAsia="仿宋" w:cs="仿宋"/>
          <w:sz w:val="32"/>
          <w:szCs w:val="32"/>
        </w:rPr>
      </w:pPr>
      <w:r>
        <w:rPr>
          <w:rFonts w:hint="eastAsia" w:ascii="仿宋" w:hAnsi="仿宋" w:eastAsia="仿宋" w:cs="仿宋"/>
          <w:b/>
          <w:sz w:val="32"/>
          <w:szCs w:val="32"/>
        </w:rPr>
        <w:t>服务保证</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1.供应商应保证按承诺为</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提供高质量的服务，积极配合采购单位，在认真执行各项开支标准的基础上，做到安排优先、服务优良、饭菜优质，价格优惠。</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接待客房环境优雅，基本无噪音，符合国家标准规定；室内舒适、整洁；卫生间、冷暖气、冷热水及基本配置应与承诺一致。餐厅及餐饮器具均须符合国家卫生标准。</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3.安全保卫工作到位，昼夜24小时有专门保卫工作人员值班。</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期间发生的人身安全及财产损失，如因</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原因造成，应由</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承担责任。</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（2）商务要求</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lang w:eastAsia="zh-CN"/>
        </w:rPr>
        <w:t>培训</w:t>
      </w:r>
      <w:r>
        <w:rPr>
          <w:rFonts w:hint="eastAsia" w:ascii="仿宋" w:hAnsi="仿宋" w:eastAsia="仿宋" w:cs="仿宋"/>
          <w:b/>
          <w:sz w:val="32"/>
          <w:szCs w:val="32"/>
        </w:rPr>
        <w:t>费用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1.供应商应按照不超过承诺的</w:t>
      </w:r>
      <w:r>
        <w:rPr>
          <w:rFonts w:hint="eastAsia" w:ascii="仿宋" w:hAnsi="仿宋" w:eastAsia="仿宋" w:cs="仿宋"/>
          <w:color w:val="000000"/>
          <w:sz w:val="32"/>
          <w:szCs w:val="32"/>
          <w:lang w:eastAsia="zh-CN"/>
        </w:rPr>
        <w:t>框架协议价格</w:t>
      </w:r>
      <w:r>
        <w:rPr>
          <w:rFonts w:hint="eastAsia" w:ascii="仿宋" w:hAnsi="仿宋" w:eastAsia="仿宋" w:cs="仿宋"/>
          <w:color w:val="000000"/>
          <w:sz w:val="32"/>
          <w:szCs w:val="32"/>
        </w:rPr>
        <w:t>计算</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费用。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费用应包括：客房费、会场费、餐饮费、商务费、其他杂费，服务费用均已包含在上述费用之中，不得另行收取。</w:t>
      </w:r>
    </w:p>
    <w:p>
      <w:pPr>
        <w:spacing w:line="360" w:lineRule="auto"/>
        <w:ind w:firstLine="359"/>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3.以上费用均含税金。</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rPr>
        <w:t>费用结算</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1.采购单位应按次与供应商结算。结算时供应商应向采购单位提供下列单据：</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①填写全面、清楚的</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正式发票；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②每次</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的联系单和结算单（结算单应分项标明住宿费、</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室费，伙食费和其他费用）。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2.采购单位应对有关单据进行认真审核，审核无误后，须以转帐或公务卡方式向乙方支付有关费用，一律不得采用现金结算。</w:t>
      </w:r>
    </w:p>
    <w:p>
      <w:pPr>
        <w:spacing w:line="560" w:lineRule="exact"/>
        <w:ind w:firstLine="640" w:firstLineChars="200"/>
        <w:jc w:val="left"/>
        <w:outlineLvl w:val="2"/>
        <w:rPr>
          <w:rFonts w:ascii="仿宋" w:hAnsi="仿宋" w:eastAsia="仿宋"/>
          <w:sz w:val="32"/>
          <w:szCs w:val="32"/>
        </w:rPr>
      </w:pPr>
      <w:r>
        <w:rPr>
          <w:rFonts w:hint="eastAsia" w:ascii="仿宋" w:hAnsi="仿宋" w:eastAsia="仿宋"/>
          <w:sz w:val="32"/>
          <w:szCs w:val="32"/>
        </w:rPr>
        <w:t>2.包2</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（1）技术要求</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lang w:eastAsia="zh-CN"/>
        </w:rPr>
        <w:t>培训</w:t>
      </w:r>
      <w:r>
        <w:rPr>
          <w:rFonts w:hint="eastAsia" w:ascii="仿宋" w:hAnsi="仿宋" w:eastAsia="仿宋" w:cs="仿宋"/>
          <w:b/>
          <w:sz w:val="32"/>
          <w:szCs w:val="32"/>
        </w:rPr>
        <w:t>接待手续</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举办单位应根据</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规模、淡旺季等情况在</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召开10日前告知供应商，并就</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时间、会场要求等内容向供应商发送联系单。</w:t>
      </w:r>
    </w:p>
    <w:p>
      <w:pPr>
        <w:spacing w:line="360" w:lineRule="auto"/>
        <w:ind w:firstLine="359"/>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2.供应商对承接的</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，应根据</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举办单位的要求，及时整理会场，做好接待</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的准备，充分满足</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的要求，并按承诺的内容进行服务，做到优先安排、优质服务，不得因价格折扣而降低服务标准。</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rPr>
        <w:t>基本服务要求</w:t>
      </w:r>
    </w:p>
    <w:p>
      <w:pPr>
        <w:spacing w:line="360" w:lineRule="auto"/>
        <w:ind w:firstLine="495"/>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1.应保证采购单位获得优先服务的权利，积极主动与采购单位配合，并在不超过承诺的期限内完成</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接待工作。</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2.应设有固定联系电话及联系人，及时响应采购单位的各项要求，并按采购单位要求提供服务。</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.拒绝采购单位在协议或承诺范围外提出的不合理要求，防止违规现象的出现。</w:t>
      </w:r>
    </w:p>
    <w:p>
      <w:pPr>
        <w:numPr>
          <w:ilvl w:val="0"/>
          <w:numId w:val="1"/>
        </w:numPr>
        <w:spacing w:line="560" w:lineRule="exact"/>
        <w:jc w:val="left"/>
        <w:rPr>
          <w:rFonts w:hint="eastAsia" w:ascii="仿宋" w:hAnsi="仿宋" w:eastAsia="仿宋" w:cs="仿宋"/>
          <w:sz w:val="32"/>
          <w:szCs w:val="32"/>
        </w:rPr>
      </w:pPr>
      <w:r>
        <w:rPr>
          <w:rFonts w:hint="eastAsia" w:ascii="仿宋" w:hAnsi="仿宋" w:eastAsia="仿宋" w:cs="仿宋"/>
          <w:b/>
          <w:sz w:val="32"/>
          <w:szCs w:val="32"/>
        </w:rPr>
        <w:t>服务保证</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1.供应商应保证按承诺为</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提供高质量的服务，积极配合采购单位，在认真执行各项开支标准的基础上，做到安排优先、服务优良、价格优惠。</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接待客房环境优雅，基本无噪音，符合国家标准规定；室内舒适、整洁；卫生间、冷暖气、冷热水及基本配置应与承诺一致。</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3.安全保卫工作到位，有专门保卫工作人员。</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期间发生的人身安全及财产损失，如因</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原因造成，应由</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承担责任。</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（2）商务要求</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lang w:eastAsia="zh-CN"/>
        </w:rPr>
        <w:t>培训</w:t>
      </w:r>
      <w:r>
        <w:rPr>
          <w:rFonts w:hint="eastAsia" w:ascii="仿宋" w:hAnsi="仿宋" w:eastAsia="仿宋" w:cs="仿宋"/>
          <w:b/>
          <w:sz w:val="32"/>
          <w:szCs w:val="32"/>
        </w:rPr>
        <w:t>费用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1.供应商应按照不超过承诺的</w:t>
      </w:r>
      <w:r>
        <w:rPr>
          <w:rFonts w:hint="eastAsia" w:ascii="仿宋" w:hAnsi="仿宋" w:eastAsia="仿宋" w:cs="仿宋"/>
          <w:color w:val="000000"/>
          <w:sz w:val="32"/>
          <w:szCs w:val="32"/>
          <w:lang w:eastAsia="zh-CN"/>
        </w:rPr>
        <w:t>框架协议价格</w:t>
      </w:r>
      <w:r>
        <w:rPr>
          <w:rFonts w:hint="eastAsia" w:ascii="仿宋" w:hAnsi="仿宋" w:eastAsia="仿宋" w:cs="仿宋"/>
          <w:color w:val="000000"/>
          <w:sz w:val="32"/>
          <w:szCs w:val="32"/>
        </w:rPr>
        <w:t>计算</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费用。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费用应包括：会场费、商务费、其他杂费，服务费用均已包含在上述费用之中，不得另行收取。</w:t>
      </w:r>
    </w:p>
    <w:p>
      <w:pPr>
        <w:spacing w:line="360" w:lineRule="auto"/>
        <w:ind w:firstLine="359"/>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3.以上费用均含税金。</w:t>
      </w:r>
    </w:p>
    <w:p>
      <w:pPr>
        <w:numPr>
          <w:ilvl w:val="0"/>
          <w:numId w:val="1"/>
        </w:numPr>
        <w:spacing w:line="560" w:lineRule="exact"/>
        <w:jc w:val="left"/>
        <w:rPr>
          <w:rFonts w:hint="eastAsia" w:ascii="仿宋" w:hAnsi="仿宋" w:eastAsia="仿宋" w:cs="仿宋"/>
          <w:b/>
          <w:sz w:val="32"/>
          <w:szCs w:val="32"/>
        </w:rPr>
      </w:pPr>
      <w:r>
        <w:rPr>
          <w:rFonts w:hint="eastAsia" w:ascii="仿宋" w:hAnsi="仿宋" w:eastAsia="仿宋" w:cs="仿宋"/>
          <w:b/>
          <w:sz w:val="32"/>
          <w:szCs w:val="32"/>
        </w:rPr>
        <w:t>费用结算</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1.采购单位应按次与供应商结算。结算时供应商应向采购单位提供下列单据：</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①填写全面、清楚的</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正式发票；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②每次</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的联系单和结算单（结算单应分项标明住宿费、</w:t>
      </w:r>
      <w:r>
        <w:rPr>
          <w:rFonts w:hint="eastAsia" w:ascii="仿宋" w:hAnsi="仿宋" w:eastAsia="仿宋" w:cs="仿宋"/>
          <w:color w:val="000000"/>
          <w:sz w:val="32"/>
          <w:szCs w:val="32"/>
          <w:lang w:eastAsia="zh-CN"/>
        </w:rPr>
        <w:t>培训</w:t>
      </w:r>
      <w:r>
        <w:rPr>
          <w:rFonts w:hint="eastAsia" w:ascii="仿宋" w:hAnsi="仿宋" w:eastAsia="仿宋" w:cs="仿宋"/>
          <w:color w:val="000000"/>
          <w:sz w:val="32"/>
          <w:szCs w:val="32"/>
        </w:rPr>
        <w:t>室费，伙食费和其他费用）。</w:t>
      </w:r>
    </w:p>
    <w:p>
      <w:pPr>
        <w:spacing w:line="360" w:lineRule="auto"/>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2.采购单位应对有关单据进行认真审核，审核无误后，须以转帐或公务卡方式向乙方支付有关费用，一律不得采用现金结算。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12E6C"/>
    <w:multiLevelType w:val="multilevel"/>
    <w:tmpl w:val="0AC12E6C"/>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A205E"/>
    <w:rsid w:val="1A8A5CEA"/>
    <w:rsid w:val="1DA47C58"/>
    <w:rsid w:val="1E5C3D6E"/>
    <w:rsid w:val="1FF56769"/>
    <w:rsid w:val="249D7BDD"/>
    <w:rsid w:val="36772AE8"/>
    <w:rsid w:val="404D3723"/>
    <w:rsid w:val="41255B3B"/>
    <w:rsid w:val="50413E8E"/>
    <w:rsid w:val="67481B0E"/>
    <w:rsid w:val="6FFF5119"/>
    <w:rsid w:val="74AA3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spacing w:after="120" w:afterLines="0" w:line="240" w:lineRule="auto"/>
      <w:ind w:left="420" w:leftChars="200" w:firstLine="210"/>
    </w:pPr>
    <w:rPr>
      <w:sz w:val="21"/>
    </w:rPr>
  </w:style>
  <w:style w:type="paragraph" w:styleId="3">
    <w:name w:val="Body Text Indent"/>
    <w:basedOn w:val="1"/>
    <w:qFormat/>
    <w:uiPriority w:val="0"/>
    <w:pPr>
      <w:spacing w:line="480" w:lineRule="exact"/>
      <w:ind w:firstLine="480" w:firstLineChars="200"/>
    </w:pPr>
    <w:rPr>
      <w:rFonts w:ascii="宋体" w:hAnsi="宋体"/>
      <w:kern w:val="0"/>
      <w:sz w:val="24"/>
    </w:rPr>
  </w:style>
  <w:style w:type="paragraph" w:styleId="4">
    <w:name w:val="Body Text"/>
    <w:basedOn w:val="1"/>
    <w:qFormat/>
    <w:uiPriority w:val="0"/>
    <w:pPr>
      <w:jc w:val="center"/>
    </w:pPr>
    <w:rPr>
      <w:rFonts w:ascii="宋体" w:hAnsi="宋体"/>
      <w:b/>
      <w:bCs/>
      <w:color w:val="000000"/>
      <w:kern w:val="2"/>
      <w:sz w:val="72"/>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TML Sample"/>
    <w:basedOn w:val="8"/>
    <w:qFormat/>
    <w:uiPriority w:val="0"/>
    <w:rPr>
      <w:rFonts w:ascii="Courier New"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2020-09-18T06:52:00Z</dcterms:created>
  <dc:creator>Administrator</dc:creator>
  <cp:lastModifiedBy>Administrator</cp:lastModifiedBy>
  <dcterms:modified xsi:type="dcterms:W3CDTF">2025-02-18T01:41:32Z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37545BC009FF4FBF8B2BE79054A6D7FD</vt:lpwstr>
  </property>
</Properties>
</file>