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both"/>
        <w:rPr>
          <w:rFonts w:hint="eastAsia" w:ascii="仿宋" w:hAnsi="仿宋"/>
          <w:b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/>
          <w:b/>
          <w:color w:val="000000"/>
          <w:sz w:val="36"/>
          <w:szCs w:val="36"/>
          <w:lang w:val="en-US" w:eastAsia="zh-CN"/>
        </w:rPr>
        <w:t>东阳市市场监管局校园食材配送企业综合提升服务采购项目</w:t>
      </w:r>
      <w:bookmarkEnd w:id="0"/>
      <w:r>
        <w:rPr>
          <w:rFonts w:hint="eastAsia" w:ascii="仿宋" w:hAnsi="仿宋"/>
          <w:b/>
          <w:color w:val="000000"/>
          <w:sz w:val="36"/>
          <w:szCs w:val="36"/>
          <w:lang w:eastAsia="zh-CN"/>
        </w:rPr>
        <w:t>汇总表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　　　　　　　　　　　　　　　　　　　　　　　　　　                   　         询价日期：2025年5月15日</w:t>
      </w:r>
    </w:p>
    <w:tbl>
      <w:tblPr>
        <w:tblStyle w:val="8"/>
        <w:tblW w:w="12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2739"/>
        <w:gridCol w:w="2423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480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投标单位名称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2423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竞价结果</w:t>
            </w:r>
          </w:p>
        </w:tc>
        <w:tc>
          <w:tcPr>
            <w:tcW w:w="2696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4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湖北一十环安科技有限公司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52000</w:t>
            </w:r>
          </w:p>
        </w:tc>
        <w:tc>
          <w:tcPr>
            <w:tcW w:w="2423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4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温州全通认证服务有限公司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53000</w:t>
            </w:r>
          </w:p>
        </w:tc>
        <w:tc>
          <w:tcPr>
            <w:tcW w:w="2423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4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杭州万泰认证有限公司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51000</w:t>
            </w:r>
          </w:p>
        </w:tc>
        <w:tc>
          <w:tcPr>
            <w:tcW w:w="2423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lang w:eastAsia="zh-CN"/>
              </w:rPr>
              <w:t>预中标</w:t>
            </w:r>
          </w:p>
        </w:tc>
        <w:tc>
          <w:tcPr>
            <w:tcW w:w="2696" w:type="dxa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44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23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44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23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　　记录人：　　　</w:t>
      </w:r>
      <w:r>
        <w:rPr>
          <w:rFonts w:hint="eastAsia"/>
          <w:sz w:val="28"/>
          <w:szCs w:val="28"/>
          <w:lang w:val="en-US" w:eastAsia="zh-CN"/>
        </w:rPr>
        <w:t xml:space="preserve">                 科室</w:t>
      </w:r>
      <w:r>
        <w:rPr>
          <w:rFonts w:hint="eastAsia"/>
          <w:sz w:val="28"/>
          <w:szCs w:val="28"/>
          <w:lang w:eastAsia="zh-CN"/>
        </w:rPr>
        <w:t>代表：　　　　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　　监督人：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6F2E"/>
    <w:rsid w:val="013D7420"/>
    <w:rsid w:val="0C6D4A62"/>
    <w:rsid w:val="146A6DA5"/>
    <w:rsid w:val="18DC6F2E"/>
    <w:rsid w:val="1ABB0D36"/>
    <w:rsid w:val="241F4451"/>
    <w:rsid w:val="2818507F"/>
    <w:rsid w:val="2B3A7D4D"/>
    <w:rsid w:val="2E5F5428"/>
    <w:rsid w:val="2F275F2C"/>
    <w:rsid w:val="30BB5CE0"/>
    <w:rsid w:val="3F221A83"/>
    <w:rsid w:val="3F463475"/>
    <w:rsid w:val="47396ACD"/>
    <w:rsid w:val="4B1B7381"/>
    <w:rsid w:val="51BC2B3E"/>
    <w:rsid w:val="5ED810F4"/>
    <w:rsid w:val="64231608"/>
    <w:rsid w:val="6598028C"/>
    <w:rsid w:val="69B33CB9"/>
    <w:rsid w:val="74446509"/>
    <w:rsid w:val="74BB0E1F"/>
    <w:rsid w:val="79E01509"/>
    <w:rsid w:val="7B3336A7"/>
    <w:rsid w:val="7B3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8"/>
    </w:rPr>
  </w:style>
  <w:style w:type="paragraph" w:styleId="3">
    <w:name w:val="Body Text First Indent"/>
    <w:basedOn w:val="2"/>
    <w:next w:val="4"/>
    <w:qFormat/>
    <w:uiPriority w:val="99"/>
    <w:pPr>
      <w:spacing w:line="360" w:lineRule="auto"/>
      <w:ind w:firstLine="200" w:firstLineChars="200"/>
      <w:jc w:val="left"/>
    </w:pPr>
    <w:rPr>
      <w:bCs/>
      <w:sz w:val="24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  <w:style w:type="paragraph" w:styleId="6">
    <w:name w:val="Plain Text"/>
    <w:basedOn w:val="1"/>
    <w:next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2021-11-09T01:07:00Z</dcterms:created>
  <dc:creator>Administrator</dc:creator>
  <cp:lastModifiedBy>康叔来了</cp:lastModifiedBy>
  <cp:lastPrinted>2025-05-15T00:29:00Z</cp:lastPrinted>
  <dcterms:modified xsi:type="dcterms:W3CDTF">2025-05-15T06:30:05Z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