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  <w:r>
        <w:rPr>
          <w:rFonts w:hint="default"/>
          <w:lang w:val="en"/>
        </w:rPr>
        <w:t>z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spacing w:line="220" w:lineRule="atLeast"/>
        <w:jc w:val="center"/>
        <w:outlineLvl w:val="0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  <w:bookmarkStart w:id="0" w:name="_Toc5599"/>
      <w:bookmarkStart w:id="1" w:name="_Toc5269"/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采购内容及要求</w:t>
      </w:r>
      <w:bookmarkEnd w:id="0"/>
      <w:bookmarkEnd w:id="1"/>
      <w:bookmarkStart w:id="2" w:name="_Toc359856816"/>
      <w:bookmarkEnd w:id="2"/>
      <w:bookmarkStart w:id="3" w:name="_Toc322352984"/>
      <w:bookmarkEnd w:id="3"/>
      <w:bookmarkStart w:id="4" w:name="_Toc350256315"/>
      <w:bookmarkEnd w:id="4"/>
      <w:bookmarkStart w:id="5" w:name="_Toc354401534"/>
      <w:bookmarkEnd w:id="5"/>
    </w:p>
    <w:p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/>
          <w:bCs/>
          <w:color w:val="auto"/>
          <w:szCs w:val="22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  <w:lang w:val="zh-CN"/>
        </w:rPr>
        <w:t>一、采购内容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1.统一平台介绍（含二建继续教育、专业技术人员继续教育和学时登记系统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  <w:lang w:eastAsia="zh-CN"/>
        </w:rPr>
        <w:t>等</w:t>
      </w:r>
      <w:r>
        <w:rPr>
          <w:rFonts w:hint="default" w:ascii="宋体" w:hAnsi="宋体" w:eastAsia="宋体" w:cs="宋体"/>
          <w:b w:val="0"/>
          <w:bCs w:val="0"/>
          <w:color w:val="auto"/>
          <w:szCs w:val="22"/>
          <w:highlight w:val="none"/>
          <w:lang w:val="en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  <w:lang w:val="en-US" w:eastAsia="zh-CN"/>
        </w:rPr>
        <w:t>个项目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、说明是否已建或待建）；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2.视频资源（视频出处：说明自建、或视频来自其他合作单位）；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3.响应报价表：[按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  <w:lang w:eastAsia="zh-CN"/>
        </w:rPr>
        <w:t>每个项目上的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每个学时计算]</w:t>
      </w:r>
    </w:p>
    <w:tbl>
      <w:tblPr>
        <w:tblStyle w:val="4"/>
        <w:tblW w:w="9311" w:type="dxa"/>
        <w:tblInd w:w="-9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1"/>
        <w:gridCol w:w="6300"/>
        <w:gridCol w:w="212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91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序号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名称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91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二建继续教育(主项、增项)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详见功能定位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91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2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一</w:t>
            </w:r>
            <w:r>
              <w:rPr>
                <w:rFonts w:hint="eastAsia"/>
                <w:color w:val="auto"/>
                <w:highlight w:val="none"/>
              </w:rPr>
              <w:t>建继续教育(主项、增项)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详见功能定位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454" w:hRule="atLeast"/>
        </w:trPr>
        <w:tc>
          <w:tcPr>
            <w:tcW w:w="891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专业技术人员继续教育【</w:t>
            </w:r>
            <w:r>
              <w:rPr>
                <w:color w:val="auto"/>
                <w:highlight w:val="none"/>
              </w:rPr>
              <w:t>含符合</w:t>
            </w:r>
            <w:r>
              <w:rPr>
                <w:rFonts w:hint="eastAsia"/>
                <w:color w:val="auto"/>
                <w:highlight w:val="none"/>
              </w:rPr>
              <w:t>浙江</w:t>
            </w:r>
            <w:r>
              <w:rPr>
                <w:color w:val="auto"/>
                <w:highlight w:val="none"/>
              </w:rPr>
              <w:t>省</w:t>
            </w:r>
            <w:r>
              <w:rPr>
                <w:rFonts w:hint="eastAsia"/>
                <w:color w:val="auto"/>
                <w:highlight w:val="none"/>
              </w:rPr>
              <w:t>要</w:t>
            </w:r>
            <w:r>
              <w:rPr>
                <w:color w:val="auto"/>
                <w:highlight w:val="none"/>
              </w:rPr>
              <w:t>求</w:t>
            </w:r>
            <w:r>
              <w:rPr>
                <w:rFonts w:hint="eastAsia"/>
                <w:color w:val="auto"/>
                <w:highlight w:val="none"/>
              </w:rPr>
              <w:t>的</w:t>
            </w:r>
            <w:r>
              <w:rPr>
                <w:color w:val="auto"/>
                <w:highlight w:val="none"/>
              </w:rPr>
              <w:t>专业</w:t>
            </w:r>
            <w:r>
              <w:rPr>
                <w:rFonts w:hint="eastAsia"/>
                <w:color w:val="auto"/>
                <w:highlight w:val="none"/>
              </w:rPr>
              <w:t>技术</w:t>
            </w:r>
            <w:r>
              <w:rPr>
                <w:color w:val="auto"/>
                <w:highlight w:val="none"/>
              </w:rPr>
              <w:t>人员学时</w:t>
            </w:r>
            <w:r>
              <w:rPr>
                <w:rFonts w:hint="eastAsia"/>
                <w:color w:val="auto"/>
                <w:highlight w:val="none"/>
              </w:rPr>
              <w:t>登记</w:t>
            </w:r>
            <w:r>
              <w:rPr>
                <w:color w:val="auto"/>
                <w:highlight w:val="none"/>
              </w:rPr>
              <w:t>系统（含专业技术学时证书）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详见功能定位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91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4.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浙江省</w:t>
            </w:r>
            <w:r>
              <w:rPr>
                <w:rFonts w:hint="eastAsia"/>
                <w:color w:val="auto"/>
                <w:highlight w:val="none"/>
              </w:rPr>
              <w:t>三类人员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安全生产知识</w:t>
            </w:r>
            <w:r>
              <w:rPr>
                <w:rFonts w:hint="eastAsia"/>
                <w:color w:val="auto"/>
                <w:highlight w:val="none"/>
              </w:rPr>
              <w:t>培训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详见功能定位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91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5.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特种作业人员培训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详见功能定位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91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6.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技能工人培训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详见功能定位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454" w:hRule="atLeast"/>
        </w:trPr>
        <w:tc>
          <w:tcPr>
            <w:tcW w:w="891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7.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三类人员年度安全培训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详见功能定位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91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三类人员继续教育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详见功能定位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91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20" w:lineRule="exact"/>
              <w:rPr>
                <w:rFonts w:hint="eastAsia" w:eastAsiaTheme="minorEastAsia"/>
                <w:color w:val="auto"/>
                <w:highlight w:val="none"/>
                <w:lang w:val="en" w:eastAsia="zh-CN"/>
              </w:rPr>
            </w:pPr>
            <w:r>
              <w:rPr>
                <w:rFonts w:hint="eastAsia"/>
                <w:color w:val="auto"/>
                <w:highlight w:val="none"/>
              </w:rPr>
              <w:t>特种作业人员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年度安全培训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详见功能定位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91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  <w:lang w:val="en-US"/>
              </w:rPr>
              <w:t>10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燃气行业人员培训和燃气行业人员继续教育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详见功能定位</w:t>
            </w:r>
          </w:p>
        </w:tc>
      </w:tr>
    </w:tbl>
    <w:p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  <w:t>二、功能定位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利用先进的计算机技术，依托高速信息网络，构建覆盖广大参训人员、具有先进性、灵活性、开放性的在线学习和监督管理公共服务云平台。该平台主要实现以下几个功能：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1.统一的信息资讯平台。通过建立独立门户为学员提供各类培训信息服务、为培训组织方</w:t>
      </w:r>
      <w:bookmarkStart w:id="6" w:name="_GoBack"/>
      <w:bookmarkEnd w:id="6"/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提供信息发布服务，打造成建设行业各个培训项目的归口门户，实现全省培训资讯与学习内容共享。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2.统一的在线学习平台。发挥网络学习不受时间、地点限制的优势，为建设从业人员提供丰富的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  <w:lang w:val="en-US" w:eastAsia="zh-CN"/>
        </w:rPr>
        <w:t>培训及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继续教育在线学习课程。具体实现功能包括：学员可以通过平台进行帐户激活验证、报名缴费、个性化选课、在线自主课程学习（过程实现学习计时、知识点测验、作业练习、在线答疑等），学员完成在线学习任务后，可通过系统报名参加相关考试（支持预约现场考试和现场证书打印）和查询考试成绩。系统支持必修和选修课设置及相关的学员自主选课功能。支持电子学档功能（电子学时学分查询、验证和打印等）。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3.统一的在线考试平台。培训班的课程学习完成后，学员可以通过系统在线进行考试，系统支持现场无纸化考试。系统支持单选题、多选题、判断题、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  <w:lang w:val="en-US" w:eastAsia="zh-CN"/>
        </w:rPr>
        <w:t>案例题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等题库类型，支持试题库的批量导入、在线添加和统一管理，支持可配置的组卷规则，可灵活地生成固定卷或随机卷。学员提交试卷后，对于试卷题目全部为客观题的，系统自动计算成绩，向学员显示成绩、作答时长、是否通过等信息，不及格学员按系统设置情况参加补考，补考次数在后台进行设置。系统记录保存考生答案供相关人员查看，所有资料都会进入到个人档案中。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4.统一的教学教务管理平台。平台将师资资源、课程资源、教学和教务纳入统一管理。主要包含课程和课件管理、知识库管理、师资管理、继续教育年度管理、培训班管理、考核体系管理、作业和练习管理、阅卷管理、答疑管理、结业鉴定管理、工作量统计等。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5.统一的学时学分和证书认证平台（扩展）。平台可以实现对学员通过网络、面授及混合模式等各类培训方式获得的学时学分进行统一整合管理，各级主管单位和参训学员可进行统一的学时学分认定和验证，并提供电子学时/学分和各类证书网上验证和查询。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6.统一的运营服务平台。运营服务平台包括网络报名系统（个人或集体报名、缴费、结算）、对远程培训收费进行自动化管理；提供技术方面的答疑及平台使用帮助；提供教材、证书和发票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  <w:lang w:val="en-US" w:eastAsia="zh-CN"/>
        </w:rPr>
        <w:t>下载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服务模块；对培训合格者的证书进行自动生成和管理。具体功能：客服服务、答疑管理、批量数据处理、证书管理、信息内容管理、统计管理、财务管理、系统管理、等。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7.统一的行业人员交流网站。与建校网站可形成数据交互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  <w:lang w:eastAsia="zh-CN"/>
        </w:rPr>
        <w:t>。</w:t>
      </w:r>
    </w:p>
    <w:p>
      <w:pPr>
        <w:tabs>
          <w:tab w:val="left" w:pos="2511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B3A15"/>
    <w:rsid w:val="12CB3A15"/>
    <w:rsid w:val="BFBDF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/>
      <w:kern w:val="2"/>
      <w:sz w:val="24"/>
      <w:szCs w:val="21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widowControl w:val="0"/>
      <w:adjustRightInd/>
      <w:snapToGrid/>
      <w:spacing w:after="0"/>
      <w:ind w:left="-357" w:leftChars="-170" w:firstLine="535" w:firstLineChars="223"/>
      <w:jc w:val="both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2025-03-27T09:53:00Z</dcterms:created>
  <dc:creator>吕锋</dc:creator>
  <cp:lastModifiedBy>quzhou</cp:lastModifiedBy>
  <dcterms:modified xsi:type="dcterms:W3CDTF">2025-04-01T10:40:45Z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C4ABB705C7C840908C2CE68DE9BE1699_11</vt:lpwstr>
  </property>
  <property fmtid="{D5CDD505-2E9C-101B-9397-08002B2CF9AE}" pid="4" name="KSOTemplateDocerSaveRecord">
    <vt:lpwstr>eyJoZGlkIjoiNDUyMDI5Mjk2YWVlMjQ0MzlhNmJkMTFmOTZjZDhjZGYiLCJ1c2VySWQiOiI5NTMyMDI4In0=</vt:lpwstr>
  </property>
</Properties>
</file>