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F20D8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bidi="ar"/>
        </w:rPr>
        <w:t>衢州市第三医院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食堂一次性用品采购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bidi="ar"/>
        </w:rPr>
        <w:t>询价文件</w:t>
      </w:r>
    </w:p>
    <w:p w14:paraId="5A662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"/>
        </w:rPr>
        <w:t>服务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  <w:t>内容</w:t>
      </w:r>
    </w:p>
    <w:p w14:paraId="2E52F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食堂</w:t>
      </w:r>
      <w:r>
        <w:rPr>
          <w:rFonts w:hint="eastAsia" w:ascii="宋体" w:hAnsi="宋体"/>
          <w:sz w:val="24"/>
          <w:szCs w:val="24"/>
          <w:lang w:val="en-US" w:eastAsia="zh-CN"/>
        </w:rPr>
        <w:t>日常使用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一次性用品采购</w:t>
      </w:r>
    </w:p>
    <w:p w14:paraId="51FD1A3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 w:bidi="ar"/>
        </w:rPr>
        <w:t>服务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bidi="ar"/>
        </w:rPr>
        <w:t>时间</w:t>
      </w:r>
    </w:p>
    <w:p w14:paraId="255A102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一年</w:t>
      </w:r>
    </w:p>
    <w:p w14:paraId="3DC4556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  <w:t>产品要求</w:t>
      </w:r>
    </w:p>
    <w:p w14:paraId="0820D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default" w:ascii="宋体" w:hAnsi="宋体"/>
          <w:sz w:val="24"/>
          <w:szCs w:val="24"/>
          <w:lang w:val="en-US" w:eastAsia="zh-CN"/>
        </w:rPr>
        <w:t>‌材料和制造标准‌：食堂一次性用品</w:t>
      </w:r>
      <w:r>
        <w:rPr>
          <w:rFonts w:hint="eastAsia" w:ascii="宋体" w:hAnsi="宋体"/>
          <w:sz w:val="24"/>
          <w:szCs w:val="24"/>
          <w:lang w:val="en-US" w:eastAsia="zh-CN"/>
        </w:rPr>
        <w:t>符合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HYPERLINK "https://www.baidu.com/s?rsv_dl=re_dqa_generate&amp;sa=re_dqa_generate&amp;wd=%E3%80%8A%E5%A1%91%E6%96%99%E4%B8%80%E6%AC%A1%E6%80%A7%E9%A4%90%E9%A5%AE%E5%85%B7%E9%80%9A%E7%94%A8%E6%8A%80%E6%9C%AF%E8%A6%81%E6%B1%82%E3%80%8B&amp;rsv_pq=c3c6323a0068334a&amp;oq=%E9%A3%9F%E5%A0%82%E4%B8%80%E6%AC%A1%E6%80%A7%E7%94%A8%E5%93%81%E6%8A%80%E6%9C%AF%E8%A6%81%E6%B1%82&amp;rsv_t=fac3ggX52W/ArbFujUQOBNaJA9PYj1ZiFgdSIJSugdPbscAe4QcDqCln72egSjHCczquoLPN7o71&amp;tn=40020637_30_oem_dg&amp;ie=utf-8" \t "https://www.baidu.com/_blank"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rPr>
          <w:rFonts w:hint="default" w:ascii="宋体" w:hAnsi="宋体"/>
          <w:sz w:val="24"/>
          <w:szCs w:val="24"/>
          <w:lang w:val="en-US" w:eastAsia="zh-CN"/>
        </w:rPr>
        <w:t>《塑料一次性餐饮具通用技术要求》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default" w:ascii="宋体" w:hAnsi="宋体"/>
          <w:sz w:val="24"/>
          <w:szCs w:val="24"/>
          <w:lang w:val="en-US" w:eastAsia="zh-CN"/>
        </w:rPr>
        <w:t>(GB/T 18006.1-2009)，包括耐热水、耐热油、漏水、负重和微波炉耐温等性能</w:t>
      </w:r>
      <w:r>
        <w:rPr>
          <w:rFonts w:hint="eastAsia" w:ascii="宋体" w:hAnsi="宋体"/>
          <w:sz w:val="24"/>
          <w:szCs w:val="24"/>
          <w:lang w:val="en-US" w:eastAsia="zh-CN"/>
        </w:rPr>
        <w:t>要求，</w:t>
      </w:r>
      <w:r>
        <w:rPr>
          <w:rFonts w:hint="default" w:ascii="宋体" w:hAnsi="宋体"/>
          <w:sz w:val="24"/>
          <w:szCs w:val="24"/>
          <w:lang w:val="en-US" w:eastAsia="zh-CN"/>
        </w:rPr>
        <w:t>产品标志、包装、运输和贮存</w:t>
      </w:r>
      <w:r>
        <w:rPr>
          <w:rFonts w:hint="eastAsia" w:ascii="宋体" w:hAnsi="宋体"/>
          <w:sz w:val="24"/>
          <w:szCs w:val="24"/>
          <w:lang w:val="en-US" w:eastAsia="zh-CN"/>
        </w:rPr>
        <w:t>符合相关</w:t>
      </w:r>
      <w:r>
        <w:rPr>
          <w:rFonts w:hint="default" w:ascii="宋体" w:hAnsi="宋体"/>
          <w:sz w:val="24"/>
          <w:szCs w:val="24"/>
          <w:lang w:val="en-US" w:eastAsia="zh-CN"/>
        </w:rPr>
        <w:t>要求‌。</w:t>
      </w:r>
    </w:p>
    <w:p w14:paraId="4AB8F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default" w:ascii="宋体" w:hAnsi="宋体"/>
          <w:sz w:val="24"/>
          <w:szCs w:val="24"/>
          <w:lang w:val="en-US" w:eastAsia="zh-CN"/>
        </w:rPr>
        <w:t>‌卫生标准‌：食堂一次性用品必须符合卫生标准，确保在使用过程中不会对食品安全和消费者健康造成影响。标准中详细规定了卫生理化指标、微生物污染指标和毒理学安全性要求。</w:t>
      </w:r>
    </w:p>
    <w:p w14:paraId="630EC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default" w:ascii="宋体" w:hAnsi="宋体"/>
          <w:sz w:val="24"/>
          <w:szCs w:val="24"/>
          <w:lang w:val="en-US" w:eastAsia="zh-CN"/>
        </w:rPr>
        <w:t>‌标识和使用说明‌：产品标识必须清晰明了，包括材料成分、生产日期、保质期等信息。对于可微波炉使用的产品，必须明确标识，以确保消费者正确使用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4F7E3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4.需求清单</w:t>
      </w:r>
    </w:p>
    <w:tbl>
      <w:tblPr>
        <w:tblStyle w:val="9"/>
        <w:tblW w:w="9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23"/>
        <w:gridCol w:w="666"/>
        <w:gridCol w:w="1914"/>
        <w:gridCol w:w="912"/>
        <w:gridCol w:w="960"/>
        <w:gridCol w:w="1212"/>
        <w:gridCol w:w="1293"/>
      </w:tblGrid>
      <w:tr w14:paraId="21FC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7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食堂一次性用品数量统计（1年预估用量）</w:t>
            </w:r>
          </w:p>
        </w:tc>
      </w:tr>
      <w:tr w14:paraId="7E98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E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用品名称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8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6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7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D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预计年使用量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B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F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A2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D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4格餐盒</w:t>
            </w:r>
          </w:p>
          <w:p w14:paraId="4AF757BE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1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21*18*4cm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7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A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塑料材质</w:t>
            </w:r>
          </w:p>
        </w:tc>
      </w:tr>
      <w:tr w14:paraId="2CD0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1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4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500ml圆碗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8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11.7*7.7*7.6cm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7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4D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塑料材质</w:t>
            </w:r>
          </w:p>
        </w:tc>
      </w:tr>
      <w:tr w14:paraId="5176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2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0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纸餐盒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D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16*11cm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1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3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E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环保纸盒</w:t>
            </w:r>
          </w:p>
        </w:tc>
      </w:tr>
      <w:tr w14:paraId="774E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一次性筷子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6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195*4.5mm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9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F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B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F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竹筷</w:t>
            </w:r>
          </w:p>
        </w:tc>
      </w:tr>
      <w:tr w14:paraId="427B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A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E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650ml双格方盒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2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7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17*14*4.2cm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2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3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3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B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塑料材质</w:t>
            </w:r>
          </w:p>
        </w:tc>
      </w:tr>
      <w:tr w14:paraId="10F1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D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F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750ml圆碗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B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14.9*10*5.8cm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3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0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5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A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塑料材质</w:t>
            </w:r>
          </w:p>
        </w:tc>
      </w:tr>
      <w:tr w14:paraId="2AE8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0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4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一次性豆浆杯</w:t>
            </w:r>
          </w:p>
          <w:p w14:paraId="18CF5DBD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B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E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116*95*50mm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0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5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9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B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塑料材质</w:t>
            </w:r>
          </w:p>
        </w:tc>
      </w:tr>
      <w:tr w14:paraId="2BCD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4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B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合计预算金额（元/年）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9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0080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D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说明：以上为一年预估使用量，结算时按照实际采购数量*询价单价进行结算。</w:t>
            </w:r>
          </w:p>
        </w:tc>
      </w:tr>
    </w:tbl>
    <w:p w14:paraId="2E5F7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 w14:paraId="7CC16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、投标人须知</w:t>
      </w:r>
    </w:p>
    <w:tbl>
      <w:tblPr>
        <w:tblStyle w:val="9"/>
        <w:tblW w:w="9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 w14:paraId="7C9F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D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4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6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说明与要求</w:t>
            </w:r>
          </w:p>
        </w:tc>
      </w:tr>
      <w:tr w14:paraId="6074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E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食堂一次性用品采购</w:t>
            </w:r>
          </w:p>
        </w:tc>
      </w:tr>
      <w:tr w14:paraId="0511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F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5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衢州市第三医院</w:t>
            </w:r>
          </w:p>
        </w:tc>
      </w:tr>
      <w:tr w14:paraId="23F3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1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一年</w:t>
            </w:r>
          </w:p>
        </w:tc>
      </w:tr>
      <w:tr w14:paraId="084F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2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A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bidi="ar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48000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元</w:t>
            </w:r>
          </w:p>
        </w:tc>
      </w:tr>
      <w:tr w14:paraId="3857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5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E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投标截止时间</w:t>
            </w:r>
          </w:p>
          <w:p w14:paraId="34682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E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87" w:firstLineChars="78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时间：202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日（北京时间）</w:t>
            </w:r>
          </w:p>
          <w:p w14:paraId="5A72F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87" w:firstLineChars="78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地点：衢州市第三医院 招投标管理办公室</w:t>
            </w:r>
          </w:p>
          <w:p w14:paraId="610DC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87" w:firstLineChars="78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联系人：陈玲    联系电话：13567008157</w:t>
            </w:r>
          </w:p>
        </w:tc>
      </w:tr>
      <w:tr w14:paraId="363E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0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9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3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衢州市第三医院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医技楼601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会议室</w:t>
            </w:r>
          </w:p>
        </w:tc>
      </w:tr>
      <w:tr w14:paraId="6F93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8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7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9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187" w:firstLineChars="78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bidi="ar"/>
              </w:rPr>
              <w:t>中标通知书发出后10日内</w:t>
            </w:r>
          </w:p>
        </w:tc>
      </w:tr>
    </w:tbl>
    <w:p w14:paraId="516CF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 w14:paraId="1126A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  <w:lang w:val="en-US" w:eastAsia="zh-CN" w:bidi="ar"/>
        </w:rPr>
        <w:t>48000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4"/>
          <w:szCs w:val="24"/>
          <w:lang w:bidi="ar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。询价文件报价应按询价文件中相关要求填写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"/>
        </w:rPr>
        <w:t>需注明单价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，并加盖公章后密封。</w:t>
      </w:r>
    </w:p>
    <w:p w14:paraId="42038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特别提示：开标前询价文件密封加盖公章后，可直接或以挂号信的方式送达，投标人无需到现场。</w:t>
      </w:r>
    </w:p>
    <w:p w14:paraId="6E268D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kern w:val="0"/>
          <w:sz w:val="24"/>
          <w:szCs w:val="2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24"/>
          <w:szCs w:val="24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24"/>
          <w:szCs w:val="24"/>
          <w:highlight w:val="none"/>
          <w:lang w:bidi="ar"/>
        </w:rPr>
        <w:t>付款方式</w:t>
      </w:r>
    </w:p>
    <w:p w14:paraId="482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货款每月支付一次，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甲方应于货物验收合格并收到乙方开具的正式发票后，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方根据资金支付程序进行支付审批，审批完成后，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7个工作日内一次性支付货款。</w:t>
      </w:r>
    </w:p>
    <w:p w14:paraId="2CEE5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bidi="ar"/>
        </w:rPr>
        <w:t>六、询价办法</w:t>
      </w:r>
    </w:p>
    <w:p w14:paraId="1E64D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参加询价供应商三家及以上可以开标。</w:t>
      </w:r>
    </w:p>
    <w:p w14:paraId="398F6F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2.符合第二章采购要求为基础，以报价最低的供应商为最终承接该项目的供应商。</w:t>
      </w:r>
    </w:p>
    <w:p w14:paraId="75F968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3.采购方将根据本次询价的特点组建由三人组成的评标小组进行评标。</w:t>
      </w:r>
    </w:p>
    <w:p w14:paraId="5D11290A">
      <w:pPr>
        <w:pStyle w:val="2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七、定标办法</w:t>
      </w:r>
    </w:p>
    <w:p w14:paraId="36CC18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1.本次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由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小组推荐1名中标候选人。</w:t>
      </w:r>
    </w:p>
    <w:p w14:paraId="27521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小组依据法律、法规及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文件有关规定，对通过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响应文件评审的，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价格最低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的为第一中标候选人。如出现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价格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相同时，则现场抽签确定。</w:t>
      </w:r>
    </w:p>
    <w:p w14:paraId="170033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3.如第一中标候选人放弃中标；因不可抗力提出不能履行合同；或未能在规定时间内与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人签订合同的；或者经质疑，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人审查后，确因第一中标候选人在本次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活动中存在违法违规行为或其他原因使质疑成立的；或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人可视具体情况确定是否由第二中标候选人为中标人，也可以重新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bidi="ar"/>
        </w:rPr>
        <w:t>。</w:t>
      </w:r>
    </w:p>
    <w:p w14:paraId="70EC2660">
      <w:pPr>
        <w:rPr>
          <w:rFonts w:hint="eastAsia"/>
        </w:rPr>
      </w:pPr>
    </w:p>
    <w:p w14:paraId="0C75A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 w14:paraId="41BB5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7</w:t>
      </w: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 w14:paraId="0FC38BA3">
      <w:pPr>
        <w:widowControl/>
        <w:spacing w:line="400" w:lineRule="exact"/>
        <w:jc w:val="right"/>
        <w:rPr>
          <w:rFonts w:ascii="宋体" w:hAnsi="宋体" w:cs="宋体"/>
          <w:color w:val="333333"/>
          <w:kern w:val="0"/>
          <w:sz w:val="28"/>
          <w:szCs w:val="28"/>
          <w:lang w:bidi="ar"/>
        </w:rPr>
      </w:pPr>
    </w:p>
    <w:p w14:paraId="3D3107AD">
      <w:pPr>
        <w:spacing w:line="360" w:lineRule="auto"/>
        <w:ind w:right="1120"/>
        <w:rPr>
          <w:rFonts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24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FFED3C7">
      <w:pPr>
        <w:spacing w:line="312" w:lineRule="auto"/>
        <w:jc w:val="left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附件</w:t>
      </w:r>
    </w:p>
    <w:p w14:paraId="4DA6C9E9">
      <w:pPr>
        <w:spacing w:line="312" w:lineRule="auto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 w14:paraId="0B419952">
      <w:pPr>
        <w:spacing w:line="312" w:lineRule="auto"/>
        <w:rPr>
          <w:rFonts w:ascii="仿宋_GB2312" w:hAnsi="仿宋_GB2312" w:eastAsia="仿宋_GB2312" w:cs="仿宋_GB2312"/>
          <w:sz w:val="28"/>
          <w:szCs w:val="28"/>
        </w:rPr>
      </w:pPr>
    </w:p>
    <w:p w14:paraId="5E27A331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 w14:paraId="0EC940A4"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 w14:paraId="5332B65F">
      <w:pPr>
        <w:spacing w:before="120" w:beforeLines="50" w:after="120" w:afterLines="50"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 w14:paraId="1A8D1E10">
      <w:pPr>
        <w:spacing w:before="120" w:beforeLines="50" w:after="120" w:afterLines="50" w:line="360" w:lineRule="auto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供应商全称（公章）：</w:t>
      </w:r>
    </w:p>
    <w:p w14:paraId="10707E79">
      <w:pPr>
        <w:spacing w:before="120" w:beforeLines="50" w:after="120"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</w:p>
    <w:p w14:paraId="0E8D7EDE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2D4908A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 w14:paraId="2BAA6570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性别：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男</w:t>
      </w:r>
    </w:p>
    <w:p w14:paraId="6A356C07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职称：</w:t>
      </w:r>
    </w:p>
    <w:p w14:paraId="4F3A7139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 w14:paraId="44C81D39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0571-87895217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传真：</w:t>
      </w:r>
    </w:p>
    <w:p w14:paraId="3895DDA3"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18058157500</w:t>
      </w:r>
    </w:p>
    <w:p w14:paraId="39DFF3F4">
      <w:p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headerReference r:id="rId5" w:type="first"/>
          <w:footerReference r:id="rId7" w:type="first"/>
          <w:headerReference r:id="rId4" w:type="even"/>
          <w:footerReference r:id="rId6" w:type="even"/>
          <w:pgSz w:w="11906" w:h="16838"/>
          <w:pgMar w:top="1389" w:right="1247" w:bottom="1389" w:left="1247" w:header="851" w:footer="992" w:gutter="56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310052</w:t>
      </w:r>
    </w:p>
    <w:p w14:paraId="274849EB"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500500C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 w14:paraId="07D821CD"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9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 w14:paraId="37AE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vAlign w:val="center"/>
          </w:tcPr>
          <w:p w14:paraId="462F3267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vAlign w:val="center"/>
          </w:tcPr>
          <w:p w14:paraId="287BB8E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vAlign w:val="center"/>
          </w:tcPr>
          <w:p w14:paraId="33D982BF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 w14:paraId="0768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vAlign w:val="center"/>
          </w:tcPr>
          <w:p w14:paraId="22FD6D4C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vAlign w:val="center"/>
          </w:tcPr>
          <w:p w14:paraId="0692175C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76E9DB83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5E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vAlign w:val="center"/>
          </w:tcPr>
          <w:p w14:paraId="5C071AC4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投标报价（元）</w:t>
            </w:r>
          </w:p>
        </w:tc>
        <w:tc>
          <w:tcPr>
            <w:tcW w:w="5410" w:type="dxa"/>
            <w:gridSpan w:val="2"/>
            <w:vAlign w:val="center"/>
          </w:tcPr>
          <w:p w14:paraId="0F5E2714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元</w:t>
            </w:r>
          </w:p>
        </w:tc>
      </w:tr>
      <w:tr w14:paraId="747F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vAlign w:val="center"/>
          </w:tcPr>
          <w:p w14:paraId="36BDEFA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rPr>
                <w:rFonts w:hint="default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2DA1CBCB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元整</w:t>
            </w:r>
          </w:p>
        </w:tc>
      </w:tr>
    </w:tbl>
    <w:p w14:paraId="6A8E6267">
      <w:pPr>
        <w:spacing w:line="312" w:lineRule="auto"/>
        <w:ind w:left="826" w:hanging="826" w:hangingChars="294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 w14:paraId="522728DF">
      <w:pPr>
        <w:numPr>
          <w:ilvl w:val="0"/>
          <w:numId w:val="3"/>
        </w:num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 w14:paraId="76452153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 w14:paraId="59E383D4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 w14:paraId="053305F7">
      <w:pPr>
        <w:spacing w:line="312" w:lineRule="auto"/>
        <w:ind w:left="274" w:hanging="274" w:hangingChars="98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 w14:paraId="42356FA1">
      <w:pPr>
        <w:spacing w:line="312" w:lineRule="auto"/>
        <w:ind w:left="275" w:hanging="275" w:hangingChars="98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C4124C7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73D40510"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5154A88C">
      <w:pPr>
        <w:widowControl/>
        <w:spacing w:line="48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1804E0E9">
      <w:pPr>
        <w:tabs>
          <w:tab w:val="left" w:pos="360"/>
          <w:tab w:val="left" w:pos="840"/>
        </w:tabs>
        <w:spacing w:line="312" w:lineRule="auto"/>
        <w:rPr>
          <w:rFonts w:ascii="仿宋" w:hAnsi="仿宋" w:eastAsia="仿宋" w:cs="仿宋"/>
          <w:b/>
          <w:szCs w:val="21"/>
        </w:rPr>
      </w:pPr>
    </w:p>
    <w:p w14:paraId="0082FECD">
      <w:pPr>
        <w:spacing w:line="312" w:lineRule="auto"/>
        <w:rPr>
          <w:rFonts w:ascii="仿宋" w:hAnsi="仿宋" w:eastAsia="仿宋" w:cs="仿宋"/>
          <w:b/>
          <w:sz w:val="28"/>
          <w:szCs w:val="28"/>
        </w:rPr>
      </w:pPr>
    </w:p>
    <w:p w14:paraId="1F1B65E5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3.分项</w:t>
      </w:r>
      <w:bookmarkStart w:id="0" w:name="_Toc11631_WPSOffice_Level1"/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报价一览表</w:t>
      </w:r>
    </w:p>
    <w:p w14:paraId="28FA268D">
      <w:pPr>
        <w:spacing w:line="312" w:lineRule="auto"/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9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 w14:paraId="702E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6" w:type="dxa"/>
            <w:vAlign w:val="center"/>
          </w:tcPr>
          <w:p w14:paraId="09DCB0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vAlign w:val="center"/>
          </w:tcPr>
          <w:p w14:paraId="2F816C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55" w:type="dxa"/>
            <w:vAlign w:val="center"/>
          </w:tcPr>
          <w:p w14:paraId="1C5A26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124" w:type="dxa"/>
            <w:vAlign w:val="center"/>
          </w:tcPr>
          <w:p w14:paraId="572B42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80" w:type="dxa"/>
            <w:vAlign w:val="center"/>
          </w:tcPr>
          <w:p w14:paraId="740539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80" w:firstLineChars="10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报价</w:t>
            </w:r>
          </w:p>
        </w:tc>
        <w:tc>
          <w:tcPr>
            <w:tcW w:w="1284" w:type="dxa"/>
            <w:vAlign w:val="center"/>
          </w:tcPr>
          <w:p w14:paraId="4F026F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E76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155B86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vAlign w:val="center"/>
          </w:tcPr>
          <w:p w14:paraId="5BF55E3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85A828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05E6810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220B3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AD4BD1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9EA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7FC0BC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3" w:type="dxa"/>
            <w:vAlign w:val="center"/>
          </w:tcPr>
          <w:p w14:paraId="3AD2124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5631B7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1898406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FB8CF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45756C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A4D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62E00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3" w:type="dxa"/>
            <w:vAlign w:val="center"/>
          </w:tcPr>
          <w:p w14:paraId="217353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96F98A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7FFA6D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95000F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B809B5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000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968493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13" w:type="dxa"/>
            <w:vAlign w:val="center"/>
          </w:tcPr>
          <w:p w14:paraId="48CE46A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5650A5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521D6A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F2B3B0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A44ACE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8E1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07E60F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13" w:type="dxa"/>
            <w:vAlign w:val="center"/>
          </w:tcPr>
          <w:p w14:paraId="4E854D5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5B7F737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53DC11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A80ED5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A584C4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04E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7807678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13" w:type="dxa"/>
            <w:vAlign w:val="center"/>
          </w:tcPr>
          <w:p w14:paraId="64A5CE0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D0BD07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13D9A5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D9129D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463BA5E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DB5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5A9555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13" w:type="dxa"/>
            <w:vAlign w:val="center"/>
          </w:tcPr>
          <w:p w14:paraId="08D29FC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60037A4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6E8A74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89CD9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FB091E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189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217FF2D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13" w:type="dxa"/>
            <w:vAlign w:val="center"/>
          </w:tcPr>
          <w:p w14:paraId="205A00C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3A7C4C3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3C1D16C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9796DE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292A992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7AC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6274CF1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13" w:type="dxa"/>
            <w:vAlign w:val="center"/>
          </w:tcPr>
          <w:p w14:paraId="3B1B777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043BAB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0881E48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FFFB3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33F5F91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3D7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vAlign w:val="center"/>
          </w:tcPr>
          <w:p w14:paraId="50655D3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13" w:type="dxa"/>
            <w:vAlign w:val="center"/>
          </w:tcPr>
          <w:p w14:paraId="59680FE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8767C5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14:paraId="4DFCE40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C52BF3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F565A3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F5F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58" w:type="dxa"/>
            <w:gridSpan w:val="5"/>
            <w:vAlign w:val="center"/>
          </w:tcPr>
          <w:p w14:paraId="0E8088E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4" w:type="dxa"/>
            <w:vAlign w:val="center"/>
          </w:tcPr>
          <w:p w14:paraId="40B77FE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3301CA16">
      <w:pPr>
        <w:spacing w:line="312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038E5AE">
      <w:pPr>
        <w:spacing w:line="312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 w14:paraId="13574778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 w14:paraId="2925E932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 w14:paraId="7D67181F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 w14:paraId="5344CCE6">
      <w:pPr>
        <w:spacing w:line="312" w:lineRule="auto"/>
        <w:ind w:left="834" w:leftChars="203" w:hanging="408" w:hanging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 w14:paraId="5E509CF5">
      <w:pPr>
        <w:spacing w:line="312" w:lineRule="auto"/>
        <w:ind w:left="743" w:leftChars="354" w:firstLine="5006" w:firstLineChars="2086"/>
        <w:rPr>
          <w:rFonts w:ascii="仿宋_GB2312" w:hAnsi="仿宋_GB2312" w:eastAsia="仿宋_GB2312" w:cs="仿宋_GB2312"/>
          <w:sz w:val="24"/>
        </w:rPr>
      </w:pPr>
    </w:p>
    <w:p w14:paraId="242F7867">
      <w:pPr>
        <w:widowControl/>
        <w:spacing w:line="480" w:lineRule="auto"/>
        <w:ind w:firstLine="3920" w:firstLineChars="14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1ABF5C2B">
      <w:pPr>
        <w:widowControl/>
        <w:spacing w:line="480" w:lineRule="auto"/>
        <w:ind w:firstLine="3920" w:firstLineChars="14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260935C8">
      <w:pPr>
        <w:pStyle w:val="4"/>
        <w:spacing w:line="480" w:lineRule="auto"/>
        <w:ind w:firstLine="3920" w:firstLineChars="1400"/>
        <w:rPr>
          <w:rFonts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6C8AD060"/>
    <w:sectPr>
      <w:pgSz w:w="11906" w:h="16838"/>
      <w:pgMar w:top="124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B3FD8-3C04-426F-8CA1-E259B7C5F9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60B58D-F987-4124-B774-78925DD1B20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1B363BD-986E-46F1-A018-6B7570242A08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437EC794-A27B-45FB-8D78-D53894D788D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65F48CB-B8E1-4BF8-8CBA-B277103E4B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24A9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F24A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F24A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B6F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1DDC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42A2C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03B99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D242C"/>
    <w:multiLevelType w:val="singleLevel"/>
    <w:tmpl w:val="CF7D24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7E79A417"/>
    <w:multiLevelType w:val="singleLevel"/>
    <w:tmpl w:val="7E79A4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TliZGJmNjU4YjQ2YzRjNDFkNzM1MzQ1Zjk1ZWIifQ=="/>
  </w:docVars>
  <w:rsids>
    <w:rsidRoot w:val="79E732FB"/>
    <w:rsid w:val="00044A2C"/>
    <w:rsid w:val="00363AD6"/>
    <w:rsid w:val="0072043F"/>
    <w:rsid w:val="00944A6A"/>
    <w:rsid w:val="00A97335"/>
    <w:rsid w:val="00FD2298"/>
    <w:rsid w:val="010848C0"/>
    <w:rsid w:val="01D92CEB"/>
    <w:rsid w:val="02507114"/>
    <w:rsid w:val="02783976"/>
    <w:rsid w:val="03E33071"/>
    <w:rsid w:val="04897AC8"/>
    <w:rsid w:val="04C80D6A"/>
    <w:rsid w:val="05041165"/>
    <w:rsid w:val="05BE400C"/>
    <w:rsid w:val="065748E1"/>
    <w:rsid w:val="06994A8B"/>
    <w:rsid w:val="06DB727A"/>
    <w:rsid w:val="085C1C1C"/>
    <w:rsid w:val="09857786"/>
    <w:rsid w:val="09A10943"/>
    <w:rsid w:val="0AD7622E"/>
    <w:rsid w:val="0CF94210"/>
    <w:rsid w:val="0D8C6DA9"/>
    <w:rsid w:val="0D972364"/>
    <w:rsid w:val="0DAF425A"/>
    <w:rsid w:val="0E103136"/>
    <w:rsid w:val="0E806984"/>
    <w:rsid w:val="0E9515D0"/>
    <w:rsid w:val="0EA2320A"/>
    <w:rsid w:val="11353E52"/>
    <w:rsid w:val="116324EC"/>
    <w:rsid w:val="118243C3"/>
    <w:rsid w:val="12D40FF4"/>
    <w:rsid w:val="1547131F"/>
    <w:rsid w:val="157E222F"/>
    <w:rsid w:val="157F708C"/>
    <w:rsid w:val="170008B5"/>
    <w:rsid w:val="17BC67BE"/>
    <w:rsid w:val="18E937CC"/>
    <w:rsid w:val="19540442"/>
    <w:rsid w:val="1AE77204"/>
    <w:rsid w:val="1B0B72D0"/>
    <w:rsid w:val="1B650AE3"/>
    <w:rsid w:val="1C6568C6"/>
    <w:rsid w:val="1C8F4D26"/>
    <w:rsid w:val="1CFF1AAE"/>
    <w:rsid w:val="1DBA6CCE"/>
    <w:rsid w:val="20124A3D"/>
    <w:rsid w:val="2141704F"/>
    <w:rsid w:val="22F97360"/>
    <w:rsid w:val="237806BF"/>
    <w:rsid w:val="23F4075C"/>
    <w:rsid w:val="24962924"/>
    <w:rsid w:val="24A70B6C"/>
    <w:rsid w:val="25383E94"/>
    <w:rsid w:val="25C227BF"/>
    <w:rsid w:val="27212AC9"/>
    <w:rsid w:val="28153A74"/>
    <w:rsid w:val="295B5509"/>
    <w:rsid w:val="29951969"/>
    <w:rsid w:val="2C250A37"/>
    <w:rsid w:val="2C58524A"/>
    <w:rsid w:val="2CDB4700"/>
    <w:rsid w:val="2DEB6504"/>
    <w:rsid w:val="2E44397B"/>
    <w:rsid w:val="2E594F24"/>
    <w:rsid w:val="2EFB3259"/>
    <w:rsid w:val="30BE7CB2"/>
    <w:rsid w:val="31A208C0"/>
    <w:rsid w:val="31F8560B"/>
    <w:rsid w:val="324E1E79"/>
    <w:rsid w:val="32514C09"/>
    <w:rsid w:val="32617449"/>
    <w:rsid w:val="32DC0A1B"/>
    <w:rsid w:val="32E83B08"/>
    <w:rsid w:val="33536C3A"/>
    <w:rsid w:val="337A1303"/>
    <w:rsid w:val="34E0230B"/>
    <w:rsid w:val="357B093A"/>
    <w:rsid w:val="36284813"/>
    <w:rsid w:val="36EA13CC"/>
    <w:rsid w:val="374905FB"/>
    <w:rsid w:val="387E2D8D"/>
    <w:rsid w:val="38EFA25F"/>
    <w:rsid w:val="396D11FA"/>
    <w:rsid w:val="39D04046"/>
    <w:rsid w:val="3A4E7235"/>
    <w:rsid w:val="3C645E1E"/>
    <w:rsid w:val="3C746C00"/>
    <w:rsid w:val="3E3563DD"/>
    <w:rsid w:val="3E980419"/>
    <w:rsid w:val="3F325D1E"/>
    <w:rsid w:val="3F695BBA"/>
    <w:rsid w:val="3F797EDE"/>
    <w:rsid w:val="3FCF4061"/>
    <w:rsid w:val="407B3876"/>
    <w:rsid w:val="40DF62E6"/>
    <w:rsid w:val="416652A8"/>
    <w:rsid w:val="426F0751"/>
    <w:rsid w:val="42A46E16"/>
    <w:rsid w:val="42E37EB1"/>
    <w:rsid w:val="43052736"/>
    <w:rsid w:val="45B25839"/>
    <w:rsid w:val="45B51742"/>
    <w:rsid w:val="464277FD"/>
    <w:rsid w:val="472E58EF"/>
    <w:rsid w:val="476D7EE6"/>
    <w:rsid w:val="4783170C"/>
    <w:rsid w:val="478506C0"/>
    <w:rsid w:val="480938E4"/>
    <w:rsid w:val="48716B71"/>
    <w:rsid w:val="48D571D6"/>
    <w:rsid w:val="4A1A5929"/>
    <w:rsid w:val="4B5217BF"/>
    <w:rsid w:val="4C765A27"/>
    <w:rsid w:val="4CD600F4"/>
    <w:rsid w:val="4CF32450"/>
    <w:rsid w:val="4D3F18B9"/>
    <w:rsid w:val="4DDC516E"/>
    <w:rsid w:val="4E113271"/>
    <w:rsid w:val="4E155F00"/>
    <w:rsid w:val="4F457D08"/>
    <w:rsid w:val="501F2FB8"/>
    <w:rsid w:val="50250266"/>
    <w:rsid w:val="50642410"/>
    <w:rsid w:val="50C44A1F"/>
    <w:rsid w:val="510541F4"/>
    <w:rsid w:val="51927EF7"/>
    <w:rsid w:val="51AA404F"/>
    <w:rsid w:val="534A0EDF"/>
    <w:rsid w:val="535074CC"/>
    <w:rsid w:val="53D20392"/>
    <w:rsid w:val="54011F60"/>
    <w:rsid w:val="54517931"/>
    <w:rsid w:val="547B3F6D"/>
    <w:rsid w:val="558C1C57"/>
    <w:rsid w:val="581B26E6"/>
    <w:rsid w:val="583859CC"/>
    <w:rsid w:val="5B064BF9"/>
    <w:rsid w:val="5B2E59D4"/>
    <w:rsid w:val="5C21729C"/>
    <w:rsid w:val="5D046803"/>
    <w:rsid w:val="5D9F4125"/>
    <w:rsid w:val="5F280BED"/>
    <w:rsid w:val="5FF77110"/>
    <w:rsid w:val="60E16F8F"/>
    <w:rsid w:val="62911B85"/>
    <w:rsid w:val="631433FA"/>
    <w:rsid w:val="63FC074B"/>
    <w:rsid w:val="64A26F72"/>
    <w:rsid w:val="65AF0A92"/>
    <w:rsid w:val="67263EEC"/>
    <w:rsid w:val="680C3775"/>
    <w:rsid w:val="6ACA343F"/>
    <w:rsid w:val="6DC85AD7"/>
    <w:rsid w:val="6E2349B3"/>
    <w:rsid w:val="6E3E4682"/>
    <w:rsid w:val="6F3D7EAD"/>
    <w:rsid w:val="6FC06241"/>
    <w:rsid w:val="706A4CE4"/>
    <w:rsid w:val="71A60A81"/>
    <w:rsid w:val="72DA5F7A"/>
    <w:rsid w:val="73165394"/>
    <w:rsid w:val="73901BB3"/>
    <w:rsid w:val="73BF6A25"/>
    <w:rsid w:val="740D12F4"/>
    <w:rsid w:val="74495A07"/>
    <w:rsid w:val="744A6221"/>
    <w:rsid w:val="74B91EB5"/>
    <w:rsid w:val="751E4ECA"/>
    <w:rsid w:val="75A41C94"/>
    <w:rsid w:val="77D93560"/>
    <w:rsid w:val="77E30AE8"/>
    <w:rsid w:val="789C4818"/>
    <w:rsid w:val="79D7001B"/>
    <w:rsid w:val="79E732FB"/>
    <w:rsid w:val="7BAC1DBA"/>
    <w:rsid w:val="7BBB4217"/>
    <w:rsid w:val="7CEB754E"/>
    <w:rsid w:val="7DB241AD"/>
    <w:rsid w:val="7DCD0431"/>
    <w:rsid w:val="7FA670D0"/>
    <w:rsid w:val="A5775E5E"/>
    <w:rsid w:val="DF6FF8EB"/>
    <w:rsid w:val="F9BB9DC6"/>
    <w:rsid w:val="FF7EA3A7"/>
    <w:rsid w:val="FFE5C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2"/>
    <w:next w:val="1"/>
    <w:qFormat/>
    <w:uiPriority w:val="0"/>
    <w:pPr>
      <w:widowControl w:val="0"/>
      <w:adjustRightInd w:val="0"/>
      <w:spacing w:before="0" w:beforeLines="0" w:after="120" w:afterLines="0" w:line="360" w:lineRule="auto"/>
      <w:ind w:left="0" w:right="0" w:firstLine="420"/>
      <w:jc w:val="both"/>
    </w:pPr>
    <w:rPr>
      <w:rFonts w:eastAsia="楷体_GB2312"/>
      <w:spacing w:val="0"/>
      <w:kern w:val="0"/>
      <w:sz w:val="24"/>
      <w:szCs w:val="20"/>
      <w:lang w:eastAsia="en-US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5">
    <w:name w:val="15"/>
    <w:basedOn w:val="10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6</Pages>
  <Words>1795</Words>
  <Characters>2036</Characters>
  <Lines>1</Lines>
  <Paragraphs>1</Paragraphs>
  <TotalTime>2</TotalTime>
  <ScaleCrop>false</ScaleCrop>
  <LinksUpToDate>false</LinksUpToDate>
  <CharactersWithSpaces>2305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2022-03-30T17:53:00Z</dcterms:created>
  <dc:creator>陈玲</dc:creator>
  <cp:lastModifiedBy>陈玲</cp:lastModifiedBy>
  <cp:lastPrinted>2022-07-08T09:30:00Z</cp:lastPrinted>
  <dcterms:modified xsi:type="dcterms:W3CDTF">2025-01-07T00:38:24Z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C8AD8BFC479D4E398281DD99AFF4CC72</vt:lpwstr>
  </property>
  <property fmtid="{D5CDD505-2E9C-101B-9397-08002B2CF9AE}" pid="4" name="KSOTemplateDocerSaveRecord">
    <vt:lpwstr>eyJoZGlkIjoiZGE3NTliZGJmNjU4YjQ2YzRjNDFkNzM1MzQ1Zjk1ZWIiLCJ1c2VySWQiOiIzODI4MDkyMDgifQ==</vt:lpwstr>
  </property>
</Properties>
</file>