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宋体" w:hAnsi="宋体" w:eastAsia="宋体"/>
        </w:rPr>
      </w:pPr>
    </w:p>
    <w:p>
      <w:pPr>
        <w:spacing w:line="252" w:lineRule="auto"/>
        <w:rPr>
          <w:rFonts w:ascii="宋体" w:hAnsi="宋体" w:eastAsia="宋体"/>
        </w:rPr>
      </w:pPr>
    </w:p>
    <w:p>
      <w:pPr>
        <w:spacing w:line="252" w:lineRule="auto"/>
        <w:rPr>
          <w:rFonts w:ascii="宋体" w:hAnsi="宋体" w:eastAsia="宋体"/>
        </w:rPr>
      </w:pPr>
    </w:p>
    <w:p>
      <w:pPr>
        <w:spacing w:line="252" w:lineRule="auto"/>
        <w:rPr>
          <w:rFonts w:ascii="宋体" w:hAnsi="宋体" w:eastAsia="宋体"/>
        </w:rPr>
      </w:pPr>
    </w:p>
    <w:p>
      <w:pPr>
        <w:pStyle w:val="3"/>
        <w:spacing w:before="150" w:line="294" w:lineRule="auto"/>
        <w:ind w:left="3424" w:right="1439" w:hanging="1580"/>
        <w:outlineLvl w:val="0"/>
        <w:rPr>
          <w:rFonts w:ascii="宋体" w:hAnsi="宋体" w:eastAsia="宋体"/>
          <w:spacing w:val="44"/>
          <w:sz w:val="46"/>
          <w:szCs w:val="46"/>
          <w:lang w:eastAsia="zh-CN"/>
        </w:rPr>
      </w:pPr>
    </w:p>
    <w:p>
      <w:pPr>
        <w:pStyle w:val="3"/>
        <w:spacing w:before="150" w:line="294" w:lineRule="auto"/>
        <w:ind w:left="3424" w:right="1439" w:hanging="1580"/>
        <w:outlineLvl w:val="0"/>
        <w:rPr>
          <w:rFonts w:ascii="宋体" w:hAnsi="宋体" w:eastAsia="宋体"/>
          <w:spacing w:val="44"/>
          <w:sz w:val="46"/>
          <w:szCs w:val="46"/>
          <w:lang w:eastAsia="zh-CN"/>
        </w:rPr>
      </w:pPr>
    </w:p>
    <w:p>
      <w:pPr>
        <w:pStyle w:val="3"/>
        <w:spacing w:before="150" w:line="294" w:lineRule="auto"/>
        <w:ind w:right="127" w:hanging="22"/>
        <w:jc w:val="center"/>
        <w:outlineLvl w:val="0"/>
        <w:rPr>
          <w:rFonts w:ascii="宋体" w:hAnsi="宋体" w:eastAsia="宋体"/>
          <w:spacing w:val="44"/>
          <w:sz w:val="46"/>
          <w:szCs w:val="46"/>
          <w:lang w:eastAsia="zh-CN"/>
        </w:rPr>
      </w:pPr>
      <w:r>
        <w:rPr>
          <w:rFonts w:ascii="宋体" w:hAnsi="宋体" w:eastAsia="宋体"/>
          <w:spacing w:val="44"/>
          <w:sz w:val="46"/>
          <w:szCs w:val="46"/>
        </w:rPr>
        <w:t>政府采购项目采购需求</w:t>
      </w:r>
    </w:p>
    <w:p>
      <w:pPr>
        <w:pStyle w:val="3"/>
        <w:spacing w:before="150" w:line="294" w:lineRule="auto"/>
        <w:ind w:right="127" w:hanging="22"/>
        <w:jc w:val="center"/>
        <w:outlineLvl w:val="0"/>
        <w:rPr>
          <w:rFonts w:ascii="宋体" w:hAnsi="宋体" w:eastAsia="宋体"/>
          <w:sz w:val="46"/>
          <w:szCs w:val="46"/>
        </w:rPr>
      </w:pPr>
      <w:r>
        <w:rPr>
          <w:rFonts w:ascii="宋体" w:hAnsi="宋体" w:eastAsia="宋体"/>
          <w:spacing w:val="32"/>
          <w:sz w:val="46"/>
          <w:szCs w:val="46"/>
        </w:rPr>
        <w:t>审查意见</w:t>
      </w:r>
    </w:p>
    <w:p>
      <w:pPr>
        <w:spacing w:line="263" w:lineRule="auto"/>
        <w:rPr>
          <w:rFonts w:ascii="宋体" w:hAnsi="宋体" w:eastAsia="宋体"/>
        </w:rPr>
      </w:pPr>
    </w:p>
    <w:p>
      <w:pPr>
        <w:spacing w:line="263" w:lineRule="auto"/>
        <w:rPr>
          <w:rFonts w:ascii="宋体" w:hAnsi="宋体" w:eastAsia="宋体"/>
        </w:rPr>
      </w:pPr>
    </w:p>
    <w:p>
      <w:pPr>
        <w:spacing w:line="263" w:lineRule="auto"/>
        <w:rPr>
          <w:rFonts w:ascii="宋体" w:hAnsi="宋体" w:eastAsia="宋体"/>
        </w:rPr>
      </w:pPr>
    </w:p>
    <w:p>
      <w:pPr>
        <w:spacing w:line="264" w:lineRule="auto"/>
        <w:rPr>
          <w:rFonts w:ascii="宋体" w:hAnsi="宋体" w:eastAsia="宋体"/>
        </w:rPr>
      </w:pPr>
    </w:p>
    <w:p>
      <w:pPr>
        <w:spacing w:line="264" w:lineRule="auto"/>
        <w:rPr>
          <w:rFonts w:ascii="宋体" w:hAnsi="宋体" w:eastAsia="宋体"/>
        </w:rPr>
      </w:pPr>
    </w:p>
    <w:p>
      <w:pPr>
        <w:spacing w:line="264" w:lineRule="auto"/>
        <w:rPr>
          <w:rFonts w:ascii="宋体" w:hAnsi="宋体" w:eastAsia="宋体"/>
        </w:rPr>
      </w:pPr>
    </w:p>
    <w:p>
      <w:pPr>
        <w:spacing w:line="264" w:lineRule="auto"/>
        <w:rPr>
          <w:rFonts w:ascii="宋体" w:hAnsi="宋体" w:eastAsia="宋体"/>
        </w:rPr>
      </w:pPr>
    </w:p>
    <w:p>
      <w:pPr>
        <w:spacing w:line="264" w:lineRule="auto"/>
        <w:rPr>
          <w:rFonts w:ascii="宋体" w:hAnsi="宋体" w:eastAsia="宋体"/>
        </w:rPr>
      </w:pPr>
    </w:p>
    <w:p>
      <w:pPr>
        <w:pStyle w:val="3"/>
        <w:spacing w:before="85" w:line="480" w:lineRule="auto"/>
        <w:ind w:left="1418" w:leftChars="675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  <w:r>
        <w:rPr>
          <w:rFonts w:ascii="宋体" w:hAnsi="宋体" w:eastAsia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宋体" w:hAnsi="宋体" w:eastAsia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舟山市普陀区殡葬管理所</w:t>
      </w:r>
    </w:p>
    <w:p>
      <w:pPr>
        <w:pStyle w:val="3"/>
        <w:spacing w:before="85" w:line="480" w:lineRule="auto"/>
        <w:ind w:left="1418" w:leftChars="675"/>
        <w:rPr>
          <w:rFonts w:ascii="宋体" w:hAnsi="宋体" w:eastAsia="宋体"/>
          <w:spacing w:val="4"/>
          <w:sz w:val="24"/>
          <w:szCs w:val="24"/>
        </w:rPr>
      </w:pPr>
      <w:r>
        <w:rPr>
          <w:rFonts w:ascii="宋体" w:hAnsi="宋体" w:eastAsia="宋体"/>
          <w:spacing w:val="10"/>
          <w:sz w:val="24"/>
          <w:szCs w:val="24"/>
        </w:rPr>
        <w:t>项目名称：</w:t>
      </w:r>
      <w:r>
        <w:rPr>
          <w:rFonts w:hint="eastAsia" w:ascii="宋体" w:hAnsi="宋体" w:eastAsia="宋体"/>
          <w:spacing w:val="10"/>
          <w:sz w:val="24"/>
          <w:szCs w:val="24"/>
        </w:rPr>
        <w:t>2025-2027年度舟山市普陀区海岛遗体专用船接运服务采购项目</w:t>
      </w:r>
    </w:p>
    <w:p>
      <w:pPr>
        <w:pStyle w:val="3"/>
        <w:spacing w:before="85" w:line="480" w:lineRule="auto"/>
        <w:ind w:left="1418" w:leftChars="675"/>
        <w:rPr>
          <w:rFonts w:ascii="宋体" w:hAnsi="宋体" w:eastAsia="宋体"/>
          <w:spacing w:val="4"/>
          <w:sz w:val="24"/>
          <w:szCs w:val="24"/>
        </w:rPr>
      </w:pPr>
      <w:r>
        <w:rPr>
          <w:rFonts w:hint="eastAsia" w:ascii="宋体" w:hAnsi="宋体" w:eastAsia="宋体"/>
          <w:spacing w:val="4"/>
          <w:sz w:val="24"/>
          <w:szCs w:val="24"/>
          <w:lang w:eastAsia="zh-CN"/>
        </w:rPr>
        <w:t>采购代理</w:t>
      </w:r>
      <w:r>
        <w:rPr>
          <w:rFonts w:ascii="宋体" w:hAnsi="宋体" w:eastAsia="宋体"/>
          <w:spacing w:val="4"/>
          <w:sz w:val="24"/>
          <w:szCs w:val="24"/>
        </w:rPr>
        <w:t>机构：</w:t>
      </w:r>
      <w:r>
        <w:rPr>
          <w:rFonts w:hint="eastAsia" w:ascii="宋体" w:hAnsi="宋体" w:eastAsia="宋体"/>
          <w:spacing w:val="4"/>
          <w:sz w:val="24"/>
          <w:szCs w:val="24"/>
          <w:lang w:eastAsia="zh-CN"/>
        </w:rPr>
        <w:t>舟山正大</w:t>
      </w:r>
      <w:r>
        <w:rPr>
          <w:rFonts w:ascii="宋体" w:hAnsi="宋体" w:eastAsia="宋体"/>
          <w:spacing w:val="4"/>
          <w:sz w:val="24"/>
          <w:szCs w:val="24"/>
        </w:rPr>
        <w:t>工程咨询有限公司</w:t>
      </w:r>
    </w:p>
    <w:p>
      <w:pPr>
        <w:pStyle w:val="3"/>
        <w:spacing w:before="85" w:line="480" w:lineRule="auto"/>
        <w:ind w:left="1418" w:leftChars="675"/>
        <w:rPr>
          <w:rFonts w:ascii="宋体" w:hAnsi="宋体" w:eastAsia="宋体"/>
          <w:spacing w:val="4"/>
          <w:sz w:val="24"/>
          <w:szCs w:val="24"/>
        </w:rPr>
      </w:pPr>
      <w:r>
        <w:rPr>
          <w:rFonts w:ascii="宋体" w:hAnsi="宋体" w:eastAsia="宋体"/>
          <w:spacing w:val="4"/>
          <w:sz w:val="24"/>
          <w:szCs w:val="24"/>
        </w:rPr>
        <w:t>审查时间：</w:t>
      </w:r>
      <w:r>
        <w:rPr>
          <w:rFonts w:hint="eastAsia" w:ascii="宋体" w:hAnsi="宋体" w:eastAsia="宋体"/>
          <w:spacing w:val="4"/>
          <w:sz w:val="24"/>
          <w:szCs w:val="24"/>
          <w:lang w:eastAsia="zh-CN"/>
        </w:rPr>
        <w:t>202</w:t>
      </w:r>
      <w:r>
        <w:rPr>
          <w:rFonts w:hint="eastAsia" w:ascii="宋体" w:hAnsi="宋体" w:eastAsia="宋体"/>
          <w:spacing w:val="4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pacing w:val="4"/>
          <w:sz w:val="24"/>
          <w:szCs w:val="24"/>
        </w:rPr>
        <w:t>年</w:t>
      </w:r>
      <w:r>
        <w:rPr>
          <w:rFonts w:hint="eastAsia" w:ascii="宋体" w:hAnsi="宋体" w:eastAsia="宋体"/>
          <w:spacing w:val="4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pacing w:val="4"/>
          <w:sz w:val="24"/>
          <w:szCs w:val="24"/>
        </w:rPr>
        <w:t>月</w:t>
      </w:r>
      <w:r>
        <w:rPr>
          <w:rFonts w:hint="eastAsia" w:ascii="宋体" w:hAnsi="宋体" w:eastAsia="宋体"/>
          <w:spacing w:val="4"/>
          <w:sz w:val="24"/>
          <w:szCs w:val="24"/>
          <w:lang w:val="en-US" w:eastAsia="zh-CN"/>
        </w:rPr>
        <w:t>25</w:t>
      </w:r>
      <w:r>
        <w:rPr>
          <w:rFonts w:ascii="宋体" w:hAnsi="宋体" w:eastAsia="宋体"/>
          <w:spacing w:val="4"/>
          <w:sz w:val="24"/>
          <w:szCs w:val="24"/>
        </w:rPr>
        <w:t>日</w:t>
      </w:r>
    </w:p>
    <w:p>
      <w:pPr>
        <w:spacing w:line="278" w:lineRule="auto"/>
        <w:rPr>
          <w:rFonts w:ascii="宋体" w:hAnsi="宋体" w:eastAsia="宋体"/>
        </w:rPr>
      </w:pPr>
    </w:p>
    <w:p>
      <w:pPr>
        <w:spacing w:line="278" w:lineRule="auto"/>
        <w:rPr>
          <w:rFonts w:ascii="宋体" w:hAnsi="宋体" w:eastAsia="宋体"/>
        </w:rPr>
      </w:pPr>
    </w:p>
    <w:p>
      <w:pPr>
        <w:spacing w:line="278" w:lineRule="auto"/>
        <w:rPr>
          <w:rFonts w:ascii="宋体" w:hAnsi="宋体" w:eastAsia="宋体"/>
        </w:rPr>
      </w:pPr>
    </w:p>
    <w:p>
      <w:pPr>
        <w:spacing w:line="279" w:lineRule="auto"/>
        <w:rPr>
          <w:rFonts w:ascii="宋体" w:hAnsi="宋体" w:eastAsia="宋体"/>
        </w:rPr>
      </w:pPr>
    </w:p>
    <w:p>
      <w:pPr>
        <w:spacing w:line="279" w:lineRule="auto"/>
        <w:rPr>
          <w:rFonts w:ascii="宋体" w:hAnsi="宋体" w:eastAsia="宋体"/>
        </w:rPr>
      </w:pPr>
    </w:p>
    <w:p>
      <w:pPr>
        <w:kinsoku/>
        <w:autoSpaceDE/>
        <w:autoSpaceDN/>
        <w:adjustRightInd/>
        <w:snapToGrid/>
        <w:textAlignment w:val="auto"/>
        <w:rPr>
          <w:rFonts w:ascii="宋体" w:hAnsi="宋体" w:eastAsia="宋体" w:cs="宋体"/>
          <w:b/>
          <w:bCs/>
          <w:spacing w:val="1"/>
          <w:sz w:val="27"/>
          <w:szCs w:val="27"/>
        </w:rPr>
      </w:pPr>
      <w:r>
        <w:rPr>
          <w:rFonts w:ascii="宋体" w:hAnsi="宋体" w:eastAsia="宋体" w:cs="宋体"/>
          <w:b/>
          <w:bCs/>
          <w:spacing w:val="1"/>
          <w:sz w:val="27"/>
          <w:szCs w:val="27"/>
        </w:rPr>
        <w:br w:type="page"/>
      </w:r>
    </w:p>
    <w:p>
      <w:pPr>
        <w:spacing w:before="87" w:line="220" w:lineRule="auto"/>
        <w:ind w:left="258"/>
        <w:outlineLvl w:val="0"/>
        <w:rPr>
          <w:rFonts w:ascii="宋体" w:hAnsi="宋体" w:eastAsia="宋体" w:cs="宋体"/>
          <w:b/>
          <w:bCs/>
          <w:spacing w:val="1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一、审查项目名称</w:t>
      </w:r>
    </w:p>
    <w:p>
      <w:pPr>
        <w:rPr>
          <w:rFonts w:ascii="宋体" w:hAnsi="宋体" w:eastAsia="宋体"/>
        </w:rPr>
      </w:pPr>
    </w:p>
    <w:p>
      <w:pPr>
        <w:spacing w:before="75" w:line="219" w:lineRule="auto"/>
        <w:ind w:left="255"/>
        <w:rPr>
          <w:rFonts w:ascii="宋体" w:hAnsi="宋体" w:eastAsia="宋体" w:cs="宋体"/>
          <w:spacing w:val="7"/>
        </w:rPr>
      </w:pPr>
      <w:r>
        <w:rPr>
          <w:rFonts w:ascii="宋体" w:hAnsi="宋体" w:eastAsia="宋体" w:cs="宋体"/>
          <w:spacing w:val="7"/>
        </w:rPr>
        <w:t>项目名称：</w:t>
      </w:r>
      <w:r>
        <w:rPr>
          <w:rFonts w:hint="eastAsia" w:ascii="宋体" w:hAnsi="宋体" w:eastAsia="宋体" w:cs="宋体"/>
          <w:spacing w:val="7"/>
        </w:rPr>
        <w:t>2025-2027年度舟山市普陀区海岛遗体专用船接运服务采购项目</w:t>
      </w:r>
    </w:p>
    <w:p>
      <w:pPr>
        <w:spacing w:before="87" w:line="220" w:lineRule="auto"/>
        <w:ind w:left="258"/>
        <w:outlineLvl w:val="0"/>
        <w:rPr>
          <w:rFonts w:ascii="宋体" w:hAnsi="宋体" w:eastAsia="宋体" w:cs="宋体"/>
          <w:b/>
          <w:bCs/>
          <w:spacing w:val="1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二、参与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eastAsia="zh-CN"/>
        </w:rPr>
        <w:t>采购需求</w:t>
      </w: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审查人员名单</w:t>
      </w:r>
    </w:p>
    <w:p>
      <w:pPr>
        <w:spacing w:line="135" w:lineRule="exact"/>
        <w:rPr>
          <w:rFonts w:ascii="宋体" w:hAnsi="宋体" w:eastAsia="宋体"/>
        </w:rPr>
      </w:pPr>
    </w:p>
    <w:tbl>
      <w:tblPr>
        <w:tblStyle w:val="8"/>
        <w:tblW w:w="86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6"/>
        <w:gridCol w:w="2693"/>
        <w:gridCol w:w="2460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pStyle w:val="9"/>
              <w:spacing w:before="125" w:line="221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pStyle w:val="9"/>
              <w:spacing w:before="124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pStyle w:val="9"/>
              <w:spacing w:before="125" w:line="220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2460" w:type="dxa"/>
            <w:vAlign w:val="center"/>
          </w:tcPr>
          <w:p>
            <w:pPr>
              <w:pStyle w:val="9"/>
              <w:spacing w:before="124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职务/职称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125" w:line="221" w:lineRule="auto"/>
              <w:ind w:left="9"/>
              <w:jc w:val="center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 xml:space="preserve">余锡 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舟山市海洋行政执法大队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轮机长（大管轮）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施有根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 xml:space="preserve">舟山航海学校 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高级讲师（中专）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 xml:space="preserve">曹志斌 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 xml:space="preserve">舟山海驰船舶技术有限公司 </w:t>
            </w:r>
            <w:bookmarkStart w:id="0" w:name="_GoBack"/>
            <w:bookmarkEnd w:id="0"/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 xml:space="preserve">高级工程师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before="75" w:line="219" w:lineRule="auto"/>
        <w:ind w:left="255"/>
        <w:rPr>
          <w:rFonts w:ascii="宋体" w:hAnsi="宋体" w:eastAsia="宋体" w:cs="宋体"/>
          <w:spacing w:val="7"/>
        </w:rPr>
      </w:pPr>
    </w:p>
    <w:p>
      <w:pPr>
        <w:spacing w:before="87" w:line="220" w:lineRule="auto"/>
        <w:ind w:left="258"/>
        <w:outlineLvl w:val="0"/>
        <w:rPr>
          <w:rFonts w:ascii="宋体" w:hAnsi="宋体" w:eastAsia="宋体" w:cs="宋体"/>
          <w:b/>
          <w:bCs/>
          <w:spacing w:val="1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三、 一般性审查情况</w:t>
      </w:r>
    </w:p>
    <w:tbl>
      <w:tblPr>
        <w:tblStyle w:val="6"/>
        <w:tblW w:w="9108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331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2" w:type="dxa"/>
            <w:gridSpan w:val="2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21"/>
                <w:sz w:val="21"/>
                <w:szCs w:val="21"/>
              </w:rPr>
              <w:t>审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1"/>
                <w:sz w:val="21"/>
                <w:szCs w:val="21"/>
              </w:rPr>
              <w:t>查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1"/>
                <w:sz w:val="21"/>
                <w:szCs w:val="21"/>
              </w:rPr>
              <w:t>内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1"/>
                <w:sz w:val="21"/>
                <w:szCs w:val="21"/>
              </w:rPr>
              <w:t>容</w:t>
            </w:r>
          </w:p>
        </w:tc>
        <w:tc>
          <w:tcPr>
            <w:tcW w:w="3036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bCs/>
                <w:spacing w:val="-21"/>
                <w:sz w:val="21"/>
                <w:szCs w:val="21"/>
              </w:rPr>
            </w:pPr>
            <w:r>
              <w:rPr>
                <w:bCs/>
                <w:spacing w:val="-21"/>
                <w:sz w:val="21"/>
                <w:szCs w:val="21"/>
              </w:rPr>
              <w:t>1</w:t>
            </w:r>
          </w:p>
        </w:tc>
        <w:tc>
          <w:tcPr>
            <w:tcW w:w="5331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采购需求是否符合预算、资产、财务等管理制度规定。</w:t>
            </w:r>
          </w:p>
        </w:tc>
        <w:tc>
          <w:tcPr>
            <w:tcW w:w="3036" w:type="dxa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pacing w:val="-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rFonts w:ascii="宋体" w:hAnsi="宋体" w:eastAsia="宋体" w:cs="MS Gothic"/>
              </w:rPr>
              <w:t>是</w:t>
            </w:r>
            <w:r>
              <w:rPr>
                <w:rFonts w:hint="eastAsia" w:ascii="宋体" w:hAnsi="宋体" w:eastAsia="宋体" w:cs="MS Gothic"/>
              </w:rPr>
              <w:t xml:space="preserve">  </w:t>
            </w:r>
            <w:r>
              <w:rPr>
                <w:rFonts w:hint="eastAsia" w:ascii="宋体" w:hAnsi="宋体" w:eastAsia="宋体" w:cs="MS Gothic"/>
                <w:lang w:eastAsia="zh-CN"/>
              </w:rPr>
              <w:t xml:space="preserve">  </w:t>
            </w:r>
            <w:r>
              <w:rPr>
                <w:rFonts w:ascii="宋体" w:hAnsi="宋体" w:eastAsia="宋体" w:cs="MS Gothic"/>
              </w:rPr>
              <w:t xml:space="preserve">□否 </w:t>
            </w:r>
            <w:r>
              <w:rPr>
                <w:rFonts w:hint="eastAsia" w:ascii="宋体" w:hAnsi="宋体" w:eastAsia="宋体" w:cs="MS Gothic"/>
                <w:lang w:eastAsia="zh-CN"/>
              </w:rPr>
              <w:t xml:space="preserve"> </w:t>
            </w:r>
            <w:r>
              <w:rPr>
                <w:rFonts w:ascii="宋体" w:hAnsi="宋体" w:eastAsia="宋体" w:cs="MS Gothic"/>
              </w:rPr>
              <w:t xml:space="preserve">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bCs/>
                <w:spacing w:val="-21"/>
                <w:sz w:val="21"/>
                <w:szCs w:val="21"/>
              </w:rPr>
            </w:pPr>
            <w:r>
              <w:rPr>
                <w:bCs/>
                <w:spacing w:val="-21"/>
                <w:sz w:val="21"/>
                <w:szCs w:val="21"/>
              </w:rPr>
              <w:t>2</w:t>
            </w:r>
          </w:p>
        </w:tc>
        <w:tc>
          <w:tcPr>
            <w:tcW w:w="5331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对采购方式、评审规则、合同类型、定价方式的选择是否说明适用理由。</w:t>
            </w:r>
          </w:p>
        </w:tc>
        <w:tc>
          <w:tcPr>
            <w:tcW w:w="3036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 xml:space="preserve">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□否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bCs/>
                <w:spacing w:val="-21"/>
                <w:sz w:val="21"/>
                <w:szCs w:val="21"/>
              </w:rPr>
            </w:pPr>
            <w:r>
              <w:rPr>
                <w:bCs/>
                <w:spacing w:val="-21"/>
                <w:sz w:val="21"/>
                <w:szCs w:val="21"/>
              </w:rPr>
              <w:t>3</w:t>
            </w:r>
          </w:p>
        </w:tc>
        <w:tc>
          <w:tcPr>
            <w:tcW w:w="5331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属于按规定需要报相关监管部门批准、核准的事项，是否作出相关安排。</w:t>
            </w:r>
          </w:p>
        </w:tc>
        <w:tc>
          <w:tcPr>
            <w:tcW w:w="3036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□否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bCs/>
                <w:spacing w:val="-21"/>
                <w:sz w:val="21"/>
                <w:szCs w:val="21"/>
              </w:rPr>
            </w:pPr>
            <w:r>
              <w:rPr>
                <w:bCs/>
                <w:spacing w:val="-21"/>
                <w:sz w:val="21"/>
                <w:szCs w:val="21"/>
              </w:rPr>
              <w:t>4</w:t>
            </w:r>
          </w:p>
        </w:tc>
        <w:tc>
          <w:tcPr>
            <w:tcW w:w="5331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采购实施计划是否完整。</w:t>
            </w:r>
          </w:p>
        </w:tc>
        <w:tc>
          <w:tcPr>
            <w:tcW w:w="3036" w:type="dxa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□否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□不适用</w:t>
            </w:r>
          </w:p>
        </w:tc>
      </w:tr>
    </w:tbl>
    <w:p>
      <w:pPr>
        <w:spacing w:line="135" w:lineRule="exact"/>
        <w:rPr>
          <w:rFonts w:ascii="宋体" w:hAnsi="宋体" w:eastAsia="宋体"/>
        </w:rPr>
      </w:pPr>
    </w:p>
    <w:p>
      <w:pPr>
        <w:spacing w:before="75" w:line="219" w:lineRule="auto"/>
        <w:ind w:left="255"/>
        <w:rPr>
          <w:rFonts w:ascii="宋体" w:hAnsi="宋体" w:eastAsia="宋体" w:cs="宋体"/>
          <w:spacing w:val="7"/>
        </w:rPr>
      </w:pPr>
    </w:p>
    <w:p>
      <w:pPr>
        <w:spacing w:before="87" w:line="220" w:lineRule="auto"/>
        <w:ind w:left="258"/>
        <w:outlineLvl w:val="0"/>
        <w:rPr>
          <w:rFonts w:ascii="宋体" w:hAnsi="宋体" w:eastAsia="宋体" w:cs="宋体"/>
          <w:b/>
          <w:bCs/>
          <w:spacing w:val="1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四、 重点审查情况</w:t>
      </w:r>
    </w:p>
    <w:tbl>
      <w:tblPr>
        <w:tblStyle w:val="6"/>
        <w:tblW w:w="9071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4493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047" w:type="dxa"/>
            <w:gridSpan w:val="2"/>
            <w:vAlign w:val="center"/>
          </w:tcPr>
          <w:p>
            <w:pPr>
              <w:pStyle w:val="9"/>
              <w:spacing w:line="219" w:lineRule="auto"/>
              <w:ind w:left="-11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23"/>
                <w:sz w:val="21"/>
                <w:szCs w:val="21"/>
              </w:rPr>
              <w:t>审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3"/>
                <w:sz w:val="21"/>
                <w:szCs w:val="21"/>
              </w:rPr>
              <w:t>查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3"/>
                <w:sz w:val="21"/>
                <w:szCs w:val="21"/>
              </w:rPr>
              <w:t>内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3"/>
                <w:sz w:val="21"/>
                <w:szCs w:val="21"/>
              </w:rPr>
              <w:t>容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220" w:lineRule="auto"/>
              <w:ind w:left="-65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(一)非歧视性审查(主要审查是否指向特定供应商或者特定产品 )</w:t>
            </w: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资格条件设置是否合理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  口否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9"/>
              <w:spacing w:line="219" w:lineRule="auto"/>
              <w:ind w:left="-113"/>
              <w:jc w:val="center"/>
              <w:rPr>
                <w:spacing w:val="10"/>
                <w:sz w:val="21"/>
                <w:szCs w:val="21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要求供应商提供超过2个同类业务合同的，是否具有合理性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  □否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9"/>
              <w:spacing w:line="219" w:lineRule="auto"/>
              <w:ind w:left="-113"/>
              <w:jc w:val="center"/>
              <w:rPr>
                <w:spacing w:val="10"/>
                <w:sz w:val="21"/>
                <w:szCs w:val="21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技术要求是否指向特定的专利、商标、品牌、技术路线等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□是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9"/>
              <w:spacing w:line="219" w:lineRule="auto"/>
              <w:ind w:left="-113"/>
              <w:jc w:val="center"/>
              <w:rPr>
                <w:spacing w:val="10"/>
                <w:sz w:val="21"/>
                <w:szCs w:val="21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评审因素设置是否具有倾向性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 xml:space="preserve">□是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9"/>
              <w:spacing w:line="219" w:lineRule="auto"/>
              <w:ind w:left="-113"/>
              <w:jc w:val="center"/>
              <w:rPr>
                <w:spacing w:val="10"/>
                <w:sz w:val="21"/>
                <w:szCs w:val="21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将有关履约能力作为评审因素是否适当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(二)竞争性审  查(主要审查是否确保充分竞争 )</w:t>
            </w: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应当以公开方式邀请供应商的，是否依法采用公开竞争方式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  □否  口不适用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采用单一来源采购方式的，是否符合法定情形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□是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采购需求的内容是否完整、明确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采购需求的内容是否考虑后续采购竞争性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  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评审方法、评审因素、价格权重等评审规则是否适当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(三)采购政策审查</w:t>
            </w: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进口产品的采购是否必要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□是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rFonts w:hint="eastAsia" w:ascii="MS Gothic" w:hAnsi="MS Gothic" w:eastAsia="宋体" w:cs="MS Gothic"/>
                <w:spacing w:val="10"/>
                <w:sz w:val="21"/>
                <w:szCs w:val="21"/>
                <w:lang w:eastAsia="zh-CN"/>
              </w:rPr>
              <w:t>□</w:t>
            </w:r>
            <w:r>
              <w:rPr>
                <w:spacing w:val="10"/>
                <w:sz w:val="21"/>
                <w:szCs w:val="21"/>
              </w:rPr>
              <w:t>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☑</w:t>
            </w:r>
            <w:r>
              <w:rPr>
                <w:spacing w:val="1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是否落实支持创新政府采购政策要求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是否落实绿色发展、节能环保政府采购政策要求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pacing w:val="10"/>
                <w:sz w:val="21"/>
                <w:szCs w:val="21"/>
              </w:rPr>
              <w:t>☑</w:t>
            </w:r>
            <w:r>
              <w:rPr>
                <w:spacing w:val="10"/>
                <w:sz w:val="21"/>
                <w:szCs w:val="21"/>
              </w:rPr>
              <w:t>是  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是否落实中小企业发展政府采购政策要求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pacing w:val="10"/>
                <w:sz w:val="21"/>
                <w:szCs w:val="21"/>
              </w:rPr>
              <w:t>☑</w:t>
            </w:r>
            <w:r>
              <w:rPr>
                <w:spacing w:val="10"/>
                <w:sz w:val="21"/>
                <w:szCs w:val="21"/>
              </w:rPr>
              <w:t xml:space="preserve">是  □否  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□</w:t>
            </w:r>
            <w:r>
              <w:rPr>
                <w:spacing w:val="1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是否落实支持监狱发展政府采购政策要求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pacing w:val="10"/>
                <w:sz w:val="21"/>
                <w:szCs w:val="21"/>
              </w:rPr>
              <w:t>☑</w:t>
            </w:r>
            <w:r>
              <w:rPr>
                <w:spacing w:val="10"/>
                <w:sz w:val="21"/>
                <w:szCs w:val="21"/>
              </w:rPr>
              <w:t xml:space="preserve">是  □否  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□</w:t>
            </w:r>
            <w:r>
              <w:rPr>
                <w:spacing w:val="1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是否落实促进残疾人就业政府采购政策要求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pacing w:val="10"/>
                <w:sz w:val="21"/>
                <w:szCs w:val="21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□</w:t>
            </w:r>
            <w:r>
              <w:rPr>
                <w:spacing w:val="1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(四)履约风险审查</w:t>
            </w: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  <w:highlight w:val="none"/>
              </w:rPr>
            </w:pPr>
            <w:r>
              <w:rPr>
                <w:spacing w:val="10"/>
                <w:sz w:val="21"/>
                <w:szCs w:val="21"/>
                <w:highlight w:val="none"/>
              </w:rPr>
              <w:t>合同文本是否按规定由法律顾问审定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MS Gothic"/>
                <w:highlight w:val="none"/>
              </w:rPr>
              <w:t>☑</w:t>
            </w:r>
            <w:r>
              <w:rPr>
                <w:spacing w:val="10"/>
                <w:sz w:val="21"/>
                <w:szCs w:val="21"/>
                <w:highlight w:val="none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  <w:highlight w:val="none"/>
              </w:rPr>
              <w:t xml:space="preserve"> </w:t>
            </w:r>
            <w:r>
              <w:rPr>
                <w:spacing w:val="10"/>
                <w:sz w:val="21"/>
                <w:szCs w:val="21"/>
                <w:highlight w:val="none"/>
              </w:rPr>
              <w:t xml:space="preserve"> 口否</w:t>
            </w:r>
            <w:r>
              <w:rPr>
                <w:rFonts w:hint="eastAsia"/>
                <w:spacing w:val="10"/>
                <w:sz w:val="21"/>
                <w:szCs w:val="21"/>
                <w:highlight w:val="none"/>
              </w:rPr>
              <w:t xml:space="preserve">  </w:t>
            </w:r>
            <w:r>
              <w:rPr>
                <w:spacing w:val="10"/>
                <w:sz w:val="21"/>
                <w:szCs w:val="21"/>
                <w:highlight w:val="none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合同文本运用是否适当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是否围绕采购需求和合同履行设置权利义务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是否明确知识产权等方面的要求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  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履约验收方案是否完整、标准是否明确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 xml:space="preserve">是 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口否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10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  <w:highlight w:val="none"/>
              </w:rPr>
            </w:pPr>
            <w:r>
              <w:rPr>
                <w:spacing w:val="10"/>
                <w:sz w:val="21"/>
                <w:szCs w:val="21"/>
                <w:highlight w:val="none"/>
              </w:rPr>
              <w:t>风险处置措施和替代方案是否可行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  <w:highlight w:val="none"/>
              </w:rPr>
            </w:pPr>
            <w:r>
              <w:rPr>
                <w:rFonts w:hint="eastAsia" w:ascii="MS Gothic" w:hAnsi="MS Gothic" w:eastAsia="MS Gothic" w:cs="MS Gothic"/>
                <w:highlight w:val="none"/>
              </w:rPr>
              <w:t>☑</w:t>
            </w:r>
            <w:r>
              <w:rPr>
                <w:spacing w:val="10"/>
                <w:sz w:val="21"/>
                <w:szCs w:val="21"/>
                <w:highlight w:val="none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  <w:highlight w:val="none"/>
              </w:rPr>
              <w:t xml:space="preserve">  </w:t>
            </w:r>
            <w:r>
              <w:rPr>
                <w:spacing w:val="10"/>
                <w:sz w:val="21"/>
                <w:szCs w:val="21"/>
                <w:highlight w:val="none"/>
              </w:rPr>
              <w:t>□否</w:t>
            </w:r>
            <w:r>
              <w:rPr>
                <w:rFonts w:hint="eastAsia"/>
                <w:spacing w:val="10"/>
                <w:sz w:val="21"/>
                <w:szCs w:val="21"/>
                <w:highlight w:val="none"/>
              </w:rPr>
              <w:t xml:space="preserve">  </w:t>
            </w:r>
            <w:r>
              <w:rPr>
                <w:spacing w:val="10"/>
                <w:sz w:val="21"/>
                <w:szCs w:val="21"/>
                <w:highlight w:val="none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pStyle w:val="9"/>
              <w:spacing w:line="360" w:lineRule="exact"/>
              <w:ind w:left="-76"/>
              <w:jc w:val="center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(五)采购人或  者主管预算单位认为应当审查的其他内容</w:t>
            </w: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采购人或者主管预算单位认为应当审查的其他内容1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：</w:t>
            </w:r>
            <w:r>
              <w:rPr>
                <w:spacing w:val="10"/>
                <w:sz w:val="21"/>
                <w:szCs w:val="21"/>
              </w:rPr>
              <w:t>付款方式是否合理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  口不适用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7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采购人或者主管预算单位认为应当审查的其他内容2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：</w:t>
            </w:r>
            <w:r>
              <w:rPr>
                <w:spacing w:val="10"/>
                <w:sz w:val="21"/>
                <w:szCs w:val="21"/>
              </w:rPr>
              <w:t>履约保证金设置是否合理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7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采购人或者主管预算单位认为应当审查的其他内容3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：</w:t>
            </w:r>
            <w:r>
              <w:rPr>
                <w:spacing w:val="10"/>
                <w:sz w:val="21"/>
                <w:szCs w:val="21"/>
              </w:rPr>
              <w:t>质保期要求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口是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 xml:space="preserve">□否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pacing w:val="7"/>
              </w:rPr>
            </w:pPr>
          </w:p>
        </w:tc>
        <w:tc>
          <w:tcPr>
            <w:tcW w:w="4493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</w:rPr>
              <w:t>采购人或者主管预算单位认为应当审查的其他内容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4：售后要求是否合理</w:t>
            </w:r>
          </w:p>
        </w:tc>
        <w:tc>
          <w:tcPr>
            <w:tcW w:w="3024" w:type="dxa"/>
            <w:vAlign w:val="center"/>
          </w:tcPr>
          <w:p>
            <w:pPr>
              <w:pStyle w:val="9"/>
              <w:spacing w:line="360" w:lineRule="exact"/>
              <w:ind w:left="-76"/>
              <w:jc w:val="both"/>
              <w:rPr>
                <w:spacing w:val="10"/>
                <w:sz w:val="21"/>
                <w:szCs w:val="21"/>
              </w:rPr>
            </w:pPr>
            <w:r>
              <w:rPr>
                <w:rFonts w:hint="eastAsia" w:ascii="MS Gothic" w:hAnsi="MS Gothic" w:eastAsia="宋体" w:cs="MS Gothic"/>
                <w:lang w:eastAsia="zh-CN"/>
              </w:rPr>
              <w:t>□</w:t>
            </w:r>
            <w:r>
              <w:rPr>
                <w:spacing w:val="10"/>
                <w:sz w:val="21"/>
                <w:szCs w:val="21"/>
              </w:rPr>
              <w:t>是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□否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spacing w:val="10"/>
                <w:sz w:val="21"/>
                <w:szCs w:val="21"/>
              </w:rPr>
              <w:t>不适用</w:t>
            </w:r>
          </w:p>
        </w:tc>
      </w:tr>
    </w:tbl>
    <w:p>
      <w:pPr>
        <w:spacing w:before="78" w:line="225" w:lineRule="auto"/>
        <w:ind w:left="214"/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</w:pPr>
    </w:p>
    <w:p>
      <w:pPr>
        <w:spacing w:before="78" w:line="225" w:lineRule="auto"/>
        <w:ind w:left="2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 xml:space="preserve">审查结果：   </w:t>
      </w:r>
      <w:r>
        <w:rPr>
          <w:rFonts w:hint="eastAsia" w:ascii="MS Gothic" w:hAnsi="MS Gothic" w:eastAsia="MS Gothic" w:cs="MS Gothic"/>
          <w:spacing w:val="-10"/>
          <w:sz w:val="24"/>
          <w:szCs w:val="24"/>
        </w:rPr>
        <w:t>☑</w:t>
      </w:r>
      <w:r>
        <w:rPr>
          <w:rFonts w:ascii="宋体" w:hAnsi="宋体" w:eastAsia="宋体" w:cs="宋体"/>
          <w:spacing w:val="-10"/>
          <w:sz w:val="24"/>
          <w:szCs w:val="24"/>
        </w:rPr>
        <w:t>通过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0"/>
          <w:sz w:val="24"/>
          <w:szCs w:val="24"/>
        </w:rPr>
        <w:t>□不通过</w:t>
      </w:r>
    </w:p>
    <w:sectPr>
      <w:footerReference r:id="rId3" w:type="default"/>
      <w:pgSz w:w="11900" w:h="16820"/>
      <w:pgMar w:top="1429" w:right="1065" w:bottom="1492" w:left="1705" w:header="0" w:footer="13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24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Q3YjY5ODEzZWJiNDY5MWJlNzA5YWU2N2VhNWY4MzcifQ=="/>
  </w:docVars>
  <w:rsids>
    <w:rsidRoot w:val="00A34DF5"/>
    <w:rsid w:val="001473B3"/>
    <w:rsid w:val="003D7B5B"/>
    <w:rsid w:val="00450C48"/>
    <w:rsid w:val="006106C7"/>
    <w:rsid w:val="00726F5D"/>
    <w:rsid w:val="009B3CD8"/>
    <w:rsid w:val="00A12078"/>
    <w:rsid w:val="00A34DF5"/>
    <w:rsid w:val="00B27C57"/>
    <w:rsid w:val="00B52CB0"/>
    <w:rsid w:val="00F94C8C"/>
    <w:rsid w:val="174934F3"/>
    <w:rsid w:val="32591BF1"/>
    <w:rsid w:val="3A66729A"/>
    <w:rsid w:val="3B1D63C3"/>
    <w:rsid w:val="40693221"/>
    <w:rsid w:val="42347E69"/>
    <w:rsid w:val="44930831"/>
    <w:rsid w:val="45EF7FFA"/>
    <w:rsid w:val="4CC41A48"/>
    <w:rsid w:val="572D3987"/>
    <w:rsid w:val="5A5D2879"/>
    <w:rsid w:val="5B1D43C3"/>
    <w:rsid w:val="5B5C5237"/>
    <w:rsid w:val="5BB10BFF"/>
    <w:rsid w:val="6E68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0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1194</Words>
  <Characters>1198</Characters>
  <Lines>11</Lines>
  <Paragraphs>3</Paragraphs>
  <TotalTime>0</TotalTime>
  <ScaleCrop>false</ScaleCrop>
  <LinksUpToDate>false</LinksUpToDate>
  <CharactersWithSpaces>1353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2024-03-15T10:12:00Z</dcterms:created>
  <dc:creator>Administrator</dc:creator>
  <cp:lastModifiedBy>NTKO</cp:lastModifiedBy>
  <dcterms:modified xsi:type="dcterms:W3CDTF">2025-04-25T10:15:11Z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2024-03-15T10:12:55Z</vt:filetime>
  </property>
  <property fmtid="{D5CDD505-2E9C-101B-9397-08002B2CF9AE}" pid="4" name="UsrData">
    <vt:lpwstr>65f3aea4061220001f4ca781wl</vt:lpwstr>
  </property>
  <property fmtid="{D5CDD505-2E9C-101B-9397-08002B2CF9AE}" pid="5" name="KSOProductBuildVer">
    <vt:lpwstr>2052-11.8.2.8411</vt:lpwstr>
  </property>
  <property fmtid="{D5CDD505-2E9C-101B-9397-08002B2CF9AE}" pid="6" name="ICV">
    <vt:lpwstr>EEECB519C953473C8346EBD69D393ABC_12</vt:lpwstr>
  </property>
</Properties>
</file>