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6"/>
        <w:rPr>
          <w:rFonts w:hint="eastAsia" w:ascii="宋体" w:hAnsi="宋体" w:eastAsia="宋体" w:cs="宋体"/>
          <w:sz w:val="32"/>
          <w:szCs w:val="32"/>
        </w:rPr>
      </w:pPr>
      <w:r>
        <w:rPr>
          <w:rFonts w:hint="eastAsia" w:ascii="宋体" w:hAnsi="宋体" w:eastAsia="宋体" w:cs="宋体"/>
          <w:sz w:val="32"/>
          <w:szCs w:val="32"/>
        </w:rPr>
        <w:t>商务要求</w:t>
      </w:r>
    </w:p>
    <w:tbl>
      <w:tblPr>
        <w:tblStyle w:val="9"/>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25"/>
        <w:gridCol w:w="6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1" w:type="dxa"/>
            <w:shd w:val="clear" w:color="auto" w:fill="EEECE1"/>
          </w:tcPr>
          <w:p>
            <w:pPr>
              <w:spacing w:line="480" w:lineRule="exact"/>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425" w:type="dxa"/>
            <w:shd w:val="clear" w:color="auto" w:fill="EEECE1"/>
          </w:tcPr>
          <w:p>
            <w:pPr>
              <w:spacing w:line="480" w:lineRule="exact"/>
              <w:jc w:val="center"/>
              <w:rPr>
                <w:rFonts w:hint="eastAsia" w:ascii="宋体" w:hAnsi="宋体" w:eastAsia="宋体" w:cs="宋体"/>
                <w:b/>
                <w:sz w:val="21"/>
                <w:szCs w:val="21"/>
              </w:rPr>
            </w:pPr>
            <w:r>
              <w:rPr>
                <w:rFonts w:hint="eastAsia" w:ascii="宋体" w:hAnsi="宋体" w:eastAsia="宋体" w:cs="宋体"/>
                <w:b/>
                <w:sz w:val="21"/>
                <w:szCs w:val="21"/>
              </w:rPr>
              <w:t>内容</w:t>
            </w:r>
          </w:p>
        </w:tc>
        <w:tc>
          <w:tcPr>
            <w:tcW w:w="6938" w:type="dxa"/>
            <w:shd w:val="clear" w:color="auto" w:fill="EEECE1"/>
          </w:tcPr>
          <w:p>
            <w:pPr>
              <w:spacing w:line="480" w:lineRule="exact"/>
              <w:jc w:val="center"/>
              <w:rPr>
                <w:rFonts w:hint="eastAsia" w:ascii="宋体" w:hAnsi="宋体" w:eastAsia="宋体" w:cs="宋体"/>
                <w:b/>
                <w:sz w:val="21"/>
                <w:szCs w:val="21"/>
              </w:rPr>
            </w:pPr>
            <w:r>
              <w:rPr>
                <w:rFonts w:hint="eastAsia" w:ascii="宋体" w:hAnsi="宋体" w:eastAsia="宋体" w:cs="宋体"/>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1" w:type="dxa"/>
          </w:tcPr>
          <w:p>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425" w:type="dxa"/>
          </w:tcPr>
          <w:p>
            <w:pPr>
              <w:spacing w:line="48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预算金额</w:t>
            </w:r>
          </w:p>
        </w:tc>
        <w:tc>
          <w:tcPr>
            <w:tcW w:w="6938" w:type="dxa"/>
            <w:vAlign w:val="center"/>
          </w:tcPr>
          <w:p>
            <w:pPr>
              <w:spacing w:line="240" w:lineRule="auto"/>
              <w:jc w:val="both"/>
              <w:rPr>
                <w:rFonts w:hint="eastAsia"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1"/>
                <w:szCs w:val="21"/>
                <w:highlight w:val="none"/>
                <w:lang w:val="en-US" w:eastAsia="zh-CN" w:bidi="ar-SA"/>
                <w14:textFill>
                  <w14:solidFill>
                    <w14:schemeClr w14:val="tx1"/>
                  </w14:solidFill>
                </w14:textFill>
              </w:rPr>
              <w:t>总预算12300000（最终以采购公告为准）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1" w:type="dxa"/>
          </w:tcPr>
          <w:p>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1425" w:type="dxa"/>
          </w:tcPr>
          <w:p>
            <w:pPr>
              <w:spacing w:line="480" w:lineRule="exact"/>
              <w:rPr>
                <w:rFonts w:hint="eastAsia" w:ascii="宋体" w:hAnsi="宋体" w:eastAsia="宋体" w:cs="宋体"/>
                <w:b/>
                <w:bCs/>
                <w:sz w:val="21"/>
                <w:szCs w:val="21"/>
              </w:rPr>
            </w:pPr>
            <w:r>
              <w:rPr>
                <w:rFonts w:hint="eastAsia" w:ascii="宋体" w:hAnsi="宋体" w:eastAsia="宋体" w:cs="宋体"/>
                <w:b/>
                <w:bCs/>
                <w:sz w:val="21"/>
                <w:szCs w:val="21"/>
              </w:rPr>
              <w:t>服务期限</w:t>
            </w:r>
          </w:p>
        </w:tc>
        <w:tc>
          <w:tcPr>
            <w:tcW w:w="6938" w:type="dxa"/>
            <w:vAlign w:val="center"/>
          </w:tcPr>
          <w:p>
            <w:pPr>
              <w:spacing w:line="240" w:lineRule="auto"/>
              <w:jc w:val="both"/>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自合同签订之日起三年，合同一年一签。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1" w:type="dxa"/>
          </w:tcPr>
          <w:p>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1425" w:type="dxa"/>
          </w:tcPr>
          <w:p>
            <w:pPr>
              <w:spacing w:line="480" w:lineRule="exact"/>
              <w:rPr>
                <w:rFonts w:hint="eastAsia" w:ascii="宋体" w:hAnsi="宋体" w:eastAsia="宋体" w:cs="宋体"/>
                <w:b/>
                <w:bCs/>
                <w:sz w:val="21"/>
                <w:szCs w:val="21"/>
              </w:rPr>
            </w:pPr>
            <w:r>
              <w:rPr>
                <w:rFonts w:hint="eastAsia" w:ascii="宋体" w:hAnsi="宋体" w:eastAsia="宋体" w:cs="宋体"/>
                <w:b/>
                <w:bCs/>
                <w:sz w:val="21"/>
                <w:szCs w:val="21"/>
              </w:rPr>
              <w:t>履约地点</w:t>
            </w:r>
          </w:p>
        </w:tc>
        <w:tc>
          <w:tcPr>
            <w:tcW w:w="6938" w:type="dxa"/>
            <w:vAlign w:val="center"/>
          </w:tcPr>
          <w:p>
            <w:pPr>
              <w:spacing w:line="240" w:lineRule="auto"/>
              <w:jc w:val="both"/>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舟山市普陀区。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1" w:type="dxa"/>
          </w:tcPr>
          <w:p>
            <w:pPr>
              <w:spacing w:line="48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p>
        </w:tc>
        <w:tc>
          <w:tcPr>
            <w:tcW w:w="1425" w:type="dxa"/>
          </w:tcPr>
          <w:p>
            <w:pPr>
              <w:spacing w:line="480" w:lineRule="exact"/>
              <w:rPr>
                <w:rFonts w:hint="eastAsia" w:ascii="宋体" w:hAnsi="宋体" w:eastAsia="宋体" w:cs="宋体"/>
                <w:b/>
                <w:bCs/>
                <w:sz w:val="21"/>
                <w:szCs w:val="21"/>
              </w:rPr>
            </w:pPr>
            <w:r>
              <w:rPr>
                <w:rFonts w:hint="eastAsia" w:ascii="宋体" w:hAnsi="宋体" w:eastAsia="宋体" w:cs="宋体"/>
                <w:b/>
                <w:bCs/>
                <w:sz w:val="21"/>
                <w:szCs w:val="21"/>
              </w:rPr>
              <w:t>投标人应具备的特殊要求或资质要求</w:t>
            </w:r>
          </w:p>
        </w:tc>
        <w:tc>
          <w:tcPr>
            <w:tcW w:w="6938" w:type="dxa"/>
            <w:vAlign w:val="center"/>
          </w:tcPr>
          <w:p>
            <w:pPr>
              <w:spacing w:line="480" w:lineRule="exact"/>
              <w:jc w:val="both"/>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80" w:lineRule="exact"/>
              <w:jc w:val="both"/>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2.落实政府采购政策需满足的资格要求：本项目为专门面向中小企业采购的项目，供应商应为中小微企业（监狱企业及残疾人福利性单位视同小型、微型企业）。</w:t>
            </w:r>
          </w:p>
          <w:p>
            <w:pPr>
              <w:spacing w:line="480" w:lineRule="exact"/>
              <w:jc w:val="both"/>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3.本项目的特定资格要求：</w:t>
            </w:r>
          </w:p>
          <w:p>
            <w:pPr>
              <w:spacing w:line="480" w:lineRule="exact"/>
              <w:jc w:val="both"/>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（1）投标人具有项目所属地渡口安全管理部门的相关行业运营批复文件；</w:t>
            </w:r>
          </w:p>
          <w:p>
            <w:pPr>
              <w:spacing w:line="480" w:lineRule="exact"/>
              <w:jc w:val="both"/>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（2）投标人必须配备四艘遗体接运船（自有或租赁，船舶类型为客渡船或交通船，其中至少配备1艘200 总吨位以上至未满 500 总吨位的船舶，且服务期内四艘船舶船龄需在强制报废船龄期限内。船舶运行需满足海事、交通等部门的有关规定）及相应的船员（所配备船员须具有符合国家有关规定的相关证书并配备必要的管理人员）。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1" w:type="dxa"/>
          </w:tcPr>
          <w:p>
            <w:pPr>
              <w:spacing w:line="48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1425" w:type="dxa"/>
          </w:tcPr>
          <w:p>
            <w:pPr>
              <w:spacing w:line="480" w:lineRule="exact"/>
              <w:rPr>
                <w:rFonts w:hint="eastAsia" w:ascii="宋体" w:hAnsi="宋体" w:eastAsia="宋体" w:cs="宋体"/>
                <w:b/>
                <w:bCs/>
                <w:sz w:val="21"/>
                <w:szCs w:val="21"/>
              </w:rPr>
            </w:pPr>
            <w:r>
              <w:rPr>
                <w:rFonts w:hint="eastAsia" w:ascii="宋体" w:hAnsi="宋体" w:eastAsia="宋体" w:cs="宋体"/>
                <w:b/>
                <w:bCs/>
                <w:sz w:val="21"/>
                <w:szCs w:val="21"/>
              </w:rPr>
              <w:t>对中小企业的资质要求</w:t>
            </w:r>
          </w:p>
        </w:tc>
        <w:tc>
          <w:tcPr>
            <w:tcW w:w="6938" w:type="dxa"/>
            <w:vAlign w:val="center"/>
          </w:tcPr>
          <w:p>
            <w:pPr>
              <w:spacing w:line="480" w:lineRule="exact"/>
              <w:jc w:val="both"/>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本项目为专门面向中小企业采购的项目，供应商应为中小微企业（监狱企业及残疾人福利性单位视同小型、微型企业）。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1" w:type="dxa"/>
          </w:tcPr>
          <w:p>
            <w:pPr>
              <w:spacing w:line="48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w:t>
            </w:r>
          </w:p>
        </w:tc>
        <w:tc>
          <w:tcPr>
            <w:tcW w:w="1425" w:type="dxa"/>
          </w:tcPr>
          <w:p>
            <w:pPr>
              <w:spacing w:line="480" w:lineRule="exact"/>
              <w:rPr>
                <w:rFonts w:hint="eastAsia" w:ascii="宋体" w:hAnsi="宋体" w:eastAsia="宋体" w:cs="宋体"/>
                <w:b/>
                <w:bCs/>
                <w:sz w:val="21"/>
                <w:szCs w:val="21"/>
              </w:rPr>
            </w:pPr>
            <w:r>
              <w:rPr>
                <w:rFonts w:hint="eastAsia" w:ascii="宋体" w:hAnsi="宋体" w:eastAsia="宋体" w:cs="宋体"/>
                <w:b/>
                <w:bCs/>
                <w:sz w:val="21"/>
                <w:szCs w:val="21"/>
              </w:rPr>
              <w:t>是否有投标样品要求</w:t>
            </w:r>
          </w:p>
        </w:tc>
        <w:tc>
          <w:tcPr>
            <w:tcW w:w="6938" w:type="dxa"/>
            <w:vAlign w:val="center"/>
          </w:tcPr>
          <w:p>
            <w:pPr>
              <w:spacing w:line="480" w:lineRule="exact"/>
              <w:jc w:val="both"/>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1" w:type="dxa"/>
          </w:tcPr>
          <w:p>
            <w:pPr>
              <w:spacing w:line="48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w:t>
            </w:r>
          </w:p>
        </w:tc>
        <w:tc>
          <w:tcPr>
            <w:tcW w:w="1425" w:type="dxa"/>
          </w:tcPr>
          <w:p>
            <w:pPr>
              <w:spacing w:line="480" w:lineRule="exact"/>
              <w:rPr>
                <w:rFonts w:hint="eastAsia" w:ascii="宋体" w:hAnsi="宋体" w:eastAsia="宋体" w:cs="宋体"/>
                <w:b/>
                <w:bCs/>
                <w:sz w:val="21"/>
                <w:szCs w:val="21"/>
              </w:rPr>
            </w:pPr>
            <w:r>
              <w:rPr>
                <w:rFonts w:hint="eastAsia" w:ascii="宋体" w:hAnsi="宋体" w:eastAsia="宋体" w:cs="宋体"/>
                <w:b/>
                <w:bCs/>
                <w:sz w:val="21"/>
                <w:szCs w:val="21"/>
              </w:rPr>
              <w:t>是否提供履约保证金</w:t>
            </w:r>
          </w:p>
        </w:tc>
        <w:tc>
          <w:tcPr>
            <w:tcW w:w="6938" w:type="dxa"/>
            <w:vAlign w:val="center"/>
          </w:tcPr>
          <w:p>
            <w:pPr>
              <w:spacing w:line="240" w:lineRule="auto"/>
              <w:jc w:val="both"/>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14:textFill>
                  <w14:solidFill>
                    <w14:schemeClr w14:val="tx1"/>
                  </w14:solidFill>
                </w14:textFill>
              </w:rPr>
              <w:t>本项目不设置履约保证金。（最终以采购文件为准）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1" w:type="dxa"/>
          </w:tcPr>
          <w:p>
            <w:pPr>
              <w:spacing w:line="480" w:lineRule="exact"/>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8</w:t>
            </w:r>
          </w:p>
        </w:tc>
        <w:tc>
          <w:tcPr>
            <w:tcW w:w="1425" w:type="dxa"/>
          </w:tcPr>
          <w:p>
            <w:pPr>
              <w:spacing w:line="480" w:lineRule="exact"/>
              <w:rPr>
                <w:rFonts w:hint="eastAsia" w:ascii="宋体" w:hAnsi="宋体" w:eastAsia="宋体" w:cs="宋体"/>
                <w:b/>
                <w:bCs/>
                <w:color w:val="000000" w:themeColor="text1"/>
                <w:sz w:val="21"/>
                <w:szCs w:val="21"/>
                <w:lang w:eastAsia="zh-CN" w:bidi="en-US"/>
                <w14:textFill>
                  <w14:solidFill>
                    <w14:schemeClr w14:val="tx1"/>
                  </w14:solidFill>
                </w14:textFill>
              </w:rPr>
            </w:pPr>
            <w:r>
              <w:rPr>
                <w:rFonts w:hint="eastAsia" w:ascii="宋体" w:hAnsi="宋体" w:eastAsia="宋体" w:cs="宋体"/>
                <w:b/>
                <w:bCs/>
                <w:color w:val="000000" w:themeColor="text1"/>
                <w:sz w:val="21"/>
                <w:szCs w:val="21"/>
                <w:lang w:bidi="en-US"/>
                <w14:textFill>
                  <w14:solidFill>
                    <w14:schemeClr w14:val="tx1"/>
                  </w14:solidFill>
                </w14:textFill>
              </w:rPr>
              <w:t>付款方式</w:t>
            </w:r>
          </w:p>
        </w:tc>
        <w:tc>
          <w:tcPr>
            <w:tcW w:w="6938" w:type="dxa"/>
            <w:vAlign w:val="center"/>
          </w:tcPr>
          <w:p>
            <w:pPr>
              <w:spacing w:line="360" w:lineRule="exac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第1年费用支付：合同签订生效并具备付款条件后7个工作日内支付每年合同金额的40%作为预付款（预付款不扣回抵作进度款，抵完为止），每三个月支付每年合同总额的25%作为进度款，每年最后一次进度款在每年服务期满且考核合格之后一次性支付（扣除应扣款项）。</w:t>
            </w:r>
          </w:p>
          <w:p>
            <w:pPr>
              <w:spacing w:line="360" w:lineRule="exac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第2—3年费用支付：每年服务期开始并具备付款条件后7个工作日内支付每年合同金额的40%作为预付款（预付款不扣回抵作进度款，抵完为止），每三个月支付每年合同总额的25%作为进度款，每年最后一次进度款在每年服务期满且考核合格之后一次性支付（扣除应扣款项）。</w:t>
            </w:r>
          </w:p>
          <w:p>
            <w:pPr>
              <w:spacing w:line="360" w:lineRule="exac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注：（1）每年合同金额为合同总金额的1/3。</w:t>
            </w:r>
          </w:p>
          <w:p>
            <w:pPr>
              <w:numPr>
                <w:ilvl w:val="0"/>
                <w:numId w:val="0"/>
              </w:numPr>
              <w:spacing w:line="240" w:lineRule="auto"/>
              <w:ind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（2）在签订合同时，中标人明确表示无需预付款或者主动要求降低预付款比例的，经双方协商后，以合同约定支付款项。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1" w:type="dxa"/>
            <w:vAlign w:val="center"/>
          </w:tcPr>
          <w:p>
            <w:pPr>
              <w:spacing w:line="48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w:t>
            </w:r>
          </w:p>
        </w:tc>
        <w:tc>
          <w:tcPr>
            <w:tcW w:w="1425" w:type="dxa"/>
            <w:vAlign w:val="center"/>
          </w:tcPr>
          <w:p>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验收要求</w:t>
            </w:r>
          </w:p>
        </w:tc>
        <w:tc>
          <w:tcPr>
            <w:tcW w:w="69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i/>
                <w:color w:val="000000"/>
                <w:sz w:val="21"/>
                <w:szCs w:val="21"/>
                <w:u w:val="single"/>
              </w:rPr>
            </w:pPr>
            <w:r>
              <w:rPr>
                <w:rFonts w:hint="eastAsia" w:ascii="宋体" w:hAnsi="宋体" w:eastAsia="宋体" w:cs="宋体"/>
                <w:color w:val="000000" w:themeColor="text1"/>
                <w:kern w:val="0"/>
                <w:szCs w:val="21"/>
                <w14:textFill>
                  <w14:solidFill>
                    <w14:schemeClr w14:val="tx1"/>
                  </w14:solidFill>
                </w14:textFill>
              </w:rPr>
              <w:t>由甲方组织相关人员对乙方提供的服务依据舟山市财政局关于印发《舟山市政府采购履约验收管理暂行办法》的通知（舟财采监[2021]14 号）、采购需求、投标文件及国家相关法律法规规定组织履约验收，根据验收结果出具验收报告。</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1" w:type="dxa"/>
            <w:vAlign w:val="center"/>
          </w:tcPr>
          <w:p>
            <w:pPr>
              <w:spacing w:line="480" w:lineRule="exact"/>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r>
              <w:rPr>
                <w:rFonts w:hint="eastAsia" w:ascii="宋体" w:hAnsi="宋体" w:cs="宋体"/>
                <w:b/>
                <w:bCs/>
                <w:sz w:val="21"/>
                <w:szCs w:val="21"/>
                <w:lang w:val="en-US" w:eastAsia="zh-CN"/>
              </w:rPr>
              <w:t>0</w:t>
            </w:r>
          </w:p>
        </w:tc>
        <w:tc>
          <w:tcPr>
            <w:tcW w:w="1425" w:type="dxa"/>
            <w:vAlign w:val="center"/>
          </w:tcPr>
          <w:p>
            <w:pPr>
              <w:spacing w:line="48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报价要求</w:t>
            </w:r>
          </w:p>
        </w:tc>
        <w:tc>
          <w:tcPr>
            <w:tcW w:w="6938" w:type="dxa"/>
            <w:vAlign w:val="center"/>
          </w:tcPr>
          <w:p>
            <w:pPr>
              <w:keepNext w:val="0"/>
              <w:keepLines w:val="0"/>
              <w:pageBreakBefore w:val="0"/>
              <w:widowControl w:val="0"/>
              <w:kinsoku/>
              <w:wordWrap/>
              <w:overflowPunct/>
              <w:topLinePunct w:val="0"/>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报价应以人民币报价，投标报价包括但不限于服务期内的人工费（含工资、社保、各类福利、加班费、服装费、高温费等）、材料费（耗材（包括设备工具耗材、用品耗材、保洁设备工具及用品耗材、交通运输工具等）、维修或更换材料等），机械设备、工具用具使用费，水、电费（用电用水费用由中标人承担，水电费年底按实际发生量结算，费用在服务费中扣回），卫生保洁物料及垃圾清运费，检测费、保险费、招标代理服务费、管理费、利润、税金等与完成本项目相关的一切费用。</w:t>
            </w:r>
          </w:p>
        </w:tc>
      </w:tr>
    </w:tbl>
    <w:p/>
    <w:p>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备注：以上内容为初步商务要求，最终以浙江政府采购网发布采购文件为准。</w:t>
      </w:r>
    </w:p>
    <w:p>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b/>
          <w:bCs/>
          <w:color w:val="FF0000"/>
          <w:kern w:val="0"/>
          <w:sz w:val="22"/>
          <w:szCs w:val="22"/>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b/>
          <w:bCs/>
          <w:color w:val="FF0000"/>
          <w:kern w:val="0"/>
          <w:sz w:val="22"/>
          <w:szCs w:val="22"/>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b/>
          <w:bCs/>
          <w:color w:val="FF0000"/>
          <w:kern w:val="0"/>
          <w:sz w:val="22"/>
          <w:szCs w:val="22"/>
          <w:highlight w:val="none"/>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jc w:val="left"/>
        <w:textAlignment w:val="auto"/>
        <w:rPr>
          <w:rStyle w:val="11"/>
          <w:rFonts w:hint="default" w:ascii="宋体" w:hAnsi="宋体" w:eastAsia="宋体" w:cs="宋体"/>
          <w:i w:val="0"/>
          <w:iCs w:val="0"/>
          <w:caps w:val="0"/>
          <w:color w:val="000000"/>
          <w:spacing w:val="0"/>
          <w:sz w:val="27"/>
          <w:szCs w:val="27"/>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MjgxOTQyYWI5ZjYwNGYwMjFkNjI0NmQxN2MxNDIifQ=="/>
  </w:docVars>
  <w:rsids>
    <w:rsidRoot w:val="000263D4"/>
    <w:rsid w:val="000263D4"/>
    <w:rsid w:val="00DF27DC"/>
    <w:rsid w:val="00E64244"/>
    <w:rsid w:val="00EF16FF"/>
    <w:rsid w:val="00FE7DD9"/>
    <w:rsid w:val="021736CF"/>
    <w:rsid w:val="027B29FE"/>
    <w:rsid w:val="02DE64F7"/>
    <w:rsid w:val="032338A8"/>
    <w:rsid w:val="08117793"/>
    <w:rsid w:val="0B9C6F51"/>
    <w:rsid w:val="0C5C09E2"/>
    <w:rsid w:val="0DA34BAE"/>
    <w:rsid w:val="0E6C563A"/>
    <w:rsid w:val="10777353"/>
    <w:rsid w:val="11AD5C4D"/>
    <w:rsid w:val="129475EE"/>
    <w:rsid w:val="15F15893"/>
    <w:rsid w:val="17696A44"/>
    <w:rsid w:val="1BE82F3C"/>
    <w:rsid w:val="1C6B236E"/>
    <w:rsid w:val="1C9176B6"/>
    <w:rsid w:val="1CB05356"/>
    <w:rsid w:val="1D74500E"/>
    <w:rsid w:val="2031368A"/>
    <w:rsid w:val="20A0654F"/>
    <w:rsid w:val="20D84C9A"/>
    <w:rsid w:val="26441A3D"/>
    <w:rsid w:val="3288071E"/>
    <w:rsid w:val="33037B5B"/>
    <w:rsid w:val="338B50A9"/>
    <w:rsid w:val="34456432"/>
    <w:rsid w:val="37EF4F77"/>
    <w:rsid w:val="3AA27206"/>
    <w:rsid w:val="3DD7521E"/>
    <w:rsid w:val="3EDD7C55"/>
    <w:rsid w:val="4285385A"/>
    <w:rsid w:val="44F369B3"/>
    <w:rsid w:val="46D30747"/>
    <w:rsid w:val="47AA6CC0"/>
    <w:rsid w:val="497E1951"/>
    <w:rsid w:val="4B5F6A4E"/>
    <w:rsid w:val="4D2444F4"/>
    <w:rsid w:val="4E055CD0"/>
    <w:rsid w:val="4E416418"/>
    <w:rsid w:val="4E686874"/>
    <w:rsid w:val="4E7041A7"/>
    <w:rsid w:val="4EB96AA0"/>
    <w:rsid w:val="53590DA0"/>
    <w:rsid w:val="53CC6C4A"/>
    <w:rsid w:val="54EF18DE"/>
    <w:rsid w:val="5539030F"/>
    <w:rsid w:val="56EB251D"/>
    <w:rsid w:val="5A5F6B94"/>
    <w:rsid w:val="5C995DD7"/>
    <w:rsid w:val="5CA53174"/>
    <w:rsid w:val="61E57855"/>
    <w:rsid w:val="683A6EEC"/>
    <w:rsid w:val="68631EBA"/>
    <w:rsid w:val="6AC84F25"/>
    <w:rsid w:val="6BC86F4B"/>
    <w:rsid w:val="6BCB7AEA"/>
    <w:rsid w:val="6D832FAC"/>
    <w:rsid w:val="6E364D9B"/>
    <w:rsid w:val="6E5001A7"/>
    <w:rsid w:val="72D474EF"/>
    <w:rsid w:val="76BE5695"/>
    <w:rsid w:val="772557BC"/>
    <w:rsid w:val="78642499"/>
    <w:rsid w:val="79426EE3"/>
    <w:rsid w:val="7CEE7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
      <w:b/>
      <w:sz w:val="32"/>
      <w:szCs w:val="28"/>
    </w:rPr>
  </w:style>
  <w:style w:type="paragraph" w:styleId="3">
    <w:name w:val="heading 6"/>
    <w:basedOn w:val="1"/>
    <w:next w:val="1"/>
    <w:qFormat/>
    <w:uiPriority w:val="0"/>
    <w:pPr>
      <w:keepNext/>
      <w:keepLines/>
      <w:spacing w:before="240" w:after="64" w:line="320" w:lineRule="auto"/>
      <w:outlineLvl w:val="5"/>
    </w:pPr>
    <w:rPr>
      <w:rFonts w:ascii="Cambria" w:hAnsi="Cambria"/>
      <w:b/>
      <w:bCs/>
      <w:sz w:val="24"/>
      <w:szCs w:val="24"/>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6"/>
    <w:qFormat/>
    <w:uiPriority w:val="0"/>
    <w:pPr>
      <w:spacing w:before="0" w:after="140" w:line="276" w:lineRule="auto"/>
    </w:pPr>
  </w:style>
  <w:style w:type="paragraph" w:styleId="6">
    <w:name w:val="Body Text First Indent"/>
    <w:basedOn w:val="5"/>
    <w:next w:val="1"/>
    <w:unhideWhenUsed/>
    <w:qFormat/>
    <w:uiPriority w:val="0"/>
    <w:pPr>
      <w:ind w:firstLine="420" w:firstLineChars="100"/>
    </w:pPr>
    <w:rPr>
      <w:rFonts w:ascii="Times New Roman"/>
      <w:sz w:val="21"/>
    </w:rPr>
  </w:style>
  <w:style w:type="paragraph" w:styleId="7">
    <w:name w:val="Body Text Indent"/>
    <w:basedOn w:val="1"/>
    <w:next w:val="8"/>
    <w:unhideWhenUsed/>
    <w:qFormat/>
    <w:uiPriority w:val="99"/>
    <w:pPr>
      <w:spacing w:line="200" w:lineRule="exact"/>
      <w:ind w:firstLine="301"/>
    </w:pPr>
    <w:rPr>
      <w:rFonts w:ascii="宋体" w:hAnsi="Courier New"/>
      <w:spacing w:val="-4"/>
      <w:sz w:val="18"/>
      <w:szCs w:val="20"/>
    </w:rPr>
  </w:style>
  <w:style w:type="paragraph" w:styleId="8">
    <w:name w:val="Body Text First Indent 2"/>
    <w:basedOn w:val="7"/>
    <w:next w:val="1"/>
    <w:unhideWhenUsed/>
    <w:qFormat/>
    <w:uiPriority w:val="99"/>
    <w:pPr>
      <w:spacing w:after="120" w:line="240" w:lineRule="auto"/>
      <w:ind w:left="420" w:leftChars="200" w:firstLine="420" w:firstLineChars="200"/>
    </w:pPr>
    <w:rPr>
      <w:rFonts w:ascii="Times New Roman" w:hAnsi="Times New Roman"/>
      <w:spacing w:val="0"/>
      <w:sz w:val="21"/>
    </w:rPr>
  </w:style>
  <w:style w:type="character" w:styleId="11">
    <w:name w:val="HTML Sample"/>
    <w:basedOn w:val="10"/>
    <w:semiHidden/>
    <w:unhideWhenUsed/>
    <w:qFormat/>
    <w:uiPriority w:val="99"/>
    <w:rPr>
      <w:rFonts w:ascii="Courier New" w:hAnsi="Courier New"/>
    </w:rPr>
  </w:style>
  <w:style w:type="paragraph" w:customStyle="1" w:styleId="12">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空2字"/>
    <w:basedOn w:val="14"/>
    <w:qFormat/>
    <w:uiPriority w:val="99"/>
    <w:pPr>
      <w:widowControl w:val="0"/>
      <w:snapToGrid w:val="0"/>
      <w:spacing w:line="400" w:lineRule="exact"/>
      <w:ind w:firstLine="420" w:firstLineChars="200"/>
    </w:pPr>
    <w:rPr>
      <w:rFonts w:ascii="宋体" w:hAnsi="宋体" w:eastAsia="宋体" w:cs="宋体"/>
      <w:color w:val="00B0F0"/>
      <w:kern w:val="0"/>
      <w:sz w:val="21"/>
      <w:szCs w:val="21"/>
    </w:rPr>
  </w:style>
  <w:style w:type="paragraph" w:customStyle="1" w:styleId="14">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2362</Words>
  <Characters>2436</Characters>
  <Lines>5</Lines>
  <Paragraphs>1</Paragraphs>
  <TotalTime>0</TotalTime>
  <ScaleCrop>false</ScaleCrop>
  <LinksUpToDate>false</LinksUpToDate>
  <CharactersWithSpaces>2439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2024-03-28T08:55:00Z</dcterms:created>
  <dc:creator>张伊岑</dc:creator>
  <cp:lastModifiedBy>NTKO</cp:lastModifiedBy>
  <dcterms:modified xsi:type="dcterms:W3CDTF">2025-04-25T10:04:58Z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01396E1288B54928BDBC76549A8C9623_12</vt:lpwstr>
  </property>
</Properties>
</file>